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1E7E6" w14:textId="77777777" w:rsidR="006000D8" w:rsidRPr="00776407" w:rsidRDefault="006000D8" w:rsidP="006000D8">
      <w:pPr>
        <w:autoSpaceDE w:val="0"/>
        <w:autoSpaceDN w:val="0"/>
        <w:adjustRightInd w:val="0"/>
        <w:jc w:val="center"/>
        <w:rPr>
          <w:b/>
          <w:bCs/>
          <w:sz w:val="22"/>
          <w:szCs w:val="22"/>
        </w:rPr>
      </w:pPr>
      <w:bookmarkStart w:id="0" w:name="_GoBack"/>
      <w:bookmarkEnd w:id="0"/>
    </w:p>
    <w:p w14:paraId="6FBA4382" w14:textId="77777777" w:rsidR="006000D8" w:rsidRPr="00776407" w:rsidRDefault="006000D8" w:rsidP="006000D8">
      <w:pPr>
        <w:autoSpaceDE w:val="0"/>
        <w:autoSpaceDN w:val="0"/>
        <w:adjustRightInd w:val="0"/>
        <w:jc w:val="center"/>
        <w:rPr>
          <w:b/>
          <w:bCs/>
          <w:sz w:val="22"/>
          <w:szCs w:val="22"/>
        </w:rPr>
      </w:pPr>
    </w:p>
    <w:p w14:paraId="57BCD414" w14:textId="77777777" w:rsidR="006000D8" w:rsidRPr="00776407" w:rsidRDefault="006000D8" w:rsidP="006000D8">
      <w:pPr>
        <w:autoSpaceDE w:val="0"/>
        <w:autoSpaceDN w:val="0"/>
        <w:adjustRightInd w:val="0"/>
        <w:jc w:val="center"/>
        <w:rPr>
          <w:b/>
          <w:bCs/>
          <w:sz w:val="22"/>
          <w:szCs w:val="22"/>
        </w:rPr>
      </w:pPr>
    </w:p>
    <w:p w14:paraId="0220D4DE" w14:textId="77777777" w:rsidR="006000D8" w:rsidRPr="00776407" w:rsidRDefault="006000D8" w:rsidP="006000D8">
      <w:pPr>
        <w:autoSpaceDE w:val="0"/>
        <w:autoSpaceDN w:val="0"/>
        <w:adjustRightInd w:val="0"/>
        <w:jc w:val="center"/>
        <w:rPr>
          <w:b/>
          <w:bCs/>
          <w:sz w:val="22"/>
          <w:szCs w:val="22"/>
        </w:rPr>
      </w:pPr>
    </w:p>
    <w:p w14:paraId="4092F4B5" w14:textId="77777777" w:rsidR="006000D8" w:rsidRPr="00776407" w:rsidRDefault="006000D8" w:rsidP="006000D8">
      <w:pPr>
        <w:autoSpaceDE w:val="0"/>
        <w:autoSpaceDN w:val="0"/>
        <w:adjustRightInd w:val="0"/>
        <w:jc w:val="center"/>
        <w:rPr>
          <w:b/>
          <w:bCs/>
          <w:sz w:val="22"/>
          <w:szCs w:val="22"/>
        </w:rPr>
      </w:pPr>
    </w:p>
    <w:p w14:paraId="60C2961A" w14:textId="77777777" w:rsidR="006000D8" w:rsidRPr="00776407" w:rsidRDefault="006000D8" w:rsidP="006000D8">
      <w:pPr>
        <w:autoSpaceDE w:val="0"/>
        <w:autoSpaceDN w:val="0"/>
        <w:adjustRightInd w:val="0"/>
        <w:jc w:val="center"/>
        <w:rPr>
          <w:b/>
          <w:bCs/>
          <w:sz w:val="22"/>
          <w:szCs w:val="22"/>
        </w:rPr>
      </w:pPr>
    </w:p>
    <w:p w14:paraId="240545D4" w14:textId="77777777" w:rsidR="006000D8" w:rsidRPr="00776407" w:rsidRDefault="006000D8" w:rsidP="006000D8">
      <w:pPr>
        <w:autoSpaceDE w:val="0"/>
        <w:autoSpaceDN w:val="0"/>
        <w:adjustRightInd w:val="0"/>
        <w:jc w:val="center"/>
        <w:rPr>
          <w:b/>
          <w:bCs/>
          <w:sz w:val="22"/>
          <w:szCs w:val="22"/>
        </w:rPr>
      </w:pPr>
    </w:p>
    <w:p w14:paraId="79549C72" w14:textId="77777777" w:rsidR="006000D8" w:rsidRPr="00776407" w:rsidRDefault="006000D8" w:rsidP="006000D8">
      <w:pPr>
        <w:autoSpaceDE w:val="0"/>
        <w:autoSpaceDN w:val="0"/>
        <w:adjustRightInd w:val="0"/>
        <w:jc w:val="center"/>
        <w:rPr>
          <w:b/>
          <w:bCs/>
          <w:sz w:val="22"/>
          <w:szCs w:val="22"/>
        </w:rPr>
      </w:pPr>
    </w:p>
    <w:p w14:paraId="3E02B7BA" w14:textId="77777777" w:rsidR="006000D8" w:rsidRPr="00776407" w:rsidRDefault="006000D8" w:rsidP="006000D8">
      <w:pPr>
        <w:autoSpaceDE w:val="0"/>
        <w:autoSpaceDN w:val="0"/>
        <w:adjustRightInd w:val="0"/>
        <w:jc w:val="center"/>
        <w:rPr>
          <w:b/>
          <w:bCs/>
          <w:sz w:val="22"/>
          <w:szCs w:val="22"/>
        </w:rPr>
      </w:pPr>
    </w:p>
    <w:p w14:paraId="094F2D38" w14:textId="77777777" w:rsidR="006000D8" w:rsidRPr="00776407" w:rsidRDefault="006000D8" w:rsidP="006000D8">
      <w:pPr>
        <w:autoSpaceDE w:val="0"/>
        <w:autoSpaceDN w:val="0"/>
        <w:adjustRightInd w:val="0"/>
        <w:jc w:val="center"/>
        <w:rPr>
          <w:b/>
          <w:bCs/>
          <w:sz w:val="22"/>
          <w:szCs w:val="22"/>
        </w:rPr>
      </w:pPr>
    </w:p>
    <w:p w14:paraId="3D867E3B" w14:textId="77777777" w:rsidR="006000D8" w:rsidRPr="00776407" w:rsidRDefault="006000D8" w:rsidP="006000D8">
      <w:pPr>
        <w:autoSpaceDE w:val="0"/>
        <w:autoSpaceDN w:val="0"/>
        <w:adjustRightInd w:val="0"/>
        <w:jc w:val="center"/>
        <w:rPr>
          <w:b/>
          <w:bCs/>
          <w:sz w:val="22"/>
          <w:szCs w:val="22"/>
        </w:rPr>
      </w:pPr>
    </w:p>
    <w:p w14:paraId="6BA582CF" w14:textId="77777777" w:rsidR="006000D8" w:rsidRPr="00776407" w:rsidRDefault="006000D8" w:rsidP="006000D8">
      <w:pPr>
        <w:autoSpaceDE w:val="0"/>
        <w:autoSpaceDN w:val="0"/>
        <w:adjustRightInd w:val="0"/>
        <w:jc w:val="center"/>
        <w:rPr>
          <w:b/>
          <w:bCs/>
          <w:sz w:val="22"/>
          <w:szCs w:val="22"/>
        </w:rPr>
      </w:pPr>
    </w:p>
    <w:p w14:paraId="4798362F" w14:textId="77777777" w:rsidR="006000D8" w:rsidRPr="00776407" w:rsidRDefault="006000D8" w:rsidP="006000D8">
      <w:pPr>
        <w:autoSpaceDE w:val="0"/>
        <w:autoSpaceDN w:val="0"/>
        <w:adjustRightInd w:val="0"/>
        <w:jc w:val="center"/>
        <w:rPr>
          <w:b/>
          <w:bCs/>
          <w:sz w:val="22"/>
          <w:szCs w:val="22"/>
        </w:rPr>
      </w:pPr>
    </w:p>
    <w:p w14:paraId="356393FF" w14:textId="77777777" w:rsidR="006000D8" w:rsidRPr="00776407" w:rsidRDefault="006000D8" w:rsidP="006000D8">
      <w:pPr>
        <w:autoSpaceDE w:val="0"/>
        <w:autoSpaceDN w:val="0"/>
        <w:adjustRightInd w:val="0"/>
        <w:jc w:val="center"/>
        <w:rPr>
          <w:b/>
          <w:bCs/>
          <w:sz w:val="22"/>
          <w:szCs w:val="22"/>
        </w:rPr>
      </w:pPr>
    </w:p>
    <w:p w14:paraId="48317F31" w14:textId="77777777" w:rsidR="006000D8" w:rsidRPr="00776407" w:rsidRDefault="006000D8" w:rsidP="006000D8">
      <w:pPr>
        <w:autoSpaceDE w:val="0"/>
        <w:autoSpaceDN w:val="0"/>
        <w:adjustRightInd w:val="0"/>
        <w:jc w:val="center"/>
        <w:rPr>
          <w:b/>
          <w:bCs/>
          <w:sz w:val="22"/>
          <w:szCs w:val="22"/>
        </w:rPr>
      </w:pPr>
    </w:p>
    <w:p w14:paraId="2DE967AC" w14:textId="77777777" w:rsidR="006000D8" w:rsidRPr="00776407" w:rsidRDefault="006000D8" w:rsidP="006000D8">
      <w:pPr>
        <w:autoSpaceDE w:val="0"/>
        <w:autoSpaceDN w:val="0"/>
        <w:adjustRightInd w:val="0"/>
        <w:jc w:val="center"/>
        <w:rPr>
          <w:b/>
          <w:bCs/>
          <w:sz w:val="22"/>
          <w:szCs w:val="22"/>
        </w:rPr>
      </w:pPr>
    </w:p>
    <w:p w14:paraId="6E3B0866" w14:textId="77777777" w:rsidR="006000D8" w:rsidRPr="00776407" w:rsidRDefault="006000D8" w:rsidP="006000D8">
      <w:pPr>
        <w:autoSpaceDE w:val="0"/>
        <w:autoSpaceDN w:val="0"/>
        <w:adjustRightInd w:val="0"/>
        <w:jc w:val="center"/>
        <w:rPr>
          <w:b/>
          <w:bCs/>
          <w:sz w:val="22"/>
          <w:szCs w:val="22"/>
        </w:rPr>
      </w:pPr>
    </w:p>
    <w:p w14:paraId="69BE25DE" w14:textId="77777777" w:rsidR="006000D8" w:rsidRPr="00776407" w:rsidRDefault="006000D8" w:rsidP="006000D8">
      <w:pPr>
        <w:autoSpaceDE w:val="0"/>
        <w:autoSpaceDN w:val="0"/>
        <w:adjustRightInd w:val="0"/>
        <w:jc w:val="center"/>
        <w:rPr>
          <w:b/>
          <w:bCs/>
          <w:sz w:val="22"/>
          <w:szCs w:val="22"/>
        </w:rPr>
      </w:pPr>
    </w:p>
    <w:p w14:paraId="3EBF9662" w14:textId="77777777" w:rsidR="006000D8" w:rsidRPr="00776407" w:rsidRDefault="006000D8" w:rsidP="006000D8">
      <w:pPr>
        <w:autoSpaceDE w:val="0"/>
        <w:autoSpaceDN w:val="0"/>
        <w:adjustRightInd w:val="0"/>
        <w:jc w:val="center"/>
        <w:rPr>
          <w:b/>
          <w:bCs/>
          <w:sz w:val="22"/>
          <w:szCs w:val="22"/>
        </w:rPr>
      </w:pPr>
    </w:p>
    <w:p w14:paraId="56F8F42F" w14:textId="77777777" w:rsidR="006000D8" w:rsidRPr="00776407" w:rsidRDefault="006000D8" w:rsidP="006000D8">
      <w:pPr>
        <w:autoSpaceDE w:val="0"/>
        <w:autoSpaceDN w:val="0"/>
        <w:adjustRightInd w:val="0"/>
        <w:jc w:val="center"/>
        <w:rPr>
          <w:b/>
          <w:bCs/>
          <w:sz w:val="22"/>
          <w:szCs w:val="22"/>
        </w:rPr>
      </w:pPr>
    </w:p>
    <w:p w14:paraId="27BC8CF6" w14:textId="77777777" w:rsidR="006000D8" w:rsidRPr="00776407" w:rsidRDefault="006000D8" w:rsidP="006000D8">
      <w:pPr>
        <w:autoSpaceDE w:val="0"/>
        <w:autoSpaceDN w:val="0"/>
        <w:adjustRightInd w:val="0"/>
        <w:jc w:val="center"/>
        <w:rPr>
          <w:b/>
          <w:bCs/>
          <w:sz w:val="22"/>
          <w:szCs w:val="22"/>
        </w:rPr>
      </w:pPr>
    </w:p>
    <w:p w14:paraId="077883B3" w14:textId="77777777" w:rsidR="006000D8" w:rsidRPr="00776407" w:rsidRDefault="006000D8" w:rsidP="006000D8">
      <w:pPr>
        <w:autoSpaceDE w:val="0"/>
        <w:autoSpaceDN w:val="0"/>
        <w:adjustRightInd w:val="0"/>
        <w:jc w:val="center"/>
        <w:rPr>
          <w:b/>
          <w:bCs/>
          <w:sz w:val="22"/>
          <w:szCs w:val="22"/>
        </w:rPr>
      </w:pPr>
    </w:p>
    <w:p w14:paraId="356124B2" w14:textId="77777777" w:rsidR="006000D8" w:rsidRPr="00776407" w:rsidRDefault="006000D8" w:rsidP="006000D8">
      <w:pPr>
        <w:autoSpaceDE w:val="0"/>
        <w:autoSpaceDN w:val="0"/>
        <w:adjustRightInd w:val="0"/>
        <w:jc w:val="center"/>
        <w:rPr>
          <w:b/>
          <w:bCs/>
          <w:sz w:val="22"/>
          <w:szCs w:val="22"/>
        </w:rPr>
      </w:pPr>
    </w:p>
    <w:p w14:paraId="6AC9A31E" w14:textId="77777777" w:rsidR="007729E8" w:rsidRPr="00776407" w:rsidRDefault="007729E8" w:rsidP="007729E8">
      <w:pPr>
        <w:pStyle w:val="Default"/>
        <w:keepNext/>
        <w:jc w:val="center"/>
        <w:rPr>
          <w:rFonts w:ascii="Times New Roman" w:hAnsi="Times New Roman" w:cs="Times New Roman"/>
          <w:b/>
          <w:bCs/>
          <w:color w:val="auto"/>
          <w:sz w:val="22"/>
          <w:szCs w:val="22"/>
          <w:lang w:val="lt-LT"/>
        </w:rPr>
      </w:pPr>
      <w:r w:rsidRPr="00776407">
        <w:rPr>
          <w:rFonts w:ascii="Times New Roman" w:hAnsi="Times New Roman" w:cs="Times New Roman"/>
          <w:b/>
          <w:bCs/>
          <w:color w:val="auto"/>
          <w:sz w:val="22"/>
          <w:szCs w:val="22"/>
          <w:lang w:val="lt-LT"/>
        </w:rPr>
        <w:t>I PRIEDAS</w:t>
      </w:r>
    </w:p>
    <w:p w14:paraId="5483A9A9" w14:textId="77777777" w:rsidR="00A23593" w:rsidRPr="00776407" w:rsidRDefault="00A23593" w:rsidP="007729E8">
      <w:pPr>
        <w:pStyle w:val="Default"/>
        <w:keepNext/>
        <w:jc w:val="center"/>
        <w:rPr>
          <w:rFonts w:ascii="Times New Roman" w:hAnsi="Times New Roman" w:cs="Times New Roman"/>
          <w:color w:val="auto"/>
          <w:sz w:val="22"/>
          <w:szCs w:val="22"/>
          <w:lang w:val="lt-LT"/>
        </w:rPr>
      </w:pPr>
    </w:p>
    <w:p w14:paraId="5A10AAA9" w14:textId="77777777" w:rsidR="007729E8" w:rsidRPr="00776407" w:rsidRDefault="007729E8" w:rsidP="00864BE6">
      <w:pPr>
        <w:pStyle w:val="TitleA"/>
        <w:rPr>
          <w:lang w:val="lt-LT"/>
        </w:rPr>
      </w:pPr>
      <w:r w:rsidRPr="00776407">
        <w:rPr>
          <w:lang w:val="lt-LT"/>
        </w:rPr>
        <w:t>PREPARATO CHARAKTERISTIKŲ SANTRAUKA</w:t>
      </w:r>
    </w:p>
    <w:p w14:paraId="4C6FEF4F" w14:textId="77777777" w:rsidR="007729E8" w:rsidRPr="00776407" w:rsidRDefault="007729E8" w:rsidP="00864BE6">
      <w:pPr>
        <w:numPr>
          <w:ilvl w:val="0"/>
          <w:numId w:val="8"/>
        </w:numPr>
        <w:spacing w:after="200" w:line="276" w:lineRule="auto"/>
        <w:ind w:left="567" w:hanging="567"/>
        <w:rPr>
          <w:b/>
          <w:bCs/>
          <w:sz w:val="22"/>
          <w:szCs w:val="22"/>
        </w:rPr>
      </w:pPr>
      <w:r w:rsidRPr="00776407">
        <w:rPr>
          <w:sz w:val="22"/>
          <w:szCs w:val="22"/>
        </w:rPr>
        <w:br w:type="page"/>
      </w:r>
      <w:r w:rsidRPr="00776407">
        <w:rPr>
          <w:b/>
          <w:bCs/>
          <w:sz w:val="22"/>
          <w:szCs w:val="22"/>
        </w:rPr>
        <w:lastRenderedPageBreak/>
        <w:t xml:space="preserve">VAISTINIO PREPARATO PAVADINIMAS </w:t>
      </w:r>
    </w:p>
    <w:p w14:paraId="7D3C8256" w14:textId="77777777" w:rsidR="007729E8" w:rsidRPr="00776407" w:rsidRDefault="002B5DAD" w:rsidP="007729E8">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Imatinib Actavis</w:t>
      </w:r>
      <w:r w:rsidR="007729E8" w:rsidRPr="00776407">
        <w:rPr>
          <w:rFonts w:ascii="Times New Roman" w:hAnsi="Times New Roman" w:cs="Times New Roman"/>
          <w:color w:val="auto"/>
          <w:sz w:val="22"/>
          <w:szCs w:val="22"/>
          <w:lang w:val="lt-LT"/>
        </w:rPr>
        <w:t xml:space="preserve"> 50</w:t>
      </w:r>
      <w:r w:rsidR="002E4B40" w:rsidRPr="00776407">
        <w:rPr>
          <w:rFonts w:ascii="Times New Roman" w:hAnsi="Times New Roman" w:cs="Times New Roman"/>
          <w:color w:val="auto"/>
          <w:sz w:val="22"/>
          <w:szCs w:val="22"/>
          <w:lang w:val="lt-LT"/>
        </w:rPr>
        <w:t> </w:t>
      </w:r>
      <w:r w:rsidR="007729E8" w:rsidRPr="00776407">
        <w:rPr>
          <w:rFonts w:ascii="Times New Roman" w:hAnsi="Times New Roman" w:cs="Times New Roman"/>
          <w:color w:val="auto"/>
          <w:sz w:val="22"/>
          <w:szCs w:val="22"/>
          <w:lang w:val="lt-LT"/>
        </w:rPr>
        <w:t>mg kietos</w:t>
      </w:r>
      <w:r w:rsidRPr="00776407">
        <w:rPr>
          <w:rFonts w:ascii="Times New Roman" w:hAnsi="Times New Roman" w:cs="Times New Roman"/>
          <w:color w:val="auto"/>
          <w:sz w:val="22"/>
          <w:szCs w:val="22"/>
          <w:lang w:val="lt-LT"/>
        </w:rPr>
        <w:t>ios</w:t>
      </w:r>
      <w:r w:rsidR="007729E8" w:rsidRPr="00776407">
        <w:rPr>
          <w:rFonts w:ascii="Times New Roman" w:hAnsi="Times New Roman" w:cs="Times New Roman"/>
          <w:color w:val="auto"/>
          <w:sz w:val="22"/>
          <w:szCs w:val="22"/>
          <w:lang w:val="lt-LT"/>
        </w:rPr>
        <w:t xml:space="preserve"> kapsulės </w:t>
      </w:r>
    </w:p>
    <w:p w14:paraId="156118E0" w14:textId="77777777" w:rsidR="00955C83" w:rsidRPr="00776407" w:rsidRDefault="00F23A11" w:rsidP="00955C83">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Imatinib Actavis 100 </w:t>
      </w:r>
      <w:r w:rsidR="00955C83" w:rsidRPr="00776407">
        <w:rPr>
          <w:rFonts w:ascii="Times New Roman" w:hAnsi="Times New Roman" w:cs="Times New Roman"/>
          <w:color w:val="auto"/>
          <w:sz w:val="22"/>
          <w:szCs w:val="22"/>
          <w:lang w:val="lt-LT"/>
        </w:rPr>
        <w:t xml:space="preserve">mg </w:t>
      </w:r>
      <w:r w:rsidRPr="00776407">
        <w:rPr>
          <w:rFonts w:ascii="Times New Roman" w:hAnsi="Times New Roman" w:cs="Times New Roman"/>
          <w:color w:val="auto"/>
          <w:sz w:val="22"/>
          <w:szCs w:val="22"/>
          <w:lang w:val="lt-LT"/>
        </w:rPr>
        <w:t>kietosios kapsulės</w:t>
      </w:r>
    </w:p>
    <w:p w14:paraId="49041820" w14:textId="77777777" w:rsidR="002B5DAD" w:rsidRPr="00776407" w:rsidRDefault="00F23A11" w:rsidP="00955C83">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Imatinib Actavis 400 </w:t>
      </w:r>
      <w:r w:rsidR="00955C83" w:rsidRPr="00776407">
        <w:rPr>
          <w:rFonts w:ascii="Times New Roman" w:hAnsi="Times New Roman" w:cs="Times New Roman"/>
          <w:color w:val="auto"/>
          <w:sz w:val="22"/>
          <w:szCs w:val="22"/>
          <w:lang w:val="lt-LT"/>
        </w:rPr>
        <w:t xml:space="preserve">mg </w:t>
      </w:r>
      <w:r w:rsidRPr="00776407">
        <w:rPr>
          <w:rFonts w:ascii="Times New Roman" w:hAnsi="Times New Roman" w:cs="Times New Roman"/>
          <w:color w:val="auto"/>
          <w:sz w:val="22"/>
          <w:szCs w:val="22"/>
          <w:lang w:val="lt-LT"/>
        </w:rPr>
        <w:t>kietosios kapsulės</w:t>
      </w:r>
    </w:p>
    <w:p w14:paraId="3D1E59CB" w14:textId="77777777" w:rsidR="00955C83" w:rsidRPr="00776407" w:rsidRDefault="00955C83" w:rsidP="00955C83">
      <w:pPr>
        <w:pStyle w:val="Default"/>
        <w:rPr>
          <w:rFonts w:ascii="Times New Roman" w:hAnsi="Times New Roman" w:cs="Times New Roman"/>
          <w:color w:val="auto"/>
          <w:sz w:val="22"/>
          <w:szCs w:val="22"/>
          <w:lang w:val="lt-LT"/>
        </w:rPr>
      </w:pPr>
    </w:p>
    <w:p w14:paraId="5067963D" w14:textId="77777777" w:rsidR="00A23593" w:rsidRPr="00776407" w:rsidRDefault="00A23593" w:rsidP="007729E8">
      <w:pPr>
        <w:pStyle w:val="Default"/>
        <w:rPr>
          <w:rFonts w:ascii="Times New Roman" w:hAnsi="Times New Roman" w:cs="Times New Roman"/>
          <w:color w:val="auto"/>
          <w:sz w:val="22"/>
          <w:szCs w:val="22"/>
          <w:lang w:val="lt-LT"/>
        </w:rPr>
      </w:pPr>
    </w:p>
    <w:p w14:paraId="30FB85AB" w14:textId="77777777" w:rsidR="007729E8" w:rsidRPr="00776407" w:rsidRDefault="007729E8" w:rsidP="00864BE6">
      <w:pPr>
        <w:pStyle w:val="Default"/>
        <w:keepNext/>
        <w:numPr>
          <w:ilvl w:val="0"/>
          <w:numId w:val="8"/>
        </w:numPr>
        <w:ind w:left="567" w:hanging="567"/>
        <w:rPr>
          <w:rFonts w:ascii="Times New Roman" w:hAnsi="Times New Roman" w:cs="Times New Roman"/>
          <w:b/>
          <w:bCs/>
          <w:color w:val="auto"/>
          <w:sz w:val="22"/>
          <w:szCs w:val="22"/>
          <w:lang w:val="lt-LT"/>
        </w:rPr>
      </w:pPr>
      <w:r w:rsidRPr="00776407">
        <w:rPr>
          <w:rFonts w:ascii="Times New Roman" w:hAnsi="Times New Roman" w:cs="Times New Roman"/>
          <w:b/>
          <w:bCs/>
          <w:color w:val="auto"/>
          <w:sz w:val="22"/>
          <w:szCs w:val="22"/>
          <w:lang w:val="lt-LT"/>
        </w:rPr>
        <w:t xml:space="preserve">KOKYBINĖ IR KIEKYBINĖ SUDĖTIS </w:t>
      </w:r>
    </w:p>
    <w:p w14:paraId="3C43ACFD" w14:textId="77777777" w:rsidR="00A23593" w:rsidRPr="00776407" w:rsidRDefault="00A23593" w:rsidP="00A23593">
      <w:pPr>
        <w:pStyle w:val="Default"/>
        <w:rPr>
          <w:rFonts w:ascii="Times New Roman" w:hAnsi="Times New Roman" w:cs="Times New Roman"/>
          <w:color w:val="auto"/>
          <w:sz w:val="22"/>
          <w:szCs w:val="22"/>
          <w:lang w:val="lt-LT"/>
        </w:rPr>
      </w:pPr>
    </w:p>
    <w:p w14:paraId="0B5044C6" w14:textId="77777777" w:rsidR="00955C83" w:rsidRPr="00776407" w:rsidRDefault="00F23A11" w:rsidP="007729E8">
      <w:pPr>
        <w:pStyle w:val="Default"/>
        <w:rPr>
          <w:rFonts w:ascii="Times New Roman" w:hAnsi="Times New Roman" w:cs="Times New Roman"/>
          <w:color w:val="auto"/>
          <w:sz w:val="22"/>
          <w:szCs w:val="22"/>
          <w:u w:val="single"/>
          <w:lang w:val="lt-LT"/>
        </w:rPr>
      </w:pPr>
      <w:r w:rsidRPr="00776407">
        <w:rPr>
          <w:rFonts w:ascii="Times New Roman" w:hAnsi="Times New Roman" w:cs="Times New Roman"/>
          <w:color w:val="auto"/>
          <w:sz w:val="22"/>
          <w:szCs w:val="22"/>
          <w:u w:val="single"/>
          <w:lang w:val="lt-LT"/>
        </w:rPr>
        <w:t>Imatinib Actavis 50 </w:t>
      </w:r>
      <w:r w:rsidR="00955C83" w:rsidRPr="00776407">
        <w:rPr>
          <w:rFonts w:ascii="Times New Roman" w:hAnsi="Times New Roman" w:cs="Times New Roman"/>
          <w:color w:val="auto"/>
          <w:sz w:val="22"/>
          <w:szCs w:val="22"/>
          <w:u w:val="single"/>
          <w:lang w:val="lt-LT"/>
        </w:rPr>
        <w:t xml:space="preserve">mg </w:t>
      </w:r>
      <w:r w:rsidRPr="00776407">
        <w:rPr>
          <w:rFonts w:ascii="Times New Roman" w:hAnsi="Times New Roman" w:cs="Times New Roman"/>
          <w:color w:val="auto"/>
          <w:sz w:val="22"/>
          <w:szCs w:val="22"/>
          <w:u w:val="single"/>
          <w:lang w:val="lt-LT"/>
        </w:rPr>
        <w:t>kietosios kapsulės</w:t>
      </w:r>
    </w:p>
    <w:p w14:paraId="216B11C2" w14:textId="77777777" w:rsidR="007729E8" w:rsidRPr="00776407" w:rsidRDefault="002B5DAD" w:rsidP="007729E8">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Kiekvienoje kietojoje</w:t>
      </w:r>
      <w:r w:rsidR="007729E8" w:rsidRPr="00776407">
        <w:rPr>
          <w:rFonts w:ascii="Times New Roman" w:hAnsi="Times New Roman" w:cs="Times New Roman"/>
          <w:color w:val="auto"/>
          <w:sz w:val="22"/>
          <w:szCs w:val="22"/>
          <w:lang w:val="lt-LT"/>
        </w:rPr>
        <w:t xml:space="preserve"> kapsulėje yra 50</w:t>
      </w:r>
      <w:r w:rsidR="00430A5A" w:rsidRPr="00776407">
        <w:rPr>
          <w:rFonts w:ascii="Times New Roman" w:hAnsi="Times New Roman" w:cs="Times New Roman"/>
          <w:color w:val="auto"/>
          <w:sz w:val="22"/>
          <w:szCs w:val="22"/>
          <w:lang w:val="lt-LT"/>
        </w:rPr>
        <w:t> </w:t>
      </w:r>
      <w:r w:rsidR="007729E8" w:rsidRPr="00776407">
        <w:rPr>
          <w:rFonts w:ascii="Times New Roman" w:hAnsi="Times New Roman" w:cs="Times New Roman"/>
          <w:color w:val="auto"/>
          <w:sz w:val="22"/>
          <w:szCs w:val="22"/>
          <w:lang w:val="lt-LT"/>
        </w:rPr>
        <w:t xml:space="preserve">mg imatinibo (mesilato pavidalu). </w:t>
      </w:r>
    </w:p>
    <w:p w14:paraId="2395114D" w14:textId="77777777" w:rsidR="002B5DAD" w:rsidRPr="00776407" w:rsidRDefault="002B5DAD" w:rsidP="007729E8">
      <w:pPr>
        <w:pStyle w:val="Default"/>
        <w:rPr>
          <w:rFonts w:ascii="Times New Roman" w:hAnsi="Times New Roman" w:cs="Times New Roman"/>
          <w:color w:val="auto"/>
          <w:sz w:val="22"/>
          <w:szCs w:val="22"/>
          <w:lang w:val="lt-LT"/>
        </w:rPr>
      </w:pPr>
    </w:p>
    <w:p w14:paraId="28C577F0" w14:textId="77777777" w:rsidR="00955C83" w:rsidRPr="00776407" w:rsidRDefault="00F23A11" w:rsidP="00955C83">
      <w:pPr>
        <w:pStyle w:val="Default"/>
        <w:rPr>
          <w:rFonts w:ascii="Times New Roman" w:hAnsi="Times New Roman" w:cs="Times New Roman"/>
          <w:color w:val="auto"/>
          <w:sz w:val="22"/>
          <w:szCs w:val="22"/>
          <w:u w:val="single"/>
          <w:lang w:val="lt-LT"/>
        </w:rPr>
      </w:pPr>
      <w:r w:rsidRPr="00776407">
        <w:rPr>
          <w:rFonts w:ascii="Times New Roman" w:hAnsi="Times New Roman" w:cs="Times New Roman"/>
          <w:color w:val="auto"/>
          <w:sz w:val="22"/>
          <w:szCs w:val="22"/>
          <w:u w:val="single"/>
          <w:lang w:val="lt-LT"/>
        </w:rPr>
        <w:t>Imatinib Actavis 100 </w:t>
      </w:r>
      <w:r w:rsidR="00955C83" w:rsidRPr="00776407">
        <w:rPr>
          <w:rFonts w:ascii="Times New Roman" w:hAnsi="Times New Roman" w:cs="Times New Roman"/>
          <w:color w:val="auto"/>
          <w:sz w:val="22"/>
          <w:szCs w:val="22"/>
          <w:u w:val="single"/>
          <w:lang w:val="lt-LT"/>
        </w:rPr>
        <w:t xml:space="preserve">mg </w:t>
      </w:r>
      <w:r w:rsidRPr="00776407">
        <w:rPr>
          <w:rFonts w:ascii="Times New Roman" w:hAnsi="Times New Roman" w:cs="Times New Roman"/>
          <w:color w:val="auto"/>
          <w:sz w:val="22"/>
          <w:szCs w:val="22"/>
          <w:u w:val="single"/>
          <w:lang w:val="lt-LT"/>
        </w:rPr>
        <w:t>kietosios kapsulės</w:t>
      </w:r>
    </w:p>
    <w:p w14:paraId="3A96F82C" w14:textId="77777777" w:rsidR="00955C83" w:rsidRPr="00776407" w:rsidRDefault="00F23A11" w:rsidP="00955C83">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Kiekvienoje kietojoje kapsulėje yra 100 mg imatinibo (mesilato pavidalu).</w:t>
      </w:r>
    </w:p>
    <w:p w14:paraId="4CBB7C7C" w14:textId="77777777" w:rsidR="00F23A11" w:rsidRPr="00776407" w:rsidRDefault="00F23A11" w:rsidP="00955C83">
      <w:pPr>
        <w:pStyle w:val="Default"/>
        <w:rPr>
          <w:rFonts w:ascii="Times New Roman" w:hAnsi="Times New Roman" w:cs="Times New Roman"/>
          <w:color w:val="auto"/>
          <w:sz w:val="22"/>
          <w:szCs w:val="22"/>
          <w:lang w:val="lt-LT"/>
        </w:rPr>
      </w:pPr>
    </w:p>
    <w:p w14:paraId="4FA38C58" w14:textId="77777777" w:rsidR="00955C83" w:rsidRPr="00776407" w:rsidRDefault="00F23A11" w:rsidP="00955C83">
      <w:pPr>
        <w:pStyle w:val="Default"/>
        <w:rPr>
          <w:rFonts w:ascii="Times New Roman" w:hAnsi="Times New Roman" w:cs="Times New Roman"/>
          <w:color w:val="auto"/>
          <w:sz w:val="22"/>
          <w:szCs w:val="22"/>
          <w:u w:val="single"/>
          <w:lang w:val="lt-LT"/>
        </w:rPr>
      </w:pPr>
      <w:r w:rsidRPr="00776407">
        <w:rPr>
          <w:rFonts w:ascii="Times New Roman" w:hAnsi="Times New Roman" w:cs="Times New Roman"/>
          <w:color w:val="auto"/>
          <w:sz w:val="22"/>
          <w:szCs w:val="22"/>
          <w:u w:val="single"/>
          <w:lang w:val="lt-LT"/>
        </w:rPr>
        <w:t>Imatinib Actavis 400 </w:t>
      </w:r>
      <w:r w:rsidR="00955C83" w:rsidRPr="00776407">
        <w:rPr>
          <w:rFonts w:ascii="Times New Roman" w:hAnsi="Times New Roman" w:cs="Times New Roman"/>
          <w:color w:val="auto"/>
          <w:sz w:val="22"/>
          <w:szCs w:val="22"/>
          <w:u w:val="single"/>
          <w:lang w:val="lt-LT"/>
        </w:rPr>
        <w:t xml:space="preserve">mg </w:t>
      </w:r>
      <w:r w:rsidRPr="00776407">
        <w:rPr>
          <w:rFonts w:ascii="Times New Roman" w:hAnsi="Times New Roman" w:cs="Times New Roman"/>
          <w:color w:val="auto"/>
          <w:sz w:val="22"/>
          <w:szCs w:val="22"/>
          <w:u w:val="single"/>
          <w:lang w:val="lt-LT"/>
        </w:rPr>
        <w:t>kietosios kapsulės</w:t>
      </w:r>
    </w:p>
    <w:p w14:paraId="504BEA01" w14:textId="77777777" w:rsidR="00955C83" w:rsidRPr="00776407" w:rsidRDefault="00F23A11" w:rsidP="00955C83">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Kiekvienoje kietojoje kapsulėje yra 400 mg imatinibo (mesilato pavidalu).</w:t>
      </w:r>
    </w:p>
    <w:p w14:paraId="0B5D00A2" w14:textId="77777777" w:rsidR="00F23A11" w:rsidRPr="00776407" w:rsidRDefault="00F23A11" w:rsidP="00955C83">
      <w:pPr>
        <w:pStyle w:val="Default"/>
        <w:rPr>
          <w:rFonts w:ascii="Times New Roman" w:hAnsi="Times New Roman" w:cs="Times New Roman"/>
          <w:color w:val="auto"/>
          <w:sz w:val="22"/>
          <w:szCs w:val="22"/>
          <w:lang w:val="lt-LT"/>
        </w:rPr>
      </w:pPr>
    </w:p>
    <w:p w14:paraId="09EDF948" w14:textId="77777777" w:rsidR="007729E8" w:rsidRPr="00776407" w:rsidRDefault="007729E8" w:rsidP="007729E8">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 xml:space="preserve">Visos pagalbinės medžiagos išvardytos 6.1 skyriuje. </w:t>
      </w:r>
    </w:p>
    <w:p w14:paraId="0980FC00" w14:textId="77777777" w:rsidR="00A23593" w:rsidRPr="00776407" w:rsidRDefault="00A23593" w:rsidP="007729E8">
      <w:pPr>
        <w:pStyle w:val="Default"/>
        <w:rPr>
          <w:rFonts w:ascii="Times New Roman" w:hAnsi="Times New Roman" w:cs="Times New Roman"/>
          <w:color w:val="auto"/>
          <w:sz w:val="22"/>
          <w:szCs w:val="22"/>
          <w:lang w:val="lt-LT"/>
        </w:rPr>
      </w:pPr>
    </w:p>
    <w:p w14:paraId="3450525C" w14:textId="77777777" w:rsidR="00EA2D8D" w:rsidRPr="00776407" w:rsidRDefault="00EA2D8D" w:rsidP="007729E8">
      <w:pPr>
        <w:pStyle w:val="Default"/>
        <w:rPr>
          <w:rFonts w:ascii="Times New Roman" w:hAnsi="Times New Roman" w:cs="Times New Roman"/>
          <w:color w:val="auto"/>
          <w:sz w:val="22"/>
          <w:szCs w:val="22"/>
          <w:lang w:val="lt-LT"/>
        </w:rPr>
      </w:pPr>
    </w:p>
    <w:p w14:paraId="08745C68" w14:textId="77777777" w:rsidR="007729E8" w:rsidRPr="00776407" w:rsidRDefault="007729E8" w:rsidP="00864BE6">
      <w:pPr>
        <w:pStyle w:val="Default"/>
        <w:keepNext/>
        <w:numPr>
          <w:ilvl w:val="0"/>
          <w:numId w:val="8"/>
        </w:numPr>
        <w:ind w:left="567" w:hanging="567"/>
        <w:rPr>
          <w:rFonts w:ascii="Times New Roman" w:hAnsi="Times New Roman" w:cs="Times New Roman"/>
          <w:b/>
          <w:color w:val="auto"/>
          <w:sz w:val="22"/>
          <w:szCs w:val="22"/>
          <w:lang w:val="lt-LT"/>
        </w:rPr>
      </w:pPr>
      <w:r w:rsidRPr="00776407">
        <w:rPr>
          <w:rFonts w:ascii="Times New Roman" w:hAnsi="Times New Roman" w:cs="Times New Roman"/>
          <w:b/>
          <w:bCs/>
          <w:color w:val="auto"/>
          <w:sz w:val="22"/>
          <w:szCs w:val="22"/>
          <w:lang w:val="lt-LT"/>
        </w:rPr>
        <w:t xml:space="preserve">FARMACINĖ FORMA </w:t>
      </w:r>
    </w:p>
    <w:p w14:paraId="7309B21B" w14:textId="77777777" w:rsidR="00A23593" w:rsidRPr="00776407" w:rsidRDefault="00A23593" w:rsidP="007729E8">
      <w:pPr>
        <w:pStyle w:val="Default"/>
        <w:rPr>
          <w:rFonts w:ascii="Times New Roman" w:hAnsi="Times New Roman" w:cs="Times New Roman"/>
          <w:color w:val="auto"/>
          <w:sz w:val="22"/>
          <w:szCs w:val="22"/>
          <w:lang w:val="lt-LT"/>
        </w:rPr>
      </w:pPr>
    </w:p>
    <w:p w14:paraId="5602BC14" w14:textId="77777777" w:rsidR="007729E8" w:rsidRPr="00776407" w:rsidRDefault="007729E8" w:rsidP="007729E8">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Kiet</w:t>
      </w:r>
      <w:r w:rsidR="002B5DAD" w:rsidRPr="00776407">
        <w:rPr>
          <w:rFonts w:ascii="Times New Roman" w:hAnsi="Times New Roman" w:cs="Times New Roman"/>
          <w:color w:val="auto"/>
          <w:sz w:val="22"/>
          <w:szCs w:val="22"/>
          <w:lang w:val="lt-LT"/>
        </w:rPr>
        <w:t>oji</w:t>
      </w:r>
      <w:r w:rsidRPr="00776407">
        <w:rPr>
          <w:rFonts w:ascii="Times New Roman" w:hAnsi="Times New Roman" w:cs="Times New Roman"/>
          <w:color w:val="auto"/>
          <w:sz w:val="22"/>
          <w:szCs w:val="22"/>
          <w:lang w:val="lt-LT"/>
        </w:rPr>
        <w:t xml:space="preserve"> kapsulė </w:t>
      </w:r>
      <w:r w:rsidR="00F1551B" w:rsidRPr="00776407">
        <w:rPr>
          <w:rFonts w:ascii="Times New Roman" w:hAnsi="Times New Roman" w:cs="Times New Roman"/>
          <w:color w:val="auto"/>
          <w:sz w:val="22"/>
          <w:szCs w:val="22"/>
          <w:lang w:val="lt-LT"/>
        </w:rPr>
        <w:t>(kapsulė)</w:t>
      </w:r>
      <w:r w:rsidR="002A385D" w:rsidRPr="00776407">
        <w:rPr>
          <w:rFonts w:ascii="Times New Roman" w:hAnsi="Times New Roman" w:cs="Times New Roman"/>
          <w:color w:val="auto"/>
          <w:sz w:val="22"/>
          <w:szCs w:val="22"/>
          <w:lang w:val="lt-LT"/>
        </w:rPr>
        <w:t>.</w:t>
      </w:r>
    </w:p>
    <w:p w14:paraId="41F63849" w14:textId="77777777" w:rsidR="002B5DAD" w:rsidRPr="00776407" w:rsidRDefault="002B5DAD" w:rsidP="007729E8">
      <w:pPr>
        <w:pStyle w:val="Default"/>
        <w:rPr>
          <w:rFonts w:ascii="Times New Roman" w:hAnsi="Times New Roman" w:cs="Times New Roman"/>
          <w:color w:val="auto"/>
          <w:sz w:val="22"/>
          <w:szCs w:val="22"/>
          <w:lang w:val="lt-LT"/>
        </w:rPr>
      </w:pPr>
    </w:p>
    <w:p w14:paraId="1DDA2D60" w14:textId="77777777" w:rsidR="00955C83" w:rsidRPr="00776407" w:rsidRDefault="00F23A11" w:rsidP="00955C83">
      <w:pPr>
        <w:pStyle w:val="Default"/>
        <w:rPr>
          <w:rFonts w:ascii="Times New Roman" w:hAnsi="Times New Roman" w:cs="Times New Roman"/>
          <w:color w:val="auto"/>
          <w:sz w:val="22"/>
          <w:szCs w:val="22"/>
          <w:u w:val="single"/>
          <w:lang w:val="lt-LT"/>
        </w:rPr>
      </w:pPr>
      <w:r w:rsidRPr="00776407">
        <w:rPr>
          <w:rFonts w:ascii="Times New Roman" w:hAnsi="Times New Roman" w:cs="Times New Roman"/>
          <w:color w:val="auto"/>
          <w:sz w:val="22"/>
          <w:szCs w:val="22"/>
          <w:u w:val="single"/>
          <w:lang w:val="lt-LT"/>
        </w:rPr>
        <w:t>Imatinib Actavis 50 mg kietosios kapsulės</w:t>
      </w:r>
    </w:p>
    <w:p w14:paraId="560B8215" w14:textId="77777777" w:rsidR="002B5DAD" w:rsidRPr="00776407" w:rsidRDefault="002B5DAD" w:rsidP="007729E8">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3</w:t>
      </w:r>
      <w:r w:rsidR="00AB63C1" w:rsidRPr="00776407">
        <w:rPr>
          <w:rFonts w:ascii="Times New Roman" w:hAnsi="Times New Roman" w:cs="Times New Roman"/>
          <w:color w:val="auto"/>
          <w:sz w:val="22"/>
          <w:szCs w:val="22"/>
          <w:lang w:val="lt-LT"/>
        </w:rPr>
        <w:t> </w:t>
      </w:r>
      <w:r w:rsidRPr="00776407">
        <w:rPr>
          <w:rFonts w:ascii="Times New Roman" w:hAnsi="Times New Roman" w:cs="Times New Roman"/>
          <w:color w:val="auto"/>
          <w:sz w:val="22"/>
          <w:szCs w:val="22"/>
          <w:lang w:val="lt-LT"/>
        </w:rPr>
        <w:t xml:space="preserve">dydžio kietoji kapsulė su šviesiai geltonu dangteliu ir geltonu </w:t>
      </w:r>
      <w:r w:rsidR="00D5184F" w:rsidRPr="00776407">
        <w:rPr>
          <w:rFonts w:ascii="Times New Roman" w:hAnsi="Times New Roman" w:cs="Times New Roman"/>
          <w:color w:val="auto"/>
          <w:sz w:val="22"/>
          <w:szCs w:val="22"/>
          <w:lang w:val="lt-LT"/>
        </w:rPr>
        <w:t>korpusu su užrašu juodu rašalu “</w:t>
      </w:r>
      <w:r w:rsidRPr="00776407">
        <w:rPr>
          <w:rFonts w:ascii="Times New Roman" w:hAnsi="Times New Roman" w:cs="Times New Roman"/>
          <w:color w:val="auto"/>
          <w:sz w:val="22"/>
          <w:szCs w:val="22"/>
          <w:lang w:val="lt-LT"/>
        </w:rPr>
        <w:t>50 mg”.</w:t>
      </w:r>
    </w:p>
    <w:p w14:paraId="128A410A" w14:textId="77777777" w:rsidR="00F23A11" w:rsidRPr="00776407" w:rsidRDefault="00F23A11" w:rsidP="00F23A11">
      <w:pPr>
        <w:autoSpaceDE w:val="0"/>
        <w:autoSpaceDN w:val="0"/>
        <w:adjustRightInd w:val="0"/>
        <w:rPr>
          <w:rFonts w:eastAsia="Calibri"/>
          <w:sz w:val="22"/>
          <w:szCs w:val="22"/>
          <w:u w:val="single"/>
        </w:rPr>
      </w:pPr>
    </w:p>
    <w:p w14:paraId="5CEDD534" w14:textId="77777777" w:rsidR="00F23A11" w:rsidRPr="00776407" w:rsidRDefault="00F23A11" w:rsidP="00F23A11">
      <w:pPr>
        <w:autoSpaceDE w:val="0"/>
        <w:autoSpaceDN w:val="0"/>
        <w:adjustRightInd w:val="0"/>
        <w:rPr>
          <w:rFonts w:eastAsia="Calibri"/>
          <w:sz w:val="22"/>
          <w:szCs w:val="22"/>
          <w:u w:val="single"/>
        </w:rPr>
      </w:pPr>
      <w:r w:rsidRPr="00776407">
        <w:rPr>
          <w:rFonts w:eastAsia="Calibri"/>
          <w:sz w:val="22"/>
          <w:szCs w:val="22"/>
          <w:u w:val="single"/>
        </w:rPr>
        <w:t>Imatinib Actavis 100 mg kietosios kapsulės</w:t>
      </w:r>
    </w:p>
    <w:p w14:paraId="2B190B0D" w14:textId="77777777" w:rsidR="00F23A11" w:rsidRPr="00776407" w:rsidRDefault="00F23A11" w:rsidP="00F23A11">
      <w:pPr>
        <w:autoSpaceDE w:val="0"/>
        <w:autoSpaceDN w:val="0"/>
        <w:adjustRightInd w:val="0"/>
        <w:rPr>
          <w:rFonts w:eastAsia="Calibri"/>
          <w:sz w:val="22"/>
          <w:szCs w:val="22"/>
        </w:rPr>
      </w:pPr>
      <w:r w:rsidRPr="00776407">
        <w:rPr>
          <w:rFonts w:eastAsia="Calibri"/>
          <w:sz w:val="22"/>
          <w:szCs w:val="22"/>
        </w:rPr>
        <w:t xml:space="preserve">1 dydžio kietoji kapsulė su šviesiai oranžiniu dangteliu ir </w:t>
      </w:r>
      <w:r w:rsidR="009E087C" w:rsidRPr="00776407">
        <w:rPr>
          <w:rFonts w:eastAsia="Calibri"/>
          <w:sz w:val="22"/>
          <w:szCs w:val="22"/>
        </w:rPr>
        <w:t xml:space="preserve">šviesiai </w:t>
      </w:r>
      <w:r w:rsidRPr="00776407">
        <w:rPr>
          <w:rFonts w:eastAsia="Calibri"/>
          <w:sz w:val="22"/>
          <w:szCs w:val="22"/>
        </w:rPr>
        <w:t>oranžiniu korpusu su užrašu juodu rašalu “100 mg”.</w:t>
      </w:r>
    </w:p>
    <w:p w14:paraId="7AC9BF6C" w14:textId="77777777" w:rsidR="00F23A11" w:rsidRPr="00776407" w:rsidRDefault="00F23A11" w:rsidP="00F23A11">
      <w:pPr>
        <w:autoSpaceDE w:val="0"/>
        <w:autoSpaceDN w:val="0"/>
        <w:adjustRightInd w:val="0"/>
        <w:rPr>
          <w:rFonts w:eastAsia="Calibri"/>
          <w:sz w:val="22"/>
          <w:szCs w:val="22"/>
          <w:highlight w:val="lightGray"/>
        </w:rPr>
      </w:pPr>
    </w:p>
    <w:p w14:paraId="28C179F0" w14:textId="77777777" w:rsidR="00F23A11" w:rsidRPr="00776407" w:rsidRDefault="00F23A11" w:rsidP="00F23A11">
      <w:pPr>
        <w:autoSpaceDE w:val="0"/>
        <w:autoSpaceDN w:val="0"/>
        <w:adjustRightInd w:val="0"/>
        <w:rPr>
          <w:rFonts w:eastAsia="Calibri"/>
          <w:sz w:val="22"/>
          <w:szCs w:val="22"/>
          <w:u w:val="single"/>
        </w:rPr>
      </w:pPr>
      <w:r w:rsidRPr="00776407">
        <w:rPr>
          <w:rFonts w:eastAsia="Calibri"/>
          <w:sz w:val="22"/>
          <w:szCs w:val="22"/>
          <w:u w:val="single"/>
        </w:rPr>
        <w:t>Imatinib Actavis 400 mg kietosios kapsulės</w:t>
      </w:r>
    </w:p>
    <w:p w14:paraId="216FAEA7" w14:textId="77777777" w:rsidR="00A23593" w:rsidRPr="00776407" w:rsidRDefault="00F23A11" w:rsidP="007729E8">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00 dydžio kietoji kapsulė su oranžiniu nepermatomu dangteliu ir korpusu su užrašu juodu rašalu “400 mg”.</w:t>
      </w:r>
    </w:p>
    <w:p w14:paraId="548BF490" w14:textId="77777777" w:rsidR="00552116" w:rsidRPr="00776407" w:rsidRDefault="00552116" w:rsidP="007729E8">
      <w:pPr>
        <w:pStyle w:val="Default"/>
        <w:rPr>
          <w:rFonts w:ascii="Times New Roman" w:hAnsi="Times New Roman" w:cs="Times New Roman"/>
          <w:color w:val="auto"/>
          <w:sz w:val="22"/>
          <w:szCs w:val="22"/>
          <w:lang w:val="lt-LT"/>
        </w:rPr>
      </w:pPr>
    </w:p>
    <w:p w14:paraId="1832257C" w14:textId="77777777" w:rsidR="00F23A11" w:rsidRPr="00776407" w:rsidRDefault="00F23A11" w:rsidP="007729E8">
      <w:pPr>
        <w:pStyle w:val="Default"/>
        <w:rPr>
          <w:rFonts w:ascii="Times New Roman" w:hAnsi="Times New Roman" w:cs="Times New Roman"/>
          <w:color w:val="auto"/>
          <w:sz w:val="22"/>
          <w:szCs w:val="22"/>
          <w:lang w:val="lt-LT"/>
        </w:rPr>
      </w:pPr>
    </w:p>
    <w:p w14:paraId="56D4D279" w14:textId="77777777" w:rsidR="007729E8" w:rsidRPr="00776407" w:rsidRDefault="007729E8" w:rsidP="00F943FD">
      <w:pPr>
        <w:pStyle w:val="Default"/>
        <w:keepNext/>
        <w:numPr>
          <w:ilvl w:val="0"/>
          <w:numId w:val="8"/>
        </w:numPr>
        <w:ind w:left="567" w:hanging="567"/>
        <w:rPr>
          <w:rFonts w:ascii="Times New Roman" w:hAnsi="Times New Roman" w:cs="Times New Roman"/>
          <w:b/>
          <w:color w:val="auto"/>
          <w:sz w:val="22"/>
          <w:szCs w:val="22"/>
          <w:lang w:val="lt-LT"/>
        </w:rPr>
      </w:pPr>
      <w:r w:rsidRPr="00776407">
        <w:rPr>
          <w:rFonts w:ascii="Times New Roman" w:hAnsi="Times New Roman" w:cs="Times New Roman"/>
          <w:b/>
          <w:bCs/>
          <w:color w:val="auto"/>
          <w:sz w:val="22"/>
          <w:szCs w:val="22"/>
          <w:lang w:val="lt-LT"/>
        </w:rPr>
        <w:t xml:space="preserve">KLINIKINĖ INFORMACIJA </w:t>
      </w:r>
    </w:p>
    <w:p w14:paraId="3D9B5049" w14:textId="77777777" w:rsidR="00A23593" w:rsidRPr="00776407" w:rsidRDefault="00A23593" w:rsidP="00A23593">
      <w:pPr>
        <w:pStyle w:val="Default"/>
        <w:keepNext/>
        <w:rPr>
          <w:rFonts w:ascii="Times New Roman" w:hAnsi="Times New Roman" w:cs="Times New Roman"/>
          <w:b/>
          <w:color w:val="auto"/>
          <w:sz w:val="22"/>
          <w:szCs w:val="22"/>
          <w:lang w:val="lt-LT"/>
        </w:rPr>
      </w:pPr>
    </w:p>
    <w:p w14:paraId="0A63E2AE" w14:textId="77777777" w:rsidR="007729E8" w:rsidRPr="00776407" w:rsidRDefault="007729E8" w:rsidP="00F943FD">
      <w:pPr>
        <w:pStyle w:val="Default"/>
        <w:keepNext/>
        <w:numPr>
          <w:ilvl w:val="1"/>
          <w:numId w:val="9"/>
        </w:numPr>
        <w:ind w:left="567" w:hanging="567"/>
        <w:rPr>
          <w:rFonts w:ascii="Times New Roman" w:hAnsi="Times New Roman" w:cs="Times New Roman"/>
          <w:b/>
          <w:bCs/>
          <w:color w:val="auto"/>
          <w:sz w:val="22"/>
          <w:szCs w:val="22"/>
          <w:lang w:val="lt-LT"/>
        </w:rPr>
      </w:pPr>
      <w:r w:rsidRPr="00776407">
        <w:rPr>
          <w:rFonts w:ascii="Times New Roman" w:hAnsi="Times New Roman" w:cs="Times New Roman"/>
          <w:b/>
          <w:bCs/>
          <w:color w:val="auto"/>
          <w:sz w:val="22"/>
          <w:szCs w:val="22"/>
          <w:lang w:val="lt-LT"/>
        </w:rPr>
        <w:t xml:space="preserve">Terapinės indikacijos </w:t>
      </w:r>
    </w:p>
    <w:p w14:paraId="34FBDEBD" w14:textId="77777777" w:rsidR="00A23593" w:rsidRPr="00776407" w:rsidRDefault="00A23593" w:rsidP="00A23593">
      <w:pPr>
        <w:pStyle w:val="Default"/>
        <w:rPr>
          <w:rFonts w:ascii="Times New Roman" w:hAnsi="Times New Roman" w:cs="Times New Roman"/>
          <w:color w:val="auto"/>
          <w:sz w:val="22"/>
          <w:szCs w:val="22"/>
          <w:lang w:val="lt-LT"/>
        </w:rPr>
      </w:pPr>
    </w:p>
    <w:p w14:paraId="3D9CD4F9" w14:textId="77777777" w:rsidR="007729E8" w:rsidRPr="00776407" w:rsidRDefault="002B5DAD" w:rsidP="007729E8">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Imatinib Actavis</w:t>
      </w:r>
      <w:r w:rsidR="007729E8" w:rsidRPr="00776407">
        <w:rPr>
          <w:rFonts w:ascii="Times New Roman" w:hAnsi="Times New Roman" w:cs="Times New Roman"/>
          <w:color w:val="auto"/>
          <w:sz w:val="22"/>
          <w:szCs w:val="22"/>
          <w:lang w:val="lt-LT"/>
        </w:rPr>
        <w:t xml:space="preserve"> skiriama gydyti </w:t>
      </w:r>
    </w:p>
    <w:p w14:paraId="44A325E7" w14:textId="77777777" w:rsidR="007729E8" w:rsidRPr="00776407" w:rsidRDefault="007729E8" w:rsidP="00F943FD">
      <w:pPr>
        <w:pStyle w:val="Default"/>
        <w:numPr>
          <w:ilvl w:val="0"/>
          <w:numId w:val="1"/>
        </w:numPr>
        <w:ind w:left="567" w:hanging="567"/>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 xml:space="preserve">vaikus, kuriems naujai diagnozuota </w:t>
      </w:r>
      <w:r w:rsidRPr="00776407">
        <w:rPr>
          <w:rFonts w:ascii="Times New Roman" w:hAnsi="Times New Roman" w:cs="Times New Roman"/>
          <w:i/>
          <w:iCs/>
          <w:color w:val="auto"/>
          <w:sz w:val="22"/>
          <w:szCs w:val="22"/>
          <w:lang w:val="lt-LT"/>
        </w:rPr>
        <w:t xml:space="preserve">Philadelphia </w:t>
      </w:r>
      <w:r w:rsidRPr="00776407">
        <w:rPr>
          <w:rFonts w:ascii="Times New Roman" w:hAnsi="Times New Roman" w:cs="Times New Roman"/>
          <w:color w:val="auto"/>
          <w:sz w:val="22"/>
          <w:szCs w:val="22"/>
          <w:lang w:val="lt-LT"/>
        </w:rPr>
        <w:t xml:space="preserve">chromosomai (bcr-abl) teigiama (Ph+) lėtinė mieloleukemija (LML) ir kuriems kaulų čiulpų transplantacija nėra pirmiausiai pasirenkamas gydymas. </w:t>
      </w:r>
    </w:p>
    <w:p w14:paraId="41F1F9C4" w14:textId="77777777" w:rsidR="007729E8" w:rsidRPr="00776407" w:rsidRDefault="007729E8" w:rsidP="00F943FD">
      <w:pPr>
        <w:pStyle w:val="Default"/>
        <w:numPr>
          <w:ilvl w:val="0"/>
          <w:numId w:val="1"/>
        </w:numPr>
        <w:ind w:left="567" w:hanging="567"/>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vaikus, kuriems yra Ph+</w:t>
      </w:r>
      <w:r w:rsidR="00D4021B" w:rsidRPr="00776407">
        <w:rPr>
          <w:rFonts w:ascii="Times New Roman" w:hAnsi="Times New Roman" w:cs="Times New Roman"/>
          <w:color w:val="auto"/>
          <w:sz w:val="22"/>
          <w:szCs w:val="22"/>
          <w:lang w:val="lt-LT"/>
        </w:rPr>
        <w:t xml:space="preserve"> </w:t>
      </w:r>
      <w:r w:rsidRPr="00776407">
        <w:rPr>
          <w:rFonts w:ascii="Times New Roman" w:hAnsi="Times New Roman" w:cs="Times New Roman"/>
          <w:color w:val="auto"/>
          <w:sz w:val="22"/>
          <w:szCs w:val="22"/>
          <w:lang w:val="lt-LT"/>
        </w:rPr>
        <w:t xml:space="preserve">LML lėtinė fazė po neefektyvaus gydymo interferonu alfa arba akceleracijos fazė, ar blastinė krizė. </w:t>
      </w:r>
    </w:p>
    <w:p w14:paraId="7B07AECA" w14:textId="77777777" w:rsidR="007729E8" w:rsidRPr="00776407" w:rsidRDefault="007729E8" w:rsidP="00F943FD">
      <w:pPr>
        <w:pStyle w:val="Default"/>
        <w:numPr>
          <w:ilvl w:val="0"/>
          <w:numId w:val="1"/>
        </w:numPr>
        <w:ind w:left="567" w:hanging="567"/>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suaugusiųjų Ph+</w:t>
      </w:r>
      <w:r w:rsidR="00D4021B" w:rsidRPr="00776407">
        <w:rPr>
          <w:rFonts w:ascii="Times New Roman" w:hAnsi="Times New Roman" w:cs="Times New Roman"/>
          <w:color w:val="auto"/>
          <w:sz w:val="22"/>
          <w:szCs w:val="22"/>
          <w:lang w:val="lt-LT"/>
        </w:rPr>
        <w:t xml:space="preserve"> </w:t>
      </w:r>
      <w:r w:rsidRPr="00776407">
        <w:rPr>
          <w:rFonts w:ascii="Times New Roman" w:hAnsi="Times New Roman" w:cs="Times New Roman"/>
          <w:color w:val="auto"/>
          <w:sz w:val="22"/>
          <w:szCs w:val="22"/>
          <w:lang w:val="lt-LT"/>
        </w:rPr>
        <w:t>L</w:t>
      </w:r>
      <w:r w:rsidR="00552116" w:rsidRPr="00776407">
        <w:rPr>
          <w:rFonts w:ascii="Times New Roman" w:hAnsi="Times New Roman" w:cs="Times New Roman"/>
          <w:color w:val="auto"/>
          <w:sz w:val="22"/>
          <w:szCs w:val="22"/>
          <w:lang w:val="lt-LT"/>
        </w:rPr>
        <w:t>M</w:t>
      </w:r>
      <w:r w:rsidRPr="00776407">
        <w:rPr>
          <w:rFonts w:ascii="Times New Roman" w:hAnsi="Times New Roman" w:cs="Times New Roman"/>
          <w:color w:val="auto"/>
          <w:sz w:val="22"/>
          <w:szCs w:val="22"/>
          <w:lang w:val="lt-LT"/>
        </w:rPr>
        <w:t>L</w:t>
      </w:r>
      <w:r w:rsidR="00A445A3" w:rsidRPr="00776407">
        <w:rPr>
          <w:rFonts w:ascii="Times New Roman" w:hAnsi="Times New Roman" w:cs="Times New Roman"/>
          <w:color w:val="auto"/>
          <w:sz w:val="22"/>
          <w:szCs w:val="22"/>
          <w:lang w:val="lt-LT"/>
        </w:rPr>
        <w:t>, kai yra blastinė krizė</w:t>
      </w:r>
      <w:r w:rsidRPr="00776407">
        <w:rPr>
          <w:rFonts w:ascii="Times New Roman" w:hAnsi="Times New Roman" w:cs="Times New Roman"/>
          <w:color w:val="auto"/>
          <w:sz w:val="22"/>
          <w:szCs w:val="22"/>
          <w:lang w:val="lt-LT"/>
        </w:rPr>
        <w:t xml:space="preserve">. </w:t>
      </w:r>
    </w:p>
    <w:p w14:paraId="70C96C5F" w14:textId="77777777" w:rsidR="002F743D" w:rsidRPr="00776407" w:rsidRDefault="002F743D" w:rsidP="00F943FD">
      <w:pPr>
        <w:numPr>
          <w:ilvl w:val="0"/>
          <w:numId w:val="1"/>
        </w:numPr>
        <w:autoSpaceDE w:val="0"/>
        <w:autoSpaceDN w:val="0"/>
        <w:adjustRightInd w:val="0"/>
        <w:spacing w:after="35"/>
        <w:ind w:left="567" w:hanging="567"/>
        <w:rPr>
          <w:rFonts w:eastAsia="Calibri"/>
          <w:color w:val="000000"/>
          <w:sz w:val="22"/>
          <w:szCs w:val="22"/>
        </w:rPr>
      </w:pPr>
      <w:r w:rsidRPr="00776407">
        <w:rPr>
          <w:rFonts w:eastAsia="Calibri"/>
          <w:color w:val="000000"/>
          <w:sz w:val="22"/>
          <w:szCs w:val="22"/>
        </w:rPr>
        <w:t xml:space="preserve">suaugusiųjų </w:t>
      </w:r>
      <w:r w:rsidR="004A5CA2" w:rsidRPr="00776407">
        <w:rPr>
          <w:rFonts w:eastAsia="Calibri"/>
          <w:color w:val="000000"/>
          <w:sz w:val="22"/>
          <w:szCs w:val="22"/>
        </w:rPr>
        <w:t xml:space="preserve">ir vaikų </w:t>
      </w:r>
      <w:r w:rsidRPr="00776407">
        <w:rPr>
          <w:rFonts w:eastAsia="Calibri"/>
          <w:color w:val="000000"/>
          <w:sz w:val="22"/>
          <w:szCs w:val="22"/>
        </w:rPr>
        <w:t xml:space="preserve">naujai diagnozuotos </w:t>
      </w:r>
      <w:r w:rsidRPr="00776407">
        <w:rPr>
          <w:rFonts w:eastAsia="Calibri"/>
          <w:i/>
          <w:iCs/>
          <w:color w:val="000000"/>
          <w:sz w:val="22"/>
          <w:szCs w:val="22"/>
        </w:rPr>
        <w:t xml:space="preserve">Philadelphia </w:t>
      </w:r>
      <w:r w:rsidRPr="00776407">
        <w:rPr>
          <w:rFonts w:eastAsia="Calibri"/>
          <w:color w:val="000000"/>
          <w:sz w:val="22"/>
          <w:szCs w:val="22"/>
        </w:rPr>
        <w:t xml:space="preserve">chromosomai teigiamos ūminės limfoleukemijos (Ph+ ŪLL) gydymui kartu su chemoterapija. </w:t>
      </w:r>
    </w:p>
    <w:p w14:paraId="7A4F756A" w14:textId="77777777" w:rsidR="002F743D" w:rsidRPr="00776407" w:rsidRDefault="002F743D" w:rsidP="00F943FD">
      <w:pPr>
        <w:numPr>
          <w:ilvl w:val="0"/>
          <w:numId w:val="1"/>
        </w:numPr>
        <w:autoSpaceDE w:val="0"/>
        <w:autoSpaceDN w:val="0"/>
        <w:adjustRightInd w:val="0"/>
        <w:spacing w:after="35"/>
        <w:ind w:left="567" w:hanging="567"/>
        <w:rPr>
          <w:rFonts w:eastAsia="Calibri"/>
          <w:color w:val="000000"/>
          <w:sz w:val="22"/>
          <w:szCs w:val="22"/>
        </w:rPr>
      </w:pPr>
      <w:r w:rsidRPr="00776407">
        <w:rPr>
          <w:rFonts w:eastAsia="Calibri"/>
          <w:color w:val="000000"/>
          <w:sz w:val="22"/>
          <w:szCs w:val="22"/>
        </w:rPr>
        <w:t xml:space="preserve">suaugusiųjų recidyvavusios ar refrakterinės Ph+ŪLL monoterapijai. </w:t>
      </w:r>
    </w:p>
    <w:p w14:paraId="55585BEB" w14:textId="77777777" w:rsidR="002F743D" w:rsidRPr="00776407" w:rsidRDefault="002F743D" w:rsidP="00F943FD">
      <w:pPr>
        <w:numPr>
          <w:ilvl w:val="0"/>
          <w:numId w:val="1"/>
        </w:numPr>
        <w:autoSpaceDE w:val="0"/>
        <w:autoSpaceDN w:val="0"/>
        <w:adjustRightInd w:val="0"/>
        <w:spacing w:after="35"/>
        <w:ind w:left="567" w:hanging="567"/>
        <w:rPr>
          <w:rFonts w:eastAsia="Calibri"/>
          <w:color w:val="000000"/>
          <w:sz w:val="22"/>
          <w:szCs w:val="22"/>
        </w:rPr>
      </w:pPr>
      <w:r w:rsidRPr="00776407">
        <w:rPr>
          <w:rFonts w:eastAsia="Calibri"/>
          <w:color w:val="000000"/>
          <w:sz w:val="22"/>
          <w:szCs w:val="22"/>
        </w:rPr>
        <w:lastRenderedPageBreak/>
        <w:t>suaugusiųjų mielodisplazines ar mieloproliferacines ligas (MDS/MPL), susijusias su trombocitų kilmės augimo faktoriaus receptoriaus (</w:t>
      </w:r>
      <w:r w:rsidRPr="00776407">
        <w:rPr>
          <w:rFonts w:eastAsia="Calibri"/>
          <w:i/>
          <w:iCs/>
          <w:color w:val="000000"/>
          <w:sz w:val="22"/>
          <w:szCs w:val="22"/>
        </w:rPr>
        <w:t>platelet-derived growth factor receptor</w:t>
      </w:r>
      <w:r w:rsidRPr="00776407">
        <w:rPr>
          <w:rFonts w:eastAsia="Calibri"/>
          <w:color w:val="000000"/>
          <w:sz w:val="22"/>
          <w:szCs w:val="22"/>
        </w:rPr>
        <w:t xml:space="preserve">, PDGFR) genų pakitimais. </w:t>
      </w:r>
    </w:p>
    <w:p w14:paraId="39CB1C51" w14:textId="77777777" w:rsidR="002F743D" w:rsidRPr="00776407" w:rsidRDefault="002F743D" w:rsidP="00F943FD">
      <w:pPr>
        <w:numPr>
          <w:ilvl w:val="0"/>
          <w:numId w:val="1"/>
        </w:numPr>
        <w:autoSpaceDE w:val="0"/>
        <w:autoSpaceDN w:val="0"/>
        <w:adjustRightInd w:val="0"/>
        <w:ind w:left="567" w:hanging="567"/>
        <w:rPr>
          <w:rFonts w:eastAsia="Calibri"/>
          <w:color w:val="000000"/>
          <w:sz w:val="22"/>
          <w:szCs w:val="22"/>
        </w:rPr>
      </w:pPr>
      <w:r w:rsidRPr="00776407">
        <w:rPr>
          <w:rFonts w:eastAsia="Calibri"/>
          <w:color w:val="000000"/>
          <w:sz w:val="22"/>
          <w:szCs w:val="22"/>
        </w:rPr>
        <w:t>suaugusiųjų progresavusį hipereozinofilijos sindromą (HES) ar (arba) lėtinę eozinofilinę leukemiją (LEL) su FIP1L1-PDGFR</w:t>
      </w:r>
      <w:r w:rsidRPr="00776407">
        <w:t>α</w:t>
      </w:r>
      <w:r w:rsidRPr="00776407">
        <w:rPr>
          <w:rFonts w:eastAsia="Calibri"/>
          <w:color w:val="000000"/>
          <w:sz w:val="22"/>
          <w:szCs w:val="22"/>
        </w:rPr>
        <w:t xml:space="preserve"> pokyčiu. </w:t>
      </w:r>
    </w:p>
    <w:p w14:paraId="400A1004" w14:textId="77777777" w:rsidR="007729E8" w:rsidRPr="00776407" w:rsidRDefault="007729E8" w:rsidP="007729E8">
      <w:pPr>
        <w:pStyle w:val="Default"/>
        <w:rPr>
          <w:rFonts w:ascii="Times New Roman" w:hAnsi="Times New Roman" w:cs="Times New Roman"/>
          <w:color w:val="auto"/>
          <w:sz w:val="22"/>
          <w:szCs w:val="22"/>
          <w:lang w:val="lt-LT"/>
        </w:rPr>
      </w:pPr>
    </w:p>
    <w:p w14:paraId="5D1532F5" w14:textId="77777777" w:rsidR="007729E8" w:rsidRPr="00776407" w:rsidRDefault="002B5DAD" w:rsidP="007729E8">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Imatinib Actavis</w:t>
      </w:r>
      <w:r w:rsidR="007729E8" w:rsidRPr="00776407">
        <w:rPr>
          <w:rFonts w:ascii="Times New Roman" w:hAnsi="Times New Roman" w:cs="Times New Roman"/>
          <w:color w:val="auto"/>
          <w:sz w:val="22"/>
          <w:szCs w:val="22"/>
          <w:lang w:val="lt-LT"/>
        </w:rPr>
        <w:t xml:space="preserve"> poveikis kaulų čiulpų transplantacijos rezultatams nenustatytas. </w:t>
      </w:r>
    </w:p>
    <w:p w14:paraId="1150C21D" w14:textId="77777777" w:rsidR="00144749" w:rsidRPr="00776407" w:rsidRDefault="00144749" w:rsidP="007729E8">
      <w:pPr>
        <w:pStyle w:val="Default"/>
        <w:rPr>
          <w:rFonts w:ascii="Times New Roman" w:hAnsi="Times New Roman" w:cs="Times New Roman"/>
          <w:color w:val="auto"/>
          <w:sz w:val="22"/>
          <w:szCs w:val="22"/>
          <w:lang w:val="lt-LT"/>
        </w:rPr>
      </w:pPr>
    </w:p>
    <w:p w14:paraId="62339598" w14:textId="77777777" w:rsidR="002F743D" w:rsidRPr="00776407" w:rsidRDefault="002F743D" w:rsidP="002F743D">
      <w:pPr>
        <w:autoSpaceDE w:val="0"/>
        <w:autoSpaceDN w:val="0"/>
        <w:adjustRightInd w:val="0"/>
        <w:rPr>
          <w:rFonts w:eastAsia="Calibri"/>
          <w:color w:val="000000"/>
          <w:sz w:val="22"/>
          <w:szCs w:val="22"/>
        </w:rPr>
      </w:pPr>
      <w:r w:rsidRPr="00776407">
        <w:rPr>
          <w:rFonts w:eastAsia="Calibri"/>
          <w:color w:val="000000"/>
          <w:sz w:val="22"/>
          <w:szCs w:val="22"/>
        </w:rPr>
        <w:t>Imatinib Actavis skiriama:</w:t>
      </w:r>
    </w:p>
    <w:p w14:paraId="6FFED7DC" w14:textId="77777777" w:rsidR="002F743D" w:rsidRPr="00776407" w:rsidRDefault="002F743D" w:rsidP="00F943FD">
      <w:pPr>
        <w:numPr>
          <w:ilvl w:val="0"/>
          <w:numId w:val="1"/>
        </w:numPr>
        <w:autoSpaceDE w:val="0"/>
        <w:autoSpaceDN w:val="0"/>
        <w:adjustRightInd w:val="0"/>
        <w:ind w:left="567" w:hanging="567"/>
        <w:rPr>
          <w:rFonts w:eastAsia="Calibri"/>
          <w:color w:val="000000"/>
          <w:sz w:val="22"/>
          <w:szCs w:val="22"/>
        </w:rPr>
      </w:pPr>
      <w:r w:rsidRPr="00776407">
        <w:rPr>
          <w:rFonts w:eastAsia="Calibri"/>
          <w:color w:val="000000"/>
          <w:sz w:val="22"/>
          <w:szCs w:val="22"/>
        </w:rPr>
        <w:t xml:space="preserve">suaugusiesiems, kuriems yra nerezekuotina iškilioji dermatofibrosarkoma </w:t>
      </w:r>
      <w:r w:rsidRPr="00776407">
        <w:rPr>
          <w:rFonts w:eastAsia="Calibri"/>
          <w:i/>
          <w:iCs/>
          <w:color w:val="000000"/>
          <w:sz w:val="22"/>
          <w:szCs w:val="22"/>
        </w:rPr>
        <w:t xml:space="preserve">(dermatofibrosarcoma protuberans </w:t>
      </w:r>
      <w:r w:rsidRPr="00776407">
        <w:rPr>
          <w:rFonts w:eastAsia="Calibri"/>
          <w:color w:val="000000"/>
          <w:sz w:val="22"/>
          <w:szCs w:val="22"/>
        </w:rPr>
        <w:t xml:space="preserve">- DFSP) ar kuriems yra pasikartojanti ir (ar) metastazavusi DFSP ir kurių negalima operuoti. </w:t>
      </w:r>
    </w:p>
    <w:p w14:paraId="1EAC057D" w14:textId="77777777" w:rsidR="002F743D" w:rsidRPr="00776407" w:rsidRDefault="002F743D" w:rsidP="007729E8">
      <w:pPr>
        <w:pStyle w:val="Default"/>
        <w:rPr>
          <w:rFonts w:ascii="Times New Roman" w:hAnsi="Times New Roman" w:cs="Times New Roman"/>
          <w:color w:val="auto"/>
          <w:sz w:val="22"/>
          <w:szCs w:val="22"/>
          <w:lang w:val="lt-LT"/>
        </w:rPr>
      </w:pPr>
    </w:p>
    <w:p w14:paraId="485B5BE9" w14:textId="77777777" w:rsidR="004666E6" w:rsidRPr="00776407" w:rsidRDefault="007729E8" w:rsidP="00144749">
      <w:pPr>
        <w:rPr>
          <w:sz w:val="22"/>
          <w:szCs w:val="22"/>
        </w:rPr>
      </w:pPr>
      <w:r w:rsidRPr="00776407">
        <w:rPr>
          <w:sz w:val="22"/>
          <w:szCs w:val="22"/>
        </w:rPr>
        <w:t xml:space="preserve">Suaugusiems pacientams ir vaikams </w:t>
      </w:r>
      <w:r w:rsidR="00271550" w:rsidRPr="00776407">
        <w:rPr>
          <w:sz w:val="22"/>
          <w:szCs w:val="22"/>
        </w:rPr>
        <w:t>imatinibo</w:t>
      </w:r>
      <w:r w:rsidRPr="00776407">
        <w:rPr>
          <w:sz w:val="22"/>
          <w:szCs w:val="22"/>
        </w:rPr>
        <w:t xml:space="preserve"> efektyvumas grindžiamas bendra hematologinio ir citologinio atsako dalimi ir gyvenimo trukme b</w:t>
      </w:r>
      <w:r w:rsidR="006C4DB6" w:rsidRPr="00776407">
        <w:rPr>
          <w:sz w:val="22"/>
          <w:szCs w:val="22"/>
        </w:rPr>
        <w:t>e</w:t>
      </w:r>
      <w:r w:rsidR="00C83939" w:rsidRPr="00776407">
        <w:rPr>
          <w:sz w:val="22"/>
          <w:szCs w:val="22"/>
        </w:rPr>
        <w:t xml:space="preserve"> </w:t>
      </w:r>
      <w:r w:rsidRPr="00776407">
        <w:rPr>
          <w:sz w:val="22"/>
          <w:szCs w:val="22"/>
        </w:rPr>
        <w:t>ligos progresavimo</w:t>
      </w:r>
      <w:r w:rsidR="006C4DB6" w:rsidRPr="00776407">
        <w:rPr>
          <w:sz w:val="22"/>
          <w:szCs w:val="22"/>
        </w:rPr>
        <w:t xml:space="preserve">, kai yra LML, </w:t>
      </w:r>
      <w:r w:rsidR="002F743D" w:rsidRPr="00776407">
        <w:rPr>
          <w:sz w:val="22"/>
          <w:szCs w:val="22"/>
        </w:rPr>
        <w:t>hematologiniu ir citogenetiniu atsako dažniu, kai yra Ph+ ŪLL, MDS/MPL, hematologiniu atsako dažniu, kai yra HES/LEL, objektyvia atsako dalimi suaugusiųjų pacientų, sergančių nerezekuotin</w:t>
      </w:r>
      <w:r w:rsidR="00271550" w:rsidRPr="00776407">
        <w:rPr>
          <w:sz w:val="22"/>
          <w:szCs w:val="22"/>
        </w:rPr>
        <w:t>u ir (ar) metastazavusiu</w:t>
      </w:r>
      <w:r w:rsidR="002F743D" w:rsidRPr="00776407">
        <w:rPr>
          <w:sz w:val="22"/>
          <w:szCs w:val="22"/>
        </w:rPr>
        <w:t xml:space="preserve"> DFSP</w:t>
      </w:r>
      <w:r w:rsidR="00271550" w:rsidRPr="00776407">
        <w:rPr>
          <w:sz w:val="22"/>
          <w:szCs w:val="22"/>
        </w:rPr>
        <w:t xml:space="preserve">. Patirtis gydant imatinibu pacientus, sergančius MDS/MPL, susijusia su PDGF geno pakitimais, yra labai ribota (žr. 5.1 skyrių). Nėra kontroliuojamų tyrimų, įrodančių klinikinę naudą ar pailgėjusią gyvenimo trukmę. </w:t>
      </w:r>
    </w:p>
    <w:p w14:paraId="73E1C8C4" w14:textId="77777777" w:rsidR="00144749" w:rsidRPr="00776407" w:rsidRDefault="00144749" w:rsidP="00144749">
      <w:pPr>
        <w:rPr>
          <w:sz w:val="22"/>
          <w:szCs w:val="22"/>
        </w:rPr>
      </w:pPr>
    </w:p>
    <w:p w14:paraId="37E00037" w14:textId="77777777" w:rsidR="007729E8" w:rsidRPr="00776407" w:rsidRDefault="007729E8" w:rsidP="00F943FD">
      <w:pPr>
        <w:pStyle w:val="Listenabsatz"/>
        <w:keepNext/>
        <w:numPr>
          <w:ilvl w:val="1"/>
          <w:numId w:val="9"/>
        </w:numPr>
        <w:ind w:left="567" w:hanging="567"/>
        <w:rPr>
          <w:b/>
          <w:sz w:val="22"/>
          <w:szCs w:val="22"/>
        </w:rPr>
      </w:pPr>
      <w:r w:rsidRPr="00776407">
        <w:rPr>
          <w:b/>
          <w:bCs/>
          <w:sz w:val="22"/>
          <w:szCs w:val="22"/>
        </w:rPr>
        <w:t xml:space="preserve">Dozavimas ir vartojimo metodas </w:t>
      </w:r>
    </w:p>
    <w:p w14:paraId="2774FEF2" w14:textId="77777777" w:rsidR="00144749" w:rsidRPr="00776407" w:rsidRDefault="00144749" w:rsidP="00144749">
      <w:pPr>
        <w:keepNext/>
        <w:rPr>
          <w:b/>
          <w:sz w:val="22"/>
          <w:szCs w:val="22"/>
        </w:rPr>
      </w:pPr>
    </w:p>
    <w:p w14:paraId="4E654FE6" w14:textId="77777777" w:rsidR="007729E8" w:rsidRPr="00776407" w:rsidRDefault="007729E8" w:rsidP="00144749">
      <w:pPr>
        <w:rPr>
          <w:sz w:val="22"/>
          <w:szCs w:val="22"/>
        </w:rPr>
      </w:pPr>
      <w:r w:rsidRPr="00776407">
        <w:rPr>
          <w:sz w:val="22"/>
          <w:szCs w:val="22"/>
        </w:rPr>
        <w:t xml:space="preserve">Skirti </w:t>
      </w:r>
      <w:r w:rsidR="00A72CD3" w:rsidRPr="00776407">
        <w:rPr>
          <w:color w:val="000000"/>
          <w:sz w:val="22"/>
          <w:szCs w:val="22"/>
        </w:rPr>
        <w:t xml:space="preserve">vaistinį preparatą </w:t>
      </w:r>
      <w:r w:rsidRPr="00776407">
        <w:rPr>
          <w:sz w:val="22"/>
          <w:szCs w:val="22"/>
        </w:rPr>
        <w:t>gali tik gydytojas, turintis patirties, kaip gydyti pacientus, sergančius piktybiniais hematologiniais navikais</w:t>
      </w:r>
      <w:r w:rsidR="00271550" w:rsidRPr="00776407">
        <w:rPr>
          <w:sz w:val="22"/>
          <w:szCs w:val="22"/>
        </w:rPr>
        <w:t xml:space="preserve"> ar piktybine sarkoma</w:t>
      </w:r>
      <w:r w:rsidRPr="00776407">
        <w:rPr>
          <w:sz w:val="22"/>
          <w:szCs w:val="22"/>
        </w:rPr>
        <w:t xml:space="preserve">. </w:t>
      </w:r>
    </w:p>
    <w:p w14:paraId="1FB6F70F" w14:textId="77777777" w:rsidR="00E057AA" w:rsidRPr="00776407" w:rsidRDefault="00E057AA" w:rsidP="00144749">
      <w:pPr>
        <w:rPr>
          <w:sz w:val="22"/>
          <w:szCs w:val="22"/>
        </w:rPr>
      </w:pPr>
    </w:p>
    <w:p w14:paraId="4930BF62" w14:textId="77777777" w:rsidR="00144749" w:rsidRPr="00776407" w:rsidRDefault="00144749" w:rsidP="00144749">
      <w:pPr>
        <w:rPr>
          <w:sz w:val="22"/>
          <w:szCs w:val="22"/>
          <w:u w:val="single"/>
        </w:rPr>
      </w:pPr>
      <w:r w:rsidRPr="00776407">
        <w:rPr>
          <w:sz w:val="22"/>
          <w:szCs w:val="22"/>
          <w:u w:val="single"/>
        </w:rPr>
        <w:t>Dozavimas</w:t>
      </w:r>
    </w:p>
    <w:p w14:paraId="6E2AF0A2" w14:textId="77777777" w:rsidR="00144749" w:rsidRPr="00776407" w:rsidRDefault="00144749" w:rsidP="00144749">
      <w:pPr>
        <w:rPr>
          <w:sz w:val="22"/>
          <w:szCs w:val="22"/>
          <w:u w:val="single"/>
        </w:rPr>
      </w:pPr>
    </w:p>
    <w:p w14:paraId="005E757C" w14:textId="77777777" w:rsidR="00144749" w:rsidRPr="00776407" w:rsidRDefault="00144749" w:rsidP="00144749">
      <w:pPr>
        <w:rPr>
          <w:i/>
          <w:sz w:val="22"/>
          <w:szCs w:val="22"/>
          <w:u w:val="single"/>
        </w:rPr>
      </w:pPr>
      <w:r w:rsidRPr="00776407">
        <w:rPr>
          <w:i/>
          <w:sz w:val="22"/>
          <w:szCs w:val="22"/>
          <w:u w:val="single"/>
        </w:rPr>
        <w:t>Dozavimas, kai yra suaugusiųjų LML</w:t>
      </w:r>
    </w:p>
    <w:p w14:paraId="42CDC8A0" w14:textId="77777777" w:rsidR="00144749" w:rsidRPr="00776407" w:rsidRDefault="00144749" w:rsidP="00144749">
      <w:pPr>
        <w:rPr>
          <w:sz w:val="22"/>
          <w:szCs w:val="22"/>
        </w:rPr>
      </w:pPr>
      <w:r w:rsidRPr="00776407">
        <w:rPr>
          <w:sz w:val="22"/>
          <w:szCs w:val="22"/>
        </w:rPr>
        <w:t>Rekomenduojama imatinibo dozė suaugusiesiems pacientams, kuriems yra blastinė krizė, yra 600 mg per parą. Blastinė krizė diagnozuojama, kai blastų kraujyje ar kaulų čiulpuose ≥ 30</w:t>
      </w:r>
      <w:r w:rsidR="002A385D" w:rsidRPr="00776407">
        <w:rPr>
          <w:sz w:val="22"/>
          <w:szCs w:val="22"/>
        </w:rPr>
        <w:t> </w:t>
      </w:r>
      <w:r w:rsidRPr="00776407">
        <w:rPr>
          <w:sz w:val="22"/>
          <w:szCs w:val="22"/>
        </w:rPr>
        <w:t>%</w:t>
      </w:r>
      <w:r w:rsidRPr="00776407">
        <w:t xml:space="preserve"> </w:t>
      </w:r>
      <w:r w:rsidRPr="00776407">
        <w:rPr>
          <w:sz w:val="22"/>
          <w:szCs w:val="22"/>
        </w:rPr>
        <w:t>ar yra kitokia negu hepatosplenomegalija ekstramedulinė liga.</w:t>
      </w:r>
    </w:p>
    <w:p w14:paraId="6B966CE7" w14:textId="77777777" w:rsidR="00144749" w:rsidRPr="00776407" w:rsidRDefault="00144749" w:rsidP="00144749">
      <w:pPr>
        <w:rPr>
          <w:sz w:val="22"/>
          <w:szCs w:val="22"/>
        </w:rPr>
      </w:pPr>
    </w:p>
    <w:p w14:paraId="04DCCCC9" w14:textId="77777777" w:rsidR="00144749" w:rsidRPr="00776407" w:rsidRDefault="00144749" w:rsidP="00144749">
      <w:pPr>
        <w:rPr>
          <w:sz w:val="22"/>
          <w:szCs w:val="22"/>
        </w:rPr>
      </w:pPr>
      <w:r w:rsidRPr="00776407">
        <w:rPr>
          <w:sz w:val="22"/>
          <w:szCs w:val="22"/>
        </w:rPr>
        <w:t>Gydymo trukmė</w:t>
      </w:r>
      <w:r w:rsidR="00B021FB" w:rsidRPr="00776407">
        <w:rPr>
          <w:sz w:val="22"/>
          <w:szCs w:val="22"/>
        </w:rPr>
        <w:t>:</w:t>
      </w:r>
      <w:r w:rsidRPr="00776407">
        <w:rPr>
          <w:sz w:val="22"/>
          <w:szCs w:val="22"/>
        </w:rPr>
        <w:t xml:space="preserve"> Klinikinių tyrimų metu imatinibas vartotas iki ligos progresavimo. Gydymo nutraukimo poveikis gavus visišką citogenetinį atsaką netirtas. </w:t>
      </w:r>
    </w:p>
    <w:p w14:paraId="25A90008" w14:textId="77777777" w:rsidR="00144749" w:rsidRPr="00776407" w:rsidRDefault="00144749" w:rsidP="00144749">
      <w:pPr>
        <w:rPr>
          <w:sz w:val="22"/>
          <w:szCs w:val="22"/>
        </w:rPr>
      </w:pPr>
    </w:p>
    <w:p w14:paraId="5F72F18B" w14:textId="77777777" w:rsidR="00144749" w:rsidRPr="00776407" w:rsidRDefault="00144749" w:rsidP="003847DB">
      <w:pPr>
        <w:rPr>
          <w:sz w:val="22"/>
          <w:szCs w:val="22"/>
        </w:rPr>
      </w:pPr>
      <w:r w:rsidRPr="00776407">
        <w:rPr>
          <w:sz w:val="22"/>
          <w:szCs w:val="22"/>
        </w:rPr>
        <w:t>Dozę galima didinti nuo 600</w:t>
      </w:r>
      <w:r w:rsidR="003847DB" w:rsidRPr="00776407">
        <w:rPr>
          <w:sz w:val="22"/>
          <w:szCs w:val="22"/>
        </w:rPr>
        <w:t> </w:t>
      </w:r>
      <w:r w:rsidRPr="00776407">
        <w:rPr>
          <w:sz w:val="22"/>
          <w:szCs w:val="22"/>
        </w:rPr>
        <w:t>mg iki didžiausios 800</w:t>
      </w:r>
      <w:r w:rsidR="003847DB" w:rsidRPr="00776407">
        <w:rPr>
          <w:sz w:val="22"/>
          <w:szCs w:val="22"/>
        </w:rPr>
        <w:t> </w:t>
      </w:r>
      <w:r w:rsidRPr="00776407">
        <w:rPr>
          <w:sz w:val="22"/>
          <w:szCs w:val="22"/>
        </w:rPr>
        <w:t>mg dozės (po 400</w:t>
      </w:r>
      <w:r w:rsidR="003847DB" w:rsidRPr="00776407">
        <w:rPr>
          <w:sz w:val="22"/>
          <w:szCs w:val="22"/>
        </w:rPr>
        <w:t> </w:t>
      </w:r>
      <w:r w:rsidRPr="00776407">
        <w:rPr>
          <w:sz w:val="22"/>
          <w:szCs w:val="22"/>
        </w:rPr>
        <w:t>mg 2</w:t>
      </w:r>
      <w:r w:rsidR="003847DB" w:rsidRPr="00776407">
        <w:rPr>
          <w:sz w:val="22"/>
          <w:szCs w:val="22"/>
        </w:rPr>
        <w:t> </w:t>
      </w:r>
      <w:r w:rsidRPr="00776407">
        <w:rPr>
          <w:sz w:val="22"/>
          <w:szCs w:val="22"/>
        </w:rPr>
        <w:t xml:space="preserve">kartus per parą), kai yra blastinė krizė ir nėra sunkių nepageidaujamų </w:t>
      </w:r>
      <w:r w:rsidR="00A72CD3" w:rsidRPr="00776407">
        <w:rPr>
          <w:color w:val="000000"/>
          <w:sz w:val="22"/>
          <w:szCs w:val="22"/>
        </w:rPr>
        <w:t xml:space="preserve">vaistinio preparato </w:t>
      </w:r>
      <w:r w:rsidRPr="00776407">
        <w:rPr>
          <w:sz w:val="22"/>
          <w:szCs w:val="22"/>
        </w:rPr>
        <w:t>reakcijų ar sunkios su leukemija susijusios neutropenijos ar trombocitopemijos šiais atvejais: ligai progresuojant (bet kuriuo metu); po 3</w:t>
      </w:r>
      <w:r w:rsidR="003847DB" w:rsidRPr="00776407">
        <w:rPr>
          <w:sz w:val="22"/>
          <w:szCs w:val="22"/>
        </w:rPr>
        <w:t> </w:t>
      </w:r>
      <w:r w:rsidRPr="00776407">
        <w:rPr>
          <w:sz w:val="22"/>
          <w:szCs w:val="22"/>
        </w:rPr>
        <w:t>mėnesių gydymo negavus reikiamo hematologinio atsako; po 12</w:t>
      </w:r>
      <w:r w:rsidR="003847DB" w:rsidRPr="00776407">
        <w:rPr>
          <w:sz w:val="22"/>
          <w:szCs w:val="22"/>
        </w:rPr>
        <w:t> </w:t>
      </w:r>
      <w:r w:rsidRPr="00776407">
        <w:rPr>
          <w:sz w:val="22"/>
          <w:szCs w:val="22"/>
        </w:rPr>
        <w:t>mėnesių gydymo negavus citogenetinio atsako; ar išnykus anksčiau pasiektam hematologiniam ir (ar) citogenetiniam atsakui. Pacientą, kuriam padidinama dozė, būtina atidžiai stebėti dėl galimų dažnesnių nepageidaujamų reakcijų, sukeliamų didesnių dozių.</w:t>
      </w:r>
    </w:p>
    <w:p w14:paraId="57A95C01" w14:textId="77777777" w:rsidR="00144749" w:rsidRPr="00776407" w:rsidRDefault="00144749" w:rsidP="00144749">
      <w:pPr>
        <w:rPr>
          <w:sz w:val="22"/>
          <w:szCs w:val="22"/>
        </w:rPr>
      </w:pPr>
    </w:p>
    <w:p w14:paraId="173B6B88" w14:textId="77777777" w:rsidR="003847DB" w:rsidRPr="00776407" w:rsidRDefault="003847DB" w:rsidP="003847DB">
      <w:pPr>
        <w:rPr>
          <w:i/>
          <w:sz w:val="22"/>
          <w:szCs w:val="22"/>
          <w:u w:val="single"/>
        </w:rPr>
      </w:pPr>
      <w:r w:rsidRPr="00776407">
        <w:rPr>
          <w:i/>
          <w:sz w:val="22"/>
          <w:szCs w:val="22"/>
          <w:u w:val="single"/>
        </w:rPr>
        <w:t xml:space="preserve">Dozavimas, kai yra vaikų </w:t>
      </w:r>
      <w:r w:rsidR="00F54C78" w:rsidRPr="00776407">
        <w:rPr>
          <w:i/>
          <w:sz w:val="22"/>
          <w:szCs w:val="22"/>
          <w:u w:val="single"/>
        </w:rPr>
        <w:t xml:space="preserve">ir paauglių </w:t>
      </w:r>
      <w:r w:rsidRPr="00776407">
        <w:rPr>
          <w:i/>
          <w:sz w:val="22"/>
          <w:szCs w:val="22"/>
          <w:u w:val="single"/>
        </w:rPr>
        <w:t xml:space="preserve">LML </w:t>
      </w:r>
    </w:p>
    <w:p w14:paraId="5D98F9BA" w14:textId="77777777" w:rsidR="003847DB" w:rsidRPr="00776407" w:rsidRDefault="003847DB" w:rsidP="003847DB">
      <w:pPr>
        <w:rPr>
          <w:sz w:val="22"/>
          <w:szCs w:val="22"/>
        </w:rPr>
      </w:pPr>
      <w:r w:rsidRPr="00776407">
        <w:rPr>
          <w:sz w:val="22"/>
          <w:szCs w:val="22"/>
        </w:rPr>
        <w:t>Vaikams</w:t>
      </w:r>
      <w:r w:rsidR="00F1551B" w:rsidRPr="00776407">
        <w:rPr>
          <w:sz w:val="22"/>
          <w:szCs w:val="22"/>
        </w:rPr>
        <w:t xml:space="preserve"> </w:t>
      </w:r>
      <w:r w:rsidRPr="00776407">
        <w:rPr>
          <w:sz w:val="22"/>
          <w:szCs w:val="22"/>
        </w:rPr>
        <w:t>dozuojama pagal kūno paviršiaus plotą (mg/m</w:t>
      </w:r>
      <w:r w:rsidRPr="00776407">
        <w:rPr>
          <w:sz w:val="22"/>
          <w:szCs w:val="22"/>
          <w:vertAlign w:val="superscript"/>
        </w:rPr>
        <w:t>2</w:t>
      </w:r>
      <w:r w:rsidRPr="00776407">
        <w:rPr>
          <w:sz w:val="22"/>
          <w:szCs w:val="22"/>
        </w:rPr>
        <w:t>). Kai yra lėtinė ir progresavusi LML fazė, vaikams</w:t>
      </w:r>
      <w:r w:rsidR="00F1551B" w:rsidRPr="00776407">
        <w:rPr>
          <w:sz w:val="22"/>
          <w:szCs w:val="22"/>
        </w:rPr>
        <w:t xml:space="preserve"> </w:t>
      </w:r>
      <w:r w:rsidRPr="00776407">
        <w:rPr>
          <w:sz w:val="22"/>
          <w:szCs w:val="22"/>
        </w:rPr>
        <w:t>rekomenduojama 340 mg/m</w:t>
      </w:r>
      <w:r w:rsidRPr="00776407">
        <w:rPr>
          <w:sz w:val="22"/>
          <w:szCs w:val="22"/>
          <w:vertAlign w:val="superscript"/>
        </w:rPr>
        <w:t>2</w:t>
      </w:r>
      <w:r w:rsidRPr="00776407">
        <w:rPr>
          <w:sz w:val="22"/>
          <w:szCs w:val="22"/>
        </w:rPr>
        <w:t xml:space="preserve"> paros dozė (bendros 800 mg dozės viršyti negalima). </w:t>
      </w:r>
      <w:r w:rsidR="00A72CD3" w:rsidRPr="00776407">
        <w:rPr>
          <w:color w:val="000000"/>
          <w:sz w:val="22"/>
          <w:szCs w:val="22"/>
        </w:rPr>
        <w:t xml:space="preserve">Vaistinį preparatą </w:t>
      </w:r>
      <w:r w:rsidRPr="00776407">
        <w:rPr>
          <w:sz w:val="22"/>
          <w:szCs w:val="22"/>
        </w:rPr>
        <w:t>galima vartoti vieną kartą per parą arba paros dozę dalyti į dvi dozes – vieną vartoti ryt</w:t>
      </w:r>
      <w:r w:rsidR="002A385D" w:rsidRPr="00776407">
        <w:rPr>
          <w:sz w:val="22"/>
          <w:szCs w:val="22"/>
        </w:rPr>
        <w:t>e</w:t>
      </w:r>
      <w:r w:rsidRPr="00776407">
        <w:rPr>
          <w:sz w:val="22"/>
          <w:szCs w:val="22"/>
        </w:rPr>
        <w:t xml:space="preserve">, kitą – vakare. Dabartinės dozavimo rekomendacijos vadovaujasi mažu vaikų skaičiumi (žr. 5.1 ir 5.2 skyrius). Kaip gydyti jaunesnius negu 2 metų vaikus, patirties nėra. </w:t>
      </w:r>
    </w:p>
    <w:p w14:paraId="50B12CAF" w14:textId="77777777" w:rsidR="003847DB" w:rsidRPr="00776407" w:rsidRDefault="003847DB" w:rsidP="00144749">
      <w:pPr>
        <w:rPr>
          <w:sz w:val="22"/>
          <w:szCs w:val="22"/>
        </w:rPr>
      </w:pPr>
    </w:p>
    <w:p w14:paraId="380C26CB" w14:textId="77777777" w:rsidR="00B36B15" w:rsidRPr="00776407" w:rsidRDefault="00B36B15" w:rsidP="00B36B15">
      <w:pPr>
        <w:rPr>
          <w:sz w:val="22"/>
          <w:szCs w:val="22"/>
        </w:rPr>
      </w:pPr>
      <w:r w:rsidRPr="00776407">
        <w:rPr>
          <w:sz w:val="22"/>
          <w:szCs w:val="22"/>
        </w:rPr>
        <w:lastRenderedPageBreak/>
        <w:t>Jei nepasireiškė sunkaus nepageidaujamo poveikio ir sunkios ne su leukemija susijusios neutropenijos arba trombocitopenijos, dozė vaikams</w:t>
      </w:r>
      <w:r w:rsidR="00F1551B" w:rsidRPr="00776407">
        <w:rPr>
          <w:sz w:val="22"/>
          <w:szCs w:val="22"/>
        </w:rPr>
        <w:t xml:space="preserve"> </w:t>
      </w:r>
      <w:r w:rsidRPr="00776407">
        <w:rPr>
          <w:sz w:val="22"/>
          <w:szCs w:val="22"/>
        </w:rPr>
        <w:t>gali būti didinama nuo 340 mg/m</w:t>
      </w:r>
      <w:r w:rsidRPr="00776407">
        <w:rPr>
          <w:sz w:val="22"/>
          <w:szCs w:val="22"/>
          <w:vertAlign w:val="superscript"/>
        </w:rPr>
        <w:t>2</w:t>
      </w:r>
      <w:r w:rsidRPr="00776407">
        <w:rPr>
          <w:sz w:val="22"/>
          <w:szCs w:val="22"/>
        </w:rPr>
        <w:t xml:space="preserve"> iki 570 mg/m</w:t>
      </w:r>
      <w:r w:rsidRPr="00776407">
        <w:rPr>
          <w:sz w:val="22"/>
          <w:szCs w:val="22"/>
          <w:vertAlign w:val="superscript"/>
        </w:rPr>
        <w:t>2</w:t>
      </w:r>
      <w:r w:rsidRPr="00776407">
        <w:rPr>
          <w:sz w:val="22"/>
          <w:szCs w:val="22"/>
        </w:rPr>
        <w:t xml:space="preserve"> per parą (bendros 800 mg dozės viršyti negalima) sekančiomis sąlygomis: ligos progresavimas (bet kuriuo metu); nepasiektas patenkinamas hematologinis atsakas po mažiausiai 3 gydymo mėnesių; nepasiektas citogenetinis atsakas po 12 gydymo mėnesių; anksčiau pasiekto hematologinio ir</w:t>
      </w:r>
      <w:r w:rsidR="002A385D" w:rsidRPr="00776407">
        <w:rPr>
          <w:sz w:val="22"/>
          <w:szCs w:val="22"/>
        </w:rPr>
        <w:t xml:space="preserve"> (</w:t>
      </w:r>
      <w:r w:rsidRPr="00776407">
        <w:rPr>
          <w:sz w:val="22"/>
          <w:szCs w:val="22"/>
        </w:rPr>
        <w:t>arba</w:t>
      </w:r>
      <w:r w:rsidR="002A385D" w:rsidRPr="00776407">
        <w:rPr>
          <w:sz w:val="22"/>
          <w:szCs w:val="22"/>
        </w:rPr>
        <w:t>)</w:t>
      </w:r>
      <w:r w:rsidRPr="00776407">
        <w:rPr>
          <w:sz w:val="22"/>
          <w:szCs w:val="22"/>
        </w:rPr>
        <w:t xml:space="preserve"> citogenetinio atsako praradimas. Didinant dozę, pacientai turi būti atidžiai stebimi dėl padidėjusio nepageidaujamo poveikio pasireiškimo galimybės gydant didesnėmis dozėmis. </w:t>
      </w:r>
    </w:p>
    <w:p w14:paraId="4538FED4" w14:textId="77777777" w:rsidR="004B1711" w:rsidRPr="00776407" w:rsidRDefault="004B1711" w:rsidP="004B1711">
      <w:pPr>
        <w:autoSpaceDE w:val="0"/>
        <w:autoSpaceDN w:val="0"/>
        <w:adjustRightInd w:val="0"/>
        <w:rPr>
          <w:rFonts w:eastAsia="Calibri"/>
          <w:color w:val="000000"/>
          <w:sz w:val="22"/>
          <w:szCs w:val="22"/>
        </w:rPr>
      </w:pPr>
    </w:p>
    <w:p w14:paraId="3694F6FD" w14:textId="77777777" w:rsidR="004B1711" w:rsidRPr="00776407" w:rsidRDefault="004B1711" w:rsidP="004B1711">
      <w:pPr>
        <w:autoSpaceDE w:val="0"/>
        <w:autoSpaceDN w:val="0"/>
        <w:adjustRightInd w:val="0"/>
        <w:rPr>
          <w:rFonts w:eastAsia="Calibri"/>
          <w:i/>
          <w:color w:val="000000"/>
          <w:sz w:val="22"/>
          <w:szCs w:val="22"/>
          <w:u w:val="single"/>
        </w:rPr>
      </w:pPr>
      <w:r w:rsidRPr="00776407">
        <w:rPr>
          <w:rFonts w:eastAsia="Calibri"/>
          <w:i/>
          <w:color w:val="000000"/>
          <w:sz w:val="22"/>
          <w:szCs w:val="22"/>
          <w:u w:val="single"/>
        </w:rPr>
        <w:t>Dozavimas</w:t>
      </w:r>
      <w:r w:rsidR="004D208D" w:rsidRPr="00776407">
        <w:rPr>
          <w:rFonts w:eastAsia="Calibri"/>
          <w:i/>
          <w:color w:val="000000"/>
          <w:sz w:val="22"/>
          <w:szCs w:val="22"/>
          <w:u w:val="single"/>
        </w:rPr>
        <w:t>,</w:t>
      </w:r>
      <w:r w:rsidR="004A5CA2" w:rsidRPr="00776407">
        <w:rPr>
          <w:rFonts w:eastAsia="Calibri"/>
          <w:i/>
          <w:color w:val="000000"/>
          <w:sz w:val="22"/>
          <w:szCs w:val="22"/>
          <w:u w:val="single"/>
        </w:rPr>
        <w:t xml:space="preserve"> </w:t>
      </w:r>
      <w:r w:rsidRPr="00776407">
        <w:rPr>
          <w:rFonts w:eastAsia="Calibri"/>
          <w:i/>
          <w:color w:val="000000"/>
          <w:sz w:val="22"/>
          <w:szCs w:val="22"/>
          <w:u w:val="single"/>
        </w:rPr>
        <w:t xml:space="preserve">kai yra </w:t>
      </w:r>
      <w:r w:rsidR="004D208D" w:rsidRPr="00776407">
        <w:rPr>
          <w:rFonts w:eastAsia="Calibri"/>
          <w:i/>
          <w:color w:val="000000"/>
          <w:sz w:val="22"/>
          <w:szCs w:val="22"/>
          <w:u w:val="single"/>
        </w:rPr>
        <w:t xml:space="preserve">suaugusiųjų </w:t>
      </w:r>
      <w:r w:rsidRPr="00776407">
        <w:rPr>
          <w:rFonts w:eastAsia="Calibri"/>
          <w:i/>
          <w:color w:val="000000"/>
          <w:sz w:val="22"/>
          <w:szCs w:val="22"/>
          <w:u w:val="single"/>
        </w:rPr>
        <w:t xml:space="preserve">Ph+ ŪLL </w:t>
      </w:r>
    </w:p>
    <w:p w14:paraId="0BD417F0" w14:textId="77777777" w:rsidR="004B1711" w:rsidRPr="00776407" w:rsidRDefault="004B1711" w:rsidP="004B1711">
      <w:pPr>
        <w:autoSpaceDE w:val="0"/>
        <w:autoSpaceDN w:val="0"/>
        <w:adjustRightInd w:val="0"/>
        <w:rPr>
          <w:rFonts w:eastAsia="Calibri"/>
          <w:color w:val="000000"/>
          <w:sz w:val="22"/>
          <w:szCs w:val="22"/>
        </w:rPr>
      </w:pPr>
      <w:r w:rsidRPr="00776407">
        <w:rPr>
          <w:rFonts w:eastAsia="Calibri"/>
          <w:color w:val="000000"/>
          <w:sz w:val="22"/>
          <w:szCs w:val="22"/>
        </w:rPr>
        <w:t>Ph+ ŪLL sergantiems suaugusiesiems pacientams rekomenduojama imatinibo dozė yra 600</w:t>
      </w:r>
      <w:r w:rsidR="006C4DB6" w:rsidRPr="00776407">
        <w:rPr>
          <w:rFonts w:eastAsia="Calibri"/>
          <w:color w:val="000000"/>
          <w:sz w:val="22"/>
          <w:szCs w:val="22"/>
        </w:rPr>
        <w:t> </w:t>
      </w:r>
      <w:r w:rsidRPr="00776407">
        <w:rPr>
          <w:rFonts w:eastAsia="Calibri"/>
          <w:color w:val="000000"/>
          <w:sz w:val="22"/>
          <w:szCs w:val="22"/>
        </w:rPr>
        <w:t xml:space="preserve">mg per parą. Visų fazių metu gydymui turi vadovauti hematologai, turintys šios ligos gydymo patirties. </w:t>
      </w:r>
    </w:p>
    <w:p w14:paraId="62A7055D" w14:textId="77777777" w:rsidR="004B1711" w:rsidRPr="00776407" w:rsidRDefault="004B1711" w:rsidP="004B1711">
      <w:pPr>
        <w:autoSpaceDE w:val="0"/>
        <w:autoSpaceDN w:val="0"/>
        <w:adjustRightInd w:val="0"/>
        <w:rPr>
          <w:rFonts w:eastAsia="Calibri"/>
          <w:color w:val="000000"/>
          <w:sz w:val="22"/>
          <w:szCs w:val="22"/>
        </w:rPr>
      </w:pPr>
    </w:p>
    <w:p w14:paraId="3C859CF3" w14:textId="5862B7E5" w:rsidR="004B1711" w:rsidRPr="00776407" w:rsidRDefault="004B1711" w:rsidP="004B1711">
      <w:pPr>
        <w:autoSpaceDE w:val="0"/>
        <w:autoSpaceDN w:val="0"/>
        <w:adjustRightInd w:val="0"/>
        <w:rPr>
          <w:rFonts w:eastAsia="Calibri"/>
          <w:color w:val="000000"/>
          <w:sz w:val="22"/>
          <w:szCs w:val="22"/>
        </w:rPr>
      </w:pPr>
      <w:r w:rsidRPr="00776407">
        <w:rPr>
          <w:rFonts w:eastAsia="Calibri"/>
          <w:color w:val="000000"/>
          <w:sz w:val="22"/>
          <w:szCs w:val="22"/>
        </w:rPr>
        <w:t>Gydymo planas. Pagal turimus duomenis, imatinibo 600</w:t>
      </w:r>
      <w:r w:rsidR="006C4DB6" w:rsidRPr="00776407">
        <w:rPr>
          <w:rFonts w:eastAsia="Calibri"/>
          <w:color w:val="000000"/>
          <w:sz w:val="22"/>
          <w:szCs w:val="22"/>
        </w:rPr>
        <w:t> </w:t>
      </w:r>
      <w:r w:rsidRPr="00776407">
        <w:rPr>
          <w:rFonts w:eastAsia="Calibri"/>
          <w:color w:val="000000"/>
          <w:sz w:val="22"/>
          <w:szCs w:val="22"/>
        </w:rPr>
        <w:t>mg per parą dozė buvo efektyvi ir saugi kartu su chemoterapiniais</w:t>
      </w:r>
      <w:r w:rsidR="00B03979" w:rsidRPr="00776407">
        <w:rPr>
          <w:rFonts w:eastAsia="Calibri"/>
          <w:color w:val="000000"/>
          <w:sz w:val="22"/>
          <w:szCs w:val="22"/>
        </w:rPr>
        <w:t xml:space="preserve"> vaistiniais</w:t>
      </w:r>
      <w:r w:rsidRPr="00776407">
        <w:rPr>
          <w:rFonts w:eastAsia="Calibri"/>
          <w:color w:val="000000"/>
          <w:sz w:val="22"/>
          <w:szCs w:val="22"/>
        </w:rPr>
        <w:t xml:space="preserve"> preparatais pradinės, dozės didinimo ir palaikomosios chemoterapijos fazės metu (žr. 5.1 skyrių) suaugusiems pacientams, kuriems pirmą kartą diagnozuota Ph+ ŪLL. Gydymo imatinibu trukmė gali priklausyti nuo pasirinktos gydymo programos, bet dažniausiai ilgiau vartojant imatinibo rezultatai buvo geresni. </w:t>
      </w:r>
    </w:p>
    <w:p w14:paraId="6CE2D9C9" w14:textId="77777777" w:rsidR="004B1711" w:rsidRPr="00776407" w:rsidRDefault="004B1711" w:rsidP="004B1711">
      <w:pPr>
        <w:autoSpaceDE w:val="0"/>
        <w:autoSpaceDN w:val="0"/>
        <w:adjustRightInd w:val="0"/>
        <w:rPr>
          <w:rFonts w:eastAsia="Calibri"/>
          <w:color w:val="000000"/>
          <w:sz w:val="22"/>
          <w:szCs w:val="22"/>
        </w:rPr>
      </w:pPr>
    </w:p>
    <w:p w14:paraId="55C9E71C" w14:textId="77777777" w:rsidR="003847DB" w:rsidRPr="00776407" w:rsidRDefault="004B1711" w:rsidP="004B1711">
      <w:pPr>
        <w:rPr>
          <w:rFonts w:eastAsia="Calibri"/>
          <w:color w:val="000000"/>
          <w:sz w:val="22"/>
          <w:szCs w:val="22"/>
        </w:rPr>
      </w:pPr>
      <w:r w:rsidRPr="00776407">
        <w:rPr>
          <w:rFonts w:eastAsia="Calibri"/>
          <w:color w:val="000000"/>
          <w:sz w:val="22"/>
          <w:szCs w:val="22"/>
        </w:rPr>
        <w:t>Suaugusiesiems pacientams, kuriems yra recidyvas ar gydymui atspari Ph+ ŪLL, gydymas vien tik imatinibu po 600</w:t>
      </w:r>
      <w:r w:rsidR="006C4DB6" w:rsidRPr="00776407">
        <w:rPr>
          <w:rFonts w:eastAsia="Calibri"/>
          <w:color w:val="000000"/>
          <w:sz w:val="22"/>
          <w:szCs w:val="22"/>
        </w:rPr>
        <w:t> </w:t>
      </w:r>
      <w:r w:rsidRPr="00776407">
        <w:rPr>
          <w:rFonts w:eastAsia="Calibri"/>
          <w:color w:val="000000"/>
          <w:sz w:val="22"/>
          <w:szCs w:val="22"/>
        </w:rPr>
        <w:t>mg per parą yra saugus, efektyvus ir gali būti skiriamas, kol liga pradės progresuoti.</w:t>
      </w:r>
    </w:p>
    <w:p w14:paraId="3DB3F703" w14:textId="77777777" w:rsidR="004B1711" w:rsidRPr="00776407" w:rsidRDefault="004B1711" w:rsidP="004B1711">
      <w:pPr>
        <w:autoSpaceDE w:val="0"/>
        <w:autoSpaceDN w:val="0"/>
        <w:adjustRightInd w:val="0"/>
        <w:rPr>
          <w:rFonts w:eastAsia="Calibri"/>
          <w:color w:val="000000"/>
          <w:sz w:val="22"/>
          <w:szCs w:val="22"/>
        </w:rPr>
      </w:pPr>
    </w:p>
    <w:p w14:paraId="3C17FFC3" w14:textId="77777777" w:rsidR="00C742B3" w:rsidRPr="00776407" w:rsidRDefault="00C742B3" w:rsidP="00C742B3">
      <w:pPr>
        <w:ind w:right="-20"/>
        <w:rPr>
          <w:i/>
          <w:sz w:val="22"/>
          <w:szCs w:val="22"/>
          <w:u w:val="single" w:color="000000"/>
        </w:rPr>
      </w:pPr>
      <w:r w:rsidRPr="00776407">
        <w:rPr>
          <w:i/>
          <w:sz w:val="22"/>
          <w:szCs w:val="22"/>
          <w:u w:val="single" w:color="000000"/>
        </w:rPr>
        <w:t xml:space="preserve">Dozavimas, kai yra </w:t>
      </w:r>
      <w:r w:rsidR="009C79AD" w:rsidRPr="00776407">
        <w:rPr>
          <w:i/>
          <w:sz w:val="22"/>
          <w:szCs w:val="22"/>
          <w:u w:val="single" w:color="000000"/>
        </w:rPr>
        <w:t xml:space="preserve">vaikų </w:t>
      </w:r>
      <w:r w:rsidRPr="00776407">
        <w:rPr>
          <w:i/>
          <w:sz w:val="22"/>
          <w:szCs w:val="22"/>
          <w:u w:val="single" w:color="000000"/>
        </w:rPr>
        <w:t>Ph+ ŪLL</w:t>
      </w:r>
    </w:p>
    <w:p w14:paraId="7FBBB53A" w14:textId="77777777" w:rsidR="00C742B3" w:rsidRPr="00776407" w:rsidRDefault="009C79AD" w:rsidP="00C742B3">
      <w:pPr>
        <w:autoSpaceDE w:val="0"/>
        <w:autoSpaceDN w:val="0"/>
        <w:adjustRightInd w:val="0"/>
        <w:rPr>
          <w:sz w:val="22"/>
          <w:szCs w:val="22"/>
        </w:rPr>
      </w:pPr>
      <w:r w:rsidRPr="00776407">
        <w:rPr>
          <w:sz w:val="22"/>
          <w:szCs w:val="22"/>
        </w:rPr>
        <w:t>Vaikams dozuojama pagal kūno paviršiaus plotą (mg/m</w:t>
      </w:r>
      <w:r w:rsidRPr="00776407">
        <w:rPr>
          <w:sz w:val="22"/>
          <w:szCs w:val="22"/>
          <w:vertAlign w:val="superscript"/>
        </w:rPr>
        <w:t>2</w:t>
      </w:r>
      <w:r w:rsidRPr="00776407">
        <w:rPr>
          <w:sz w:val="22"/>
          <w:szCs w:val="22"/>
        </w:rPr>
        <w:t>). Kai yra Ph+ ŪLL, vaikams rekomenduojama 340 mg/m</w:t>
      </w:r>
      <w:r w:rsidRPr="00776407">
        <w:rPr>
          <w:sz w:val="22"/>
          <w:szCs w:val="22"/>
          <w:vertAlign w:val="superscript"/>
        </w:rPr>
        <w:t>2</w:t>
      </w:r>
      <w:r w:rsidRPr="00776407">
        <w:rPr>
          <w:sz w:val="22"/>
          <w:szCs w:val="22"/>
        </w:rPr>
        <w:t xml:space="preserve"> paros dozė (bendros 600 mg dozės viršyti negalima).</w:t>
      </w:r>
    </w:p>
    <w:p w14:paraId="5F2466A8" w14:textId="77777777" w:rsidR="004A5CA2" w:rsidRPr="00776407" w:rsidRDefault="004A5CA2" w:rsidP="004B1711">
      <w:pPr>
        <w:autoSpaceDE w:val="0"/>
        <w:autoSpaceDN w:val="0"/>
        <w:adjustRightInd w:val="0"/>
        <w:rPr>
          <w:rFonts w:eastAsia="Calibri"/>
          <w:color w:val="000000"/>
          <w:sz w:val="22"/>
          <w:szCs w:val="22"/>
        </w:rPr>
      </w:pPr>
    </w:p>
    <w:p w14:paraId="12832D26" w14:textId="77777777" w:rsidR="004B1711" w:rsidRPr="00776407" w:rsidRDefault="004B1711" w:rsidP="004B1711">
      <w:pPr>
        <w:autoSpaceDE w:val="0"/>
        <w:autoSpaceDN w:val="0"/>
        <w:adjustRightInd w:val="0"/>
        <w:rPr>
          <w:rFonts w:eastAsia="Calibri"/>
          <w:i/>
          <w:color w:val="000000"/>
          <w:sz w:val="22"/>
          <w:szCs w:val="22"/>
          <w:u w:val="single"/>
        </w:rPr>
      </w:pPr>
      <w:r w:rsidRPr="00776407">
        <w:rPr>
          <w:rFonts w:eastAsia="Calibri"/>
          <w:i/>
          <w:color w:val="000000"/>
          <w:sz w:val="22"/>
          <w:szCs w:val="22"/>
          <w:u w:val="single"/>
        </w:rPr>
        <w:t xml:space="preserve">Dozavimas, kai yra MDS/MPL </w:t>
      </w:r>
    </w:p>
    <w:p w14:paraId="4D67D6C8" w14:textId="77777777" w:rsidR="004B1711" w:rsidRPr="00776407" w:rsidRDefault="004B1711" w:rsidP="004B1711">
      <w:pPr>
        <w:autoSpaceDE w:val="0"/>
        <w:autoSpaceDN w:val="0"/>
        <w:adjustRightInd w:val="0"/>
        <w:rPr>
          <w:rFonts w:eastAsia="Calibri"/>
          <w:color w:val="000000"/>
          <w:sz w:val="22"/>
          <w:szCs w:val="22"/>
        </w:rPr>
      </w:pPr>
      <w:r w:rsidRPr="00776407">
        <w:rPr>
          <w:rFonts w:eastAsia="Calibri"/>
          <w:color w:val="000000"/>
          <w:sz w:val="22"/>
          <w:szCs w:val="22"/>
        </w:rPr>
        <w:t>MDS ar MPL sergantiems suaugusiesiems pacientams rekomenduojama imatinibo dozė yra 400</w:t>
      </w:r>
      <w:r w:rsidR="006C4DB6" w:rsidRPr="00776407">
        <w:rPr>
          <w:rFonts w:eastAsia="Calibri"/>
          <w:color w:val="000000"/>
          <w:sz w:val="22"/>
          <w:szCs w:val="22"/>
        </w:rPr>
        <w:t> </w:t>
      </w:r>
      <w:r w:rsidRPr="00776407">
        <w:rPr>
          <w:rFonts w:eastAsia="Calibri"/>
          <w:color w:val="000000"/>
          <w:sz w:val="22"/>
          <w:szCs w:val="22"/>
        </w:rPr>
        <w:t xml:space="preserve">mg per parą. </w:t>
      </w:r>
    </w:p>
    <w:p w14:paraId="23A7978A" w14:textId="77777777" w:rsidR="004B1711" w:rsidRPr="00776407" w:rsidRDefault="004B1711" w:rsidP="004B1711">
      <w:pPr>
        <w:autoSpaceDE w:val="0"/>
        <w:autoSpaceDN w:val="0"/>
        <w:adjustRightInd w:val="0"/>
        <w:rPr>
          <w:rFonts w:eastAsia="Calibri"/>
          <w:color w:val="000000"/>
          <w:sz w:val="22"/>
          <w:szCs w:val="22"/>
        </w:rPr>
      </w:pPr>
    </w:p>
    <w:p w14:paraId="6F6D5DA6" w14:textId="77777777" w:rsidR="004B1711" w:rsidRPr="00776407" w:rsidRDefault="004B1711" w:rsidP="004B1711">
      <w:pPr>
        <w:autoSpaceDE w:val="0"/>
        <w:autoSpaceDN w:val="0"/>
        <w:adjustRightInd w:val="0"/>
        <w:rPr>
          <w:rFonts w:eastAsia="Calibri"/>
          <w:color w:val="000000"/>
          <w:sz w:val="22"/>
          <w:szCs w:val="22"/>
        </w:rPr>
      </w:pPr>
      <w:r w:rsidRPr="00776407">
        <w:rPr>
          <w:rFonts w:eastAsia="Calibri"/>
          <w:color w:val="000000"/>
          <w:sz w:val="22"/>
          <w:szCs w:val="22"/>
        </w:rPr>
        <w:t>Gydymo trukmė: Klinikinio tyrimo, tęsiamo iki šiol, metu gydymas imatinibu buvo tęsiamas iki ligos progresavimo (žr. 5.1</w:t>
      </w:r>
      <w:r w:rsidR="006C4DB6" w:rsidRPr="00776407">
        <w:rPr>
          <w:rFonts w:eastAsia="Calibri"/>
          <w:color w:val="000000"/>
          <w:sz w:val="22"/>
          <w:szCs w:val="22"/>
        </w:rPr>
        <w:t> </w:t>
      </w:r>
      <w:r w:rsidRPr="00776407">
        <w:rPr>
          <w:rFonts w:eastAsia="Calibri"/>
          <w:color w:val="000000"/>
          <w:sz w:val="22"/>
          <w:szCs w:val="22"/>
        </w:rPr>
        <w:t>skyrių). Tyrimo metu gydymo vidutinė trukmė buvo 47 mėnesiai (24 dienos – 60</w:t>
      </w:r>
      <w:r w:rsidR="006C4DB6" w:rsidRPr="00776407">
        <w:rPr>
          <w:rFonts w:eastAsia="Calibri"/>
          <w:color w:val="000000"/>
          <w:sz w:val="22"/>
          <w:szCs w:val="22"/>
        </w:rPr>
        <w:t> </w:t>
      </w:r>
      <w:r w:rsidRPr="00776407">
        <w:rPr>
          <w:rFonts w:eastAsia="Calibri"/>
          <w:color w:val="000000"/>
          <w:sz w:val="22"/>
          <w:szCs w:val="22"/>
        </w:rPr>
        <w:t xml:space="preserve">mėnesių). </w:t>
      </w:r>
    </w:p>
    <w:p w14:paraId="51AEA54F" w14:textId="77777777" w:rsidR="004B1711" w:rsidRPr="00776407" w:rsidRDefault="004B1711" w:rsidP="004B1711">
      <w:pPr>
        <w:autoSpaceDE w:val="0"/>
        <w:autoSpaceDN w:val="0"/>
        <w:adjustRightInd w:val="0"/>
        <w:rPr>
          <w:rFonts w:eastAsia="Calibri"/>
          <w:color w:val="000000"/>
          <w:sz w:val="22"/>
          <w:szCs w:val="22"/>
        </w:rPr>
      </w:pPr>
    </w:p>
    <w:p w14:paraId="3408B937" w14:textId="77777777" w:rsidR="004B1711" w:rsidRPr="00776407" w:rsidRDefault="004B1711" w:rsidP="004B1711">
      <w:pPr>
        <w:autoSpaceDE w:val="0"/>
        <w:autoSpaceDN w:val="0"/>
        <w:adjustRightInd w:val="0"/>
        <w:rPr>
          <w:rFonts w:eastAsia="Calibri"/>
          <w:i/>
          <w:color w:val="000000"/>
          <w:sz w:val="22"/>
          <w:szCs w:val="22"/>
          <w:u w:val="single"/>
        </w:rPr>
      </w:pPr>
      <w:r w:rsidRPr="00776407">
        <w:rPr>
          <w:rFonts w:eastAsia="Calibri"/>
          <w:i/>
          <w:color w:val="000000"/>
          <w:sz w:val="22"/>
          <w:szCs w:val="22"/>
          <w:u w:val="single"/>
        </w:rPr>
        <w:t xml:space="preserve">Dozavimas, kai yra HES/LEL </w:t>
      </w:r>
    </w:p>
    <w:p w14:paraId="4DB653F0" w14:textId="77777777" w:rsidR="004B1711" w:rsidRPr="00776407" w:rsidRDefault="004B1711" w:rsidP="004B1711">
      <w:pPr>
        <w:autoSpaceDE w:val="0"/>
        <w:autoSpaceDN w:val="0"/>
        <w:adjustRightInd w:val="0"/>
        <w:rPr>
          <w:rFonts w:eastAsia="Calibri"/>
          <w:color w:val="000000"/>
          <w:sz w:val="22"/>
          <w:szCs w:val="22"/>
        </w:rPr>
      </w:pPr>
      <w:r w:rsidRPr="00776407">
        <w:rPr>
          <w:rFonts w:eastAsia="Calibri"/>
          <w:color w:val="000000"/>
          <w:sz w:val="22"/>
          <w:szCs w:val="22"/>
        </w:rPr>
        <w:t>Rekomenduojama imatinibo dozė suaugusiesiems pacientams, sergantiems HES/LEL, yra 100</w:t>
      </w:r>
      <w:r w:rsidR="006C4DB6" w:rsidRPr="00776407">
        <w:rPr>
          <w:rFonts w:eastAsia="Calibri"/>
          <w:color w:val="000000"/>
          <w:sz w:val="22"/>
          <w:szCs w:val="22"/>
        </w:rPr>
        <w:t> </w:t>
      </w:r>
      <w:r w:rsidRPr="00776407">
        <w:rPr>
          <w:rFonts w:eastAsia="Calibri"/>
          <w:color w:val="000000"/>
          <w:sz w:val="22"/>
          <w:szCs w:val="22"/>
        </w:rPr>
        <w:t xml:space="preserve">mg per parą. </w:t>
      </w:r>
    </w:p>
    <w:p w14:paraId="66BEF9AC" w14:textId="77777777" w:rsidR="004B1711" w:rsidRPr="00776407" w:rsidRDefault="004B1711" w:rsidP="004B1711">
      <w:pPr>
        <w:autoSpaceDE w:val="0"/>
        <w:autoSpaceDN w:val="0"/>
        <w:adjustRightInd w:val="0"/>
        <w:rPr>
          <w:rFonts w:eastAsia="Calibri"/>
          <w:color w:val="000000"/>
          <w:sz w:val="22"/>
          <w:szCs w:val="22"/>
        </w:rPr>
      </w:pPr>
    </w:p>
    <w:p w14:paraId="477D335F" w14:textId="77777777" w:rsidR="004B1711" w:rsidRPr="00776407" w:rsidRDefault="004B1711" w:rsidP="004B1711">
      <w:pPr>
        <w:autoSpaceDE w:val="0"/>
        <w:autoSpaceDN w:val="0"/>
        <w:adjustRightInd w:val="0"/>
        <w:rPr>
          <w:rFonts w:eastAsia="Calibri"/>
          <w:color w:val="000000"/>
          <w:sz w:val="22"/>
          <w:szCs w:val="22"/>
        </w:rPr>
      </w:pPr>
      <w:r w:rsidRPr="00776407">
        <w:rPr>
          <w:rFonts w:eastAsia="Calibri"/>
          <w:color w:val="000000"/>
          <w:sz w:val="22"/>
          <w:szCs w:val="22"/>
        </w:rPr>
        <w:t>Galima didinti dozę nuo 100</w:t>
      </w:r>
      <w:r w:rsidR="006C4DB6" w:rsidRPr="00776407">
        <w:rPr>
          <w:rFonts w:eastAsia="Calibri"/>
          <w:color w:val="000000"/>
          <w:sz w:val="22"/>
          <w:szCs w:val="22"/>
        </w:rPr>
        <w:t> </w:t>
      </w:r>
      <w:r w:rsidRPr="00776407">
        <w:rPr>
          <w:rFonts w:eastAsia="Calibri"/>
          <w:color w:val="000000"/>
          <w:sz w:val="22"/>
          <w:szCs w:val="22"/>
        </w:rPr>
        <w:t>mg iki 400</w:t>
      </w:r>
      <w:r w:rsidR="006C4DB6" w:rsidRPr="00776407">
        <w:rPr>
          <w:rFonts w:eastAsia="Calibri"/>
          <w:color w:val="000000"/>
          <w:sz w:val="22"/>
          <w:szCs w:val="22"/>
        </w:rPr>
        <w:t> </w:t>
      </w:r>
      <w:r w:rsidRPr="00776407">
        <w:rPr>
          <w:rFonts w:eastAsia="Calibri"/>
          <w:color w:val="000000"/>
          <w:sz w:val="22"/>
          <w:szCs w:val="22"/>
        </w:rPr>
        <w:t xml:space="preserve">mg, jei nėra nepageidaujamų reakcijų ir jeigu įvertinimas rodo nepakankamą atsaką į gydymą. </w:t>
      </w:r>
    </w:p>
    <w:p w14:paraId="29288EF7" w14:textId="77777777" w:rsidR="004B1711" w:rsidRPr="00776407" w:rsidRDefault="004B1711" w:rsidP="004B1711">
      <w:pPr>
        <w:autoSpaceDE w:val="0"/>
        <w:autoSpaceDN w:val="0"/>
        <w:adjustRightInd w:val="0"/>
        <w:rPr>
          <w:rFonts w:eastAsia="Calibri"/>
          <w:color w:val="000000"/>
          <w:sz w:val="22"/>
          <w:szCs w:val="22"/>
        </w:rPr>
      </w:pPr>
    </w:p>
    <w:p w14:paraId="14017033" w14:textId="77777777" w:rsidR="004B1711" w:rsidRPr="00776407" w:rsidRDefault="004B1711" w:rsidP="004B1711">
      <w:pPr>
        <w:autoSpaceDE w:val="0"/>
        <w:autoSpaceDN w:val="0"/>
        <w:adjustRightInd w:val="0"/>
        <w:rPr>
          <w:rFonts w:eastAsia="Calibri"/>
          <w:color w:val="000000"/>
          <w:sz w:val="22"/>
          <w:szCs w:val="22"/>
        </w:rPr>
      </w:pPr>
      <w:r w:rsidRPr="00776407">
        <w:rPr>
          <w:rFonts w:eastAsia="Calibri"/>
          <w:color w:val="000000"/>
          <w:sz w:val="22"/>
          <w:szCs w:val="22"/>
        </w:rPr>
        <w:t xml:space="preserve">Gydymą reikia tęsti tol, kol pacientui stebimas teigiamas poveikis. </w:t>
      </w:r>
    </w:p>
    <w:p w14:paraId="163A1F89" w14:textId="77777777" w:rsidR="004B1711" w:rsidRPr="00776407" w:rsidRDefault="004B1711" w:rsidP="004B1711">
      <w:pPr>
        <w:autoSpaceDE w:val="0"/>
        <w:autoSpaceDN w:val="0"/>
        <w:adjustRightInd w:val="0"/>
        <w:rPr>
          <w:rFonts w:eastAsia="Calibri"/>
          <w:color w:val="000000"/>
          <w:sz w:val="22"/>
          <w:szCs w:val="22"/>
        </w:rPr>
      </w:pPr>
    </w:p>
    <w:p w14:paraId="4ED8776D" w14:textId="77777777" w:rsidR="004B1711" w:rsidRPr="00776407" w:rsidRDefault="004B1711" w:rsidP="004B1711">
      <w:pPr>
        <w:autoSpaceDE w:val="0"/>
        <w:autoSpaceDN w:val="0"/>
        <w:adjustRightInd w:val="0"/>
        <w:rPr>
          <w:rFonts w:eastAsia="Calibri"/>
          <w:i/>
          <w:color w:val="000000"/>
          <w:sz w:val="22"/>
          <w:szCs w:val="22"/>
          <w:u w:val="single"/>
        </w:rPr>
      </w:pPr>
      <w:r w:rsidRPr="00776407">
        <w:rPr>
          <w:rFonts w:eastAsia="Calibri"/>
          <w:i/>
          <w:color w:val="000000"/>
          <w:sz w:val="22"/>
          <w:szCs w:val="22"/>
          <w:u w:val="single"/>
        </w:rPr>
        <w:t xml:space="preserve">Dozavimas, kai yra DFSP </w:t>
      </w:r>
    </w:p>
    <w:p w14:paraId="616A7453" w14:textId="77777777" w:rsidR="004B1711" w:rsidRPr="00776407" w:rsidRDefault="004B1711" w:rsidP="004B1711">
      <w:pPr>
        <w:rPr>
          <w:sz w:val="22"/>
          <w:szCs w:val="22"/>
        </w:rPr>
      </w:pPr>
      <w:r w:rsidRPr="00776407">
        <w:rPr>
          <w:rFonts w:eastAsia="Calibri"/>
          <w:color w:val="000000"/>
          <w:sz w:val="22"/>
          <w:szCs w:val="22"/>
        </w:rPr>
        <w:t>DFSP sergantiems suaugusiesiems pacientams rekomenduojama imatinibo dozė yra 800</w:t>
      </w:r>
      <w:r w:rsidR="006C4DB6" w:rsidRPr="00776407">
        <w:rPr>
          <w:rFonts w:eastAsia="Calibri"/>
          <w:color w:val="000000"/>
          <w:sz w:val="22"/>
          <w:szCs w:val="22"/>
        </w:rPr>
        <w:t> </w:t>
      </w:r>
      <w:r w:rsidRPr="00776407">
        <w:rPr>
          <w:rFonts w:eastAsia="Calibri"/>
          <w:color w:val="000000"/>
          <w:sz w:val="22"/>
          <w:szCs w:val="22"/>
        </w:rPr>
        <w:t>mg per parą.</w:t>
      </w:r>
    </w:p>
    <w:p w14:paraId="4BFD8B4A" w14:textId="77777777" w:rsidR="004B1711" w:rsidRPr="00776407" w:rsidRDefault="004B1711" w:rsidP="00E9766E">
      <w:pPr>
        <w:rPr>
          <w:sz w:val="22"/>
          <w:szCs w:val="22"/>
          <w:u w:val="single"/>
        </w:rPr>
      </w:pPr>
    </w:p>
    <w:p w14:paraId="58D56861" w14:textId="77777777" w:rsidR="00E9766E" w:rsidRPr="00776407" w:rsidRDefault="00E9766E" w:rsidP="00E9766E">
      <w:pPr>
        <w:rPr>
          <w:i/>
          <w:sz w:val="22"/>
          <w:szCs w:val="22"/>
          <w:u w:val="single"/>
        </w:rPr>
      </w:pPr>
      <w:r w:rsidRPr="00776407">
        <w:rPr>
          <w:i/>
          <w:sz w:val="22"/>
          <w:szCs w:val="22"/>
          <w:u w:val="single"/>
        </w:rPr>
        <w:t xml:space="preserve">Dozės korekcija dėl nepageidaujamo poveikio </w:t>
      </w:r>
    </w:p>
    <w:p w14:paraId="0E122A8E" w14:textId="77777777" w:rsidR="00E9766E" w:rsidRPr="00776407" w:rsidRDefault="00E9766E" w:rsidP="00E9766E">
      <w:pPr>
        <w:rPr>
          <w:sz w:val="22"/>
          <w:szCs w:val="22"/>
        </w:rPr>
      </w:pPr>
      <w:r w:rsidRPr="00776407">
        <w:rPr>
          <w:i/>
          <w:iCs/>
          <w:sz w:val="22"/>
          <w:szCs w:val="22"/>
        </w:rPr>
        <w:t xml:space="preserve">Nehematologinės nepageidaujamos reakcijos </w:t>
      </w:r>
    </w:p>
    <w:p w14:paraId="69F750D7" w14:textId="77777777" w:rsidR="00E9766E" w:rsidRPr="00776407" w:rsidRDefault="00E9766E" w:rsidP="00E9766E">
      <w:pPr>
        <w:rPr>
          <w:sz w:val="22"/>
          <w:szCs w:val="22"/>
        </w:rPr>
      </w:pPr>
      <w:r w:rsidRPr="00776407">
        <w:rPr>
          <w:sz w:val="22"/>
          <w:szCs w:val="22"/>
        </w:rPr>
        <w:t xml:space="preserve">Jeigu vartojant imatinibo atsiranda sunkių nehematologinių nepageidaujamų reakcijų, gydymą būtina nutraukti tol, kol šie reiškiniai išnyksta. Vėliau, jei reikia, gydymą galima atnaujinti atsižvelgiant į pradinį nepageidaujamų reiškinių sunkumą. </w:t>
      </w:r>
    </w:p>
    <w:p w14:paraId="4FE53E57" w14:textId="77777777" w:rsidR="00E9766E" w:rsidRPr="00776407" w:rsidRDefault="00E9766E" w:rsidP="00E9766E">
      <w:pPr>
        <w:rPr>
          <w:sz w:val="22"/>
          <w:szCs w:val="22"/>
        </w:rPr>
      </w:pPr>
    </w:p>
    <w:p w14:paraId="28958193" w14:textId="77777777" w:rsidR="00E9766E" w:rsidRPr="00776407" w:rsidRDefault="00E9766E" w:rsidP="00E9766E">
      <w:pPr>
        <w:rPr>
          <w:sz w:val="22"/>
          <w:szCs w:val="22"/>
        </w:rPr>
      </w:pPr>
      <w:r w:rsidRPr="00776407">
        <w:rPr>
          <w:sz w:val="22"/>
          <w:szCs w:val="22"/>
        </w:rPr>
        <w:t>Jei bilirubino koncentracija &gt; 3 kartus yra didesnė už nustatytą viršutinę normos ribą (NVNR) ar kepenų transaminazių koncentracija &gt; 5 kartus didesnė už NVNR, imatinibo nevartoti</w:t>
      </w:r>
      <w:r w:rsidR="00BC26C4" w:rsidRPr="00776407">
        <w:rPr>
          <w:sz w:val="22"/>
          <w:szCs w:val="22"/>
        </w:rPr>
        <w:t>, kol bilirubino koncentracija sumažėja &lt; 1,5 karto už NVNR ir transaminazių koncentracija &lt; 2,5 karto už NVNR.</w:t>
      </w:r>
      <w:r w:rsidRPr="00776407">
        <w:rPr>
          <w:sz w:val="22"/>
          <w:szCs w:val="22"/>
        </w:rPr>
        <w:t xml:space="preserve"> Gydymą galima tęsti sumažinta </w:t>
      </w:r>
      <w:r w:rsidR="00A44158" w:rsidRPr="00776407">
        <w:rPr>
          <w:sz w:val="22"/>
          <w:szCs w:val="22"/>
        </w:rPr>
        <w:t>imatinibo</w:t>
      </w:r>
      <w:r w:rsidRPr="00776407">
        <w:rPr>
          <w:sz w:val="22"/>
          <w:szCs w:val="22"/>
        </w:rPr>
        <w:t xml:space="preserve"> paros doze. Suaugusiesiems dozę reikia sumažinti nuo </w:t>
      </w:r>
      <w:r w:rsidR="005C0037" w:rsidRPr="00776407">
        <w:rPr>
          <w:sz w:val="22"/>
          <w:szCs w:val="22"/>
        </w:rPr>
        <w:t xml:space="preserve">400 mg iki 300 mg arba nuo </w:t>
      </w:r>
      <w:r w:rsidRPr="00776407">
        <w:rPr>
          <w:sz w:val="22"/>
          <w:szCs w:val="22"/>
        </w:rPr>
        <w:t>600</w:t>
      </w:r>
      <w:r w:rsidR="00A44158" w:rsidRPr="00776407">
        <w:rPr>
          <w:sz w:val="22"/>
          <w:szCs w:val="22"/>
        </w:rPr>
        <w:t> </w:t>
      </w:r>
      <w:r w:rsidRPr="00776407">
        <w:rPr>
          <w:sz w:val="22"/>
          <w:szCs w:val="22"/>
        </w:rPr>
        <w:t>mg iki 400</w:t>
      </w:r>
      <w:r w:rsidR="00A44158" w:rsidRPr="00776407">
        <w:rPr>
          <w:sz w:val="22"/>
          <w:szCs w:val="22"/>
        </w:rPr>
        <w:t> </w:t>
      </w:r>
      <w:r w:rsidRPr="00776407">
        <w:rPr>
          <w:sz w:val="22"/>
          <w:szCs w:val="22"/>
        </w:rPr>
        <w:t>mg ar</w:t>
      </w:r>
      <w:r w:rsidR="004448BA" w:rsidRPr="00776407">
        <w:rPr>
          <w:sz w:val="22"/>
          <w:szCs w:val="22"/>
        </w:rPr>
        <w:t>ba</w:t>
      </w:r>
      <w:r w:rsidRPr="00776407">
        <w:rPr>
          <w:sz w:val="22"/>
          <w:szCs w:val="22"/>
        </w:rPr>
        <w:t xml:space="preserve"> nuo 800</w:t>
      </w:r>
      <w:r w:rsidR="00A44158" w:rsidRPr="00776407">
        <w:rPr>
          <w:sz w:val="22"/>
          <w:szCs w:val="22"/>
        </w:rPr>
        <w:t> </w:t>
      </w:r>
      <w:r w:rsidRPr="00776407">
        <w:rPr>
          <w:sz w:val="22"/>
          <w:szCs w:val="22"/>
        </w:rPr>
        <w:t>mg iki 600</w:t>
      </w:r>
      <w:r w:rsidR="00A44158" w:rsidRPr="00776407">
        <w:rPr>
          <w:sz w:val="22"/>
          <w:szCs w:val="22"/>
        </w:rPr>
        <w:t> </w:t>
      </w:r>
      <w:r w:rsidRPr="00776407">
        <w:rPr>
          <w:sz w:val="22"/>
          <w:szCs w:val="22"/>
        </w:rPr>
        <w:t>mg, o vaikams nuo 340</w:t>
      </w:r>
      <w:r w:rsidR="00A44158" w:rsidRPr="00776407">
        <w:rPr>
          <w:sz w:val="22"/>
          <w:szCs w:val="22"/>
        </w:rPr>
        <w:t> </w:t>
      </w:r>
      <w:r w:rsidRPr="00776407">
        <w:rPr>
          <w:sz w:val="22"/>
          <w:szCs w:val="22"/>
        </w:rPr>
        <w:t>mg/m</w:t>
      </w:r>
      <w:r w:rsidRPr="00776407">
        <w:rPr>
          <w:sz w:val="22"/>
          <w:szCs w:val="22"/>
          <w:vertAlign w:val="superscript"/>
        </w:rPr>
        <w:t>2</w:t>
      </w:r>
      <w:r w:rsidRPr="00776407">
        <w:rPr>
          <w:sz w:val="22"/>
          <w:szCs w:val="22"/>
        </w:rPr>
        <w:t xml:space="preserve"> per parą iki 260</w:t>
      </w:r>
      <w:r w:rsidR="00A44158" w:rsidRPr="00776407">
        <w:rPr>
          <w:sz w:val="22"/>
          <w:szCs w:val="22"/>
        </w:rPr>
        <w:t> </w:t>
      </w:r>
      <w:r w:rsidRPr="00776407">
        <w:rPr>
          <w:sz w:val="22"/>
          <w:szCs w:val="22"/>
        </w:rPr>
        <w:t>mg/m</w:t>
      </w:r>
      <w:r w:rsidRPr="00776407">
        <w:rPr>
          <w:sz w:val="22"/>
          <w:szCs w:val="22"/>
          <w:vertAlign w:val="superscript"/>
        </w:rPr>
        <w:t>2</w:t>
      </w:r>
      <w:r w:rsidRPr="00776407">
        <w:rPr>
          <w:sz w:val="22"/>
          <w:szCs w:val="22"/>
        </w:rPr>
        <w:t xml:space="preserve"> per parą. </w:t>
      </w:r>
    </w:p>
    <w:p w14:paraId="0A98A272" w14:textId="77777777" w:rsidR="00A44158" w:rsidRPr="00776407" w:rsidRDefault="00A44158" w:rsidP="00E9766E">
      <w:pPr>
        <w:rPr>
          <w:sz w:val="22"/>
          <w:szCs w:val="22"/>
        </w:rPr>
      </w:pPr>
    </w:p>
    <w:p w14:paraId="1C9CB22D" w14:textId="77777777" w:rsidR="00E9766E" w:rsidRPr="00776407" w:rsidRDefault="00E9766E" w:rsidP="00E9766E">
      <w:pPr>
        <w:rPr>
          <w:sz w:val="22"/>
          <w:szCs w:val="22"/>
        </w:rPr>
      </w:pPr>
      <w:r w:rsidRPr="00776407">
        <w:rPr>
          <w:i/>
          <w:iCs/>
          <w:sz w:val="22"/>
          <w:szCs w:val="22"/>
        </w:rPr>
        <w:t xml:space="preserve">Hematologinės nepageidaujamos reakcijos </w:t>
      </w:r>
    </w:p>
    <w:p w14:paraId="426C3C1E" w14:textId="77777777" w:rsidR="00E9766E" w:rsidRPr="00776407" w:rsidRDefault="00E9766E" w:rsidP="00E9766E">
      <w:pPr>
        <w:rPr>
          <w:sz w:val="22"/>
          <w:szCs w:val="22"/>
        </w:rPr>
      </w:pPr>
      <w:r w:rsidRPr="00776407">
        <w:rPr>
          <w:sz w:val="22"/>
          <w:szCs w:val="22"/>
        </w:rPr>
        <w:t>Dozės mažinimo ir gydymo pertraukimo rekomendacijos, išryškėjus sunkiai neutropenijai ar trombocitopenijai, nur</w:t>
      </w:r>
      <w:r w:rsidR="00A44158" w:rsidRPr="00776407">
        <w:rPr>
          <w:sz w:val="22"/>
          <w:szCs w:val="22"/>
        </w:rPr>
        <w:t xml:space="preserve">odytos lentelėje žemiau. </w:t>
      </w:r>
    </w:p>
    <w:p w14:paraId="4D4B2796" w14:textId="77777777" w:rsidR="00E9766E" w:rsidRPr="00776407" w:rsidRDefault="00E9766E" w:rsidP="00E9766E">
      <w:pPr>
        <w:rPr>
          <w:sz w:val="22"/>
          <w:szCs w:val="22"/>
        </w:rPr>
      </w:pPr>
    </w:p>
    <w:p w14:paraId="573A736B" w14:textId="77777777" w:rsidR="00A44158" w:rsidRPr="00776407" w:rsidRDefault="00A44158" w:rsidP="00E9766E">
      <w:pPr>
        <w:rPr>
          <w:sz w:val="22"/>
          <w:szCs w:val="22"/>
        </w:rPr>
      </w:pPr>
      <w:r w:rsidRPr="00776407">
        <w:rPr>
          <w:sz w:val="22"/>
          <w:szCs w:val="22"/>
        </w:rPr>
        <w:t>Dozės korekcija, kai yra neutropenija ir trombocitopenija:</w:t>
      </w:r>
    </w:p>
    <w:p w14:paraId="786AA61C" w14:textId="77777777" w:rsidR="00A44158" w:rsidRPr="00776407" w:rsidRDefault="00A44158" w:rsidP="00A44158">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335"/>
      </w:tblGrid>
      <w:tr w:rsidR="003D2361" w:rsidRPr="00776407" w14:paraId="23EB5CD7" w14:textId="77777777" w:rsidTr="00B41869">
        <w:tc>
          <w:tcPr>
            <w:tcW w:w="2605" w:type="dxa"/>
          </w:tcPr>
          <w:p w14:paraId="2E738300" w14:textId="77777777" w:rsidR="003D2361" w:rsidRPr="00776407" w:rsidRDefault="003D2361" w:rsidP="003D2361">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HES/LEL (pradinė dozė – 100 mg) </w:t>
            </w:r>
          </w:p>
        </w:tc>
        <w:tc>
          <w:tcPr>
            <w:tcW w:w="2606" w:type="dxa"/>
          </w:tcPr>
          <w:p w14:paraId="2075502C" w14:textId="77777777" w:rsidR="003D2361" w:rsidRPr="00776407" w:rsidRDefault="003D2361" w:rsidP="003D2361">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ANS &lt; 1,0 x 10</w:t>
            </w:r>
            <w:r w:rsidRPr="00776407">
              <w:rPr>
                <w:rFonts w:ascii="Times New Roman" w:hAnsi="Times New Roman" w:cs="Times New Roman"/>
                <w:sz w:val="22"/>
                <w:szCs w:val="22"/>
                <w:vertAlign w:val="superscript"/>
                <w:lang w:val="lt-LT"/>
              </w:rPr>
              <w:t>9</w:t>
            </w:r>
            <w:r w:rsidRPr="00776407">
              <w:rPr>
                <w:rFonts w:ascii="Times New Roman" w:hAnsi="Times New Roman" w:cs="Times New Roman"/>
                <w:sz w:val="22"/>
                <w:szCs w:val="22"/>
                <w:lang w:val="lt-LT"/>
              </w:rPr>
              <w:t xml:space="preserve">/l </w:t>
            </w:r>
          </w:p>
          <w:p w14:paraId="4F91722A" w14:textId="77777777" w:rsidR="007A0F0A" w:rsidRPr="00776407" w:rsidRDefault="003D2361" w:rsidP="003D2361">
            <w:pPr>
              <w:autoSpaceDE w:val="0"/>
              <w:autoSpaceDN w:val="0"/>
              <w:adjustRightInd w:val="0"/>
              <w:rPr>
                <w:sz w:val="22"/>
                <w:szCs w:val="22"/>
              </w:rPr>
            </w:pPr>
            <w:r w:rsidRPr="00776407">
              <w:rPr>
                <w:sz w:val="22"/>
                <w:szCs w:val="22"/>
              </w:rPr>
              <w:t xml:space="preserve">ir (ar) </w:t>
            </w:r>
          </w:p>
          <w:p w14:paraId="19D5885B" w14:textId="77777777" w:rsidR="003D2361" w:rsidRPr="00776407" w:rsidRDefault="003D2361" w:rsidP="003D2361">
            <w:pPr>
              <w:autoSpaceDE w:val="0"/>
              <w:autoSpaceDN w:val="0"/>
              <w:adjustRightInd w:val="0"/>
              <w:rPr>
                <w:sz w:val="22"/>
                <w:szCs w:val="22"/>
              </w:rPr>
            </w:pPr>
            <w:r w:rsidRPr="00776407">
              <w:rPr>
                <w:sz w:val="22"/>
                <w:szCs w:val="22"/>
              </w:rPr>
              <w:t>trombocitų &lt; 50 x 10</w:t>
            </w:r>
            <w:r w:rsidRPr="00776407">
              <w:rPr>
                <w:sz w:val="22"/>
                <w:szCs w:val="22"/>
                <w:vertAlign w:val="superscript"/>
              </w:rPr>
              <w:t>9</w:t>
            </w:r>
            <w:r w:rsidRPr="00776407">
              <w:rPr>
                <w:sz w:val="22"/>
                <w:szCs w:val="22"/>
              </w:rPr>
              <w:t xml:space="preserve">/l </w:t>
            </w:r>
          </w:p>
        </w:tc>
        <w:tc>
          <w:tcPr>
            <w:tcW w:w="4335" w:type="dxa"/>
          </w:tcPr>
          <w:p w14:paraId="2FDCCF65" w14:textId="77777777" w:rsidR="003D2361" w:rsidRPr="00776407" w:rsidRDefault="003D2361" w:rsidP="00617AA7">
            <w:pPr>
              <w:pStyle w:val="Default"/>
              <w:ind w:left="601" w:hanging="601"/>
              <w:rPr>
                <w:rFonts w:ascii="Times New Roman" w:hAnsi="Times New Roman" w:cs="Times New Roman"/>
                <w:sz w:val="22"/>
                <w:szCs w:val="22"/>
                <w:lang w:val="lt-LT"/>
              </w:rPr>
            </w:pPr>
            <w:r w:rsidRPr="00776407">
              <w:rPr>
                <w:sz w:val="22"/>
                <w:szCs w:val="22"/>
                <w:lang w:val="lt-LT"/>
              </w:rPr>
              <w:t>1</w:t>
            </w:r>
            <w:r w:rsidRPr="00776407">
              <w:rPr>
                <w:rFonts w:ascii="Times New Roman" w:hAnsi="Times New Roman" w:cs="Times New Roman"/>
                <w:sz w:val="22"/>
                <w:szCs w:val="22"/>
                <w:lang w:val="lt-LT"/>
              </w:rPr>
              <w:t>.</w:t>
            </w:r>
            <w:r w:rsidR="00617AA7" w:rsidRPr="00776407">
              <w:rPr>
                <w:sz w:val="22"/>
                <w:szCs w:val="22"/>
                <w:lang w:val="lt-LT"/>
              </w:rPr>
              <w:tab/>
            </w:r>
            <w:r w:rsidRPr="00776407">
              <w:rPr>
                <w:rFonts w:ascii="Times New Roman" w:hAnsi="Times New Roman" w:cs="Times New Roman"/>
                <w:sz w:val="22"/>
                <w:szCs w:val="22"/>
                <w:lang w:val="lt-LT"/>
              </w:rPr>
              <w:t xml:space="preserve">Imatinibo vartojimą nutraukti, kol ANS bus </w:t>
            </w:r>
            <w:r w:rsidRPr="00776407">
              <w:rPr>
                <w:sz w:val="22"/>
                <w:szCs w:val="22"/>
                <w:lang w:val="lt-LT"/>
              </w:rPr>
              <w:t>≥ </w:t>
            </w:r>
            <w:r w:rsidRPr="00776407">
              <w:rPr>
                <w:rFonts w:ascii="Times New Roman" w:hAnsi="Times New Roman" w:cs="Times New Roman"/>
                <w:sz w:val="22"/>
                <w:szCs w:val="22"/>
                <w:lang w:val="lt-LT"/>
              </w:rPr>
              <w:t>1,5 x 10</w:t>
            </w:r>
            <w:r w:rsidRPr="00776407">
              <w:rPr>
                <w:rFonts w:ascii="Times New Roman" w:hAnsi="Times New Roman" w:cs="Times New Roman"/>
                <w:sz w:val="22"/>
                <w:szCs w:val="22"/>
                <w:vertAlign w:val="superscript"/>
                <w:lang w:val="lt-LT"/>
              </w:rPr>
              <w:t>9</w:t>
            </w:r>
            <w:r w:rsidRPr="00776407">
              <w:rPr>
                <w:rFonts w:ascii="Times New Roman" w:hAnsi="Times New Roman" w:cs="Times New Roman"/>
                <w:sz w:val="22"/>
                <w:szCs w:val="22"/>
                <w:lang w:val="lt-LT"/>
              </w:rPr>
              <w:t xml:space="preserve">/l ir trombocitų </w:t>
            </w:r>
            <w:r w:rsidRPr="00776407">
              <w:rPr>
                <w:sz w:val="22"/>
                <w:szCs w:val="22"/>
                <w:lang w:val="lt-LT"/>
              </w:rPr>
              <w:t>≥ </w:t>
            </w:r>
            <w:r w:rsidRPr="00776407">
              <w:rPr>
                <w:rFonts w:ascii="Times New Roman" w:hAnsi="Times New Roman" w:cs="Times New Roman"/>
                <w:sz w:val="22"/>
                <w:szCs w:val="22"/>
                <w:lang w:val="lt-LT"/>
              </w:rPr>
              <w:t>75 x 10</w:t>
            </w:r>
            <w:r w:rsidRPr="00776407">
              <w:rPr>
                <w:rFonts w:ascii="Times New Roman" w:hAnsi="Times New Roman" w:cs="Times New Roman"/>
                <w:sz w:val="22"/>
                <w:szCs w:val="22"/>
                <w:vertAlign w:val="superscript"/>
                <w:lang w:val="lt-LT"/>
              </w:rPr>
              <w:t>9</w:t>
            </w:r>
            <w:r w:rsidRPr="00776407">
              <w:rPr>
                <w:rFonts w:ascii="Times New Roman" w:hAnsi="Times New Roman" w:cs="Times New Roman"/>
                <w:sz w:val="22"/>
                <w:szCs w:val="22"/>
                <w:lang w:val="lt-LT"/>
              </w:rPr>
              <w:t xml:space="preserve">/l. </w:t>
            </w:r>
          </w:p>
          <w:p w14:paraId="450D2258" w14:textId="5E35A282" w:rsidR="003D2361" w:rsidRPr="00776407" w:rsidRDefault="003D2361" w:rsidP="00617AA7">
            <w:pPr>
              <w:autoSpaceDE w:val="0"/>
              <w:autoSpaceDN w:val="0"/>
              <w:adjustRightInd w:val="0"/>
              <w:ind w:left="601" w:hanging="601"/>
              <w:rPr>
                <w:sz w:val="22"/>
                <w:szCs w:val="22"/>
              </w:rPr>
            </w:pPr>
            <w:r w:rsidRPr="00776407">
              <w:rPr>
                <w:sz w:val="22"/>
                <w:szCs w:val="22"/>
              </w:rPr>
              <w:t>2.</w:t>
            </w:r>
            <w:r w:rsidR="00617AA7" w:rsidRPr="00776407">
              <w:rPr>
                <w:sz w:val="22"/>
                <w:szCs w:val="22"/>
              </w:rPr>
              <w:tab/>
            </w:r>
            <w:r w:rsidRPr="00776407">
              <w:rPr>
                <w:sz w:val="22"/>
                <w:szCs w:val="22"/>
              </w:rPr>
              <w:t xml:space="preserve">Gydymą </w:t>
            </w:r>
            <w:r w:rsidR="00A74CEF" w:rsidRPr="00776407">
              <w:rPr>
                <w:sz w:val="22"/>
                <w:szCs w:val="22"/>
              </w:rPr>
              <w:t>imatinibu</w:t>
            </w:r>
            <w:r w:rsidRPr="00776407">
              <w:rPr>
                <w:sz w:val="22"/>
                <w:szCs w:val="22"/>
              </w:rPr>
              <w:t xml:space="preserve"> atnaujinti anksčiau vartota doze (t.</w:t>
            </w:r>
            <w:r w:rsidR="00B03979" w:rsidRPr="00776407">
              <w:rPr>
                <w:sz w:val="22"/>
                <w:szCs w:val="22"/>
              </w:rPr>
              <w:t> </w:t>
            </w:r>
            <w:r w:rsidRPr="00776407">
              <w:rPr>
                <w:sz w:val="22"/>
                <w:szCs w:val="22"/>
              </w:rPr>
              <w:t xml:space="preserve">y. ta, kuri buvo vartota prieš pasireiškiant stipriai nepageidaujamai reakcijai). </w:t>
            </w:r>
          </w:p>
        </w:tc>
      </w:tr>
      <w:tr w:rsidR="003D2361" w:rsidRPr="00776407" w14:paraId="309CB08A" w14:textId="77777777" w:rsidTr="00B41869">
        <w:tc>
          <w:tcPr>
            <w:tcW w:w="2605" w:type="dxa"/>
          </w:tcPr>
          <w:p w14:paraId="175579E7" w14:textId="77777777" w:rsidR="00A74CEF" w:rsidRPr="00776407" w:rsidRDefault="00A74CEF" w:rsidP="00A74CEF">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Lėtinė MDS/ MPL fazė (pradinė dozė – 400 mg) </w:t>
            </w:r>
          </w:p>
          <w:p w14:paraId="45324592" w14:textId="77777777" w:rsidR="003D2361" w:rsidRPr="00776407" w:rsidRDefault="00A74CEF" w:rsidP="00A74CEF">
            <w:pPr>
              <w:autoSpaceDE w:val="0"/>
              <w:autoSpaceDN w:val="0"/>
              <w:adjustRightInd w:val="0"/>
              <w:rPr>
                <w:sz w:val="22"/>
                <w:szCs w:val="22"/>
              </w:rPr>
            </w:pPr>
            <w:r w:rsidRPr="00776407">
              <w:rPr>
                <w:sz w:val="22"/>
                <w:szCs w:val="22"/>
              </w:rPr>
              <w:t>HES/LEL (400 mg dozė)</w:t>
            </w:r>
          </w:p>
        </w:tc>
        <w:tc>
          <w:tcPr>
            <w:tcW w:w="2606" w:type="dxa"/>
          </w:tcPr>
          <w:p w14:paraId="34A3C3C9" w14:textId="77777777" w:rsidR="00A74CEF" w:rsidRPr="00776407" w:rsidRDefault="00A74CEF" w:rsidP="00A74CEF">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ANS &lt; 1,0 x 10</w:t>
            </w:r>
            <w:r w:rsidRPr="00776407">
              <w:rPr>
                <w:rFonts w:ascii="Times New Roman" w:hAnsi="Times New Roman" w:cs="Times New Roman"/>
                <w:sz w:val="22"/>
                <w:szCs w:val="22"/>
                <w:vertAlign w:val="superscript"/>
                <w:lang w:val="lt-LT"/>
              </w:rPr>
              <w:t>9</w:t>
            </w:r>
            <w:r w:rsidRPr="00776407">
              <w:rPr>
                <w:rFonts w:ascii="Times New Roman" w:hAnsi="Times New Roman" w:cs="Times New Roman"/>
                <w:sz w:val="22"/>
                <w:szCs w:val="22"/>
                <w:lang w:val="lt-LT"/>
              </w:rPr>
              <w:t xml:space="preserve">/l </w:t>
            </w:r>
          </w:p>
          <w:p w14:paraId="099AD662" w14:textId="77777777" w:rsidR="00A74CEF" w:rsidRPr="00776407" w:rsidRDefault="00A74CEF" w:rsidP="00A74CEF">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ir (ar) </w:t>
            </w:r>
          </w:p>
          <w:p w14:paraId="141F1158" w14:textId="77777777" w:rsidR="003D2361" w:rsidRPr="00776407" w:rsidRDefault="00A74CEF" w:rsidP="00A74CEF">
            <w:pPr>
              <w:autoSpaceDE w:val="0"/>
              <w:autoSpaceDN w:val="0"/>
              <w:adjustRightInd w:val="0"/>
              <w:rPr>
                <w:sz w:val="22"/>
                <w:szCs w:val="22"/>
              </w:rPr>
            </w:pPr>
            <w:r w:rsidRPr="00776407">
              <w:rPr>
                <w:sz w:val="22"/>
                <w:szCs w:val="22"/>
              </w:rPr>
              <w:t>trombocitų &lt; 50 x 10</w:t>
            </w:r>
            <w:r w:rsidRPr="00776407">
              <w:rPr>
                <w:sz w:val="22"/>
                <w:szCs w:val="22"/>
                <w:vertAlign w:val="superscript"/>
              </w:rPr>
              <w:t>9</w:t>
            </w:r>
            <w:r w:rsidRPr="00776407">
              <w:rPr>
                <w:sz w:val="22"/>
                <w:szCs w:val="22"/>
              </w:rPr>
              <w:t xml:space="preserve">/l </w:t>
            </w:r>
          </w:p>
        </w:tc>
        <w:tc>
          <w:tcPr>
            <w:tcW w:w="4335" w:type="dxa"/>
          </w:tcPr>
          <w:p w14:paraId="06E9291A" w14:textId="77777777" w:rsidR="007A0F0A" w:rsidRPr="00776407" w:rsidRDefault="007A0F0A" w:rsidP="00617AA7">
            <w:pPr>
              <w:pStyle w:val="Default"/>
              <w:ind w:left="601" w:hanging="601"/>
              <w:rPr>
                <w:rFonts w:ascii="Times New Roman" w:hAnsi="Times New Roman" w:cs="Times New Roman"/>
                <w:sz w:val="22"/>
                <w:szCs w:val="22"/>
                <w:lang w:val="lt-LT"/>
              </w:rPr>
            </w:pPr>
            <w:r w:rsidRPr="00776407">
              <w:rPr>
                <w:rFonts w:ascii="Times New Roman" w:hAnsi="Times New Roman" w:cs="Times New Roman"/>
                <w:sz w:val="22"/>
                <w:szCs w:val="22"/>
                <w:lang w:val="lt-LT"/>
              </w:rPr>
              <w:t>1.</w:t>
            </w:r>
            <w:r w:rsidR="00617AA7" w:rsidRPr="00776407">
              <w:rPr>
                <w:sz w:val="22"/>
                <w:szCs w:val="22"/>
                <w:lang w:val="lt-LT"/>
              </w:rPr>
              <w:tab/>
            </w:r>
            <w:r w:rsidR="008B046E" w:rsidRPr="00776407">
              <w:rPr>
                <w:rFonts w:ascii="Times New Roman" w:hAnsi="Times New Roman" w:cs="Times New Roman"/>
                <w:sz w:val="22"/>
                <w:szCs w:val="22"/>
                <w:lang w:val="lt-LT"/>
              </w:rPr>
              <w:t>Imatinibo</w:t>
            </w:r>
            <w:r w:rsidRPr="00776407">
              <w:rPr>
                <w:rFonts w:ascii="Times New Roman" w:hAnsi="Times New Roman" w:cs="Times New Roman"/>
                <w:sz w:val="22"/>
                <w:szCs w:val="22"/>
                <w:lang w:val="lt-LT"/>
              </w:rPr>
              <w:t xml:space="preserve"> vartojimą nutraukti, kol </w:t>
            </w:r>
            <w:bookmarkStart w:id="1" w:name="OLE_LINK1"/>
            <w:bookmarkStart w:id="2" w:name="OLE_LINK2"/>
            <w:r w:rsidRPr="00776407">
              <w:rPr>
                <w:rFonts w:ascii="Times New Roman" w:hAnsi="Times New Roman" w:cs="Times New Roman"/>
                <w:sz w:val="22"/>
                <w:szCs w:val="22"/>
                <w:lang w:val="lt-LT"/>
              </w:rPr>
              <w:t xml:space="preserve">ANS bus </w:t>
            </w:r>
            <w:r w:rsidR="008B046E" w:rsidRPr="00776407">
              <w:rPr>
                <w:rFonts w:ascii="Times New Roman" w:hAnsi="Times New Roman" w:cs="Times New Roman"/>
                <w:sz w:val="22"/>
                <w:szCs w:val="22"/>
                <w:lang w:val="lt-LT"/>
              </w:rPr>
              <w:t>≥ 1,5 x 10</w:t>
            </w:r>
            <w:r w:rsidR="008B046E" w:rsidRPr="00776407">
              <w:rPr>
                <w:rFonts w:ascii="Times New Roman" w:hAnsi="Times New Roman" w:cs="Times New Roman"/>
                <w:sz w:val="22"/>
                <w:szCs w:val="22"/>
                <w:vertAlign w:val="superscript"/>
                <w:lang w:val="lt-LT"/>
              </w:rPr>
              <w:t>9</w:t>
            </w:r>
            <w:r w:rsidR="008B046E" w:rsidRPr="00776407">
              <w:rPr>
                <w:rFonts w:ascii="Times New Roman" w:hAnsi="Times New Roman" w:cs="Times New Roman"/>
                <w:sz w:val="22"/>
                <w:szCs w:val="22"/>
                <w:lang w:val="lt-LT"/>
              </w:rPr>
              <w:t xml:space="preserve">/l </w:t>
            </w:r>
            <w:r w:rsidRPr="00776407">
              <w:rPr>
                <w:rFonts w:ascii="Times New Roman" w:hAnsi="Times New Roman" w:cs="Times New Roman"/>
                <w:sz w:val="22"/>
                <w:szCs w:val="22"/>
                <w:lang w:val="lt-LT"/>
              </w:rPr>
              <w:t xml:space="preserve">ir trombocitų </w:t>
            </w:r>
            <w:r w:rsidR="008B046E" w:rsidRPr="00776407">
              <w:rPr>
                <w:sz w:val="22"/>
                <w:szCs w:val="22"/>
                <w:lang w:val="lt-LT"/>
              </w:rPr>
              <w:t>≥ </w:t>
            </w:r>
            <w:r w:rsidRPr="00776407">
              <w:rPr>
                <w:rFonts w:ascii="Times New Roman" w:hAnsi="Times New Roman" w:cs="Times New Roman"/>
                <w:sz w:val="22"/>
                <w:szCs w:val="22"/>
                <w:lang w:val="lt-LT"/>
              </w:rPr>
              <w:t>75</w:t>
            </w:r>
            <w:r w:rsidR="008B046E" w:rsidRPr="00776407">
              <w:rPr>
                <w:rFonts w:ascii="Times New Roman" w:hAnsi="Times New Roman" w:cs="Times New Roman"/>
                <w:sz w:val="22"/>
                <w:szCs w:val="22"/>
                <w:lang w:val="lt-LT"/>
              </w:rPr>
              <w:t> </w:t>
            </w:r>
            <w:r w:rsidRPr="00776407">
              <w:rPr>
                <w:rFonts w:ascii="Times New Roman" w:hAnsi="Times New Roman" w:cs="Times New Roman"/>
                <w:sz w:val="22"/>
                <w:szCs w:val="22"/>
                <w:lang w:val="lt-LT"/>
              </w:rPr>
              <w:t>x</w:t>
            </w:r>
            <w:r w:rsidR="008B046E" w:rsidRPr="00776407">
              <w:rPr>
                <w:rFonts w:ascii="Times New Roman" w:hAnsi="Times New Roman" w:cs="Times New Roman"/>
                <w:sz w:val="22"/>
                <w:szCs w:val="22"/>
                <w:lang w:val="lt-LT"/>
              </w:rPr>
              <w:t> </w:t>
            </w:r>
            <w:r w:rsidRPr="00776407">
              <w:rPr>
                <w:rFonts w:ascii="Times New Roman" w:hAnsi="Times New Roman" w:cs="Times New Roman"/>
                <w:sz w:val="22"/>
                <w:szCs w:val="22"/>
                <w:lang w:val="lt-LT"/>
              </w:rPr>
              <w:t>10</w:t>
            </w:r>
            <w:r w:rsidRPr="00776407">
              <w:rPr>
                <w:rFonts w:ascii="Times New Roman" w:hAnsi="Times New Roman" w:cs="Times New Roman"/>
                <w:sz w:val="22"/>
                <w:szCs w:val="22"/>
                <w:vertAlign w:val="superscript"/>
                <w:lang w:val="lt-LT"/>
              </w:rPr>
              <w:t>9</w:t>
            </w:r>
            <w:r w:rsidRPr="00776407">
              <w:rPr>
                <w:rFonts w:ascii="Times New Roman" w:hAnsi="Times New Roman" w:cs="Times New Roman"/>
                <w:sz w:val="22"/>
                <w:szCs w:val="22"/>
                <w:lang w:val="lt-LT"/>
              </w:rPr>
              <w:t xml:space="preserve">/l. </w:t>
            </w:r>
          </w:p>
          <w:bookmarkEnd w:id="1"/>
          <w:bookmarkEnd w:id="2"/>
          <w:p w14:paraId="39DA6C8A" w14:textId="4AA838A8" w:rsidR="007A0F0A" w:rsidRPr="00776407" w:rsidRDefault="007A0F0A" w:rsidP="00617AA7">
            <w:pPr>
              <w:pStyle w:val="Default"/>
              <w:ind w:left="601" w:hanging="601"/>
              <w:rPr>
                <w:rFonts w:ascii="Times New Roman" w:hAnsi="Times New Roman" w:cs="Times New Roman"/>
                <w:sz w:val="22"/>
                <w:szCs w:val="22"/>
                <w:lang w:val="lt-LT"/>
              </w:rPr>
            </w:pPr>
            <w:r w:rsidRPr="00776407">
              <w:rPr>
                <w:rFonts w:ascii="Times New Roman" w:hAnsi="Times New Roman" w:cs="Times New Roman"/>
                <w:sz w:val="22"/>
                <w:szCs w:val="22"/>
                <w:lang w:val="lt-LT"/>
              </w:rPr>
              <w:t>2.</w:t>
            </w:r>
            <w:r w:rsidR="00617AA7" w:rsidRPr="00776407">
              <w:rPr>
                <w:sz w:val="22"/>
                <w:szCs w:val="22"/>
                <w:lang w:val="lt-LT"/>
              </w:rPr>
              <w:tab/>
            </w:r>
            <w:r w:rsidRPr="00776407">
              <w:rPr>
                <w:rFonts w:ascii="Times New Roman" w:hAnsi="Times New Roman" w:cs="Times New Roman"/>
                <w:sz w:val="22"/>
                <w:szCs w:val="22"/>
                <w:lang w:val="lt-LT"/>
              </w:rPr>
              <w:t xml:space="preserve">Gydymą </w:t>
            </w:r>
            <w:r w:rsidR="008B046E" w:rsidRPr="00776407">
              <w:rPr>
                <w:rFonts w:ascii="Times New Roman" w:hAnsi="Times New Roman" w:cs="Times New Roman"/>
                <w:sz w:val="22"/>
                <w:szCs w:val="22"/>
                <w:lang w:val="lt-LT"/>
              </w:rPr>
              <w:t>imatinibu</w:t>
            </w:r>
            <w:r w:rsidRPr="00776407">
              <w:rPr>
                <w:rFonts w:ascii="Times New Roman" w:hAnsi="Times New Roman" w:cs="Times New Roman"/>
                <w:sz w:val="22"/>
                <w:szCs w:val="22"/>
                <w:lang w:val="lt-LT"/>
              </w:rPr>
              <w:t xml:space="preserve"> atnaujinti anksčiau vartota doze (t.</w:t>
            </w:r>
            <w:r w:rsidR="00B03979" w:rsidRPr="00776407">
              <w:rPr>
                <w:rFonts w:ascii="Times New Roman" w:hAnsi="Times New Roman" w:cs="Times New Roman"/>
                <w:sz w:val="22"/>
                <w:szCs w:val="22"/>
                <w:lang w:val="lt-LT"/>
              </w:rPr>
              <w:t> </w:t>
            </w:r>
            <w:r w:rsidRPr="00776407">
              <w:rPr>
                <w:rFonts w:ascii="Times New Roman" w:hAnsi="Times New Roman" w:cs="Times New Roman"/>
                <w:sz w:val="22"/>
                <w:szCs w:val="22"/>
                <w:lang w:val="lt-LT"/>
              </w:rPr>
              <w:t xml:space="preserve">y. ta, kuri buvo vartota prieš pasireiškiant stipriai nepageidaujamai reakcijai). </w:t>
            </w:r>
          </w:p>
          <w:p w14:paraId="0B82B66A" w14:textId="77777777" w:rsidR="003D2361" w:rsidRPr="00776407" w:rsidRDefault="00617AA7" w:rsidP="00CD0BB5">
            <w:pPr>
              <w:autoSpaceDE w:val="0"/>
              <w:autoSpaceDN w:val="0"/>
              <w:adjustRightInd w:val="0"/>
              <w:ind w:left="601" w:hanging="601"/>
              <w:rPr>
                <w:sz w:val="22"/>
                <w:szCs w:val="22"/>
              </w:rPr>
            </w:pPr>
            <w:r w:rsidRPr="00776407">
              <w:rPr>
                <w:sz w:val="22"/>
                <w:szCs w:val="22"/>
              </w:rPr>
              <w:t>3.</w:t>
            </w:r>
            <w:r w:rsidRPr="00776407">
              <w:rPr>
                <w:sz w:val="22"/>
                <w:szCs w:val="22"/>
              </w:rPr>
              <w:tab/>
            </w:r>
            <w:r w:rsidR="007A0F0A" w:rsidRPr="00776407">
              <w:rPr>
                <w:sz w:val="22"/>
                <w:szCs w:val="22"/>
              </w:rPr>
              <w:t>Kartotinai sumažėjus ANS &lt;</w:t>
            </w:r>
            <w:r w:rsidR="008B046E" w:rsidRPr="00776407">
              <w:rPr>
                <w:sz w:val="22"/>
                <w:szCs w:val="22"/>
              </w:rPr>
              <w:t> </w:t>
            </w:r>
            <w:r w:rsidR="007A0F0A" w:rsidRPr="00776407">
              <w:rPr>
                <w:sz w:val="22"/>
                <w:szCs w:val="22"/>
              </w:rPr>
              <w:t>1,0</w:t>
            </w:r>
            <w:r w:rsidR="008B046E" w:rsidRPr="00776407">
              <w:rPr>
                <w:sz w:val="22"/>
                <w:szCs w:val="22"/>
              </w:rPr>
              <w:t> </w:t>
            </w:r>
            <w:r w:rsidR="007A0F0A" w:rsidRPr="00776407">
              <w:rPr>
                <w:sz w:val="22"/>
                <w:szCs w:val="22"/>
              </w:rPr>
              <w:t>x</w:t>
            </w:r>
            <w:r w:rsidR="008B046E" w:rsidRPr="00776407">
              <w:rPr>
                <w:sz w:val="22"/>
                <w:szCs w:val="22"/>
              </w:rPr>
              <w:t> </w:t>
            </w:r>
            <w:r w:rsidR="007A0F0A" w:rsidRPr="00776407">
              <w:rPr>
                <w:sz w:val="22"/>
                <w:szCs w:val="22"/>
              </w:rPr>
              <w:t>10</w:t>
            </w:r>
            <w:r w:rsidR="007A0F0A" w:rsidRPr="00776407">
              <w:rPr>
                <w:sz w:val="22"/>
                <w:szCs w:val="22"/>
                <w:vertAlign w:val="superscript"/>
              </w:rPr>
              <w:t>9</w:t>
            </w:r>
            <w:r w:rsidR="007A0F0A" w:rsidRPr="00776407">
              <w:rPr>
                <w:sz w:val="22"/>
                <w:szCs w:val="22"/>
              </w:rPr>
              <w:t>/l ir trombocitų &lt;</w:t>
            </w:r>
            <w:r w:rsidR="008B046E" w:rsidRPr="00776407">
              <w:rPr>
                <w:sz w:val="22"/>
                <w:szCs w:val="22"/>
              </w:rPr>
              <w:t> </w:t>
            </w:r>
            <w:r w:rsidR="007A0F0A" w:rsidRPr="00776407">
              <w:rPr>
                <w:sz w:val="22"/>
                <w:szCs w:val="22"/>
              </w:rPr>
              <w:t>50</w:t>
            </w:r>
            <w:r w:rsidR="008B046E" w:rsidRPr="00776407">
              <w:rPr>
                <w:sz w:val="22"/>
                <w:szCs w:val="22"/>
              </w:rPr>
              <w:t> </w:t>
            </w:r>
            <w:r w:rsidR="007A0F0A" w:rsidRPr="00776407">
              <w:rPr>
                <w:sz w:val="22"/>
                <w:szCs w:val="22"/>
              </w:rPr>
              <w:t>x</w:t>
            </w:r>
            <w:r w:rsidR="008B046E" w:rsidRPr="00776407">
              <w:rPr>
                <w:sz w:val="22"/>
                <w:szCs w:val="22"/>
              </w:rPr>
              <w:t> </w:t>
            </w:r>
            <w:r w:rsidR="007A0F0A" w:rsidRPr="00776407">
              <w:rPr>
                <w:sz w:val="22"/>
                <w:szCs w:val="22"/>
              </w:rPr>
              <w:t>10</w:t>
            </w:r>
            <w:r w:rsidR="007A0F0A" w:rsidRPr="00776407">
              <w:rPr>
                <w:sz w:val="22"/>
                <w:szCs w:val="22"/>
                <w:vertAlign w:val="superscript"/>
              </w:rPr>
              <w:t>9</w:t>
            </w:r>
            <w:r w:rsidR="007A0F0A" w:rsidRPr="00776407">
              <w:rPr>
                <w:sz w:val="22"/>
                <w:szCs w:val="22"/>
              </w:rPr>
              <w:t xml:space="preserve">/l, kartoti nuo 1-ojo punkto ir gydymą </w:t>
            </w:r>
            <w:r w:rsidR="008B046E" w:rsidRPr="00776407">
              <w:rPr>
                <w:sz w:val="22"/>
                <w:szCs w:val="22"/>
              </w:rPr>
              <w:t>imatinibu</w:t>
            </w:r>
            <w:r w:rsidR="007A0F0A" w:rsidRPr="00776407">
              <w:rPr>
                <w:sz w:val="22"/>
                <w:szCs w:val="22"/>
              </w:rPr>
              <w:t xml:space="preserve"> atnaujinti sumažinta 300</w:t>
            </w:r>
            <w:r w:rsidR="008B046E" w:rsidRPr="00776407">
              <w:rPr>
                <w:sz w:val="22"/>
                <w:szCs w:val="22"/>
              </w:rPr>
              <w:t> </w:t>
            </w:r>
            <w:r w:rsidR="007A0F0A" w:rsidRPr="00776407">
              <w:rPr>
                <w:sz w:val="22"/>
                <w:szCs w:val="22"/>
              </w:rPr>
              <w:t xml:space="preserve">mg doze. </w:t>
            </w:r>
          </w:p>
        </w:tc>
      </w:tr>
      <w:tr w:rsidR="00A44158" w:rsidRPr="00776407" w14:paraId="718ED4BF" w14:textId="77777777" w:rsidTr="00B41869">
        <w:tc>
          <w:tcPr>
            <w:tcW w:w="2605" w:type="dxa"/>
          </w:tcPr>
          <w:p w14:paraId="062D622C" w14:textId="77777777" w:rsidR="00A44158" w:rsidRPr="00776407" w:rsidRDefault="00A44158" w:rsidP="00A44158">
            <w:pPr>
              <w:autoSpaceDE w:val="0"/>
              <w:autoSpaceDN w:val="0"/>
              <w:adjustRightInd w:val="0"/>
            </w:pPr>
            <w:r w:rsidRPr="00776407">
              <w:rPr>
                <w:sz w:val="22"/>
                <w:szCs w:val="22"/>
              </w:rPr>
              <w:t>Vaikų lėtinė LML fazė (340 mg/m</w:t>
            </w:r>
            <w:r w:rsidRPr="00776407">
              <w:rPr>
                <w:sz w:val="22"/>
                <w:szCs w:val="22"/>
                <w:vertAlign w:val="superscript"/>
              </w:rPr>
              <w:t xml:space="preserve">2 </w:t>
            </w:r>
            <w:r w:rsidRPr="00776407">
              <w:rPr>
                <w:sz w:val="22"/>
                <w:szCs w:val="22"/>
              </w:rPr>
              <w:t>dozė)</w:t>
            </w:r>
          </w:p>
        </w:tc>
        <w:tc>
          <w:tcPr>
            <w:tcW w:w="2606" w:type="dxa"/>
          </w:tcPr>
          <w:p w14:paraId="161BE2C4" w14:textId="77777777" w:rsidR="00A44158" w:rsidRPr="00776407" w:rsidRDefault="00597153" w:rsidP="00B41869">
            <w:pPr>
              <w:autoSpaceDE w:val="0"/>
              <w:autoSpaceDN w:val="0"/>
              <w:adjustRightInd w:val="0"/>
            </w:pPr>
            <w:r w:rsidRPr="00776407">
              <w:rPr>
                <w:sz w:val="22"/>
                <w:szCs w:val="22"/>
              </w:rPr>
              <w:t>ANS</w:t>
            </w:r>
            <w:r w:rsidR="00A44158" w:rsidRPr="00776407">
              <w:rPr>
                <w:sz w:val="22"/>
                <w:szCs w:val="22"/>
              </w:rPr>
              <w:t> &lt; 1</w:t>
            </w:r>
            <w:r w:rsidR="002A385D" w:rsidRPr="00776407">
              <w:rPr>
                <w:sz w:val="22"/>
                <w:szCs w:val="22"/>
              </w:rPr>
              <w:t>,</w:t>
            </w:r>
            <w:r w:rsidR="00A44158" w:rsidRPr="00776407">
              <w:rPr>
                <w:sz w:val="22"/>
                <w:szCs w:val="22"/>
              </w:rPr>
              <w:t>0 x 10</w:t>
            </w:r>
            <w:r w:rsidR="00A44158" w:rsidRPr="00776407">
              <w:rPr>
                <w:sz w:val="22"/>
                <w:szCs w:val="22"/>
                <w:vertAlign w:val="superscript"/>
              </w:rPr>
              <w:t>9</w:t>
            </w:r>
            <w:r w:rsidR="00A44158" w:rsidRPr="00776407">
              <w:rPr>
                <w:sz w:val="22"/>
                <w:szCs w:val="22"/>
              </w:rPr>
              <w:t>/l ir</w:t>
            </w:r>
            <w:r w:rsidR="00B41869" w:rsidRPr="00776407">
              <w:rPr>
                <w:sz w:val="22"/>
                <w:szCs w:val="22"/>
              </w:rPr>
              <w:t xml:space="preserve"> (</w:t>
            </w:r>
            <w:r w:rsidR="00A44158" w:rsidRPr="00776407">
              <w:rPr>
                <w:sz w:val="22"/>
                <w:szCs w:val="22"/>
              </w:rPr>
              <w:t>ar</w:t>
            </w:r>
            <w:r w:rsidR="00B41869" w:rsidRPr="00776407">
              <w:rPr>
                <w:sz w:val="22"/>
                <w:szCs w:val="22"/>
              </w:rPr>
              <w:t>)</w:t>
            </w:r>
            <w:r w:rsidR="00A44158" w:rsidRPr="00776407">
              <w:rPr>
                <w:sz w:val="22"/>
                <w:szCs w:val="22"/>
              </w:rPr>
              <w:t xml:space="preserve"> trombocitų &lt; 50 x 10</w:t>
            </w:r>
            <w:r w:rsidR="00A44158" w:rsidRPr="00776407">
              <w:rPr>
                <w:sz w:val="22"/>
                <w:szCs w:val="22"/>
                <w:vertAlign w:val="superscript"/>
              </w:rPr>
              <w:t>9</w:t>
            </w:r>
            <w:r w:rsidR="00A44158" w:rsidRPr="00776407">
              <w:rPr>
                <w:sz w:val="22"/>
                <w:szCs w:val="22"/>
              </w:rPr>
              <w:t>/l</w:t>
            </w:r>
          </w:p>
        </w:tc>
        <w:tc>
          <w:tcPr>
            <w:tcW w:w="4335" w:type="dxa"/>
          </w:tcPr>
          <w:p w14:paraId="46D73632" w14:textId="77777777" w:rsidR="00A44158" w:rsidRPr="00776407" w:rsidRDefault="00A44158" w:rsidP="00B41869">
            <w:pPr>
              <w:autoSpaceDE w:val="0"/>
              <w:autoSpaceDN w:val="0"/>
              <w:adjustRightInd w:val="0"/>
              <w:ind w:left="567" w:hanging="567"/>
            </w:pPr>
            <w:r w:rsidRPr="00776407">
              <w:rPr>
                <w:sz w:val="22"/>
                <w:szCs w:val="22"/>
              </w:rPr>
              <w:t>1.</w:t>
            </w:r>
            <w:r w:rsidRPr="00776407">
              <w:rPr>
                <w:sz w:val="22"/>
                <w:szCs w:val="22"/>
              </w:rPr>
              <w:tab/>
              <w:t>Imatinibo vartojimą nutraukti kol AN</w:t>
            </w:r>
            <w:r w:rsidR="00C603F4" w:rsidRPr="00776407">
              <w:rPr>
                <w:sz w:val="22"/>
                <w:szCs w:val="22"/>
              </w:rPr>
              <w:t>S</w:t>
            </w:r>
            <w:r w:rsidRPr="00776407">
              <w:rPr>
                <w:sz w:val="22"/>
                <w:szCs w:val="22"/>
              </w:rPr>
              <w:t xml:space="preserve"> bus ≥ 1</w:t>
            </w:r>
            <w:r w:rsidR="002373C2" w:rsidRPr="00776407">
              <w:rPr>
                <w:sz w:val="22"/>
                <w:szCs w:val="22"/>
              </w:rPr>
              <w:t>,</w:t>
            </w:r>
            <w:r w:rsidRPr="00776407">
              <w:rPr>
                <w:sz w:val="22"/>
                <w:szCs w:val="22"/>
              </w:rPr>
              <w:t>5 x 10</w:t>
            </w:r>
            <w:r w:rsidRPr="00776407">
              <w:rPr>
                <w:sz w:val="22"/>
                <w:szCs w:val="22"/>
                <w:vertAlign w:val="superscript"/>
              </w:rPr>
              <w:t>9</w:t>
            </w:r>
            <w:r w:rsidRPr="00776407">
              <w:rPr>
                <w:sz w:val="22"/>
                <w:szCs w:val="22"/>
              </w:rPr>
              <w:t>/l ir trombocitų ≥ 75 x 10</w:t>
            </w:r>
            <w:r w:rsidRPr="00776407">
              <w:rPr>
                <w:sz w:val="22"/>
                <w:szCs w:val="22"/>
                <w:vertAlign w:val="superscript"/>
              </w:rPr>
              <w:t>9</w:t>
            </w:r>
            <w:r w:rsidRPr="00776407">
              <w:rPr>
                <w:sz w:val="22"/>
                <w:szCs w:val="22"/>
              </w:rPr>
              <w:t>/l.</w:t>
            </w:r>
          </w:p>
          <w:p w14:paraId="4946F075" w14:textId="3292604C" w:rsidR="00A44158" w:rsidRPr="00776407" w:rsidRDefault="00A44158" w:rsidP="00B41869">
            <w:pPr>
              <w:autoSpaceDE w:val="0"/>
              <w:autoSpaceDN w:val="0"/>
              <w:adjustRightInd w:val="0"/>
              <w:ind w:left="567" w:hanging="567"/>
            </w:pPr>
            <w:r w:rsidRPr="00776407">
              <w:rPr>
                <w:sz w:val="22"/>
                <w:szCs w:val="22"/>
              </w:rPr>
              <w:t>2.</w:t>
            </w:r>
            <w:r w:rsidRPr="00776407">
              <w:rPr>
                <w:sz w:val="22"/>
                <w:szCs w:val="22"/>
              </w:rPr>
              <w:tab/>
              <w:t>Gydymą atnaujinti anksčiau vartota doze (t.</w:t>
            </w:r>
            <w:r w:rsidR="00B03979" w:rsidRPr="00776407">
              <w:rPr>
                <w:sz w:val="22"/>
                <w:szCs w:val="22"/>
              </w:rPr>
              <w:t> </w:t>
            </w:r>
            <w:r w:rsidRPr="00776407">
              <w:rPr>
                <w:sz w:val="22"/>
                <w:szCs w:val="22"/>
              </w:rPr>
              <w:t>y. ta, kuri buvo vartota prieš pasireiškiant stipriai nepageidaujamai reakcijai).</w:t>
            </w:r>
          </w:p>
          <w:p w14:paraId="41839F9B" w14:textId="77777777" w:rsidR="00A44158" w:rsidRPr="00776407" w:rsidRDefault="00A44158" w:rsidP="00C603F4">
            <w:pPr>
              <w:autoSpaceDE w:val="0"/>
              <w:autoSpaceDN w:val="0"/>
              <w:adjustRightInd w:val="0"/>
              <w:ind w:left="567" w:hanging="567"/>
            </w:pPr>
            <w:r w:rsidRPr="00776407">
              <w:rPr>
                <w:sz w:val="22"/>
                <w:szCs w:val="22"/>
              </w:rPr>
              <w:t>3.</w:t>
            </w:r>
            <w:r w:rsidRPr="00776407">
              <w:rPr>
                <w:sz w:val="22"/>
                <w:szCs w:val="22"/>
              </w:rPr>
              <w:tab/>
              <w:t>Kartotinai sumažėjus AN</w:t>
            </w:r>
            <w:r w:rsidR="00C603F4" w:rsidRPr="00776407">
              <w:rPr>
                <w:sz w:val="22"/>
                <w:szCs w:val="22"/>
              </w:rPr>
              <w:t>S</w:t>
            </w:r>
            <w:r w:rsidRPr="00776407">
              <w:rPr>
                <w:sz w:val="22"/>
                <w:szCs w:val="22"/>
              </w:rPr>
              <w:t xml:space="preserve"> &lt; 1</w:t>
            </w:r>
            <w:r w:rsidR="002A385D" w:rsidRPr="00776407">
              <w:rPr>
                <w:sz w:val="22"/>
                <w:szCs w:val="22"/>
              </w:rPr>
              <w:t>,</w:t>
            </w:r>
            <w:r w:rsidRPr="00776407">
              <w:rPr>
                <w:sz w:val="22"/>
                <w:szCs w:val="22"/>
              </w:rPr>
              <w:t>0 x 10</w:t>
            </w:r>
            <w:r w:rsidRPr="00776407">
              <w:rPr>
                <w:sz w:val="22"/>
                <w:szCs w:val="22"/>
                <w:vertAlign w:val="superscript"/>
              </w:rPr>
              <w:t>9</w:t>
            </w:r>
            <w:r w:rsidRPr="00776407">
              <w:rPr>
                <w:sz w:val="22"/>
                <w:szCs w:val="22"/>
              </w:rPr>
              <w:t>/l ir</w:t>
            </w:r>
            <w:r w:rsidR="009E7E37" w:rsidRPr="00776407">
              <w:rPr>
                <w:sz w:val="22"/>
                <w:szCs w:val="22"/>
              </w:rPr>
              <w:t xml:space="preserve"> (</w:t>
            </w:r>
            <w:r w:rsidRPr="00776407">
              <w:rPr>
                <w:sz w:val="22"/>
                <w:szCs w:val="22"/>
              </w:rPr>
              <w:t>ar</w:t>
            </w:r>
            <w:r w:rsidR="009E7E37" w:rsidRPr="00776407">
              <w:rPr>
                <w:sz w:val="22"/>
                <w:szCs w:val="22"/>
              </w:rPr>
              <w:t>)</w:t>
            </w:r>
            <w:r w:rsidRPr="00776407">
              <w:rPr>
                <w:sz w:val="22"/>
                <w:szCs w:val="22"/>
              </w:rPr>
              <w:t xml:space="preserve"> trombocitų &lt; 50 x 10</w:t>
            </w:r>
            <w:r w:rsidRPr="00776407">
              <w:rPr>
                <w:sz w:val="22"/>
                <w:szCs w:val="22"/>
                <w:vertAlign w:val="superscript"/>
              </w:rPr>
              <w:t>9</w:t>
            </w:r>
            <w:r w:rsidRPr="00776407">
              <w:rPr>
                <w:sz w:val="22"/>
                <w:szCs w:val="22"/>
              </w:rPr>
              <w:t>/l, kartoti nuo 1 punkto ir ir gydyma imatinibu atnaujinti sumažinta 260 mg/m</w:t>
            </w:r>
            <w:r w:rsidRPr="00776407">
              <w:rPr>
                <w:sz w:val="22"/>
                <w:szCs w:val="22"/>
                <w:vertAlign w:val="superscript"/>
              </w:rPr>
              <w:t xml:space="preserve">2 </w:t>
            </w:r>
            <w:r w:rsidRPr="00776407">
              <w:rPr>
                <w:sz w:val="22"/>
                <w:szCs w:val="22"/>
              </w:rPr>
              <w:t>doze.</w:t>
            </w:r>
          </w:p>
        </w:tc>
      </w:tr>
      <w:tr w:rsidR="00A44158" w:rsidRPr="00776407" w14:paraId="1D7C1634" w14:textId="77777777" w:rsidTr="00B41869">
        <w:tc>
          <w:tcPr>
            <w:tcW w:w="2605" w:type="dxa"/>
          </w:tcPr>
          <w:p w14:paraId="0F84A29E" w14:textId="77777777" w:rsidR="00A44158" w:rsidRPr="00776407" w:rsidRDefault="00B41869" w:rsidP="00E020E9">
            <w:pPr>
              <w:autoSpaceDE w:val="0"/>
              <w:autoSpaceDN w:val="0"/>
              <w:adjustRightInd w:val="0"/>
            </w:pPr>
            <w:r w:rsidRPr="00776407">
              <w:rPr>
                <w:sz w:val="22"/>
                <w:szCs w:val="22"/>
              </w:rPr>
              <w:t>L</w:t>
            </w:r>
            <w:r w:rsidR="00A44158" w:rsidRPr="00776407">
              <w:rPr>
                <w:sz w:val="22"/>
                <w:szCs w:val="22"/>
              </w:rPr>
              <w:t>ML blast</w:t>
            </w:r>
            <w:r w:rsidRPr="00776407">
              <w:rPr>
                <w:sz w:val="22"/>
                <w:szCs w:val="22"/>
              </w:rPr>
              <w:t>inė</w:t>
            </w:r>
            <w:r w:rsidR="00A44158" w:rsidRPr="00776407">
              <w:rPr>
                <w:sz w:val="22"/>
                <w:szCs w:val="22"/>
              </w:rPr>
              <w:t xml:space="preserve"> </w:t>
            </w:r>
            <w:r w:rsidRPr="00776407">
              <w:rPr>
                <w:sz w:val="22"/>
                <w:szCs w:val="22"/>
              </w:rPr>
              <w:t>krizė</w:t>
            </w:r>
            <w:r w:rsidR="00A44158" w:rsidRPr="00776407">
              <w:rPr>
                <w:sz w:val="22"/>
                <w:szCs w:val="22"/>
              </w:rPr>
              <w:t xml:space="preserve"> </w:t>
            </w:r>
            <w:r w:rsidR="00FC70AF" w:rsidRPr="00776407">
              <w:rPr>
                <w:sz w:val="22"/>
                <w:szCs w:val="22"/>
              </w:rPr>
              <w:t xml:space="preserve">ir Ph+ŪLL </w:t>
            </w:r>
            <w:r w:rsidR="00A44158" w:rsidRPr="00776407">
              <w:rPr>
                <w:sz w:val="22"/>
                <w:szCs w:val="22"/>
              </w:rPr>
              <w:t>(</w:t>
            </w:r>
            <w:r w:rsidRPr="00776407">
              <w:rPr>
                <w:sz w:val="22"/>
                <w:szCs w:val="22"/>
              </w:rPr>
              <w:t>pradinė dozė</w:t>
            </w:r>
            <w:r w:rsidR="00A44158" w:rsidRPr="00776407">
              <w:rPr>
                <w:sz w:val="22"/>
                <w:szCs w:val="22"/>
              </w:rPr>
              <w:t xml:space="preserve"> 600 mg)</w:t>
            </w:r>
          </w:p>
        </w:tc>
        <w:tc>
          <w:tcPr>
            <w:tcW w:w="2606" w:type="dxa"/>
          </w:tcPr>
          <w:p w14:paraId="6E5F4B5B" w14:textId="77777777" w:rsidR="00A44158" w:rsidRPr="00776407" w:rsidRDefault="00A44158" w:rsidP="00B41869">
            <w:pPr>
              <w:autoSpaceDE w:val="0"/>
              <w:autoSpaceDN w:val="0"/>
              <w:adjustRightInd w:val="0"/>
            </w:pPr>
            <w:r w:rsidRPr="00776407">
              <w:rPr>
                <w:sz w:val="22"/>
                <w:szCs w:val="22"/>
                <w:vertAlign w:val="superscript"/>
              </w:rPr>
              <w:t>a</w:t>
            </w:r>
            <w:r w:rsidR="00597153" w:rsidRPr="00776407">
              <w:rPr>
                <w:sz w:val="22"/>
                <w:szCs w:val="22"/>
              </w:rPr>
              <w:t>ANS</w:t>
            </w:r>
            <w:r w:rsidRPr="00776407">
              <w:rPr>
                <w:sz w:val="22"/>
                <w:szCs w:val="22"/>
              </w:rPr>
              <w:t> &lt; 0</w:t>
            </w:r>
            <w:r w:rsidR="002A385D" w:rsidRPr="00776407">
              <w:rPr>
                <w:sz w:val="22"/>
                <w:szCs w:val="22"/>
              </w:rPr>
              <w:t>,</w:t>
            </w:r>
            <w:r w:rsidRPr="00776407">
              <w:rPr>
                <w:sz w:val="22"/>
                <w:szCs w:val="22"/>
              </w:rPr>
              <w:t>5 x 10</w:t>
            </w:r>
            <w:r w:rsidRPr="00776407">
              <w:rPr>
                <w:sz w:val="22"/>
                <w:szCs w:val="22"/>
                <w:vertAlign w:val="superscript"/>
              </w:rPr>
              <w:t>9</w:t>
            </w:r>
            <w:r w:rsidRPr="00776407">
              <w:rPr>
                <w:sz w:val="22"/>
                <w:szCs w:val="22"/>
              </w:rPr>
              <w:t xml:space="preserve">/l </w:t>
            </w:r>
            <w:r w:rsidR="00B41869" w:rsidRPr="00776407">
              <w:rPr>
                <w:sz w:val="22"/>
                <w:szCs w:val="22"/>
              </w:rPr>
              <w:t>ir (ar)</w:t>
            </w:r>
            <w:r w:rsidRPr="00776407">
              <w:rPr>
                <w:sz w:val="22"/>
                <w:szCs w:val="22"/>
              </w:rPr>
              <w:t xml:space="preserve"> </w:t>
            </w:r>
            <w:r w:rsidR="00B41869" w:rsidRPr="00776407">
              <w:rPr>
                <w:sz w:val="22"/>
                <w:szCs w:val="22"/>
              </w:rPr>
              <w:t>trombocitų</w:t>
            </w:r>
            <w:r w:rsidRPr="00776407">
              <w:rPr>
                <w:sz w:val="22"/>
                <w:szCs w:val="22"/>
              </w:rPr>
              <w:t xml:space="preserve"> &lt; 10 x 10</w:t>
            </w:r>
            <w:r w:rsidRPr="00776407">
              <w:rPr>
                <w:sz w:val="22"/>
                <w:szCs w:val="22"/>
                <w:vertAlign w:val="superscript"/>
              </w:rPr>
              <w:t>9</w:t>
            </w:r>
            <w:r w:rsidRPr="00776407">
              <w:rPr>
                <w:sz w:val="22"/>
                <w:szCs w:val="22"/>
              </w:rPr>
              <w:t>/l</w:t>
            </w:r>
          </w:p>
        </w:tc>
        <w:tc>
          <w:tcPr>
            <w:tcW w:w="4335" w:type="dxa"/>
          </w:tcPr>
          <w:p w14:paraId="58DAD898" w14:textId="77777777" w:rsidR="00A44158" w:rsidRPr="00776407" w:rsidRDefault="00A44158" w:rsidP="00B41869">
            <w:pPr>
              <w:autoSpaceDE w:val="0"/>
              <w:autoSpaceDN w:val="0"/>
              <w:adjustRightInd w:val="0"/>
              <w:ind w:left="567" w:hanging="567"/>
            </w:pPr>
            <w:r w:rsidRPr="00776407">
              <w:rPr>
                <w:sz w:val="22"/>
                <w:szCs w:val="22"/>
              </w:rPr>
              <w:t>1.</w:t>
            </w:r>
            <w:r w:rsidRPr="00776407">
              <w:rPr>
                <w:sz w:val="22"/>
                <w:szCs w:val="22"/>
              </w:rPr>
              <w:tab/>
            </w:r>
            <w:r w:rsidR="00B41869" w:rsidRPr="00776407">
              <w:rPr>
                <w:sz w:val="22"/>
                <w:szCs w:val="22"/>
              </w:rPr>
              <w:t>Ištirti, ar citopenija nesusijusi su leukemija (kaulų čiulpų aspiratas ar biopsija).</w:t>
            </w:r>
          </w:p>
          <w:p w14:paraId="5EB426D8" w14:textId="77777777" w:rsidR="00A44158" w:rsidRPr="00776407" w:rsidRDefault="00A44158" w:rsidP="00B41869">
            <w:pPr>
              <w:autoSpaceDE w:val="0"/>
              <w:autoSpaceDN w:val="0"/>
              <w:adjustRightInd w:val="0"/>
              <w:ind w:left="567" w:hanging="567"/>
            </w:pPr>
            <w:r w:rsidRPr="00776407">
              <w:rPr>
                <w:sz w:val="22"/>
                <w:szCs w:val="22"/>
              </w:rPr>
              <w:t>2.</w:t>
            </w:r>
            <w:r w:rsidRPr="00776407">
              <w:rPr>
                <w:sz w:val="22"/>
                <w:szCs w:val="22"/>
              </w:rPr>
              <w:tab/>
            </w:r>
            <w:r w:rsidR="00B41869" w:rsidRPr="00776407">
              <w:rPr>
                <w:sz w:val="22"/>
                <w:szCs w:val="22"/>
              </w:rPr>
              <w:t xml:space="preserve">Jei citopenija nesusijusi su leukemija, imatinibo dozę sumažinti iki </w:t>
            </w:r>
            <w:r w:rsidRPr="00776407">
              <w:rPr>
                <w:sz w:val="22"/>
                <w:szCs w:val="22"/>
              </w:rPr>
              <w:t>400 mg.</w:t>
            </w:r>
          </w:p>
          <w:p w14:paraId="40430E53" w14:textId="77777777" w:rsidR="00A44158" w:rsidRPr="00776407" w:rsidRDefault="00A44158" w:rsidP="00B41869">
            <w:pPr>
              <w:autoSpaceDE w:val="0"/>
              <w:autoSpaceDN w:val="0"/>
              <w:adjustRightInd w:val="0"/>
              <w:ind w:left="567" w:hanging="567"/>
            </w:pPr>
            <w:r w:rsidRPr="00776407">
              <w:rPr>
                <w:sz w:val="22"/>
                <w:szCs w:val="22"/>
              </w:rPr>
              <w:t>3.</w:t>
            </w:r>
            <w:r w:rsidRPr="00776407">
              <w:rPr>
                <w:sz w:val="22"/>
                <w:szCs w:val="22"/>
              </w:rPr>
              <w:tab/>
            </w:r>
            <w:r w:rsidR="00B41869" w:rsidRPr="00776407">
              <w:rPr>
                <w:sz w:val="22"/>
                <w:szCs w:val="22"/>
              </w:rPr>
              <w:t xml:space="preserve">Jei citopenija trunka 2 savaites, dozę dar sumažinti iki </w:t>
            </w:r>
            <w:r w:rsidRPr="00776407">
              <w:rPr>
                <w:sz w:val="22"/>
                <w:szCs w:val="22"/>
              </w:rPr>
              <w:t>300 mg.</w:t>
            </w:r>
          </w:p>
          <w:p w14:paraId="67896888" w14:textId="77777777" w:rsidR="00A44158" w:rsidRPr="00776407" w:rsidRDefault="00A44158" w:rsidP="00C603F4">
            <w:pPr>
              <w:autoSpaceDE w:val="0"/>
              <w:autoSpaceDN w:val="0"/>
              <w:adjustRightInd w:val="0"/>
              <w:ind w:left="567" w:hanging="567"/>
            </w:pPr>
            <w:r w:rsidRPr="00776407">
              <w:rPr>
                <w:sz w:val="22"/>
                <w:szCs w:val="22"/>
              </w:rPr>
              <w:t>4.</w:t>
            </w:r>
            <w:r w:rsidRPr="00776407">
              <w:rPr>
                <w:sz w:val="22"/>
                <w:szCs w:val="22"/>
              </w:rPr>
              <w:tab/>
            </w:r>
            <w:r w:rsidR="00B41869" w:rsidRPr="00776407">
              <w:rPr>
                <w:sz w:val="22"/>
                <w:szCs w:val="22"/>
              </w:rPr>
              <w:t xml:space="preserve">Jei citopenija trunka 4 savaites ir yra nesusijusi su leukemija, imatinibo nevartoti tol, kol </w:t>
            </w:r>
            <w:r w:rsidRPr="00776407">
              <w:rPr>
                <w:sz w:val="22"/>
                <w:szCs w:val="22"/>
              </w:rPr>
              <w:t>AN</w:t>
            </w:r>
            <w:r w:rsidR="00C603F4" w:rsidRPr="00776407">
              <w:rPr>
                <w:sz w:val="22"/>
                <w:szCs w:val="22"/>
              </w:rPr>
              <w:t>S</w:t>
            </w:r>
            <w:r w:rsidR="00B41869" w:rsidRPr="00776407">
              <w:rPr>
                <w:sz w:val="22"/>
                <w:szCs w:val="22"/>
              </w:rPr>
              <w:t xml:space="preserve"> bus</w:t>
            </w:r>
            <w:r w:rsidRPr="00776407">
              <w:rPr>
                <w:sz w:val="22"/>
                <w:szCs w:val="22"/>
              </w:rPr>
              <w:t> ≥ 1 x 10</w:t>
            </w:r>
            <w:r w:rsidRPr="00776407">
              <w:rPr>
                <w:sz w:val="22"/>
                <w:szCs w:val="22"/>
                <w:vertAlign w:val="superscript"/>
              </w:rPr>
              <w:t>9</w:t>
            </w:r>
            <w:r w:rsidRPr="00776407">
              <w:rPr>
                <w:sz w:val="22"/>
                <w:szCs w:val="22"/>
              </w:rPr>
              <w:t xml:space="preserve">/l </w:t>
            </w:r>
            <w:r w:rsidR="00B41869" w:rsidRPr="00776407">
              <w:rPr>
                <w:sz w:val="22"/>
                <w:szCs w:val="22"/>
              </w:rPr>
              <w:t>ir trombocitų</w:t>
            </w:r>
            <w:r w:rsidRPr="00776407">
              <w:rPr>
                <w:sz w:val="22"/>
                <w:szCs w:val="22"/>
              </w:rPr>
              <w:t xml:space="preserve"> ≥ 20 x 10</w:t>
            </w:r>
            <w:r w:rsidRPr="00776407">
              <w:rPr>
                <w:sz w:val="22"/>
                <w:szCs w:val="22"/>
                <w:vertAlign w:val="superscript"/>
              </w:rPr>
              <w:t>9</w:t>
            </w:r>
            <w:r w:rsidRPr="00776407">
              <w:rPr>
                <w:sz w:val="22"/>
                <w:szCs w:val="22"/>
              </w:rPr>
              <w:t>/l,</w:t>
            </w:r>
            <w:r w:rsidR="00B41869" w:rsidRPr="00776407">
              <w:rPr>
                <w:sz w:val="22"/>
                <w:szCs w:val="22"/>
              </w:rPr>
              <w:t xml:space="preserve"> paskui gydymą atnaujinti</w:t>
            </w:r>
            <w:r w:rsidRPr="00776407">
              <w:rPr>
                <w:sz w:val="22"/>
                <w:szCs w:val="22"/>
              </w:rPr>
              <w:t xml:space="preserve"> 300 mg</w:t>
            </w:r>
            <w:r w:rsidR="00B41869" w:rsidRPr="00776407">
              <w:rPr>
                <w:sz w:val="22"/>
                <w:szCs w:val="22"/>
              </w:rPr>
              <w:t xml:space="preserve"> doze</w:t>
            </w:r>
            <w:r w:rsidRPr="00776407">
              <w:rPr>
                <w:sz w:val="22"/>
                <w:szCs w:val="22"/>
              </w:rPr>
              <w:t>.</w:t>
            </w:r>
          </w:p>
        </w:tc>
      </w:tr>
      <w:tr w:rsidR="00A44158" w:rsidRPr="00776407" w14:paraId="6F1AC844" w14:textId="77777777" w:rsidTr="00B41869">
        <w:tc>
          <w:tcPr>
            <w:tcW w:w="2605" w:type="dxa"/>
          </w:tcPr>
          <w:p w14:paraId="3C6C98D7" w14:textId="77777777" w:rsidR="00A44158" w:rsidRPr="00776407" w:rsidRDefault="00B41869" w:rsidP="00B41869">
            <w:pPr>
              <w:autoSpaceDE w:val="0"/>
              <w:autoSpaceDN w:val="0"/>
              <w:adjustRightInd w:val="0"/>
              <w:rPr>
                <w:lang w:eastAsia="is-IS"/>
              </w:rPr>
            </w:pPr>
            <w:r w:rsidRPr="00776407">
              <w:rPr>
                <w:sz w:val="22"/>
                <w:szCs w:val="22"/>
                <w:lang w:eastAsia="is-IS"/>
              </w:rPr>
              <w:t>Pediatrinė</w:t>
            </w:r>
            <w:r w:rsidR="00A44158" w:rsidRPr="00776407">
              <w:rPr>
                <w:sz w:val="22"/>
                <w:szCs w:val="22"/>
                <w:lang w:eastAsia="is-IS"/>
              </w:rPr>
              <w:t xml:space="preserve"> </w:t>
            </w:r>
            <w:r w:rsidRPr="00776407">
              <w:rPr>
                <w:sz w:val="22"/>
                <w:szCs w:val="22"/>
              </w:rPr>
              <w:t xml:space="preserve">LML akceleracijos fazė ir blastinė krizė (pradinė dozė </w:t>
            </w:r>
            <w:r w:rsidR="00A44158" w:rsidRPr="00776407">
              <w:rPr>
                <w:sz w:val="22"/>
                <w:szCs w:val="22"/>
                <w:lang w:eastAsia="is-IS"/>
              </w:rPr>
              <w:t>340 mg/m</w:t>
            </w:r>
            <w:r w:rsidR="00A44158" w:rsidRPr="00776407">
              <w:rPr>
                <w:sz w:val="22"/>
                <w:szCs w:val="22"/>
                <w:vertAlign w:val="superscript"/>
                <w:lang w:eastAsia="is-IS"/>
              </w:rPr>
              <w:t>2</w:t>
            </w:r>
            <w:r w:rsidR="00A44158" w:rsidRPr="00776407">
              <w:rPr>
                <w:sz w:val="22"/>
                <w:szCs w:val="22"/>
                <w:lang w:eastAsia="is-IS"/>
              </w:rPr>
              <w:t>)</w:t>
            </w:r>
          </w:p>
        </w:tc>
        <w:tc>
          <w:tcPr>
            <w:tcW w:w="2606" w:type="dxa"/>
          </w:tcPr>
          <w:p w14:paraId="2D3042AE" w14:textId="77777777" w:rsidR="00A44158" w:rsidRPr="00776407" w:rsidRDefault="00A44158" w:rsidP="00B41869">
            <w:pPr>
              <w:autoSpaceDE w:val="0"/>
              <w:autoSpaceDN w:val="0"/>
              <w:adjustRightInd w:val="0"/>
              <w:rPr>
                <w:lang w:eastAsia="is-IS"/>
              </w:rPr>
            </w:pPr>
            <w:r w:rsidRPr="00776407">
              <w:rPr>
                <w:sz w:val="22"/>
                <w:szCs w:val="22"/>
                <w:vertAlign w:val="superscript"/>
                <w:lang w:eastAsia="is-IS"/>
              </w:rPr>
              <w:t>a</w:t>
            </w:r>
            <w:r w:rsidR="00597153" w:rsidRPr="00776407">
              <w:rPr>
                <w:sz w:val="22"/>
                <w:szCs w:val="22"/>
                <w:lang w:eastAsia="is-IS"/>
              </w:rPr>
              <w:t>ANS</w:t>
            </w:r>
            <w:r w:rsidRPr="00776407">
              <w:rPr>
                <w:sz w:val="22"/>
                <w:szCs w:val="22"/>
                <w:lang w:eastAsia="is-IS"/>
              </w:rPr>
              <w:t> &lt; 0</w:t>
            </w:r>
            <w:r w:rsidR="002A385D" w:rsidRPr="00776407">
              <w:rPr>
                <w:sz w:val="22"/>
                <w:szCs w:val="22"/>
                <w:lang w:eastAsia="is-IS"/>
              </w:rPr>
              <w:t>,</w:t>
            </w:r>
            <w:r w:rsidRPr="00776407">
              <w:rPr>
                <w:sz w:val="22"/>
                <w:szCs w:val="22"/>
                <w:lang w:eastAsia="is-IS"/>
              </w:rPr>
              <w:t>5 x 10</w:t>
            </w:r>
            <w:r w:rsidRPr="00776407">
              <w:rPr>
                <w:sz w:val="22"/>
                <w:szCs w:val="22"/>
                <w:vertAlign w:val="superscript"/>
                <w:lang w:eastAsia="is-IS"/>
              </w:rPr>
              <w:t>9</w:t>
            </w:r>
            <w:r w:rsidRPr="00776407">
              <w:rPr>
                <w:sz w:val="22"/>
                <w:szCs w:val="22"/>
                <w:lang w:eastAsia="is-IS"/>
              </w:rPr>
              <w:t xml:space="preserve">/l </w:t>
            </w:r>
            <w:r w:rsidR="00B41869" w:rsidRPr="00776407">
              <w:rPr>
                <w:sz w:val="22"/>
                <w:szCs w:val="22"/>
                <w:lang w:eastAsia="is-IS"/>
              </w:rPr>
              <w:t>ir (ar)</w:t>
            </w:r>
            <w:r w:rsidRPr="00776407">
              <w:rPr>
                <w:sz w:val="22"/>
                <w:szCs w:val="22"/>
                <w:lang w:eastAsia="is-IS"/>
              </w:rPr>
              <w:t xml:space="preserve"> </w:t>
            </w:r>
            <w:r w:rsidR="00B41869" w:rsidRPr="00776407">
              <w:rPr>
                <w:sz w:val="22"/>
                <w:szCs w:val="22"/>
                <w:lang w:eastAsia="is-IS"/>
              </w:rPr>
              <w:t>trombocitų</w:t>
            </w:r>
            <w:r w:rsidRPr="00776407">
              <w:rPr>
                <w:sz w:val="22"/>
                <w:szCs w:val="22"/>
                <w:lang w:eastAsia="is-IS"/>
              </w:rPr>
              <w:t xml:space="preserve"> &lt; 10 x 10</w:t>
            </w:r>
            <w:r w:rsidRPr="00776407">
              <w:rPr>
                <w:sz w:val="22"/>
                <w:szCs w:val="22"/>
                <w:vertAlign w:val="superscript"/>
                <w:lang w:eastAsia="is-IS"/>
              </w:rPr>
              <w:t>9</w:t>
            </w:r>
            <w:r w:rsidRPr="00776407">
              <w:rPr>
                <w:sz w:val="22"/>
                <w:szCs w:val="22"/>
                <w:lang w:eastAsia="is-IS"/>
              </w:rPr>
              <w:t>/l</w:t>
            </w:r>
          </w:p>
        </w:tc>
        <w:tc>
          <w:tcPr>
            <w:tcW w:w="4335" w:type="dxa"/>
          </w:tcPr>
          <w:p w14:paraId="2F7AC722" w14:textId="77777777" w:rsidR="00A44158" w:rsidRPr="00776407" w:rsidRDefault="00A44158" w:rsidP="00B41869">
            <w:pPr>
              <w:autoSpaceDE w:val="0"/>
              <w:autoSpaceDN w:val="0"/>
              <w:adjustRightInd w:val="0"/>
              <w:ind w:left="567" w:hanging="567"/>
              <w:rPr>
                <w:lang w:eastAsia="is-IS"/>
              </w:rPr>
            </w:pPr>
            <w:r w:rsidRPr="00776407">
              <w:rPr>
                <w:sz w:val="22"/>
                <w:szCs w:val="22"/>
                <w:lang w:eastAsia="is-IS"/>
              </w:rPr>
              <w:t>1.</w:t>
            </w:r>
            <w:r w:rsidRPr="00776407">
              <w:rPr>
                <w:sz w:val="22"/>
                <w:szCs w:val="22"/>
                <w:lang w:eastAsia="is-IS"/>
              </w:rPr>
              <w:tab/>
            </w:r>
            <w:r w:rsidR="00B41869" w:rsidRPr="00776407">
              <w:rPr>
                <w:sz w:val="22"/>
                <w:szCs w:val="22"/>
              </w:rPr>
              <w:t>Ištirti, ar citopenija nesusijusi su leukemija (kaulų čiulpų aspiratas ar biopsija).</w:t>
            </w:r>
          </w:p>
          <w:p w14:paraId="1436267E" w14:textId="77777777" w:rsidR="00A44158" w:rsidRPr="00776407" w:rsidRDefault="00A44158" w:rsidP="00B41869">
            <w:pPr>
              <w:autoSpaceDE w:val="0"/>
              <w:autoSpaceDN w:val="0"/>
              <w:adjustRightInd w:val="0"/>
              <w:ind w:left="567" w:hanging="567"/>
              <w:rPr>
                <w:lang w:eastAsia="is-IS"/>
              </w:rPr>
            </w:pPr>
            <w:r w:rsidRPr="00776407">
              <w:rPr>
                <w:sz w:val="22"/>
                <w:szCs w:val="22"/>
                <w:lang w:eastAsia="is-IS"/>
              </w:rPr>
              <w:t>2.</w:t>
            </w:r>
            <w:r w:rsidRPr="00776407">
              <w:rPr>
                <w:sz w:val="22"/>
                <w:szCs w:val="22"/>
                <w:lang w:eastAsia="is-IS"/>
              </w:rPr>
              <w:tab/>
            </w:r>
            <w:r w:rsidR="00B41869" w:rsidRPr="00776407">
              <w:rPr>
                <w:sz w:val="22"/>
                <w:szCs w:val="22"/>
              </w:rPr>
              <w:t xml:space="preserve">Jei citopenija nesusijusi su leukemija, imatinibo dozę sumažinti iki </w:t>
            </w:r>
            <w:r w:rsidRPr="00776407">
              <w:rPr>
                <w:sz w:val="22"/>
                <w:szCs w:val="22"/>
                <w:lang w:eastAsia="is-IS"/>
              </w:rPr>
              <w:t>260 mg/m</w:t>
            </w:r>
            <w:r w:rsidRPr="00776407">
              <w:rPr>
                <w:sz w:val="22"/>
                <w:szCs w:val="22"/>
                <w:vertAlign w:val="superscript"/>
                <w:lang w:eastAsia="is-IS"/>
              </w:rPr>
              <w:t>2</w:t>
            </w:r>
            <w:r w:rsidRPr="00776407">
              <w:rPr>
                <w:sz w:val="22"/>
                <w:szCs w:val="22"/>
                <w:lang w:eastAsia="is-IS"/>
              </w:rPr>
              <w:t>.</w:t>
            </w:r>
          </w:p>
          <w:p w14:paraId="7C6F59A8" w14:textId="77777777" w:rsidR="00A44158" w:rsidRPr="00776407" w:rsidRDefault="00A44158" w:rsidP="00B41869">
            <w:pPr>
              <w:autoSpaceDE w:val="0"/>
              <w:autoSpaceDN w:val="0"/>
              <w:adjustRightInd w:val="0"/>
              <w:ind w:left="567" w:hanging="567"/>
              <w:rPr>
                <w:lang w:eastAsia="is-IS"/>
              </w:rPr>
            </w:pPr>
            <w:r w:rsidRPr="00776407">
              <w:rPr>
                <w:sz w:val="22"/>
                <w:szCs w:val="22"/>
                <w:lang w:eastAsia="is-IS"/>
              </w:rPr>
              <w:t>3.</w:t>
            </w:r>
            <w:r w:rsidRPr="00776407">
              <w:rPr>
                <w:sz w:val="22"/>
                <w:szCs w:val="22"/>
                <w:lang w:eastAsia="is-IS"/>
              </w:rPr>
              <w:tab/>
            </w:r>
            <w:r w:rsidR="00B41869" w:rsidRPr="00776407">
              <w:rPr>
                <w:sz w:val="22"/>
                <w:szCs w:val="22"/>
              </w:rPr>
              <w:t xml:space="preserve">Jei citopenija trunka 2 savaites, dozę dar sumažinti iki </w:t>
            </w:r>
            <w:r w:rsidRPr="00776407">
              <w:rPr>
                <w:sz w:val="22"/>
                <w:szCs w:val="22"/>
                <w:lang w:eastAsia="is-IS"/>
              </w:rPr>
              <w:t>200 mg/m</w:t>
            </w:r>
            <w:r w:rsidRPr="00776407">
              <w:rPr>
                <w:sz w:val="22"/>
                <w:szCs w:val="22"/>
                <w:vertAlign w:val="superscript"/>
                <w:lang w:eastAsia="is-IS"/>
              </w:rPr>
              <w:t>2</w:t>
            </w:r>
            <w:r w:rsidRPr="00776407">
              <w:rPr>
                <w:sz w:val="22"/>
                <w:szCs w:val="22"/>
                <w:lang w:eastAsia="is-IS"/>
              </w:rPr>
              <w:t>.</w:t>
            </w:r>
          </w:p>
          <w:p w14:paraId="56CF7079" w14:textId="77777777" w:rsidR="00A44158" w:rsidRPr="00776407" w:rsidRDefault="00A44158" w:rsidP="00C603F4">
            <w:pPr>
              <w:autoSpaceDE w:val="0"/>
              <w:autoSpaceDN w:val="0"/>
              <w:adjustRightInd w:val="0"/>
              <w:ind w:left="567" w:hanging="567"/>
              <w:rPr>
                <w:lang w:eastAsia="is-IS"/>
              </w:rPr>
            </w:pPr>
            <w:r w:rsidRPr="00776407">
              <w:rPr>
                <w:sz w:val="22"/>
                <w:szCs w:val="22"/>
                <w:lang w:eastAsia="is-IS"/>
              </w:rPr>
              <w:t>4.</w:t>
            </w:r>
            <w:r w:rsidRPr="00776407">
              <w:rPr>
                <w:sz w:val="22"/>
                <w:szCs w:val="22"/>
                <w:lang w:eastAsia="is-IS"/>
              </w:rPr>
              <w:tab/>
            </w:r>
            <w:r w:rsidR="00B41869" w:rsidRPr="00776407">
              <w:rPr>
                <w:sz w:val="22"/>
                <w:szCs w:val="22"/>
              </w:rPr>
              <w:t>Jei citopenija trunka 4 savaites ir yra nesusijusi su leukemija, imatinibo nevartoti tol, kol AN</w:t>
            </w:r>
            <w:r w:rsidR="00C603F4" w:rsidRPr="00776407">
              <w:rPr>
                <w:sz w:val="22"/>
                <w:szCs w:val="22"/>
              </w:rPr>
              <w:t>S</w:t>
            </w:r>
            <w:r w:rsidR="00B41869" w:rsidRPr="00776407">
              <w:rPr>
                <w:sz w:val="22"/>
                <w:szCs w:val="22"/>
              </w:rPr>
              <w:t xml:space="preserve"> bus </w:t>
            </w:r>
            <w:r w:rsidR="00B41869" w:rsidRPr="00776407">
              <w:rPr>
                <w:sz w:val="22"/>
                <w:szCs w:val="22"/>
                <w:lang w:eastAsia="is-IS"/>
              </w:rPr>
              <w:t xml:space="preserve"> </w:t>
            </w:r>
            <w:r w:rsidRPr="00776407">
              <w:rPr>
                <w:sz w:val="22"/>
                <w:szCs w:val="22"/>
                <w:lang w:eastAsia="is-IS"/>
              </w:rPr>
              <w:t>≥ 1 x 10</w:t>
            </w:r>
            <w:r w:rsidRPr="00776407">
              <w:rPr>
                <w:sz w:val="22"/>
                <w:szCs w:val="22"/>
                <w:vertAlign w:val="superscript"/>
                <w:lang w:eastAsia="is-IS"/>
              </w:rPr>
              <w:t>9</w:t>
            </w:r>
            <w:r w:rsidRPr="00776407">
              <w:rPr>
                <w:sz w:val="22"/>
                <w:szCs w:val="22"/>
                <w:lang w:eastAsia="is-IS"/>
              </w:rPr>
              <w:t xml:space="preserve">/l </w:t>
            </w:r>
            <w:r w:rsidR="00B41869" w:rsidRPr="00776407">
              <w:rPr>
                <w:sz w:val="22"/>
                <w:szCs w:val="22"/>
                <w:lang w:eastAsia="is-IS"/>
              </w:rPr>
              <w:t>ir trombocitų</w:t>
            </w:r>
            <w:r w:rsidRPr="00776407">
              <w:rPr>
                <w:sz w:val="22"/>
                <w:szCs w:val="22"/>
                <w:lang w:eastAsia="is-IS"/>
              </w:rPr>
              <w:t xml:space="preserve"> ≥ 20 x 10</w:t>
            </w:r>
            <w:r w:rsidRPr="00776407">
              <w:rPr>
                <w:sz w:val="22"/>
                <w:szCs w:val="22"/>
                <w:vertAlign w:val="superscript"/>
                <w:lang w:eastAsia="is-IS"/>
              </w:rPr>
              <w:t>9</w:t>
            </w:r>
            <w:r w:rsidRPr="00776407">
              <w:rPr>
                <w:sz w:val="22"/>
                <w:szCs w:val="22"/>
                <w:lang w:eastAsia="is-IS"/>
              </w:rPr>
              <w:t xml:space="preserve">/l, </w:t>
            </w:r>
            <w:r w:rsidR="00B41869" w:rsidRPr="00776407">
              <w:rPr>
                <w:sz w:val="22"/>
                <w:szCs w:val="22"/>
                <w:lang w:eastAsia="is-IS"/>
              </w:rPr>
              <w:t>paskui gydymą atnaujinti</w:t>
            </w:r>
            <w:r w:rsidRPr="00776407">
              <w:rPr>
                <w:sz w:val="22"/>
                <w:szCs w:val="22"/>
                <w:lang w:eastAsia="is-IS"/>
              </w:rPr>
              <w:t xml:space="preserve"> 200 mg/m</w:t>
            </w:r>
            <w:r w:rsidRPr="00776407">
              <w:rPr>
                <w:sz w:val="22"/>
                <w:szCs w:val="22"/>
                <w:vertAlign w:val="superscript"/>
                <w:lang w:eastAsia="is-IS"/>
              </w:rPr>
              <w:t>2</w:t>
            </w:r>
            <w:r w:rsidRPr="00776407">
              <w:rPr>
                <w:sz w:val="22"/>
                <w:szCs w:val="22"/>
                <w:lang w:eastAsia="is-IS"/>
              </w:rPr>
              <w:t>.</w:t>
            </w:r>
          </w:p>
        </w:tc>
      </w:tr>
      <w:tr w:rsidR="00FC70AF" w:rsidRPr="00776407" w14:paraId="3660F5F1" w14:textId="77777777" w:rsidTr="00B41869">
        <w:tc>
          <w:tcPr>
            <w:tcW w:w="2605" w:type="dxa"/>
          </w:tcPr>
          <w:p w14:paraId="7181D1A2" w14:textId="77777777" w:rsidR="00FC70AF" w:rsidRPr="00776407" w:rsidRDefault="00FC70AF">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DFSP </w:t>
            </w:r>
          </w:p>
          <w:p w14:paraId="1C543AA6" w14:textId="77777777" w:rsidR="00FC70AF" w:rsidRPr="00776407" w:rsidRDefault="00FC70AF" w:rsidP="00FC70AF">
            <w:pPr>
              <w:autoSpaceDE w:val="0"/>
              <w:autoSpaceDN w:val="0"/>
              <w:adjustRightInd w:val="0"/>
              <w:rPr>
                <w:sz w:val="22"/>
                <w:szCs w:val="22"/>
                <w:lang w:eastAsia="is-IS"/>
              </w:rPr>
            </w:pPr>
            <w:r w:rsidRPr="00776407">
              <w:rPr>
                <w:sz w:val="22"/>
                <w:szCs w:val="22"/>
              </w:rPr>
              <w:t>(kai dozė – 800 mg)</w:t>
            </w:r>
          </w:p>
        </w:tc>
        <w:tc>
          <w:tcPr>
            <w:tcW w:w="2606" w:type="dxa"/>
          </w:tcPr>
          <w:p w14:paraId="665AC373" w14:textId="77777777" w:rsidR="00FC70AF" w:rsidRPr="00776407" w:rsidRDefault="00FC70AF">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ANS &lt; 1,0 x 10</w:t>
            </w:r>
            <w:r w:rsidRPr="00776407">
              <w:rPr>
                <w:rFonts w:ascii="Times New Roman" w:hAnsi="Times New Roman" w:cs="Times New Roman"/>
                <w:sz w:val="22"/>
                <w:szCs w:val="22"/>
                <w:vertAlign w:val="superscript"/>
                <w:lang w:val="lt-LT"/>
              </w:rPr>
              <w:t>9</w:t>
            </w:r>
            <w:r w:rsidRPr="00776407">
              <w:rPr>
                <w:rFonts w:ascii="Times New Roman" w:hAnsi="Times New Roman" w:cs="Times New Roman"/>
                <w:sz w:val="22"/>
                <w:szCs w:val="22"/>
                <w:lang w:val="lt-LT"/>
              </w:rPr>
              <w:t xml:space="preserve">/l </w:t>
            </w:r>
          </w:p>
          <w:p w14:paraId="4309081D" w14:textId="77777777" w:rsidR="00FC70AF" w:rsidRPr="00776407" w:rsidRDefault="00FC70AF">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ir (ar) </w:t>
            </w:r>
          </w:p>
          <w:p w14:paraId="4C892B9B" w14:textId="77777777" w:rsidR="00FC70AF" w:rsidRPr="00776407" w:rsidRDefault="00FC70AF" w:rsidP="00FC70AF">
            <w:pPr>
              <w:autoSpaceDE w:val="0"/>
              <w:autoSpaceDN w:val="0"/>
              <w:adjustRightInd w:val="0"/>
              <w:rPr>
                <w:sz w:val="22"/>
                <w:szCs w:val="22"/>
                <w:vertAlign w:val="superscript"/>
                <w:lang w:eastAsia="is-IS"/>
              </w:rPr>
            </w:pPr>
            <w:r w:rsidRPr="00776407">
              <w:rPr>
                <w:sz w:val="22"/>
                <w:szCs w:val="22"/>
              </w:rPr>
              <w:t>trombocitų &lt; 50 x 10</w:t>
            </w:r>
            <w:r w:rsidRPr="00776407">
              <w:rPr>
                <w:sz w:val="22"/>
                <w:szCs w:val="22"/>
                <w:vertAlign w:val="superscript"/>
              </w:rPr>
              <w:t>9</w:t>
            </w:r>
            <w:r w:rsidRPr="00776407">
              <w:rPr>
                <w:sz w:val="22"/>
                <w:szCs w:val="22"/>
              </w:rPr>
              <w:t xml:space="preserve">/l </w:t>
            </w:r>
          </w:p>
        </w:tc>
        <w:tc>
          <w:tcPr>
            <w:tcW w:w="4335" w:type="dxa"/>
          </w:tcPr>
          <w:p w14:paraId="455AC8CD" w14:textId="77777777" w:rsidR="00756BA1" w:rsidRPr="00776407" w:rsidRDefault="00617AA7" w:rsidP="00756BA1">
            <w:pPr>
              <w:pStyle w:val="Default"/>
              <w:ind w:left="601" w:hanging="601"/>
              <w:rPr>
                <w:rFonts w:ascii="Times New Roman" w:hAnsi="Times New Roman" w:cs="Times New Roman"/>
                <w:sz w:val="22"/>
                <w:szCs w:val="22"/>
                <w:lang w:val="lt-LT"/>
              </w:rPr>
            </w:pPr>
            <w:r w:rsidRPr="00776407">
              <w:rPr>
                <w:rFonts w:ascii="Times New Roman" w:hAnsi="Times New Roman" w:cs="Times New Roman"/>
                <w:sz w:val="22"/>
                <w:szCs w:val="22"/>
                <w:lang w:val="lt-LT"/>
              </w:rPr>
              <w:t>1.</w:t>
            </w:r>
            <w:r w:rsidR="00756BA1" w:rsidRPr="00776407">
              <w:rPr>
                <w:sz w:val="22"/>
                <w:szCs w:val="22"/>
                <w:lang w:val="lt-LT"/>
              </w:rPr>
              <w:tab/>
            </w:r>
            <w:r w:rsidR="00756BA1" w:rsidRPr="00776407">
              <w:rPr>
                <w:rFonts w:ascii="Times New Roman" w:hAnsi="Times New Roman" w:cs="Times New Roman"/>
                <w:sz w:val="22"/>
                <w:szCs w:val="22"/>
                <w:lang w:val="lt-LT"/>
              </w:rPr>
              <w:t>Imatinibo vartojimą nutraukti, kol ANS bus ≥ 1,5 x 10</w:t>
            </w:r>
            <w:r w:rsidR="00756BA1" w:rsidRPr="00776407">
              <w:rPr>
                <w:rFonts w:ascii="Times New Roman" w:hAnsi="Times New Roman" w:cs="Times New Roman"/>
                <w:sz w:val="22"/>
                <w:szCs w:val="22"/>
                <w:vertAlign w:val="superscript"/>
                <w:lang w:val="lt-LT"/>
              </w:rPr>
              <w:t>9</w:t>
            </w:r>
            <w:r w:rsidR="00756BA1" w:rsidRPr="00776407">
              <w:rPr>
                <w:rFonts w:ascii="Times New Roman" w:hAnsi="Times New Roman" w:cs="Times New Roman"/>
                <w:sz w:val="22"/>
                <w:szCs w:val="22"/>
                <w:lang w:val="lt-LT"/>
              </w:rPr>
              <w:t xml:space="preserve">/l ir trombocitų </w:t>
            </w:r>
            <w:r w:rsidR="00756BA1" w:rsidRPr="00776407">
              <w:rPr>
                <w:sz w:val="22"/>
                <w:szCs w:val="22"/>
                <w:lang w:val="lt-LT"/>
              </w:rPr>
              <w:t>≥ </w:t>
            </w:r>
            <w:r w:rsidR="00756BA1" w:rsidRPr="00776407">
              <w:rPr>
                <w:rFonts w:ascii="Times New Roman" w:hAnsi="Times New Roman" w:cs="Times New Roman"/>
                <w:sz w:val="22"/>
                <w:szCs w:val="22"/>
                <w:lang w:val="lt-LT"/>
              </w:rPr>
              <w:t>75 x 10</w:t>
            </w:r>
            <w:r w:rsidR="00756BA1" w:rsidRPr="00776407">
              <w:rPr>
                <w:rFonts w:ascii="Times New Roman" w:hAnsi="Times New Roman" w:cs="Times New Roman"/>
                <w:sz w:val="22"/>
                <w:szCs w:val="22"/>
                <w:vertAlign w:val="superscript"/>
                <w:lang w:val="lt-LT"/>
              </w:rPr>
              <w:t>9</w:t>
            </w:r>
            <w:r w:rsidR="00756BA1" w:rsidRPr="00776407">
              <w:rPr>
                <w:rFonts w:ascii="Times New Roman" w:hAnsi="Times New Roman" w:cs="Times New Roman"/>
                <w:sz w:val="22"/>
                <w:szCs w:val="22"/>
                <w:lang w:val="lt-LT"/>
              </w:rPr>
              <w:t xml:space="preserve">/l. </w:t>
            </w:r>
          </w:p>
          <w:p w14:paraId="46D6451A" w14:textId="77777777" w:rsidR="00FC70AF" w:rsidRPr="00776407" w:rsidRDefault="00FC70AF" w:rsidP="00756BA1">
            <w:pPr>
              <w:pStyle w:val="Default"/>
              <w:ind w:left="601" w:hanging="709"/>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2. </w:t>
            </w:r>
            <w:r w:rsidR="00756BA1" w:rsidRPr="00776407">
              <w:rPr>
                <w:sz w:val="22"/>
                <w:szCs w:val="22"/>
                <w:lang w:val="lt-LT"/>
              </w:rPr>
              <w:tab/>
            </w:r>
            <w:r w:rsidRPr="00776407">
              <w:rPr>
                <w:rFonts w:ascii="Times New Roman" w:hAnsi="Times New Roman" w:cs="Times New Roman"/>
                <w:sz w:val="22"/>
                <w:szCs w:val="22"/>
                <w:lang w:val="lt-LT"/>
              </w:rPr>
              <w:t xml:space="preserve">Gydymą </w:t>
            </w:r>
            <w:r w:rsidR="00756BA1" w:rsidRPr="00776407">
              <w:rPr>
                <w:rFonts w:ascii="Times New Roman" w:hAnsi="Times New Roman" w:cs="Times New Roman"/>
                <w:sz w:val="22"/>
                <w:szCs w:val="22"/>
                <w:lang w:val="lt-LT"/>
              </w:rPr>
              <w:t>imatinibu</w:t>
            </w:r>
            <w:r w:rsidRPr="00776407">
              <w:rPr>
                <w:rFonts w:ascii="Times New Roman" w:hAnsi="Times New Roman" w:cs="Times New Roman"/>
                <w:sz w:val="22"/>
                <w:szCs w:val="22"/>
                <w:lang w:val="lt-LT"/>
              </w:rPr>
              <w:t xml:space="preserve"> atnaujinti 600</w:t>
            </w:r>
            <w:r w:rsidR="00756BA1" w:rsidRPr="00776407">
              <w:rPr>
                <w:rFonts w:ascii="Times New Roman" w:hAnsi="Times New Roman" w:cs="Times New Roman"/>
                <w:sz w:val="22"/>
                <w:szCs w:val="22"/>
                <w:lang w:val="lt-LT"/>
              </w:rPr>
              <w:t> </w:t>
            </w:r>
            <w:r w:rsidRPr="00776407">
              <w:rPr>
                <w:rFonts w:ascii="Times New Roman" w:hAnsi="Times New Roman" w:cs="Times New Roman"/>
                <w:sz w:val="22"/>
                <w:szCs w:val="22"/>
                <w:lang w:val="lt-LT"/>
              </w:rPr>
              <w:t xml:space="preserve">mg doze. </w:t>
            </w:r>
          </w:p>
          <w:p w14:paraId="2525CE1D" w14:textId="77777777" w:rsidR="00FC70AF" w:rsidRPr="00776407" w:rsidRDefault="00FC70AF" w:rsidP="00756BA1">
            <w:pPr>
              <w:autoSpaceDE w:val="0"/>
              <w:autoSpaceDN w:val="0"/>
              <w:adjustRightInd w:val="0"/>
              <w:ind w:left="601" w:hanging="709"/>
              <w:rPr>
                <w:sz w:val="22"/>
                <w:szCs w:val="22"/>
                <w:lang w:eastAsia="is-IS"/>
              </w:rPr>
            </w:pPr>
            <w:r w:rsidRPr="00776407">
              <w:rPr>
                <w:sz w:val="22"/>
                <w:szCs w:val="22"/>
              </w:rPr>
              <w:t xml:space="preserve">3. </w:t>
            </w:r>
            <w:r w:rsidR="00756BA1" w:rsidRPr="00776407">
              <w:rPr>
                <w:sz w:val="22"/>
                <w:szCs w:val="22"/>
              </w:rPr>
              <w:tab/>
            </w:r>
            <w:r w:rsidRPr="00776407">
              <w:rPr>
                <w:sz w:val="22"/>
                <w:szCs w:val="22"/>
              </w:rPr>
              <w:t>Kartotinai sumažėjus ANS &lt; 1,0</w:t>
            </w:r>
            <w:r w:rsidR="00756BA1" w:rsidRPr="00776407">
              <w:rPr>
                <w:sz w:val="22"/>
                <w:szCs w:val="22"/>
              </w:rPr>
              <w:t> </w:t>
            </w:r>
            <w:r w:rsidRPr="00776407">
              <w:rPr>
                <w:sz w:val="22"/>
                <w:szCs w:val="22"/>
              </w:rPr>
              <w:t>x</w:t>
            </w:r>
            <w:r w:rsidR="00756BA1" w:rsidRPr="00776407">
              <w:rPr>
                <w:sz w:val="22"/>
                <w:szCs w:val="22"/>
              </w:rPr>
              <w:t> </w:t>
            </w:r>
            <w:r w:rsidRPr="00776407">
              <w:rPr>
                <w:sz w:val="22"/>
                <w:szCs w:val="22"/>
              </w:rPr>
              <w:t>10</w:t>
            </w:r>
            <w:r w:rsidRPr="00776407">
              <w:rPr>
                <w:sz w:val="22"/>
                <w:szCs w:val="22"/>
                <w:vertAlign w:val="superscript"/>
              </w:rPr>
              <w:t>9</w:t>
            </w:r>
            <w:r w:rsidRPr="00776407">
              <w:rPr>
                <w:sz w:val="22"/>
                <w:szCs w:val="22"/>
              </w:rPr>
              <w:t>/l ir (ar) trombocitų &lt;</w:t>
            </w:r>
            <w:r w:rsidR="00756BA1" w:rsidRPr="00776407">
              <w:rPr>
                <w:sz w:val="22"/>
                <w:szCs w:val="22"/>
              </w:rPr>
              <w:t> </w:t>
            </w:r>
            <w:r w:rsidRPr="00776407">
              <w:rPr>
                <w:sz w:val="22"/>
                <w:szCs w:val="22"/>
              </w:rPr>
              <w:t>50</w:t>
            </w:r>
            <w:r w:rsidR="00756BA1" w:rsidRPr="00776407">
              <w:rPr>
                <w:sz w:val="22"/>
                <w:szCs w:val="22"/>
              </w:rPr>
              <w:t> </w:t>
            </w:r>
            <w:r w:rsidRPr="00776407">
              <w:rPr>
                <w:sz w:val="22"/>
                <w:szCs w:val="22"/>
              </w:rPr>
              <w:t>x</w:t>
            </w:r>
            <w:r w:rsidR="00756BA1" w:rsidRPr="00776407">
              <w:rPr>
                <w:sz w:val="22"/>
                <w:szCs w:val="22"/>
              </w:rPr>
              <w:t> </w:t>
            </w:r>
            <w:r w:rsidRPr="00776407">
              <w:rPr>
                <w:sz w:val="22"/>
                <w:szCs w:val="22"/>
              </w:rPr>
              <w:t>10</w:t>
            </w:r>
            <w:r w:rsidRPr="00776407">
              <w:rPr>
                <w:sz w:val="22"/>
                <w:szCs w:val="22"/>
                <w:vertAlign w:val="superscript"/>
              </w:rPr>
              <w:t>9</w:t>
            </w:r>
            <w:r w:rsidRPr="00776407">
              <w:rPr>
                <w:sz w:val="22"/>
                <w:szCs w:val="22"/>
              </w:rPr>
              <w:t xml:space="preserve">/l, kartoti nuo 1-ojo punkto ir gydymą </w:t>
            </w:r>
            <w:r w:rsidR="00756BA1" w:rsidRPr="00776407">
              <w:rPr>
                <w:sz w:val="22"/>
                <w:szCs w:val="22"/>
              </w:rPr>
              <w:t>imatinibu</w:t>
            </w:r>
            <w:r w:rsidRPr="00776407">
              <w:rPr>
                <w:sz w:val="22"/>
                <w:szCs w:val="22"/>
              </w:rPr>
              <w:t xml:space="preserve"> atnaujinti sumažinta 400</w:t>
            </w:r>
            <w:r w:rsidR="00756BA1" w:rsidRPr="00776407">
              <w:rPr>
                <w:sz w:val="22"/>
                <w:szCs w:val="22"/>
              </w:rPr>
              <w:t> </w:t>
            </w:r>
            <w:r w:rsidRPr="00776407">
              <w:rPr>
                <w:sz w:val="22"/>
                <w:szCs w:val="22"/>
              </w:rPr>
              <w:t xml:space="preserve">mg doze. </w:t>
            </w:r>
          </w:p>
        </w:tc>
      </w:tr>
      <w:tr w:rsidR="00A44158" w:rsidRPr="00776407" w14:paraId="70685398" w14:textId="77777777" w:rsidTr="00B41869">
        <w:tc>
          <w:tcPr>
            <w:tcW w:w="9546" w:type="dxa"/>
            <w:gridSpan w:val="3"/>
          </w:tcPr>
          <w:p w14:paraId="40C7FC5C" w14:textId="31557593" w:rsidR="00A44158" w:rsidRPr="00776407" w:rsidRDefault="00597153" w:rsidP="00B41869">
            <w:pPr>
              <w:keepNext/>
              <w:autoSpaceDE w:val="0"/>
              <w:autoSpaceDN w:val="0"/>
              <w:adjustRightInd w:val="0"/>
              <w:rPr>
                <w:lang w:eastAsia="is-IS"/>
              </w:rPr>
            </w:pPr>
            <w:r w:rsidRPr="00776407">
              <w:rPr>
                <w:sz w:val="22"/>
                <w:szCs w:val="22"/>
                <w:lang w:eastAsia="is-IS"/>
              </w:rPr>
              <w:t>ANS</w:t>
            </w:r>
            <w:r w:rsidR="00B03979" w:rsidRPr="00776407">
              <w:rPr>
                <w:sz w:val="22"/>
                <w:szCs w:val="22"/>
                <w:lang w:eastAsia="is-IS"/>
              </w:rPr>
              <w:t> </w:t>
            </w:r>
            <w:r w:rsidR="00A44158" w:rsidRPr="00776407">
              <w:rPr>
                <w:sz w:val="22"/>
                <w:szCs w:val="22"/>
                <w:lang w:eastAsia="is-IS"/>
              </w:rPr>
              <w:t>=</w:t>
            </w:r>
            <w:r w:rsidR="00B03979" w:rsidRPr="00776407">
              <w:rPr>
                <w:sz w:val="22"/>
                <w:szCs w:val="22"/>
                <w:lang w:eastAsia="is-IS"/>
              </w:rPr>
              <w:t> </w:t>
            </w:r>
            <w:r w:rsidR="00B41869" w:rsidRPr="00776407">
              <w:rPr>
                <w:sz w:val="22"/>
                <w:szCs w:val="22"/>
                <w:lang w:eastAsia="is-IS"/>
              </w:rPr>
              <w:t>absoliutus neutrofilų skaičiu</w:t>
            </w:r>
            <w:r w:rsidRPr="00776407">
              <w:rPr>
                <w:sz w:val="22"/>
                <w:szCs w:val="22"/>
                <w:lang w:eastAsia="is-IS"/>
              </w:rPr>
              <w:t>s</w:t>
            </w:r>
          </w:p>
          <w:p w14:paraId="53293F25" w14:textId="77777777" w:rsidR="00A44158" w:rsidRPr="00776407" w:rsidRDefault="00A44158" w:rsidP="00E83812">
            <w:pPr>
              <w:keepNext/>
              <w:autoSpaceDE w:val="0"/>
              <w:autoSpaceDN w:val="0"/>
              <w:adjustRightInd w:val="0"/>
              <w:rPr>
                <w:lang w:eastAsia="is-IS"/>
              </w:rPr>
            </w:pPr>
            <w:r w:rsidRPr="00776407">
              <w:rPr>
                <w:sz w:val="22"/>
                <w:szCs w:val="22"/>
                <w:vertAlign w:val="superscript"/>
                <w:lang w:eastAsia="is-IS"/>
              </w:rPr>
              <w:t>a</w:t>
            </w:r>
            <w:r w:rsidRPr="00776407">
              <w:rPr>
                <w:sz w:val="22"/>
                <w:szCs w:val="22"/>
                <w:lang w:eastAsia="is-IS"/>
              </w:rPr>
              <w:t xml:space="preserve"> </w:t>
            </w:r>
            <w:r w:rsidR="00B41869" w:rsidRPr="00776407">
              <w:rPr>
                <w:sz w:val="22"/>
                <w:szCs w:val="22"/>
                <w:lang w:eastAsia="is-IS"/>
              </w:rPr>
              <w:t>atsiranda mažiausiai po</w:t>
            </w:r>
            <w:r w:rsidRPr="00776407">
              <w:rPr>
                <w:sz w:val="22"/>
                <w:szCs w:val="22"/>
                <w:lang w:eastAsia="is-IS"/>
              </w:rPr>
              <w:t xml:space="preserve"> 1 </w:t>
            </w:r>
            <w:r w:rsidR="00E83812" w:rsidRPr="00776407">
              <w:rPr>
                <w:sz w:val="22"/>
                <w:szCs w:val="22"/>
                <w:lang w:eastAsia="is-IS"/>
              </w:rPr>
              <w:t>gydymo mėnesio</w:t>
            </w:r>
          </w:p>
        </w:tc>
      </w:tr>
    </w:tbl>
    <w:p w14:paraId="6D5BD04C" w14:textId="77777777" w:rsidR="00A44158" w:rsidRPr="00776407" w:rsidRDefault="00A44158" w:rsidP="00A44158">
      <w:pPr>
        <w:autoSpaceDE w:val="0"/>
        <w:autoSpaceDN w:val="0"/>
        <w:adjustRightInd w:val="0"/>
        <w:rPr>
          <w:sz w:val="22"/>
          <w:szCs w:val="22"/>
        </w:rPr>
      </w:pPr>
    </w:p>
    <w:p w14:paraId="7652EAF8" w14:textId="77777777" w:rsidR="00E83812" w:rsidRPr="00776407" w:rsidRDefault="002A385D" w:rsidP="00E83812">
      <w:pPr>
        <w:rPr>
          <w:sz w:val="22"/>
          <w:szCs w:val="22"/>
          <w:u w:val="single"/>
        </w:rPr>
      </w:pPr>
      <w:r w:rsidRPr="00776407">
        <w:rPr>
          <w:sz w:val="22"/>
          <w:szCs w:val="22"/>
          <w:u w:val="single"/>
        </w:rPr>
        <w:t>Ypatingos</w:t>
      </w:r>
      <w:r w:rsidR="00E83812" w:rsidRPr="00776407">
        <w:rPr>
          <w:sz w:val="22"/>
          <w:szCs w:val="22"/>
          <w:u w:val="single"/>
        </w:rPr>
        <w:t xml:space="preserve"> populiacijos </w:t>
      </w:r>
    </w:p>
    <w:p w14:paraId="660D1391" w14:textId="77777777" w:rsidR="003C1690" w:rsidRPr="00776407" w:rsidRDefault="003C1690" w:rsidP="00E83812">
      <w:pPr>
        <w:rPr>
          <w:sz w:val="22"/>
          <w:szCs w:val="22"/>
          <w:u w:val="single"/>
        </w:rPr>
      </w:pPr>
    </w:p>
    <w:p w14:paraId="1EB49C09" w14:textId="77777777" w:rsidR="00E83812" w:rsidRPr="00776407" w:rsidRDefault="00E83812" w:rsidP="00E83812">
      <w:pPr>
        <w:rPr>
          <w:sz w:val="22"/>
          <w:szCs w:val="22"/>
        </w:rPr>
      </w:pPr>
      <w:r w:rsidRPr="00776407">
        <w:rPr>
          <w:i/>
          <w:iCs/>
          <w:sz w:val="22"/>
          <w:szCs w:val="22"/>
        </w:rPr>
        <w:t xml:space="preserve">Vaikams. </w:t>
      </w:r>
      <w:r w:rsidRPr="00776407">
        <w:rPr>
          <w:sz w:val="22"/>
          <w:szCs w:val="22"/>
        </w:rPr>
        <w:t>Vartojimo vaikams, jaunesniems kaip 2 metų</w:t>
      </w:r>
      <w:r w:rsidR="00E020E9" w:rsidRPr="00776407">
        <w:rPr>
          <w:sz w:val="22"/>
          <w:szCs w:val="22"/>
        </w:rPr>
        <w:t xml:space="preserve"> ir sergantiems LML bei jaunesniems kaip 1 metų ir sergantiems Ph+ŪLL</w:t>
      </w:r>
      <w:r w:rsidRPr="00776407">
        <w:rPr>
          <w:sz w:val="22"/>
          <w:szCs w:val="22"/>
        </w:rPr>
        <w:t>, patirties nėra (žr. 5.1</w:t>
      </w:r>
      <w:r w:rsidR="00A0488C" w:rsidRPr="00776407">
        <w:rPr>
          <w:sz w:val="22"/>
          <w:szCs w:val="22"/>
        </w:rPr>
        <w:t> </w:t>
      </w:r>
      <w:r w:rsidRPr="00776407">
        <w:rPr>
          <w:sz w:val="22"/>
          <w:szCs w:val="22"/>
        </w:rPr>
        <w:t xml:space="preserve">skyrių). </w:t>
      </w:r>
      <w:r w:rsidR="00CE1B71" w:rsidRPr="00776407">
        <w:rPr>
          <w:sz w:val="22"/>
          <w:szCs w:val="22"/>
        </w:rPr>
        <w:t>Vartojimo patirtis vaikams, sergantiems MDS/MPL, DFSP ir HES/LEL</w:t>
      </w:r>
      <w:r w:rsidR="00310C7A" w:rsidRPr="00776407">
        <w:rPr>
          <w:sz w:val="22"/>
          <w:szCs w:val="22"/>
        </w:rPr>
        <w:t>,</w:t>
      </w:r>
      <w:r w:rsidR="00CE1B71" w:rsidRPr="00776407">
        <w:rPr>
          <w:sz w:val="22"/>
          <w:szCs w:val="22"/>
        </w:rPr>
        <w:t xml:space="preserve"> labai ribota.</w:t>
      </w:r>
    </w:p>
    <w:p w14:paraId="11D2D080" w14:textId="77777777" w:rsidR="00E83812" w:rsidRPr="00776407" w:rsidRDefault="00E83812" w:rsidP="00E83812">
      <w:pPr>
        <w:rPr>
          <w:sz w:val="22"/>
          <w:szCs w:val="22"/>
        </w:rPr>
      </w:pPr>
    </w:p>
    <w:p w14:paraId="5F958010" w14:textId="77777777" w:rsidR="00CE1B71" w:rsidRPr="00776407" w:rsidRDefault="00CE1B71" w:rsidP="00E83812">
      <w:pPr>
        <w:rPr>
          <w:sz w:val="22"/>
          <w:szCs w:val="22"/>
        </w:rPr>
      </w:pPr>
      <w:r w:rsidRPr="00776407">
        <w:rPr>
          <w:sz w:val="22"/>
          <w:szCs w:val="22"/>
        </w:rPr>
        <w:t>Klinikinių tyrimų metu imatinibo saugumas ir veiksmingumas jaunesniems kaip 18</w:t>
      </w:r>
      <w:r w:rsidR="006C4DB6" w:rsidRPr="00776407">
        <w:rPr>
          <w:sz w:val="22"/>
          <w:szCs w:val="22"/>
        </w:rPr>
        <w:t> </w:t>
      </w:r>
      <w:r w:rsidRPr="00776407">
        <w:rPr>
          <w:sz w:val="22"/>
          <w:szCs w:val="22"/>
        </w:rPr>
        <w:t>metų vaikams, sergantiems MDS/MPL, DFSP ir HES/LEL, neištirti. Turimi literatūros duomenys pateikiami 5.1 skyriuje, tačiau dozavimo rekomendacijų pateikti negalima.</w:t>
      </w:r>
    </w:p>
    <w:p w14:paraId="055EBD2F" w14:textId="77777777" w:rsidR="00CE1B71" w:rsidRPr="00776407" w:rsidRDefault="00CE1B71" w:rsidP="00E83812">
      <w:pPr>
        <w:rPr>
          <w:sz w:val="22"/>
          <w:szCs w:val="22"/>
        </w:rPr>
      </w:pPr>
    </w:p>
    <w:p w14:paraId="1E8C5F9C" w14:textId="77777777" w:rsidR="00E83812" w:rsidRPr="00776407" w:rsidRDefault="00E83812" w:rsidP="00E83812">
      <w:pPr>
        <w:rPr>
          <w:sz w:val="22"/>
          <w:szCs w:val="22"/>
        </w:rPr>
      </w:pPr>
      <w:r w:rsidRPr="00776407">
        <w:rPr>
          <w:i/>
          <w:iCs/>
          <w:sz w:val="22"/>
          <w:szCs w:val="22"/>
        </w:rPr>
        <w:t xml:space="preserve">Kepenų nepakankamumas. </w:t>
      </w:r>
      <w:r w:rsidRPr="00776407">
        <w:rPr>
          <w:sz w:val="22"/>
          <w:szCs w:val="22"/>
        </w:rPr>
        <w:t>Daugiausia imatinibo metabolizuojama kepenyse. Pacientams, kuriems yra nedidelis, vidutinis ar didelis kepenų funkcijos sutrikimas, skirti mažiausią rekomenduojamą 400 mg paros dozę. Dozę galima mažinti, jeigu netoleruojama (žr. 4.4, 4.8 ir 5.2 skyrius).</w:t>
      </w:r>
    </w:p>
    <w:p w14:paraId="0A3CAB9B" w14:textId="77777777" w:rsidR="00A44158" w:rsidRPr="00776407" w:rsidRDefault="00A44158" w:rsidP="00E9766E">
      <w:pPr>
        <w:rPr>
          <w:sz w:val="22"/>
          <w:szCs w:val="22"/>
        </w:rPr>
      </w:pPr>
    </w:p>
    <w:p w14:paraId="54901B2B" w14:textId="77777777" w:rsidR="001078E6" w:rsidRPr="00776407" w:rsidRDefault="001078E6" w:rsidP="001078E6">
      <w:pPr>
        <w:autoSpaceDE w:val="0"/>
        <w:autoSpaceDN w:val="0"/>
        <w:adjustRightInd w:val="0"/>
        <w:rPr>
          <w:sz w:val="22"/>
          <w:szCs w:val="22"/>
          <w:lang w:eastAsia="is-IS"/>
        </w:rPr>
      </w:pPr>
      <w:r w:rsidRPr="00776407">
        <w:rPr>
          <w:sz w:val="22"/>
          <w:szCs w:val="22"/>
          <w:lang w:eastAsia="is-IS"/>
        </w:rPr>
        <w:t>Kepenų funkcijos sutrikimų klasifikacija:</w:t>
      </w:r>
    </w:p>
    <w:p w14:paraId="376F33DD" w14:textId="77777777" w:rsidR="001078E6" w:rsidRPr="00776407" w:rsidRDefault="001078E6" w:rsidP="001078E6">
      <w:pPr>
        <w:autoSpaceDE w:val="0"/>
        <w:autoSpaceDN w:val="0"/>
        <w:adjustRightInd w:val="0"/>
        <w:rPr>
          <w:sz w:val="22"/>
          <w:szCs w:val="22"/>
          <w:lang w:eastAsia="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327"/>
      </w:tblGrid>
      <w:tr w:rsidR="001078E6" w:rsidRPr="00776407" w14:paraId="6D5524A4" w14:textId="77777777" w:rsidTr="009709D6">
        <w:tc>
          <w:tcPr>
            <w:tcW w:w="4219" w:type="dxa"/>
          </w:tcPr>
          <w:p w14:paraId="402566B3" w14:textId="77777777" w:rsidR="001078E6" w:rsidRPr="00776407" w:rsidRDefault="001078E6" w:rsidP="009709D6">
            <w:pPr>
              <w:autoSpaceDE w:val="0"/>
              <w:autoSpaceDN w:val="0"/>
              <w:adjustRightInd w:val="0"/>
              <w:rPr>
                <w:lang w:eastAsia="is-IS"/>
              </w:rPr>
            </w:pPr>
            <w:r w:rsidRPr="00776407">
              <w:rPr>
                <w:sz w:val="22"/>
                <w:szCs w:val="22"/>
                <w:lang w:eastAsia="is-IS"/>
              </w:rPr>
              <w:t>Kepenų funkcijos sutrikimas</w:t>
            </w:r>
          </w:p>
        </w:tc>
        <w:tc>
          <w:tcPr>
            <w:tcW w:w="5327" w:type="dxa"/>
          </w:tcPr>
          <w:p w14:paraId="75E1AA74" w14:textId="77777777" w:rsidR="001078E6" w:rsidRPr="00776407" w:rsidRDefault="001078E6" w:rsidP="009709D6">
            <w:pPr>
              <w:autoSpaceDE w:val="0"/>
              <w:autoSpaceDN w:val="0"/>
              <w:adjustRightInd w:val="0"/>
              <w:rPr>
                <w:lang w:eastAsia="is-IS"/>
              </w:rPr>
            </w:pPr>
            <w:r w:rsidRPr="00776407">
              <w:rPr>
                <w:sz w:val="22"/>
                <w:szCs w:val="22"/>
                <w:lang w:eastAsia="is-IS"/>
              </w:rPr>
              <w:t>Kepenų funkcijos tyrimai</w:t>
            </w:r>
          </w:p>
        </w:tc>
      </w:tr>
      <w:tr w:rsidR="001078E6" w:rsidRPr="00776407" w14:paraId="278F59FC" w14:textId="77777777" w:rsidTr="009709D6">
        <w:tc>
          <w:tcPr>
            <w:tcW w:w="4219" w:type="dxa"/>
          </w:tcPr>
          <w:p w14:paraId="766B9532" w14:textId="77777777" w:rsidR="001078E6" w:rsidRPr="00776407" w:rsidRDefault="002A385D" w:rsidP="009709D6">
            <w:pPr>
              <w:autoSpaceDE w:val="0"/>
              <w:autoSpaceDN w:val="0"/>
              <w:adjustRightInd w:val="0"/>
              <w:rPr>
                <w:lang w:eastAsia="is-IS"/>
              </w:rPr>
            </w:pPr>
            <w:r w:rsidRPr="00776407">
              <w:rPr>
                <w:sz w:val="22"/>
                <w:szCs w:val="22"/>
                <w:lang w:eastAsia="is-IS"/>
              </w:rPr>
              <w:t>Nesunkus</w:t>
            </w:r>
          </w:p>
        </w:tc>
        <w:tc>
          <w:tcPr>
            <w:tcW w:w="5327" w:type="dxa"/>
          </w:tcPr>
          <w:p w14:paraId="1847957B" w14:textId="368C617E" w:rsidR="001078E6" w:rsidRPr="00776407" w:rsidRDefault="001078E6" w:rsidP="009709D6">
            <w:pPr>
              <w:autoSpaceDE w:val="0"/>
              <w:autoSpaceDN w:val="0"/>
              <w:adjustRightInd w:val="0"/>
              <w:rPr>
                <w:lang w:eastAsia="is-IS"/>
              </w:rPr>
            </w:pPr>
            <w:r w:rsidRPr="00776407">
              <w:rPr>
                <w:sz w:val="22"/>
                <w:szCs w:val="22"/>
                <w:lang w:eastAsia="is-IS"/>
              </w:rPr>
              <w:t>Bendras bilirubinas:</w:t>
            </w:r>
            <w:r w:rsidR="00B03979" w:rsidRPr="00776407">
              <w:rPr>
                <w:sz w:val="22"/>
                <w:szCs w:val="22"/>
                <w:lang w:eastAsia="is-IS"/>
              </w:rPr>
              <w:t> </w:t>
            </w:r>
            <w:r w:rsidRPr="00776407">
              <w:rPr>
                <w:sz w:val="22"/>
                <w:szCs w:val="22"/>
                <w:lang w:eastAsia="is-IS"/>
              </w:rPr>
              <w:t>= 1</w:t>
            </w:r>
            <w:r w:rsidR="002A385D" w:rsidRPr="00776407">
              <w:rPr>
                <w:sz w:val="22"/>
                <w:szCs w:val="22"/>
                <w:lang w:eastAsia="is-IS"/>
              </w:rPr>
              <w:t>,</w:t>
            </w:r>
            <w:r w:rsidRPr="00776407">
              <w:rPr>
                <w:sz w:val="22"/>
                <w:szCs w:val="22"/>
                <w:lang w:eastAsia="is-IS"/>
              </w:rPr>
              <w:t>5 VNR</w:t>
            </w:r>
          </w:p>
          <w:p w14:paraId="0D3E3BF8" w14:textId="77777777" w:rsidR="001078E6" w:rsidRPr="00776407" w:rsidRDefault="001078E6" w:rsidP="001078E6">
            <w:pPr>
              <w:autoSpaceDE w:val="0"/>
              <w:autoSpaceDN w:val="0"/>
              <w:adjustRightInd w:val="0"/>
              <w:rPr>
                <w:lang w:eastAsia="is-IS"/>
              </w:rPr>
            </w:pPr>
            <w:r w:rsidRPr="00776407">
              <w:rPr>
                <w:sz w:val="22"/>
                <w:szCs w:val="22"/>
                <w:lang w:eastAsia="is-IS"/>
              </w:rPr>
              <w:t>AST: &gt;VNR (gali būti nenormali ar &lt;VNR</w:t>
            </w:r>
            <w:r w:rsidR="00A0488C" w:rsidRPr="00776407">
              <w:rPr>
                <w:sz w:val="22"/>
                <w:szCs w:val="22"/>
                <w:lang w:eastAsia="is-IS"/>
              </w:rPr>
              <w:t xml:space="preserve"> </w:t>
            </w:r>
            <w:r w:rsidRPr="00776407">
              <w:rPr>
                <w:sz w:val="22"/>
                <w:szCs w:val="22"/>
                <w:lang w:eastAsia="is-IS"/>
              </w:rPr>
              <w:t>jei bendras bilirubinas &gt;VNR)</w:t>
            </w:r>
          </w:p>
        </w:tc>
      </w:tr>
      <w:tr w:rsidR="001078E6" w:rsidRPr="00776407" w14:paraId="41D726F2" w14:textId="77777777" w:rsidTr="009709D6">
        <w:tc>
          <w:tcPr>
            <w:tcW w:w="4219" w:type="dxa"/>
          </w:tcPr>
          <w:p w14:paraId="417BD790" w14:textId="77777777" w:rsidR="001078E6" w:rsidRPr="00776407" w:rsidRDefault="001078E6" w:rsidP="009709D6">
            <w:pPr>
              <w:autoSpaceDE w:val="0"/>
              <w:autoSpaceDN w:val="0"/>
              <w:adjustRightInd w:val="0"/>
              <w:rPr>
                <w:lang w:eastAsia="is-IS"/>
              </w:rPr>
            </w:pPr>
            <w:r w:rsidRPr="00776407">
              <w:rPr>
                <w:sz w:val="22"/>
                <w:szCs w:val="22"/>
                <w:lang w:eastAsia="is-IS"/>
              </w:rPr>
              <w:t>Vidutinis</w:t>
            </w:r>
          </w:p>
        </w:tc>
        <w:tc>
          <w:tcPr>
            <w:tcW w:w="5327" w:type="dxa"/>
          </w:tcPr>
          <w:p w14:paraId="47097FEF" w14:textId="77777777" w:rsidR="001078E6" w:rsidRPr="00776407" w:rsidRDefault="001078E6" w:rsidP="009709D6">
            <w:pPr>
              <w:autoSpaceDE w:val="0"/>
              <w:autoSpaceDN w:val="0"/>
              <w:adjustRightInd w:val="0"/>
              <w:rPr>
                <w:lang w:eastAsia="is-IS"/>
              </w:rPr>
            </w:pPr>
            <w:r w:rsidRPr="00776407">
              <w:rPr>
                <w:sz w:val="22"/>
                <w:szCs w:val="22"/>
                <w:lang w:eastAsia="is-IS"/>
              </w:rPr>
              <w:t>Bendras bilirubinas: &gt;1</w:t>
            </w:r>
            <w:r w:rsidR="002A385D" w:rsidRPr="00776407">
              <w:rPr>
                <w:sz w:val="22"/>
                <w:szCs w:val="22"/>
                <w:lang w:eastAsia="is-IS"/>
              </w:rPr>
              <w:t>,</w:t>
            </w:r>
            <w:r w:rsidRPr="00776407">
              <w:rPr>
                <w:sz w:val="22"/>
                <w:szCs w:val="22"/>
                <w:lang w:eastAsia="is-IS"/>
              </w:rPr>
              <w:t>5</w:t>
            </w:r>
            <w:r w:rsidRPr="00776407">
              <w:rPr>
                <w:sz w:val="22"/>
                <w:szCs w:val="22"/>
                <w:lang w:eastAsia="is-IS"/>
              </w:rPr>
              <w:noBreakHyphen/>
              <w:t>3</w:t>
            </w:r>
            <w:r w:rsidR="002A385D" w:rsidRPr="00776407">
              <w:rPr>
                <w:sz w:val="22"/>
                <w:szCs w:val="22"/>
                <w:lang w:eastAsia="is-IS"/>
              </w:rPr>
              <w:t>,</w:t>
            </w:r>
            <w:r w:rsidRPr="00776407">
              <w:rPr>
                <w:sz w:val="22"/>
                <w:szCs w:val="22"/>
                <w:lang w:eastAsia="is-IS"/>
              </w:rPr>
              <w:t>0 VNR</w:t>
            </w:r>
          </w:p>
          <w:p w14:paraId="527DDEBF" w14:textId="77777777" w:rsidR="001078E6" w:rsidRPr="00776407" w:rsidRDefault="001078E6" w:rsidP="001078E6">
            <w:pPr>
              <w:autoSpaceDE w:val="0"/>
              <w:autoSpaceDN w:val="0"/>
              <w:adjustRightInd w:val="0"/>
              <w:rPr>
                <w:lang w:eastAsia="is-IS"/>
              </w:rPr>
            </w:pPr>
            <w:r w:rsidRPr="00776407">
              <w:rPr>
                <w:sz w:val="22"/>
                <w:szCs w:val="22"/>
                <w:lang w:eastAsia="is-IS"/>
              </w:rPr>
              <w:t>AST: bet kokia</w:t>
            </w:r>
          </w:p>
        </w:tc>
      </w:tr>
      <w:tr w:rsidR="001078E6" w:rsidRPr="00776407" w14:paraId="0D7BCA0F" w14:textId="77777777" w:rsidTr="009709D6">
        <w:tc>
          <w:tcPr>
            <w:tcW w:w="4219" w:type="dxa"/>
          </w:tcPr>
          <w:p w14:paraId="75FDD86B" w14:textId="77777777" w:rsidR="001078E6" w:rsidRPr="00776407" w:rsidRDefault="001078E6" w:rsidP="009709D6">
            <w:pPr>
              <w:autoSpaceDE w:val="0"/>
              <w:autoSpaceDN w:val="0"/>
              <w:adjustRightInd w:val="0"/>
              <w:rPr>
                <w:lang w:eastAsia="is-IS"/>
              </w:rPr>
            </w:pPr>
            <w:r w:rsidRPr="00776407">
              <w:rPr>
                <w:sz w:val="22"/>
                <w:szCs w:val="22"/>
                <w:lang w:eastAsia="is-IS"/>
              </w:rPr>
              <w:t>Sunkus</w:t>
            </w:r>
          </w:p>
        </w:tc>
        <w:tc>
          <w:tcPr>
            <w:tcW w:w="5327" w:type="dxa"/>
          </w:tcPr>
          <w:p w14:paraId="26647E27" w14:textId="77777777" w:rsidR="001078E6" w:rsidRPr="00776407" w:rsidRDefault="001078E6" w:rsidP="009709D6">
            <w:pPr>
              <w:autoSpaceDE w:val="0"/>
              <w:autoSpaceDN w:val="0"/>
              <w:adjustRightInd w:val="0"/>
              <w:rPr>
                <w:lang w:eastAsia="is-IS"/>
              </w:rPr>
            </w:pPr>
            <w:r w:rsidRPr="00776407">
              <w:rPr>
                <w:sz w:val="22"/>
                <w:szCs w:val="22"/>
                <w:lang w:eastAsia="is-IS"/>
              </w:rPr>
              <w:t>Bendras bilirubinas: &gt;3</w:t>
            </w:r>
            <w:r w:rsidRPr="00776407">
              <w:rPr>
                <w:sz w:val="22"/>
                <w:szCs w:val="22"/>
                <w:lang w:eastAsia="is-IS"/>
              </w:rPr>
              <w:noBreakHyphen/>
              <w:t>10 VNR</w:t>
            </w:r>
          </w:p>
          <w:p w14:paraId="78486C9D" w14:textId="77777777" w:rsidR="001078E6" w:rsidRPr="00776407" w:rsidRDefault="001078E6" w:rsidP="001078E6">
            <w:pPr>
              <w:autoSpaceDE w:val="0"/>
              <w:autoSpaceDN w:val="0"/>
              <w:adjustRightInd w:val="0"/>
              <w:rPr>
                <w:lang w:eastAsia="is-IS"/>
              </w:rPr>
            </w:pPr>
            <w:r w:rsidRPr="00776407">
              <w:rPr>
                <w:sz w:val="22"/>
                <w:szCs w:val="22"/>
                <w:lang w:eastAsia="is-IS"/>
              </w:rPr>
              <w:t>AST: bet kokia</w:t>
            </w:r>
          </w:p>
        </w:tc>
      </w:tr>
    </w:tbl>
    <w:p w14:paraId="61036136" w14:textId="4284F77D" w:rsidR="001078E6" w:rsidRPr="00776407" w:rsidRDefault="001078E6" w:rsidP="001078E6">
      <w:pPr>
        <w:autoSpaceDE w:val="0"/>
        <w:autoSpaceDN w:val="0"/>
        <w:adjustRightInd w:val="0"/>
        <w:rPr>
          <w:sz w:val="22"/>
          <w:szCs w:val="22"/>
          <w:lang w:eastAsia="is-IS"/>
        </w:rPr>
      </w:pPr>
      <w:r w:rsidRPr="00776407">
        <w:rPr>
          <w:sz w:val="22"/>
          <w:szCs w:val="22"/>
          <w:lang w:eastAsia="is-IS"/>
        </w:rPr>
        <w:t>VNR =</w:t>
      </w:r>
      <w:r w:rsidR="00B03979" w:rsidRPr="00776407">
        <w:rPr>
          <w:sz w:val="22"/>
          <w:szCs w:val="22"/>
          <w:lang w:eastAsia="is-IS"/>
        </w:rPr>
        <w:t> </w:t>
      </w:r>
      <w:r w:rsidRPr="00776407">
        <w:rPr>
          <w:sz w:val="22"/>
          <w:szCs w:val="22"/>
          <w:lang w:eastAsia="is-IS"/>
        </w:rPr>
        <w:t>viršutinė normos riba institucijoje</w:t>
      </w:r>
    </w:p>
    <w:p w14:paraId="59B5448F" w14:textId="021752A7" w:rsidR="00A44158" w:rsidRPr="00776407" w:rsidRDefault="001078E6" w:rsidP="001078E6">
      <w:pPr>
        <w:rPr>
          <w:sz w:val="22"/>
          <w:szCs w:val="22"/>
          <w:lang w:eastAsia="is-IS"/>
        </w:rPr>
      </w:pPr>
      <w:r w:rsidRPr="00776407">
        <w:rPr>
          <w:sz w:val="22"/>
          <w:szCs w:val="22"/>
          <w:lang w:eastAsia="is-IS"/>
        </w:rPr>
        <w:t>AST =</w:t>
      </w:r>
      <w:r w:rsidR="00B03979" w:rsidRPr="00776407">
        <w:rPr>
          <w:sz w:val="22"/>
          <w:szCs w:val="22"/>
          <w:lang w:eastAsia="is-IS"/>
        </w:rPr>
        <w:t> </w:t>
      </w:r>
      <w:r w:rsidRPr="00776407">
        <w:rPr>
          <w:sz w:val="22"/>
          <w:szCs w:val="22"/>
          <w:lang w:eastAsia="is-IS"/>
        </w:rPr>
        <w:t>aspartataminotransferazė</w:t>
      </w:r>
    </w:p>
    <w:p w14:paraId="1A140A07" w14:textId="77777777" w:rsidR="001078E6" w:rsidRPr="00776407" w:rsidRDefault="001078E6" w:rsidP="001078E6">
      <w:pPr>
        <w:rPr>
          <w:sz w:val="22"/>
          <w:szCs w:val="22"/>
          <w:lang w:eastAsia="is-IS"/>
        </w:rPr>
      </w:pPr>
    </w:p>
    <w:p w14:paraId="0DD16D7C" w14:textId="77777777" w:rsidR="001078E6" w:rsidRPr="00776407" w:rsidRDefault="001078E6" w:rsidP="001078E6">
      <w:pPr>
        <w:rPr>
          <w:rFonts w:eastAsia="Calibri"/>
          <w:sz w:val="22"/>
          <w:szCs w:val="22"/>
        </w:rPr>
      </w:pPr>
      <w:r w:rsidRPr="00776407">
        <w:rPr>
          <w:rFonts w:eastAsia="Calibri"/>
          <w:i/>
          <w:iCs/>
          <w:sz w:val="22"/>
          <w:szCs w:val="22"/>
        </w:rPr>
        <w:t>Inkstų nepakankamumas</w:t>
      </w:r>
      <w:r w:rsidRPr="00776407">
        <w:rPr>
          <w:rFonts w:eastAsia="Calibri"/>
          <w:i/>
          <w:iCs/>
          <w:sz w:val="22"/>
          <w:szCs w:val="22"/>
          <w:u w:val="single"/>
        </w:rPr>
        <w:t>.</w:t>
      </w:r>
      <w:r w:rsidRPr="00776407">
        <w:rPr>
          <w:rFonts w:eastAsia="Calibri"/>
          <w:i/>
          <w:iCs/>
          <w:sz w:val="22"/>
          <w:szCs w:val="22"/>
        </w:rPr>
        <w:t xml:space="preserve"> </w:t>
      </w:r>
      <w:r w:rsidR="00603F33" w:rsidRPr="00776407">
        <w:rPr>
          <w:color w:val="000000"/>
          <w:sz w:val="22"/>
          <w:szCs w:val="22"/>
        </w:rPr>
        <w:t>Pacientams, kuriems yra inkstų funkcijos sutrikimas</w:t>
      </w:r>
      <w:r w:rsidR="00603F33" w:rsidRPr="00776407">
        <w:rPr>
          <w:snapToGrid w:val="0"/>
          <w:color w:val="000000"/>
          <w:sz w:val="22"/>
          <w:szCs w:val="22"/>
        </w:rPr>
        <w:t xml:space="preserve"> ar atliekamos dializės</w:t>
      </w:r>
      <w:r w:rsidRPr="00776407">
        <w:rPr>
          <w:rFonts w:eastAsia="Calibri"/>
          <w:sz w:val="22"/>
          <w:szCs w:val="22"/>
        </w:rPr>
        <w:t>, iš pradžių turi būti skiriama mažiausia rekomenduojama 400 mg paros dozė. Tačiau rekomenduojama imtis atsargumo priemonių. Neto</w:t>
      </w:r>
      <w:r w:rsidR="00E01A4B" w:rsidRPr="00776407">
        <w:rPr>
          <w:rFonts w:eastAsia="Calibri"/>
          <w:sz w:val="22"/>
          <w:szCs w:val="22"/>
        </w:rPr>
        <w:t>leruojamą dozę galima mažinti, j</w:t>
      </w:r>
      <w:r w:rsidRPr="00776407">
        <w:rPr>
          <w:rFonts w:eastAsia="Calibri"/>
          <w:sz w:val="22"/>
          <w:szCs w:val="22"/>
        </w:rPr>
        <w:t xml:space="preserve">ei dozė yra neveiksminga – didinti (žr. 4.4 ir 5.2 skyrius). </w:t>
      </w:r>
    </w:p>
    <w:p w14:paraId="3661F7B4" w14:textId="77777777" w:rsidR="001078E6" w:rsidRPr="00776407" w:rsidRDefault="001078E6" w:rsidP="001078E6">
      <w:pPr>
        <w:rPr>
          <w:rFonts w:eastAsia="Calibri"/>
          <w:sz w:val="22"/>
          <w:szCs w:val="22"/>
        </w:rPr>
      </w:pPr>
    </w:p>
    <w:p w14:paraId="67687D12" w14:textId="77777777" w:rsidR="001078E6" w:rsidRPr="00776407" w:rsidRDefault="002321BB" w:rsidP="001078E6">
      <w:pPr>
        <w:rPr>
          <w:rFonts w:eastAsia="Calibri"/>
          <w:sz w:val="22"/>
          <w:szCs w:val="22"/>
        </w:rPr>
      </w:pPr>
      <w:r w:rsidRPr="00776407">
        <w:rPr>
          <w:rFonts w:eastAsia="Calibri"/>
          <w:i/>
          <w:iCs/>
          <w:sz w:val="22"/>
          <w:szCs w:val="22"/>
        </w:rPr>
        <w:t>Senyvi žmonės</w:t>
      </w:r>
      <w:r w:rsidR="001078E6" w:rsidRPr="00776407">
        <w:rPr>
          <w:rFonts w:eastAsia="Calibri"/>
          <w:i/>
          <w:iCs/>
          <w:sz w:val="22"/>
          <w:szCs w:val="22"/>
        </w:rPr>
        <w:t xml:space="preserve">. </w:t>
      </w:r>
      <w:r w:rsidR="001078E6" w:rsidRPr="00776407">
        <w:rPr>
          <w:rFonts w:eastAsia="Calibri"/>
          <w:sz w:val="22"/>
          <w:szCs w:val="22"/>
        </w:rPr>
        <w:t xml:space="preserve">Senyvų žmonių imatinibo farmakokinetika nebuvo specialiai tirta. Klinikinių tyrimų, kuriuose dalyvavo daugiau kaip 20 % 65 metų ir vyresnių pacientų, metu reikšmingų, su amžiumi susijusių farmakokinetikos pokyčių nestebėta. Senyviems asmenims specifinis dozavimas nerekomenduojamas. </w:t>
      </w:r>
    </w:p>
    <w:p w14:paraId="2E92FCB9" w14:textId="77777777" w:rsidR="00D3042C" w:rsidRPr="00776407" w:rsidRDefault="00D3042C" w:rsidP="001078E6">
      <w:pPr>
        <w:rPr>
          <w:rFonts w:eastAsia="Calibri"/>
          <w:sz w:val="22"/>
          <w:szCs w:val="22"/>
        </w:rPr>
      </w:pPr>
    </w:p>
    <w:p w14:paraId="57F60F3C" w14:textId="77777777" w:rsidR="00D3042C" w:rsidRPr="00776407" w:rsidRDefault="00D3042C" w:rsidP="001078E6">
      <w:pPr>
        <w:rPr>
          <w:rFonts w:eastAsia="Calibri"/>
          <w:sz w:val="22"/>
          <w:szCs w:val="22"/>
          <w:u w:val="single"/>
        </w:rPr>
      </w:pPr>
      <w:r w:rsidRPr="00776407">
        <w:rPr>
          <w:rFonts w:eastAsia="Calibri"/>
          <w:sz w:val="22"/>
          <w:szCs w:val="22"/>
          <w:u w:val="single"/>
        </w:rPr>
        <w:t>Vartojimo metodas</w:t>
      </w:r>
    </w:p>
    <w:p w14:paraId="15B35C52" w14:textId="77777777" w:rsidR="00D3042C" w:rsidRPr="00776407" w:rsidRDefault="00D3042C" w:rsidP="001078E6">
      <w:pPr>
        <w:rPr>
          <w:rFonts w:eastAsia="Calibri"/>
          <w:sz w:val="22"/>
          <w:szCs w:val="22"/>
          <w:u w:val="single"/>
        </w:rPr>
      </w:pPr>
    </w:p>
    <w:p w14:paraId="1CE9825E" w14:textId="77777777" w:rsidR="00D3042C" w:rsidRPr="00776407" w:rsidRDefault="00D3042C" w:rsidP="00D3042C">
      <w:pPr>
        <w:rPr>
          <w:sz w:val="22"/>
          <w:szCs w:val="22"/>
        </w:rPr>
      </w:pPr>
      <w:r w:rsidRPr="00776407">
        <w:rPr>
          <w:sz w:val="22"/>
          <w:szCs w:val="22"/>
        </w:rPr>
        <w:t xml:space="preserve">Paskirta dozė geriama valgant ir užgeriant didele stikline vandens, kad būtų sumažinta virškinimo trakto dirginimo rizika. 400 mg ar 600 mg dozę vartoti vieną kartą per parą, tuo tarpu 800 mg paros dozę reikėtų vartoti po 400 mg du kartus per parą, ryte ir vakare. </w:t>
      </w:r>
    </w:p>
    <w:p w14:paraId="453B1C0D" w14:textId="77777777" w:rsidR="00D3042C" w:rsidRPr="00776407" w:rsidRDefault="00D3042C" w:rsidP="00D3042C">
      <w:pPr>
        <w:rPr>
          <w:sz w:val="22"/>
          <w:szCs w:val="22"/>
        </w:rPr>
      </w:pPr>
    </w:p>
    <w:p w14:paraId="07AFF8A4" w14:textId="77777777" w:rsidR="00D3042C" w:rsidRPr="00776407" w:rsidRDefault="00D3042C" w:rsidP="00D3042C">
      <w:pPr>
        <w:rPr>
          <w:sz w:val="22"/>
          <w:szCs w:val="22"/>
        </w:rPr>
      </w:pPr>
      <w:r w:rsidRPr="00776407">
        <w:rPr>
          <w:sz w:val="22"/>
          <w:szCs w:val="22"/>
        </w:rPr>
        <w:t>Pacientams</w:t>
      </w:r>
      <w:r w:rsidR="00370BD0" w:rsidRPr="00776407">
        <w:rPr>
          <w:sz w:val="22"/>
          <w:szCs w:val="22"/>
        </w:rPr>
        <w:t xml:space="preserve"> (vaikams)</w:t>
      </w:r>
      <w:r w:rsidR="00603F33" w:rsidRPr="00776407">
        <w:rPr>
          <w:sz w:val="22"/>
          <w:szCs w:val="22"/>
        </w:rPr>
        <w:t>,</w:t>
      </w:r>
      <w:r w:rsidRPr="00776407">
        <w:rPr>
          <w:sz w:val="22"/>
          <w:szCs w:val="22"/>
        </w:rPr>
        <w:t xml:space="preserve"> kurie negali nuryti kapsulės, jos turinį galima ištirpinti stiklinėje negazuoto vandens ar obuolių sulčių. </w:t>
      </w:r>
      <w:r w:rsidR="00CE1B71" w:rsidRPr="00776407">
        <w:rPr>
          <w:sz w:val="22"/>
          <w:szCs w:val="22"/>
        </w:rPr>
        <w:t>Tyrimai su gyvūnais parodė toksinį poveikį vaisingumui, tačiau potenciali rizika žmogaus vaisiui nežinoma, todėl vaisingo amžiaus moterims, kurioms tenka atidaryti kapsulę, reikia įspėti atsargiai elgtis su kapsulės turiniu ir saugotis, kad jo nepatektų į akis, kad jo neįkvėptų (žr. 4.6 skyrių). Kapsulę atidarius, būtina nedelsiant nusiplauti rankas.</w:t>
      </w:r>
    </w:p>
    <w:p w14:paraId="04E25DDC" w14:textId="77777777" w:rsidR="001078E6" w:rsidRPr="00776407" w:rsidRDefault="001078E6" w:rsidP="001078E6">
      <w:pPr>
        <w:rPr>
          <w:rFonts w:eastAsia="Calibri"/>
          <w:sz w:val="22"/>
          <w:szCs w:val="22"/>
        </w:rPr>
      </w:pPr>
    </w:p>
    <w:p w14:paraId="7B376FD3" w14:textId="77777777" w:rsidR="001078E6" w:rsidRPr="00776407" w:rsidRDefault="001078E6" w:rsidP="00864BE6">
      <w:pPr>
        <w:pStyle w:val="Listenabsatz"/>
        <w:keepNext/>
        <w:numPr>
          <w:ilvl w:val="1"/>
          <w:numId w:val="9"/>
        </w:numPr>
        <w:ind w:left="567" w:hanging="567"/>
        <w:rPr>
          <w:rFonts w:eastAsia="Calibri"/>
          <w:b/>
          <w:bCs/>
          <w:sz w:val="22"/>
          <w:szCs w:val="22"/>
        </w:rPr>
      </w:pPr>
      <w:r w:rsidRPr="00776407">
        <w:rPr>
          <w:rFonts w:eastAsia="Calibri"/>
          <w:b/>
          <w:bCs/>
          <w:sz w:val="22"/>
          <w:szCs w:val="22"/>
        </w:rPr>
        <w:t xml:space="preserve">Kontraindikacijos </w:t>
      </w:r>
    </w:p>
    <w:p w14:paraId="18C9E69E" w14:textId="77777777" w:rsidR="001078E6" w:rsidRPr="00776407" w:rsidRDefault="001078E6" w:rsidP="009709D6">
      <w:pPr>
        <w:rPr>
          <w:rFonts w:eastAsia="Calibri"/>
          <w:sz w:val="22"/>
          <w:szCs w:val="22"/>
        </w:rPr>
      </w:pPr>
    </w:p>
    <w:p w14:paraId="14A103B5" w14:textId="77777777" w:rsidR="001078E6" w:rsidRPr="00776407" w:rsidRDefault="001078E6" w:rsidP="001078E6">
      <w:pPr>
        <w:rPr>
          <w:rFonts w:eastAsia="Calibri"/>
          <w:sz w:val="22"/>
          <w:szCs w:val="22"/>
        </w:rPr>
      </w:pPr>
      <w:r w:rsidRPr="00776407">
        <w:rPr>
          <w:rFonts w:eastAsia="Calibri"/>
          <w:sz w:val="22"/>
          <w:szCs w:val="22"/>
        </w:rPr>
        <w:t>Padidėjęs jautrumas veikliajai arba bet kuriai 6.1</w:t>
      </w:r>
      <w:r w:rsidR="002D176C" w:rsidRPr="00776407">
        <w:rPr>
          <w:rFonts w:eastAsia="Calibri"/>
          <w:sz w:val="22"/>
          <w:szCs w:val="22"/>
        </w:rPr>
        <w:t> </w:t>
      </w:r>
      <w:r w:rsidRPr="00776407">
        <w:rPr>
          <w:rFonts w:eastAsia="Calibri"/>
          <w:sz w:val="22"/>
          <w:szCs w:val="22"/>
        </w:rPr>
        <w:t xml:space="preserve">skyriuje nurodytai pagalbinei medžiagai. </w:t>
      </w:r>
    </w:p>
    <w:p w14:paraId="0017F519" w14:textId="77777777" w:rsidR="001078E6" w:rsidRPr="00776407" w:rsidRDefault="001078E6" w:rsidP="001078E6">
      <w:pPr>
        <w:rPr>
          <w:rFonts w:eastAsia="Calibri"/>
          <w:sz w:val="22"/>
          <w:szCs w:val="22"/>
        </w:rPr>
      </w:pPr>
    </w:p>
    <w:p w14:paraId="3222785B" w14:textId="77777777" w:rsidR="001078E6" w:rsidRPr="00776407" w:rsidRDefault="001078E6" w:rsidP="00864BE6">
      <w:pPr>
        <w:pStyle w:val="Listenabsatz"/>
        <w:keepNext/>
        <w:numPr>
          <w:ilvl w:val="1"/>
          <w:numId w:val="9"/>
        </w:numPr>
        <w:ind w:left="567" w:hanging="567"/>
        <w:rPr>
          <w:rFonts w:eastAsia="Calibri"/>
          <w:b/>
          <w:sz w:val="22"/>
          <w:szCs w:val="22"/>
        </w:rPr>
      </w:pPr>
      <w:r w:rsidRPr="00776407">
        <w:rPr>
          <w:rFonts w:eastAsia="Calibri"/>
          <w:b/>
          <w:bCs/>
          <w:sz w:val="22"/>
          <w:szCs w:val="22"/>
        </w:rPr>
        <w:t xml:space="preserve">Specialūs įspėjimai ir atsargumo priemonės </w:t>
      </w:r>
    </w:p>
    <w:p w14:paraId="6F6FFE58" w14:textId="77777777" w:rsidR="001078E6" w:rsidRPr="00776407" w:rsidRDefault="001078E6" w:rsidP="001078E6">
      <w:pPr>
        <w:keepNext/>
        <w:rPr>
          <w:rFonts w:eastAsia="Calibri"/>
          <w:b/>
          <w:sz w:val="22"/>
          <w:szCs w:val="22"/>
        </w:rPr>
      </w:pPr>
    </w:p>
    <w:p w14:paraId="367D61CB" w14:textId="77777777" w:rsidR="001078E6" w:rsidRPr="00776407" w:rsidRDefault="001078E6" w:rsidP="001078E6">
      <w:pPr>
        <w:rPr>
          <w:rFonts w:eastAsia="Calibri"/>
          <w:sz w:val="22"/>
          <w:szCs w:val="22"/>
        </w:rPr>
      </w:pPr>
      <w:r w:rsidRPr="00776407">
        <w:rPr>
          <w:rFonts w:eastAsia="Calibri"/>
          <w:sz w:val="22"/>
          <w:szCs w:val="22"/>
        </w:rPr>
        <w:t xml:space="preserve">Kai </w:t>
      </w:r>
      <w:r w:rsidR="00D3042C" w:rsidRPr="00776407">
        <w:rPr>
          <w:rFonts w:eastAsia="Calibri"/>
          <w:sz w:val="22"/>
          <w:szCs w:val="22"/>
        </w:rPr>
        <w:t>imatinibo</w:t>
      </w:r>
      <w:r w:rsidRPr="00776407">
        <w:rPr>
          <w:rFonts w:eastAsia="Calibri"/>
          <w:sz w:val="22"/>
          <w:szCs w:val="22"/>
        </w:rPr>
        <w:t xml:space="preserve"> vartojama kartu su kitais vaistiniais preparatais, yra </w:t>
      </w:r>
      <w:r w:rsidR="00A72CD3" w:rsidRPr="00776407">
        <w:rPr>
          <w:color w:val="000000"/>
          <w:sz w:val="22"/>
          <w:szCs w:val="22"/>
        </w:rPr>
        <w:t xml:space="preserve">vaistinių preparatų </w:t>
      </w:r>
      <w:r w:rsidRPr="00776407">
        <w:rPr>
          <w:rFonts w:eastAsia="Calibri"/>
          <w:sz w:val="22"/>
          <w:szCs w:val="22"/>
        </w:rPr>
        <w:t xml:space="preserve">sąveikos galimybė. Būtina laikytis atsargumo priemonių, kai </w:t>
      </w:r>
      <w:r w:rsidR="00D3042C" w:rsidRPr="00776407">
        <w:rPr>
          <w:rFonts w:eastAsia="Calibri"/>
          <w:sz w:val="22"/>
          <w:szCs w:val="22"/>
        </w:rPr>
        <w:t>imatinibo</w:t>
      </w:r>
      <w:r w:rsidRPr="00776407">
        <w:rPr>
          <w:rFonts w:eastAsia="Calibri"/>
          <w:sz w:val="22"/>
          <w:szCs w:val="22"/>
        </w:rPr>
        <w:t xml:space="preserve"> vartojama </w:t>
      </w:r>
      <w:r w:rsidR="00EB5D02" w:rsidRPr="00776407">
        <w:rPr>
          <w:rFonts w:eastAsia="Calibri"/>
          <w:sz w:val="22"/>
          <w:szCs w:val="22"/>
        </w:rPr>
        <w:t xml:space="preserve">su </w:t>
      </w:r>
      <w:r w:rsidR="00D3042C" w:rsidRPr="00776407">
        <w:rPr>
          <w:rFonts w:eastAsia="Calibri"/>
          <w:sz w:val="22"/>
          <w:szCs w:val="22"/>
        </w:rPr>
        <w:t xml:space="preserve">ketokonazolu ar kitais stipriais CYP3A4 </w:t>
      </w:r>
      <w:r w:rsidRPr="00776407">
        <w:rPr>
          <w:rFonts w:eastAsia="Calibri"/>
          <w:sz w:val="22"/>
          <w:szCs w:val="22"/>
        </w:rPr>
        <w:t>inhibitoriais, CYP3A4 substratais, kurių yra siaura terapinė platuma (pvz., ciklosporinas, pimozidas</w:t>
      </w:r>
      <w:r w:rsidR="00D3042C" w:rsidRPr="00776407">
        <w:rPr>
          <w:rFonts w:eastAsia="Calibri"/>
          <w:sz w:val="22"/>
          <w:szCs w:val="22"/>
        </w:rPr>
        <w:t>) ar CYP2</w:t>
      </w:r>
      <w:r w:rsidR="00EB5D02" w:rsidRPr="00776407">
        <w:rPr>
          <w:rFonts w:eastAsia="Calibri"/>
          <w:sz w:val="22"/>
          <w:szCs w:val="22"/>
        </w:rPr>
        <w:t>C9</w:t>
      </w:r>
      <w:r w:rsidR="00D3042C" w:rsidRPr="00776407">
        <w:rPr>
          <w:rFonts w:eastAsia="Calibri"/>
          <w:sz w:val="22"/>
          <w:szCs w:val="22"/>
        </w:rPr>
        <w:t xml:space="preserve"> substratais, kurių yra siaura terapinė platuma</w:t>
      </w:r>
      <w:r w:rsidR="00EB5D02" w:rsidRPr="00776407">
        <w:rPr>
          <w:rFonts w:eastAsia="Calibri"/>
          <w:sz w:val="22"/>
          <w:szCs w:val="22"/>
        </w:rPr>
        <w:t xml:space="preserve"> (pvz., varfarinas ir kiti kumarino junginiai)</w:t>
      </w:r>
      <w:r w:rsidRPr="00776407">
        <w:rPr>
          <w:rFonts w:eastAsia="Calibri"/>
          <w:sz w:val="22"/>
          <w:szCs w:val="22"/>
        </w:rPr>
        <w:t xml:space="preserve"> (žr. 4.5</w:t>
      </w:r>
      <w:r w:rsidR="00EB5D02" w:rsidRPr="00776407">
        <w:rPr>
          <w:rFonts w:eastAsia="Calibri"/>
          <w:sz w:val="22"/>
          <w:szCs w:val="22"/>
        </w:rPr>
        <w:t> </w:t>
      </w:r>
      <w:r w:rsidRPr="00776407">
        <w:rPr>
          <w:rFonts w:eastAsia="Calibri"/>
          <w:sz w:val="22"/>
          <w:szCs w:val="22"/>
        </w:rPr>
        <w:t xml:space="preserve">skyrių). </w:t>
      </w:r>
    </w:p>
    <w:p w14:paraId="031D6AE9" w14:textId="77777777" w:rsidR="00EB5D02" w:rsidRPr="00776407" w:rsidRDefault="00EB5D02" w:rsidP="001078E6">
      <w:pPr>
        <w:rPr>
          <w:rFonts w:eastAsia="Calibri"/>
          <w:sz w:val="22"/>
          <w:szCs w:val="22"/>
        </w:rPr>
      </w:pPr>
    </w:p>
    <w:p w14:paraId="1A9B2F09" w14:textId="171B2259" w:rsidR="001078E6" w:rsidRPr="00776407" w:rsidRDefault="001078E6" w:rsidP="001078E6">
      <w:pPr>
        <w:rPr>
          <w:rFonts w:eastAsia="Calibri"/>
          <w:sz w:val="22"/>
          <w:szCs w:val="22"/>
        </w:rPr>
      </w:pPr>
      <w:r w:rsidRPr="00776407">
        <w:rPr>
          <w:rFonts w:eastAsia="Calibri"/>
          <w:sz w:val="22"/>
          <w:szCs w:val="22"/>
        </w:rPr>
        <w:t xml:space="preserve">Imatinibą vartojant kartu su medicininiais produktais, indukuojančiais CYP3A4 (pvz., deksametazonu, fenitoinu, karbamazepinu, rifampicinu, fenobarbitaliu ar </w:t>
      </w:r>
      <w:r w:rsidRPr="00776407">
        <w:rPr>
          <w:rFonts w:eastAsia="Calibri"/>
          <w:i/>
          <w:iCs/>
          <w:sz w:val="22"/>
          <w:szCs w:val="22"/>
        </w:rPr>
        <w:t>Hypericum perforatum</w:t>
      </w:r>
      <w:r w:rsidRPr="00776407">
        <w:rPr>
          <w:rFonts w:eastAsia="Calibri"/>
          <w:sz w:val="22"/>
          <w:szCs w:val="22"/>
        </w:rPr>
        <w:t>, t.</w:t>
      </w:r>
      <w:r w:rsidR="00B03979" w:rsidRPr="00776407">
        <w:rPr>
          <w:rFonts w:eastAsia="Calibri"/>
          <w:sz w:val="22"/>
          <w:szCs w:val="22"/>
        </w:rPr>
        <w:t> </w:t>
      </w:r>
      <w:r w:rsidRPr="00776407">
        <w:rPr>
          <w:rFonts w:eastAsia="Calibri"/>
          <w:sz w:val="22"/>
          <w:szCs w:val="22"/>
        </w:rPr>
        <w:t xml:space="preserve">y. jonažole), gali reikšmingai sumažėti </w:t>
      </w:r>
      <w:r w:rsidR="00EB5D02" w:rsidRPr="00776407">
        <w:rPr>
          <w:rFonts w:eastAsia="Calibri"/>
          <w:sz w:val="22"/>
          <w:szCs w:val="22"/>
        </w:rPr>
        <w:t>imatinibo</w:t>
      </w:r>
      <w:r w:rsidRPr="00776407">
        <w:rPr>
          <w:rFonts w:eastAsia="Calibri"/>
          <w:sz w:val="22"/>
          <w:szCs w:val="22"/>
        </w:rPr>
        <w:t xml:space="preserve"> ekspozicija ir padidėti nesėkmingo gydymo tikimybė. Todėl reikia vengti imatinibą vartoti kartu su stipriais CYP3A4 induktoriais (žr. 4.5</w:t>
      </w:r>
      <w:r w:rsidR="00EB5D02" w:rsidRPr="00776407">
        <w:rPr>
          <w:rFonts w:eastAsia="Calibri"/>
          <w:sz w:val="22"/>
          <w:szCs w:val="22"/>
        </w:rPr>
        <w:t> </w:t>
      </w:r>
      <w:r w:rsidRPr="00776407">
        <w:rPr>
          <w:rFonts w:eastAsia="Calibri"/>
          <w:sz w:val="22"/>
          <w:szCs w:val="22"/>
        </w:rPr>
        <w:t xml:space="preserve">skyrių). </w:t>
      </w:r>
    </w:p>
    <w:p w14:paraId="4E681D33" w14:textId="77777777" w:rsidR="00EB5D02" w:rsidRPr="00776407" w:rsidRDefault="00EB5D02" w:rsidP="001078E6">
      <w:pPr>
        <w:rPr>
          <w:rFonts w:eastAsia="Calibri"/>
          <w:sz w:val="22"/>
          <w:szCs w:val="22"/>
        </w:rPr>
      </w:pPr>
    </w:p>
    <w:p w14:paraId="0B350F76" w14:textId="77777777" w:rsidR="001078E6" w:rsidRPr="00776407" w:rsidRDefault="001078E6" w:rsidP="006B44B3">
      <w:pPr>
        <w:keepNext/>
        <w:rPr>
          <w:rFonts w:eastAsia="Calibri"/>
          <w:sz w:val="22"/>
          <w:szCs w:val="22"/>
          <w:u w:val="single"/>
        </w:rPr>
      </w:pPr>
      <w:r w:rsidRPr="00776407">
        <w:rPr>
          <w:rFonts w:eastAsia="Calibri"/>
          <w:sz w:val="22"/>
          <w:szCs w:val="22"/>
          <w:u w:val="single"/>
        </w:rPr>
        <w:t xml:space="preserve">Hipotiroidizmas </w:t>
      </w:r>
    </w:p>
    <w:p w14:paraId="0D9EE4DB" w14:textId="77777777" w:rsidR="001078E6" w:rsidRPr="00776407" w:rsidRDefault="001078E6" w:rsidP="001078E6">
      <w:pPr>
        <w:rPr>
          <w:rFonts w:eastAsia="Calibri"/>
          <w:sz w:val="22"/>
          <w:szCs w:val="22"/>
        </w:rPr>
      </w:pPr>
      <w:r w:rsidRPr="00776407">
        <w:rPr>
          <w:rFonts w:eastAsia="Calibri"/>
          <w:sz w:val="22"/>
          <w:szCs w:val="22"/>
        </w:rPr>
        <w:t xml:space="preserve">Pastebėta klinikinių hipotireozės atvejų pacientams, kuriems pašalinta skydliaukė ir kuriems gydymo </w:t>
      </w:r>
      <w:r w:rsidR="00EB5D02" w:rsidRPr="00776407">
        <w:rPr>
          <w:rFonts w:eastAsia="Calibri"/>
          <w:sz w:val="22"/>
          <w:szCs w:val="22"/>
        </w:rPr>
        <w:t>imatinibu</w:t>
      </w:r>
      <w:r w:rsidRPr="00776407">
        <w:rPr>
          <w:rFonts w:eastAsia="Calibri"/>
          <w:sz w:val="22"/>
          <w:szCs w:val="22"/>
        </w:rPr>
        <w:t xml:space="preserve"> metu buvo taikomas pakeičiamasis gydymas levotiroksinu (žr. 4.5</w:t>
      </w:r>
      <w:r w:rsidR="00EB5D02" w:rsidRPr="00776407">
        <w:rPr>
          <w:rFonts w:eastAsia="Calibri"/>
          <w:sz w:val="22"/>
          <w:szCs w:val="22"/>
        </w:rPr>
        <w:t> </w:t>
      </w:r>
      <w:r w:rsidRPr="00776407">
        <w:rPr>
          <w:rFonts w:eastAsia="Calibri"/>
          <w:sz w:val="22"/>
          <w:szCs w:val="22"/>
        </w:rPr>
        <w:t>skyrių). Būtina stebėti tokių pacientų skydliaukės veiklą skatinančio hormono (TSH) koncentraciją.</w:t>
      </w:r>
    </w:p>
    <w:p w14:paraId="23BE67DF" w14:textId="77777777" w:rsidR="00EB5D02" w:rsidRPr="00776407" w:rsidRDefault="00EB5D02" w:rsidP="001078E6">
      <w:pPr>
        <w:rPr>
          <w:rFonts w:eastAsia="Calibri"/>
          <w:sz w:val="22"/>
          <w:szCs w:val="22"/>
        </w:rPr>
      </w:pPr>
    </w:p>
    <w:p w14:paraId="5AA3A655" w14:textId="77777777" w:rsidR="00EB5D02" w:rsidRPr="00776407" w:rsidRDefault="00EB5D02" w:rsidP="006B44B3">
      <w:pPr>
        <w:keepNext/>
        <w:rPr>
          <w:rFonts w:eastAsia="Calibri"/>
          <w:sz w:val="22"/>
          <w:szCs w:val="22"/>
          <w:u w:val="single"/>
        </w:rPr>
      </w:pPr>
      <w:r w:rsidRPr="00776407">
        <w:rPr>
          <w:rFonts w:eastAsia="Calibri"/>
          <w:sz w:val="22"/>
          <w:szCs w:val="22"/>
          <w:u w:val="single"/>
        </w:rPr>
        <w:t xml:space="preserve">Toksinis poveikis kepenims </w:t>
      </w:r>
    </w:p>
    <w:p w14:paraId="5331004A" w14:textId="77777777" w:rsidR="00EB5D02" w:rsidRPr="00776407" w:rsidRDefault="00EB5D02" w:rsidP="00EB5D02">
      <w:pPr>
        <w:rPr>
          <w:rFonts w:eastAsia="Calibri"/>
          <w:sz w:val="22"/>
          <w:szCs w:val="22"/>
        </w:rPr>
      </w:pPr>
      <w:r w:rsidRPr="00776407">
        <w:rPr>
          <w:rFonts w:eastAsia="Calibri"/>
          <w:sz w:val="22"/>
          <w:szCs w:val="22"/>
        </w:rPr>
        <w:t xml:space="preserve">Imatinibo daugiausia metabolizuojamas kepenyse ir tik 13 % jo išsiskiria pro inkstus. Pacientams, kuriems yra kepenų funkcijos sutrikimas (nedidelis, vidutinis ar sunkus) būtina atidžiai stebėti periferinio kraujo vaizdą ir kepenų fermentų koncentraciją (žr. 4.2, 4.8 ir 5.2 skyrius). </w:t>
      </w:r>
      <w:r w:rsidR="00F268C8" w:rsidRPr="00776407">
        <w:rPr>
          <w:rFonts w:eastAsia="Calibri"/>
          <w:sz w:val="22"/>
          <w:szCs w:val="22"/>
        </w:rPr>
        <w:t>Reikia pažymėti, kad pacientams, kuriems diagnozuotas VTSN, gali būti metastazių kepenyse, kurios gali sąlygoti kepenų nepakankamumą.</w:t>
      </w:r>
    </w:p>
    <w:p w14:paraId="19E508ED" w14:textId="77777777" w:rsidR="00EB5D02" w:rsidRPr="00776407" w:rsidRDefault="00EB5D02" w:rsidP="00EB5D02">
      <w:pPr>
        <w:rPr>
          <w:rFonts w:eastAsia="Calibri"/>
          <w:sz w:val="22"/>
          <w:szCs w:val="22"/>
        </w:rPr>
      </w:pPr>
    </w:p>
    <w:p w14:paraId="0294311C" w14:textId="7EFD09A0" w:rsidR="00EB5D02" w:rsidRPr="00776407" w:rsidRDefault="00EB5D02" w:rsidP="00EB5D02">
      <w:pPr>
        <w:rPr>
          <w:rFonts w:eastAsia="Calibri"/>
          <w:sz w:val="22"/>
          <w:szCs w:val="22"/>
        </w:rPr>
      </w:pPr>
      <w:r w:rsidRPr="00776407">
        <w:rPr>
          <w:rFonts w:eastAsia="Calibri"/>
          <w:sz w:val="22"/>
          <w:szCs w:val="22"/>
        </w:rPr>
        <w:t xml:space="preserve">Vartojant imatinibą, kepenų pažeidimo atvejai, tame tarpe kepenų nepakankamumas ir kepenų nekrozė, yra registruoti. Imatinibą skiriant kartu su didelėmis chemoterapinių </w:t>
      </w:r>
      <w:r w:rsidR="00B03979" w:rsidRPr="00776407">
        <w:rPr>
          <w:rFonts w:eastAsia="Calibri"/>
          <w:sz w:val="22"/>
          <w:szCs w:val="22"/>
        </w:rPr>
        <w:t xml:space="preserve">vaistinių </w:t>
      </w:r>
      <w:r w:rsidRPr="00776407">
        <w:rPr>
          <w:rFonts w:eastAsia="Calibri"/>
          <w:sz w:val="22"/>
          <w:szCs w:val="22"/>
        </w:rPr>
        <w:t>preparatų dozėmis, nustatytas sunkių kepenų reakcijų padažnėjimas. Imatinibą skiriant kartu su kepenų funkciją galinčiais bloginti chemoterapiniais</w:t>
      </w:r>
      <w:r w:rsidR="00B03979" w:rsidRPr="00776407">
        <w:rPr>
          <w:rFonts w:eastAsia="Calibri"/>
          <w:sz w:val="22"/>
          <w:szCs w:val="22"/>
        </w:rPr>
        <w:t xml:space="preserve"> vaistiniais</w:t>
      </w:r>
      <w:r w:rsidRPr="00776407">
        <w:rPr>
          <w:rFonts w:eastAsia="Calibri"/>
          <w:sz w:val="22"/>
          <w:szCs w:val="22"/>
        </w:rPr>
        <w:t xml:space="preserve"> preparatais, reikia atidžiai stebėti kepenų funkciją (žr. 4.5 ir 4.8 skyrius). </w:t>
      </w:r>
    </w:p>
    <w:p w14:paraId="0A2CBDD1" w14:textId="77777777" w:rsidR="00EB5D02" w:rsidRPr="00776407" w:rsidRDefault="00EB5D02" w:rsidP="00EB5D02">
      <w:pPr>
        <w:rPr>
          <w:rFonts w:eastAsia="Calibri"/>
          <w:sz w:val="22"/>
          <w:szCs w:val="22"/>
        </w:rPr>
      </w:pPr>
    </w:p>
    <w:p w14:paraId="717AA8B5" w14:textId="77777777" w:rsidR="00EB5D02" w:rsidRPr="00776407" w:rsidRDefault="00EB5D02" w:rsidP="006B44B3">
      <w:pPr>
        <w:keepNext/>
        <w:rPr>
          <w:rFonts w:eastAsia="Calibri"/>
          <w:sz w:val="22"/>
          <w:szCs w:val="22"/>
          <w:u w:val="single"/>
        </w:rPr>
      </w:pPr>
      <w:r w:rsidRPr="00776407">
        <w:rPr>
          <w:rFonts w:eastAsia="Calibri"/>
          <w:sz w:val="22"/>
          <w:szCs w:val="22"/>
          <w:u w:val="single"/>
        </w:rPr>
        <w:t xml:space="preserve">Skysčių susilaikymas </w:t>
      </w:r>
    </w:p>
    <w:p w14:paraId="09A717EA" w14:textId="77777777" w:rsidR="00EB5D02" w:rsidRPr="00776407" w:rsidRDefault="00EB5D02" w:rsidP="00EB5D02">
      <w:pPr>
        <w:rPr>
          <w:rFonts w:eastAsia="Calibri"/>
          <w:sz w:val="22"/>
          <w:szCs w:val="22"/>
        </w:rPr>
      </w:pPr>
      <w:r w:rsidRPr="00776407">
        <w:rPr>
          <w:rFonts w:eastAsia="Calibri"/>
          <w:sz w:val="22"/>
          <w:szCs w:val="22"/>
        </w:rPr>
        <w:t>Maždaug 2,5 % imatinib</w:t>
      </w:r>
      <w:r w:rsidR="00A35981" w:rsidRPr="00776407">
        <w:rPr>
          <w:rFonts w:eastAsia="Calibri"/>
          <w:sz w:val="22"/>
          <w:szCs w:val="22"/>
        </w:rPr>
        <w:t>ą</w:t>
      </w:r>
      <w:r w:rsidRPr="00776407">
        <w:rPr>
          <w:rFonts w:eastAsia="Calibri"/>
          <w:sz w:val="22"/>
          <w:szCs w:val="22"/>
        </w:rPr>
        <w:t xml:space="preserve"> vartojusių pacientų, sergančių naujai diagnozuota LML, susilaikė daug skysčių organizme (skystis pleuros ertmėje, edema, plaučių edema, ascitas, paviršinė edema). Todėl privalu pacientus reguliariai sverti. Pacientą, kuriam kūno svoris neįtikėtinai greitai didėja, reikia atidžiai ištirti ir prireikus taikyti atitinkamas pagalbos ir gydymo priemones. Klinikinių tyrimų metu šių reiškinių dažniau buvo senyviems ir sergantiems širdies ligomis pacientams. Todėl </w:t>
      </w:r>
      <w:r w:rsidR="00A72CD3" w:rsidRPr="00776407">
        <w:rPr>
          <w:color w:val="000000"/>
          <w:sz w:val="22"/>
          <w:szCs w:val="22"/>
        </w:rPr>
        <w:t xml:space="preserve">vaistinį preparatą </w:t>
      </w:r>
      <w:r w:rsidRPr="00776407">
        <w:rPr>
          <w:rFonts w:eastAsia="Calibri"/>
          <w:sz w:val="22"/>
          <w:szCs w:val="22"/>
        </w:rPr>
        <w:t xml:space="preserve">atsargiai skirti pacientams, kurių sutrikusi širdies funkcija. </w:t>
      </w:r>
    </w:p>
    <w:p w14:paraId="6A4D336A" w14:textId="77777777" w:rsidR="00EB5D02" w:rsidRPr="00776407" w:rsidRDefault="00EB5D02" w:rsidP="00EB5D02">
      <w:pPr>
        <w:rPr>
          <w:rFonts w:eastAsia="Calibri"/>
          <w:sz w:val="22"/>
          <w:szCs w:val="22"/>
        </w:rPr>
      </w:pPr>
    </w:p>
    <w:p w14:paraId="2EBA4752" w14:textId="77777777" w:rsidR="00EB5D02" w:rsidRPr="00776407" w:rsidRDefault="00EB5D02" w:rsidP="006B44B3">
      <w:pPr>
        <w:keepNext/>
        <w:rPr>
          <w:rFonts w:eastAsia="Calibri"/>
          <w:sz w:val="22"/>
          <w:szCs w:val="22"/>
          <w:u w:val="single"/>
        </w:rPr>
      </w:pPr>
      <w:r w:rsidRPr="00776407">
        <w:rPr>
          <w:rFonts w:eastAsia="Calibri"/>
          <w:sz w:val="22"/>
          <w:szCs w:val="22"/>
          <w:u w:val="single"/>
        </w:rPr>
        <w:t xml:space="preserve">Pacientai, sergantys širdies ligomis </w:t>
      </w:r>
    </w:p>
    <w:p w14:paraId="3B4ED826" w14:textId="77777777" w:rsidR="00EB5D02" w:rsidRPr="00776407" w:rsidRDefault="00EB5D02" w:rsidP="00EB5D02">
      <w:pPr>
        <w:rPr>
          <w:rFonts w:eastAsia="Calibri"/>
          <w:sz w:val="22"/>
          <w:szCs w:val="22"/>
        </w:rPr>
      </w:pPr>
      <w:r w:rsidRPr="00776407">
        <w:rPr>
          <w:rFonts w:eastAsia="Calibri"/>
          <w:sz w:val="22"/>
          <w:szCs w:val="22"/>
        </w:rPr>
        <w:t xml:space="preserve">Pacientai su širdies ligomis, širdies nepakankamumo rizikos faktoriais ar sirgę inkstų nepakankamumu turi būti atidžiai stebimi, o bet kuris pacientas su širdies ar inkstų nepakankamumo požymiais arba simptomais turi būti įvertintas ir gydomas. </w:t>
      </w:r>
    </w:p>
    <w:p w14:paraId="5AC70EF5" w14:textId="77777777" w:rsidR="00EB5D02" w:rsidRPr="00776407" w:rsidRDefault="00EB5D02" w:rsidP="00EB5D02">
      <w:pPr>
        <w:rPr>
          <w:rFonts w:eastAsia="Calibri"/>
          <w:sz w:val="22"/>
          <w:szCs w:val="22"/>
        </w:rPr>
      </w:pPr>
    </w:p>
    <w:p w14:paraId="2195AF16" w14:textId="77777777" w:rsidR="00EB5D02" w:rsidRPr="00776407" w:rsidRDefault="00EB5D02" w:rsidP="00EB5D02">
      <w:pPr>
        <w:rPr>
          <w:rFonts w:eastAsia="Calibri"/>
          <w:sz w:val="22"/>
          <w:szCs w:val="22"/>
        </w:rPr>
      </w:pPr>
      <w:r w:rsidRPr="00776407">
        <w:rPr>
          <w:rFonts w:eastAsia="Calibri"/>
          <w:sz w:val="22"/>
          <w:szCs w:val="22"/>
        </w:rPr>
        <w:t xml:space="preserve">Hipereozinofiliniu sindromu (HES) sergantiems pacientams su slapta </w:t>
      </w:r>
      <w:r w:rsidR="00072EB7" w:rsidRPr="00776407">
        <w:rPr>
          <w:rFonts w:eastAsia="Calibri"/>
          <w:sz w:val="22"/>
          <w:szCs w:val="22"/>
        </w:rPr>
        <w:t xml:space="preserve">HES </w:t>
      </w:r>
      <w:r w:rsidRPr="00776407">
        <w:rPr>
          <w:rFonts w:eastAsia="Calibri"/>
          <w:sz w:val="22"/>
          <w:szCs w:val="22"/>
        </w:rPr>
        <w:t xml:space="preserve">ląstelių infiltracija miokarde, registruoti pavieniai kardiogeninio šoko ar kairiojo skilvelio disfunkcijos atvejai.Būklė gerėjo gydant sisteminio veikimo steroidiniais hormonais, palaikant kraujotaką ir laikinai nutraukiant imatinibo vartojimą. Kadangi nedažnai buvo pranešama apie nepageidaujamus poveikius širdžiai, vartojant imatinibą, prieš pradedant gydyti imatinibu pacientus, sergančius HES/LEL, turi būti atidžiai įvertintas gydymo imatinibu naudos ir rizikos santykis. </w:t>
      </w:r>
    </w:p>
    <w:p w14:paraId="066AAFEB" w14:textId="77777777" w:rsidR="00EB5D02" w:rsidRPr="00776407" w:rsidRDefault="00EB5D02" w:rsidP="00EB5D02">
      <w:pPr>
        <w:rPr>
          <w:rFonts w:eastAsia="Calibri"/>
          <w:sz w:val="22"/>
          <w:szCs w:val="22"/>
        </w:rPr>
      </w:pPr>
    </w:p>
    <w:p w14:paraId="45EB8471" w14:textId="77777777" w:rsidR="00EB5D02" w:rsidRPr="00776407" w:rsidRDefault="00EB5D02" w:rsidP="00EB5D02">
      <w:pPr>
        <w:rPr>
          <w:rFonts w:eastAsia="Calibri"/>
          <w:sz w:val="22"/>
          <w:szCs w:val="22"/>
        </w:rPr>
      </w:pPr>
      <w:r w:rsidRPr="00776407">
        <w:rPr>
          <w:rFonts w:eastAsia="Calibri"/>
          <w:sz w:val="22"/>
          <w:szCs w:val="22"/>
        </w:rPr>
        <w:t>Sergant mielodisplazinėmis ar mieloproliferacinėmis ligomis su PDGFR genų pakitimais gali būti padidėjęs eozinofilų kiekis. Prieš skiriant imatinibą pacientams, sergantiems HES ar LEL ir pacientams, sergantiems MDS/MDL, kuriems yra padidėjęs eozinofilų kiekis, reikalinga kardiologo konsultacija, taip pat reikia atlikti echokardiogramą ir nustatyti troponino koncentraciją serume. Jei bent vieno šių tyrimų rezultatai neatitinka normos, pirmąsias vieną ar dvi gydymo savaites, stebint kardiologui, kartu su imatinibu profilaktiškai galima skirti sisteminio veikimo steroidų (1-2</w:t>
      </w:r>
      <w:r w:rsidR="005625D5" w:rsidRPr="00776407">
        <w:rPr>
          <w:rFonts w:eastAsia="Calibri"/>
          <w:sz w:val="22"/>
          <w:szCs w:val="22"/>
        </w:rPr>
        <w:t> </w:t>
      </w:r>
      <w:r w:rsidRPr="00776407">
        <w:rPr>
          <w:rFonts w:eastAsia="Calibri"/>
          <w:sz w:val="22"/>
          <w:szCs w:val="22"/>
        </w:rPr>
        <w:t xml:space="preserve">mg/kg dozę). </w:t>
      </w:r>
    </w:p>
    <w:p w14:paraId="7744B41F" w14:textId="77777777" w:rsidR="00EB5D02" w:rsidRPr="00776407" w:rsidRDefault="00EB5D02" w:rsidP="00EB5D02">
      <w:pPr>
        <w:rPr>
          <w:rFonts w:eastAsia="Calibri"/>
          <w:sz w:val="22"/>
          <w:szCs w:val="22"/>
        </w:rPr>
      </w:pPr>
    </w:p>
    <w:p w14:paraId="21BEF7A2" w14:textId="77777777" w:rsidR="00EB5D02" w:rsidRPr="00776407" w:rsidRDefault="00EB5D02" w:rsidP="006B44B3">
      <w:pPr>
        <w:keepNext/>
        <w:rPr>
          <w:rFonts w:eastAsia="Calibri"/>
          <w:sz w:val="22"/>
          <w:szCs w:val="22"/>
          <w:u w:val="single"/>
        </w:rPr>
      </w:pPr>
      <w:r w:rsidRPr="00776407">
        <w:rPr>
          <w:rFonts w:eastAsia="Calibri"/>
          <w:sz w:val="22"/>
          <w:szCs w:val="22"/>
          <w:u w:val="single"/>
        </w:rPr>
        <w:t xml:space="preserve">Kraujavimas iš virškinimo trakto </w:t>
      </w:r>
    </w:p>
    <w:p w14:paraId="362ECAC2" w14:textId="77777777" w:rsidR="00C742B3" w:rsidRPr="00776407" w:rsidRDefault="00F268C8" w:rsidP="00C742B3">
      <w:pPr>
        <w:rPr>
          <w:sz w:val="22"/>
          <w:szCs w:val="22"/>
        </w:rPr>
      </w:pPr>
      <w:r w:rsidRPr="00776407">
        <w:rPr>
          <w:sz w:val="22"/>
          <w:szCs w:val="22"/>
        </w:rPr>
        <w:t>Atlikto klinikinio tyrimo duomenimis, jame dalyvavusiems pacientams, kuriems buvo nerezekuotinas ir (ar) metastazavęs VTSN, pasitaikė ir virškinimo trakto bei vi</w:t>
      </w:r>
      <w:r w:rsidR="0056584E" w:rsidRPr="00776407">
        <w:rPr>
          <w:sz w:val="22"/>
          <w:szCs w:val="22"/>
        </w:rPr>
        <w:t>dunavikinių kraujavimų (žr. 4.8 </w:t>
      </w:r>
      <w:r w:rsidRPr="00776407">
        <w:rPr>
          <w:sz w:val="22"/>
          <w:szCs w:val="22"/>
        </w:rPr>
        <w:t>skyrių). Turimi duomenys neatskleidė predisponuojančių veiksnių (pvz., naviko dydžio, naviko lokalizacijos, krešėjimo sutrikimų), dėl kurių padidėtų pacientų, sergančių VTSN, bet kokio kraujavimo rizika. Padidėjęs kraujagyslinis tinklas bei polinkis į kraujavimą iš dalies yra prigimtiniai ir būdingi klinikinei VTSN eigai, todėl visiems pacientams būtina taikyti įprastines priemones ir procedūras kraujavimui stebėti ir gydyti.</w:t>
      </w:r>
    </w:p>
    <w:p w14:paraId="3C254433" w14:textId="77777777" w:rsidR="00171C6B" w:rsidRPr="00776407" w:rsidRDefault="00370BD0" w:rsidP="00171C6B">
      <w:pPr>
        <w:rPr>
          <w:rFonts w:eastAsia="Calibri"/>
          <w:sz w:val="22"/>
          <w:szCs w:val="22"/>
        </w:rPr>
      </w:pPr>
      <w:r w:rsidRPr="00776407">
        <w:rPr>
          <w:rFonts w:eastAsia="Calibri"/>
          <w:sz w:val="22"/>
          <w:szCs w:val="22"/>
        </w:rPr>
        <w:t>Be to, v</w:t>
      </w:r>
      <w:r w:rsidR="00171C6B" w:rsidRPr="00776407">
        <w:rPr>
          <w:rFonts w:eastAsia="Calibri"/>
          <w:sz w:val="22"/>
          <w:szCs w:val="22"/>
        </w:rPr>
        <w:t>aistiniam preparatui patekus į rinką, buvo gauta pranešimų apie prievarčio kraujagyslių išsiplėtimą (</w:t>
      </w:r>
      <w:r w:rsidR="00171C6B" w:rsidRPr="00776407">
        <w:rPr>
          <w:rFonts w:eastAsia="Calibri"/>
          <w:i/>
          <w:sz w:val="22"/>
          <w:szCs w:val="22"/>
        </w:rPr>
        <w:t>angl.</w:t>
      </w:r>
      <w:r w:rsidR="00171C6B" w:rsidRPr="00776407">
        <w:rPr>
          <w:rFonts w:eastAsia="Calibri"/>
          <w:sz w:val="22"/>
          <w:szCs w:val="22"/>
        </w:rPr>
        <w:t xml:space="preserve"> gastric antral vascular ectasia [GAVE]) </w:t>
      </w:r>
      <w:r w:rsidR="00171C6B" w:rsidRPr="00776407">
        <w:rPr>
          <w:rFonts w:eastAsia="Calibri"/>
          <w:sz w:val="22"/>
          <w:szCs w:val="22"/>
        </w:rPr>
        <w:sym w:font="Symbol" w:char="F02D"/>
      </w:r>
      <w:r w:rsidR="00171C6B" w:rsidRPr="00776407">
        <w:rPr>
          <w:rFonts w:eastAsia="Calibri"/>
          <w:sz w:val="22"/>
          <w:szCs w:val="22"/>
        </w:rPr>
        <w:t xml:space="preserve"> retą kraujavimo iš virškinimo priežastį </w:t>
      </w:r>
      <w:r w:rsidR="00171C6B" w:rsidRPr="00776407">
        <w:rPr>
          <w:rFonts w:eastAsia="Calibri"/>
          <w:sz w:val="22"/>
          <w:szCs w:val="22"/>
        </w:rPr>
        <w:sym w:font="Symbol" w:char="F02D"/>
      </w:r>
      <w:r w:rsidR="00171C6B" w:rsidRPr="00776407">
        <w:rPr>
          <w:rFonts w:eastAsia="Calibri"/>
          <w:sz w:val="22"/>
          <w:szCs w:val="22"/>
        </w:rPr>
        <w:t xml:space="preserve"> pacientams, sergantiems LML, ŪLL ir kitomis ligomis (žr 4.8 skyrių). Jei reikia, turi būti apsvarstytas gydymo imatinibu nutraukimas.</w:t>
      </w:r>
    </w:p>
    <w:p w14:paraId="7CB63C8E" w14:textId="77777777" w:rsidR="00171C6B" w:rsidRPr="00776407" w:rsidRDefault="00171C6B" w:rsidP="00EB5D02">
      <w:pPr>
        <w:rPr>
          <w:rFonts w:eastAsia="Calibri"/>
          <w:sz w:val="22"/>
          <w:szCs w:val="22"/>
          <w:u w:val="single"/>
        </w:rPr>
      </w:pPr>
    </w:p>
    <w:p w14:paraId="763E003B" w14:textId="77777777" w:rsidR="00EB5D02" w:rsidRPr="00776407" w:rsidRDefault="00A70AC7" w:rsidP="006B44B3">
      <w:pPr>
        <w:keepNext/>
        <w:rPr>
          <w:rFonts w:eastAsia="Calibri"/>
          <w:sz w:val="22"/>
          <w:szCs w:val="22"/>
          <w:u w:val="single"/>
        </w:rPr>
      </w:pPr>
      <w:r w:rsidRPr="00776407">
        <w:rPr>
          <w:rFonts w:eastAsia="Calibri"/>
          <w:sz w:val="22"/>
          <w:szCs w:val="22"/>
          <w:u w:val="single"/>
        </w:rPr>
        <w:t>Naviko</w:t>
      </w:r>
      <w:r w:rsidR="00EB5D02" w:rsidRPr="00776407">
        <w:rPr>
          <w:rFonts w:eastAsia="Calibri"/>
          <w:sz w:val="22"/>
          <w:szCs w:val="22"/>
          <w:u w:val="single"/>
        </w:rPr>
        <w:t xml:space="preserve"> irimo sindromas </w:t>
      </w:r>
    </w:p>
    <w:p w14:paraId="439BBFF5" w14:textId="77777777" w:rsidR="00EB5D02" w:rsidRPr="00776407" w:rsidRDefault="00EB5D02" w:rsidP="00EB5D02">
      <w:pPr>
        <w:rPr>
          <w:rFonts w:eastAsia="Calibri"/>
          <w:sz w:val="22"/>
          <w:szCs w:val="22"/>
        </w:rPr>
      </w:pPr>
      <w:r w:rsidRPr="00776407">
        <w:rPr>
          <w:rFonts w:eastAsia="Calibri"/>
          <w:sz w:val="22"/>
          <w:szCs w:val="22"/>
        </w:rPr>
        <w:t xml:space="preserve">Dėl galimų </w:t>
      </w:r>
      <w:r w:rsidR="00A70AC7" w:rsidRPr="00776407">
        <w:rPr>
          <w:rFonts w:eastAsia="Calibri"/>
          <w:sz w:val="22"/>
          <w:szCs w:val="22"/>
        </w:rPr>
        <w:t>naviko</w:t>
      </w:r>
      <w:r w:rsidRPr="00776407">
        <w:rPr>
          <w:rFonts w:eastAsia="Calibri"/>
          <w:sz w:val="22"/>
          <w:szCs w:val="22"/>
        </w:rPr>
        <w:t xml:space="preserve"> irimo sindromo (AIS) atvejų, pradedant vartoti </w:t>
      </w:r>
      <w:r w:rsidR="005625D5" w:rsidRPr="00776407">
        <w:rPr>
          <w:rFonts w:eastAsia="Calibri"/>
          <w:sz w:val="22"/>
          <w:szCs w:val="22"/>
        </w:rPr>
        <w:t>imatinib</w:t>
      </w:r>
      <w:r w:rsidR="001C2A8A" w:rsidRPr="00776407">
        <w:rPr>
          <w:rFonts w:eastAsia="Calibri"/>
          <w:sz w:val="22"/>
          <w:szCs w:val="22"/>
        </w:rPr>
        <w:t>ą</w:t>
      </w:r>
      <w:r w:rsidR="00D92E53" w:rsidRPr="00776407">
        <w:rPr>
          <w:rFonts w:eastAsia="Calibri"/>
          <w:sz w:val="22"/>
          <w:szCs w:val="22"/>
        </w:rPr>
        <w:t>,</w:t>
      </w:r>
      <w:r w:rsidRPr="00776407">
        <w:rPr>
          <w:rFonts w:eastAsia="Calibri"/>
          <w:sz w:val="22"/>
          <w:szCs w:val="22"/>
        </w:rPr>
        <w:t xml:space="preserve"> pirmiausia rekomenduojamas kliniškai reikšmingo</w:t>
      </w:r>
      <w:r w:rsidR="00072EB7" w:rsidRPr="00776407">
        <w:rPr>
          <w:rFonts w:eastAsia="Calibri"/>
          <w:sz w:val="22"/>
          <w:szCs w:val="22"/>
        </w:rPr>
        <w:t>s</w:t>
      </w:r>
      <w:r w:rsidRPr="00776407">
        <w:rPr>
          <w:rFonts w:eastAsia="Calibri"/>
          <w:sz w:val="22"/>
          <w:szCs w:val="22"/>
        </w:rPr>
        <w:t xml:space="preserve"> dehidracijos lygio atstatymas ir didelio šlapimo rūgšties kiekio gydymas (žr. 4.8</w:t>
      </w:r>
      <w:r w:rsidR="005625D5" w:rsidRPr="00776407">
        <w:rPr>
          <w:rFonts w:eastAsia="Calibri"/>
          <w:sz w:val="22"/>
          <w:szCs w:val="22"/>
        </w:rPr>
        <w:t> </w:t>
      </w:r>
      <w:r w:rsidRPr="00776407">
        <w:rPr>
          <w:rFonts w:eastAsia="Calibri"/>
          <w:sz w:val="22"/>
          <w:szCs w:val="22"/>
        </w:rPr>
        <w:t>skyrių).</w:t>
      </w:r>
    </w:p>
    <w:p w14:paraId="492002D4" w14:textId="77777777" w:rsidR="006B44B3" w:rsidRPr="00776407" w:rsidRDefault="006B44B3" w:rsidP="00EB5D02">
      <w:pPr>
        <w:rPr>
          <w:rFonts w:eastAsia="Calibri"/>
          <w:sz w:val="22"/>
          <w:szCs w:val="22"/>
        </w:rPr>
      </w:pPr>
    </w:p>
    <w:p w14:paraId="6C195D46" w14:textId="77777777" w:rsidR="00D934F6" w:rsidRPr="00776407" w:rsidRDefault="00D934F6" w:rsidP="00D934F6">
      <w:pPr>
        <w:rPr>
          <w:rFonts w:eastAsia="Calibri"/>
          <w:sz w:val="22"/>
          <w:szCs w:val="22"/>
          <w:u w:val="single"/>
        </w:rPr>
      </w:pPr>
      <w:r w:rsidRPr="00776407">
        <w:rPr>
          <w:rFonts w:eastAsia="Calibri"/>
          <w:sz w:val="22"/>
          <w:szCs w:val="22"/>
          <w:u w:val="single"/>
        </w:rPr>
        <w:t xml:space="preserve">Hepatito B reaktyvacija </w:t>
      </w:r>
    </w:p>
    <w:p w14:paraId="241C339A" w14:textId="77777777" w:rsidR="00D934F6" w:rsidRPr="00776407" w:rsidRDefault="00D934F6" w:rsidP="00D934F6">
      <w:pPr>
        <w:rPr>
          <w:rFonts w:eastAsia="Calibri"/>
          <w:sz w:val="22"/>
          <w:szCs w:val="22"/>
        </w:rPr>
      </w:pPr>
      <w:r w:rsidRPr="00776407">
        <w:rPr>
          <w:rFonts w:eastAsia="Calibri"/>
          <w:sz w:val="22"/>
          <w:szCs w:val="22"/>
        </w:rPr>
        <w:t xml:space="preserve">Hepatito B reaktyvacijos atvejų nustatyta pacientams, kurie yra ilgalaikiai šio viruso nešiotojai, po to, kai šie pacientai pavartojo BCR-ABL tirozinkinazės inhibitorių. Kai kuriais atvejais tai sukėlė ūminį kepenų nepakankamumą arba žaibinį hepatitą, dėl kurio pacientui teko persodinti kepenis arba pacientas mirė. </w:t>
      </w:r>
    </w:p>
    <w:p w14:paraId="68F46772" w14:textId="77777777" w:rsidR="00D934F6" w:rsidRPr="00776407" w:rsidRDefault="00D934F6" w:rsidP="00D934F6">
      <w:pPr>
        <w:rPr>
          <w:rFonts w:eastAsia="Calibri"/>
          <w:sz w:val="22"/>
          <w:szCs w:val="22"/>
        </w:rPr>
      </w:pPr>
      <w:r w:rsidRPr="00776407">
        <w:rPr>
          <w:rFonts w:eastAsia="Calibri"/>
          <w:sz w:val="22"/>
          <w:szCs w:val="22"/>
        </w:rPr>
        <w:t>Prieš pradedant gydymą Imatinib Actavis, reikia ištirti, ar pacientas neužsikrėtęs HBV. Prieš pradedant gydyti pacientus, kuriems nustatytas serologiškai teigiamas hepatitas B (įskaitant aktyvia liga sergančius pacientus), ir dėl pacientų, kuriems gydymo laikotarpiu nustatyta HBV infekcija, reikia pasitarti su kepenų ligų ekspertais ir hepatitą B gydančiais gydytojais specialistais. Terapijos laikotarpiu ir kelis mėnesius po terapijos pabaigos reikia atidžiai stebėti, ar HBV nešiotojams, kuriems būtinas gydymas Imatinib Actavis, nepasireiškia aktyvios HBV infekcijos požymiai ir simptomai (žr. 4.8 skyrių).</w:t>
      </w:r>
    </w:p>
    <w:p w14:paraId="03316BB7" w14:textId="77777777" w:rsidR="00DD0D4E" w:rsidRPr="00776407" w:rsidRDefault="00DD0D4E" w:rsidP="00EB5D02">
      <w:pPr>
        <w:rPr>
          <w:rFonts w:eastAsia="Calibri"/>
          <w:sz w:val="22"/>
          <w:szCs w:val="22"/>
        </w:rPr>
      </w:pPr>
    </w:p>
    <w:p w14:paraId="19FE0328" w14:textId="77777777" w:rsidR="00AC438A" w:rsidRPr="00776407" w:rsidRDefault="00AC438A" w:rsidP="00AC438A">
      <w:pPr>
        <w:keepNext/>
        <w:widowControl w:val="0"/>
        <w:rPr>
          <w:snapToGrid w:val="0"/>
          <w:color w:val="000000"/>
          <w:sz w:val="22"/>
          <w:szCs w:val="22"/>
          <w:u w:val="single"/>
        </w:rPr>
      </w:pPr>
      <w:r w:rsidRPr="00776407">
        <w:rPr>
          <w:snapToGrid w:val="0"/>
          <w:color w:val="000000"/>
          <w:sz w:val="22"/>
          <w:szCs w:val="22"/>
          <w:u w:val="single"/>
        </w:rPr>
        <w:t>Fototoksiškumas</w:t>
      </w:r>
    </w:p>
    <w:p w14:paraId="6492A6A0" w14:textId="77777777" w:rsidR="00B03979" w:rsidRPr="00776407" w:rsidRDefault="00B03979" w:rsidP="00B03979">
      <w:pPr>
        <w:rPr>
          <w:snapToGrid w:val="0"/>
          <w:color w:val="000000"/>
          <w:sz w:val="22"/>
          <w:szCs w:val="22"/>
        </w:rPr>
      </w:pPr>
      <w:r w:rsidRPr="00776407">
        <w:rPr>
          <w:snapToGrid w:val="0"/>
          <w:color w:val="000000"/>
          <w:sz w:val="22"/>
          <w:szCs w:val="22"/>
        </w:rPr>
        <w:t>Reikia vengti tiesioginių saulės spindulių ekspozicijos arba ją sumažinti iki minimumo dėl fototoksinio poveikio rizikos, susijusios su gydymu imatinibu. Pacientams reikia nurodyti naudoti apsauginius drabužius ir preparatą nuo saulės nudegimo, kurio aukštas apsaugos faktorius (SPF).</w:t>
      </w:r>
    </w:p>
    <w:p w14:paraId="64AEDD1E" w14:textId="77777777" w:rsidR="001C1204" w:rsidRPr="00776407" w:rsidRDefault="001C1204" w:rsidP="001C1204">
      <w:pPr>
        <w:rPr>
          <w:rFonts w:eastAsia="Calibri"/>
          <w:sz w:val="22"/>
          <w:szCs w:val="22"/>
        </w:rPr>
      </w:pPr>
    </w:p>
    <w:p w14:paraId="2365A20A" w14:textId="77777777" w:rsidR="001C1204" w:rsidRPr="00776407" w:rsidRDefault="001C1204" w:rsidP="001C1204">
      <w:pPr>
        <w:rPr>
          <w:rFonts w:eastAsia="Calibri"/>
          <w:sz w:val="22"/>
          <w:szCs w:val="22"/>
          <w:u w:val="single"/>
        </w:rPr>
      </w:pPr>
      <w:r w:rsidRPr="00776407">
        <w:rPr>
          <w:rFonts w:eastAsia="Calibri"/>
          <w:sz w:val="22"/>
          <w:szCs w:val="22"/>
          <w:u w:val="single"/>
        </w:rPr>
        <w:t>Trombinė mikroangiopatija</w:t>
      </w:r>
    </w:p>
    <w:p w14:paraId="0D0620D1" w14:textId="77777777" w:rsidR="001C1204" w:rsidRPr="00776407" w:rsidRDefault="001C1204" w:rsidP="001C1204">
      <w:pPr>
        <w:rPr>
          <w:rFonts w:eastAsia="Calibri"/>
          <w:sz w:val="22"/>
          <w:szCs w:val="22"/>
        </w:rPr>
      </w:pPr>
      <w:r w:rsidRPr="00776407">
        <w:rPr>
          <w:rFonts w:eastAsia="Calibri"/>
          <w:sz w:val="22"/>
          <w:szCs w:val="22"/>
        </w:rPr>
        <w:t>BCR-ABL tirozinkinazės inhibitorių (TKI) vartojimas buvo susijęs su trombinės mikroangiopatijos (TMA) pasireiškimu, įskaitant pranešimus apie atskirus jos atvejus vartojant Imatinib Actavis (žr. 4.8 skyrių). Jeigu Imatinib Actavis vartojančiam pacientui nustatoma laboratorinių ar klinikinių duomenų, susijusių su TMA požymiais, gydymą reikia nutraukti, o paciento būklę išsamiai ištirti dėl TMA tikimybės, įskaitant ADAMTS13 aktyvumo vertinimą ir anti-ADAMTS13 antikūnų nustatymą. Jeigu nustatomas padidėjęs anti-ADAMTS13 antikūnų kiekis kartu su sumažėjusiu ADAMTS13 aktyvumu, gydymo Imatinib Actavis atnaujinti negalima.</w:t>
      </w:r>
    </w:p>
    <w:p w14:paraId="3F25BAD5" w14:textId="77777777" w:rsidR="00370BD0" w:rsidRPr="00776407" w:rsidRDefault="00370BD0" w:rsidP="00EB5D02">
      <w:pPr>
        <w:rPr>
          <w:rFonts w:eastAsia="Calibri"/>
          <w:sz w:val="22"/>
          <w:szCs w:val="22"/>
        </w:rPr>
      </w:pPr>
    </w:p>
    <w:p w14:paraId="257D4D1B" w14:textId="77777777" w:rsidR="006B44B3" w:rsidRPr="00776407" w:rsidRDefault="006B44B3" w:rsidP="006B44B3">
      <w:pPr>
        <w:keepNext/>
        <w:rPr>
          <w:rFonts w:eastAsia="Calibri"/>
          <w:sz w:val="22"/>
          <w:szCs w:val="22"/>
          <w:u w:val="single"/>
        </w:rPr>
      </w:pPr>
      <w:r w:rsidRPr="00776407">
        <w:rPr>
          <w:rFonts w:eastAsia="Calibri"/>
          <w:sz w:val="22"/>
          <w:szCs w:val="22"/>
          <w:u w:val="single"/>
        </w:rPr>
        <w:t xml:space="preserve">Laboratoriniai tyrimai </w:t>
      </w:r>
    </w:p>
    <w:p w14:paraId="5303C279" w14:textId="77777777" w:rsidR="006B44B3" w:rsidRPr="00776407" w:rsidRDefault="006B44B3" w:rsidP="006B44B3">
      <w:pPr>
        <w:rPr>
          <w:rFonts w:eastAsia="Calibri"/>
          <w:sz w:val="22"/>
          <w:szCs w:val="22"/>
        </w:rPr>
      </w:pPr>
      <w:r w:rsidRPr="00776407">
        <w:rPr>
          <w:rFonts w:eastAsia="Calibri"/>
          <w:sz w:val="22"/>
          <w:szCs w:val="22"/>
        </w:rPr>
        <w:t xml:space="preserve">Gydant imatinibu, reikia reguliariai atlikti išsamų kraujo tyrimą. Kai yra LML, gydymas imatinibu yra susijęs su neutropenija ir trombocitopenija. Tačiau šios citopenijos gali priklausyti nuo gydomos ligos stadijos ir dažniau būna pacientams, kuriems yra LML akceleracijos fazė ar blastinė krizė, negu tiems, kuriems yra lėtinė LML fazė. Gydymas imatinibu gali būti pertrauktas arba gali būti sumažinta </w:t>
      </w:r>
      <w:r w:rsidR="00A72CD3" w:rsidRPr="00776407">
        <w:rPr>
          <w:color w:val="000000"/>
          <w:sz w:val="22"/>
          <w:szCs w:val="22"/>
        </w:rPr>
        <w:t xml:space="preserve">vaistinio preparato </w:t>
      </w:r>
      <w:r w:rsidRPr="00776407">
        <w:rPr>
          <w:rFonts w:eastAsia="Calibri"/>
          <w:sz w:val="22"/>
          <w:szCs w:val="22"/>
        </w:rPr>
        <w:t>dozė</w:t>
      </w:r>
      <w:r w:rsidR="00A35981" w:rsidRPr="00776407">
        <w:rPr>
          <w:rFonts w:eastAsia="Calibri"/>
          <w:sz w:val="22"/>
          <w:szCs w:val="22"/>
        </w:rPr>
        <w:t>,</w:t>
      </w:r>
      <w:r w:rsidRPr="00776407">
        <w:rPr>
          <w:rFonts w:eastAsia="Calibri"/>
          <w:sz w:val="22"/>
          <w:szCs w:val="22"/>
        </w:rPr>
        <w:t xml:space="preserve"> kaip rekomenduojama 4.2 skyriuje. </w:t>
      </w:r>
    </w:p>
    <w:p w14:paraId="5248889A" w14:textId="77777777" w:rsidR="006B44B3" w:rsidRPr="00776407" w:rsidRDefault="006B44B3" w:rsidP="006B44B3">
      <w:pPr>
        <w:rPr>
          <w:rFonts w:eastAsia="Calibri"/>
          <w:sz w:val="22"/>
          <w:szCs w:val="22"/>
        </w:rPr>
      </w:pPr>
    </w:p>
    <w:p w14:paraId="43AD6452" w14:textId="77777777" w:rsidR="006B44B3" w:rsidRPr="00776407" w:rsidRDefault="006B44B3" w:rsidP="006B44B3">
      <w:pPr>
        <w:rPr>
          <w:rFonts w:eastAsia="Calibri"/>
          <w:sz w:val="22"/>
          <w:szCs w:val="22"/>
        </w:rPr>
      </w:pPr>
      <w:r w:rsidRPr="00776407">
        <w:rPr>
          <w:rFonts w:eastAsia="Calibri"/>
          <w:sz w:val="22"/>
          <w:szCs w:val="22"/>
        </w:rPr>
        <w:t>Būtina reguliariai tirti imatinib</w:t>
      </w:r>
      <w:r w:rsidR="00A35981" w:rsidRPr="00776407">
        <w:rPr>
          <w:rFonts w:eastAsia="Calibri"/>
          <w:sz w:val="22"/>
          <w:szCs w:val="22"/>
        </w:rPr>
        <w:t>ą</w:t>
      </w:r>
      <w:r w:rsidRPr="00776407">
        <w:rPr>
          <w:rFonts w:eastAsia="Calibri"/>
          <w:sz w:val="22"/>
          <w:szCs w:val="22"/>
        </w:rPr>
        <w:t xml:space="preserve"> vartojančių pacientų kepenų funkciją (transaminazių, bilirubino, šarminės fosfatazės koncentraciją). </w:t>
      </w:r>
    </w:p>
    <w:p w14:paraId="6DEE789A" w14:textId="77777777" w:rsidR="006B44B3" w:rsidRPr="00776407" w:rsidRDefault="006B44B3" w:rsidP="006B44B3">
      <w:pPr>
        <w:rPr>
          <w:rFonts w:eastAsia="Calibri"/>
          <w:sz w:val="22"/>
          <w:szCs w:val="22"/>
        </w:rPr>
      </w:pPr>
    </w:p>
    <w:p w14:paraId="70958B7A" w14:textId="77777777" w:rsidR="006B44B3" w:rsidRPr="00776407" w:rsidRDefault="006B44B3" w:rsidP="006B44B3">
      <w:pPr>
        <w:rPr>
          <w:rFonts w:eastAsia="Calibri"/>
          <w:sz w:val="22"/>
          <w:szCs w:val="22"/>
        </w:rPr>
      </w:pPr>
      <w:r w:rsidRPr="00776407">
        <w:rPr>
          <w:rFonts w:eastAsia="Calibri"/>
          <w:sz w:val="22"/>
          <w:szCs w:val="22"/>
        </w:rPr>
        <w:t xml:space="preserve">Atrodo, kad pacientų, kurių inkstų funkcija susilpnėjusi, imatinibo ekspozicija plazmoje yra didesnė nei pacientų, kurių inkstų funkcija normali. Tikriausiai tai lemia imatinibą surišančio baltymo alfarūgščiojo glikoproteino (AGP) kiekis plazmoje, kuris yra didesnis pacientams, kurių inkstų funkcija sutrikusi. Pacientams, sergantiems inkstų funkcijos nepakankamumu, turi būti skiriama mažiausia pradinė dozė. Pacientus, sergančius sunkiu inkstų funkcijos nepakankamumu, reikia gydyti ypač atsargiai. Dozė gali būti mažinama, jei blogai toleruojama (žr. 4.2 ir 5.2 skyrius). </w:t>
      </w:r>
    </w:p>
    <w:p w14:paraId="3414B7F0" w14:textId="77777777" w:rsidR="006B44B3" w:rsidRPr="00776407" w:rsidRDefault="006B44B3" w:rsidP="006B44B3">
      <w:pPr>
        <w:rPr>
          <w:rFonts w:eastAsia="Calibri"/>
          <w:sz w:val="22"/>
          <w:szCs w:val="22"/>
        </w:rPr>
      </w:pPr>
    </w:p>
    <w:p w14:paraId="19E14C54" w14:textId="77777777" w:rsidR="00171C6B" w:rsidRPr="00776407" w:rsidRDefault="00171C6B" w:rsidP="006B44B3">
      <w:pPr>
        <w:rPr>
          <w:rFonts w:eastAsia="Calibri"/>
          <w:sz w:val="22"/>
          <w:szCs w:val="22"/>
        </w:rPr>
      </w:pPr>
      <w:r w:rsidRPr="00776407">
        <w:rPr>
          <w:rFonts w:eastAsia="Calibri"/>
          <w:sz w:val="22"/>
          <w:szCs w:val="22"/>
        </w:rPr>
        <w:t>Ilgalaikis gydymas imatinibu gali būti susijęs su kliniškai reikšmingai pablogėjusia inkstų funkcija. Prieš pradedant gydymą imatinibu, inkstų funkcija turėtų būti įvertinta ir atidžiai stebima gydymo metu, ypač tų pacientų, kuriems yra rizikos veiksnių dėl inkstų funkcijos sutrikimo. Jei nustatytas inkstų funkcijos sutrikimas, turi būti skiriamas reikiamas gydymas laikantis standartinių gydymo rekomendacijų.</w:t>
      </w:r>
    </w:p>
    <w:p w14:paraId="7339F9B2" w14:textId="77777777" w:rsidR="00171C6B" w:rsidRPr="00776407" w:rsidRDefault="00171C6B" w:rsidP="006B44B3">
      <w:pPr>
        <w:rPr>
          <w:rFonts w:eastAsia="Calibri"/>
          <w:sz w:val="22"/>
          <w:szCs w:val="22"/>
        </w:rPr>
      </w:pPr>
    </w:p>
    <w:p w14:paraId="122D10F0" w14:textId="77777777" w:rsidR="006B44B3" w:rsidRPr="00776407" w:rsidRDefault="006B44B3" w:rsidP="006B44B3">
      <w:pPr>
        <w:keepNext/>
        <w:rPr>
          <w:rFonts w:eastAsia="Calibri"/>
          <w:sz w:val="22"/>
          <w:szCs w:val="22"/>
          <w:u w:val="single"/>
        </w:rPr>
      </w:pPr>
      <w:r w:rsidRPr="00776407">
        <w:rPr>
          <w:rFonts w:eastAsia="Calibri"/>
          <w:sz w:val="22"/>
          <w:szCs w:val="22"/>
          <w:u w:val="single"/>
        </w:rPr>
        <w:t xml:space="preserve">Vaikų populiacija </w:t>
      </w:r>
    </w:p>
    <w:p w14:paraId="65EF709F" w14:textId="77777777" w:rsidR="006B44B3" w:rsidRPr="00776407" w:rsidRDefault="006B44B3" w:rsidP="006B44B3">
      <w:pPr>
        <w:rPr>
          <w:rFonts w:eastAsia="Calibri"/>
          <w:sz w:val="22"/>
          <w:szCs w:val="22"/>
        </w:rPr>
      </w:pPr>
      <w:r w:rsidRPr="00776407">
        <w:rPr>
          <w:rFonts w:eastAsia="Calibri"/>
          <w:sz w:val="22"/>
          <w:szCs w:val="22"/>
        </w:rPr>
        <w:t xml:space="preserve">Gauta pranešimų apie </w:t>
      </w:r>
      <w:r w:rsidR="00A72CD3" w:rsidRPr="00776407">
        <w:rPr>
          <w:color w:val="000000"/>
          <w:sz w:val="22"/>
          <w:szCs w:val="22"/>
        </w:rPr>
        <w:t>augimo sulėtėjimą jaunesniems kaip 12 metų vaikams, vartojusiems imatinibą. LML sergančių vaikų populiacijoje, atlikto stebėjimo tyrimo duomenimis, buvo pastebėtas statistiškai reikšmingas (bet neaiškios klinikinės reikšmės) ūgio standartinio nuokrypio balų medianos sumažėjimas po 12 ir 24 gydymo mėnesių dviejuose mažuose pogrupiuose, nepriklausomai nuo lytinio brendimo ar lyties. R</w:t>
      </w:r>
      <w:r w:rsidRPr="00776407">
        <w:rPr>
          <w:rFonts w:eastAsia="Calibri"/>
          <w:sz w:val="22"/>
          <w:szCs w:val="22"/>
        </w:rPr>
        <w:t>ekomenduojama atidžiai stebėti vaikų augimą gydant imatinibu (žr. 4.8</w:t>
      </w:r>
      <w:r w:rsidR="001C2A8A" w:rsidRPr="00776407">
        <w:rPr>
          <w:rFonts w:eastAsia="Calibri"/>
          <w:sz w:val="22"/>
          <w:szCs w:val="22"/>
        </w:rPr>
        <w:t> </w:t>
      </w:r>
      <w:r w:rsidRPr="00776407">
        <w:rPr>
          <w:rFonts w:eastAsia="Calibri"/>
          <w:sz w:val="22"/>
          <w:szCs w:val="22"/>
        </w:rPr>
        <w:t xml:space="preserve">skyrių). </w:t>
      </w:r>
    </w:p>
    <w:p w14:paraId="2DC06EC3" w14:textId="77777777" w:rsidR="001C1204" w:rsidRPr="00776407" w:rsidRDefault="001C1204" w:rsidP="001C1204">
      <w:pPr>
        <w:rPr>
          <w:rFonts w:eastAsia="Calibri"/>
          <w:sz w:val="22"/>
          <w:szCs w:val="22"/>
        </w:rPr>
      </w:pPr>
    </w:p>
    <w:p w14:paraId="4A65F100" w14:textId="77777777" w:rsidR="001C1204" w:rsidRPr="00776407" w:rsidRDefault="001C1204" w:rsidP="001C1204">
      <w:pPr>
        <w:rPr>
          <w:rFonts w:eastAsia="Calibri"/>
          <w:sz w:val="22"/>
          <w:szCs w:val="22"/>
          <w:u w:val="single"/>
        </w:rPr>
      </w:pPr>
      <w:r w:rsidRPr="00776407">
        <w:rPr>
          <w:rFonts w:eastAsia="Calibri"/>
          <w:sz w:val="22"/>
          <w:szCs w:val="22"/>
          <w:u w:val="single"/>
        </w:rPr>
        <w:t>Pagalbinė (-s) medžiaga (-os)</w:t>
      </w:r>
    </w:p>
    <w:p w14:paraId="43DB75C0" w14:textId="77777777" w:rsidR="001C1204" w:rsidRPr="00776407" w:rsidRDefault="001C1204" w:rsidP="001C1204">
      <w:pPr>
        <w:rPr>
          <w:rFonts w:eastAsia="Calibri"/>
          <w:sz w:val="22"/>
          <w:szCs w:val="22"/>
        </w:rPr>
      </w:pPr>
    </w:p>
    <w:p w14:paraId="55411E0A" w14:textId="77777777" w:rsidR="001C1204" w:rsidRPr="00776407" w:rsidRDefault="001C1204" w:rsidP="001C1204">
      <w:pPr>
        <w:rPr>
          <w:rFonts w:eastAsia="Calibri"/>
          <w:i/>
          <w:sz w:val="22"/>
          <w:szCs w:val="22"/>
        </w:rPr>
      </w:pPr>
      <w:r w:rsidRPr="00776407">
        <w:rPr>
          <w:rFonts w:eastAsia="Calibri"/>
          <w:i/>
          <w:sz w:val="22"/>
          <w:szCs w:val="22"/>
        </w:rPr>
        <w:t>Natris</w:t>
      </w:r>
    </w:p>
    <w:p w14:paraId="3E2A56ED" w14:textId="77777777" w:rsidR="001C1204" w:rsidRPr="00776407" w:rsidRDefault="001C1204" w:rsidP="001C1204">
      <w:pPr>
        <w:rPr>
          <w:rFonts w:eastAsia="Calibri"/>
          <w:sz w:val="22"/>
          <w:szCs w:val="22"/>
        </w:rPr>
      </w:pPr>
      <w:r w:rsidRPr="00776407">
        <w:rPr>
          <w:rFonts w:eastAsia="Calibri"/>
          <w:sz w:val="22"/>
          <w:szCs w:val="22"/>
        </w:rPr>
        <w:t>Šio vaisto vienoje kietojoje kapsulėje yra mažiau kaip 1 mmol (23 mg) natrio, t. y. jis beveik neturi reikšmės.</w:t>
      </w:r>
    </w:p>
    <w:p w14:paraId="79558E26" w14:textId="77777777" w:rsidR="006B44B3" w:rsidRPr="00776407" w:rsidRDefault="006B44B3" w:rsidP="006B44B3">
      <w:pPr>
        <w:rPr>
          <w:rFonts w:eastAsia="Calibri"/>
          <w:sz w:val="22"/>
          <w:szCs w:val="22"/>
        </w:rPr>
      </w:pPr>
    </w:p>
    <w:p w14:paraId="623B2FA7" w14:textId="77777777" w:rsidR="006B44B3" w:rsidRPr="00776407" w:rsidRDefault="006B44B3" w:rsidP="00864BE6">
      <w:pPr>
        <w:pStyle w:val="Listenabsatz"/>
        <w:keepNext/>
        <w:numPr>
          <w:ilvl w:val="1"/>
          <w:numId w:val="9"/>
        </w:numPr>
        <w:ind w:left="567" w:hanging="567"/>
        <w:rPr>
          <w:rFonts w:eastAsia="Calibri"/>
          <w:b/>
          <w:bCs/>
          <w:sz w:val="22"/>
          <w:szCs w:val="22"/>
        </w:rPr>
      </w:pPr>
      <w:r w:rsidRPr="00776407">
        <w:rPr>
          <w:rFonts w:eastAsia="Calibri"/>
          <w:b/>
          <w:bCs/>
          <w:sz w:val="22"/>
          <w:szCs w:val="22"/>
        </w:rPr>
        <w:t xml:space="preserve">Sąveika su kitais vaistiniais preparatais ir kitokia sąveika </w:t>
      </w:r>
    </w:p>
    <w:p w14:paraId="13A01095" w14:textId="77777777" w:rsidR="006B44B3" w:rsidRPr="00776407" w:rsidRDefault="006B44B3" w:rsidP="006B44B3">
      <w:pPr>
        <w:rPr>
          <w:rFonts w:eastAsia="Calibri"/>
          <w:sz w:val="22"/>
          <w:szCs w:val="22"/>
        </w:rPr>
      </w:pPr>
    </w:p>
    <w:p w14:paraId="7EA8E1B7" w14:textId="77777777" w:rsidR="006B44B3" w:rsidRPr="00776407" w:rsidRDefault="006B44B3" w:rsidP="006B44B3">
      <w:pPr>
        <w:rPr>
          <w:rFonts w:eastAsia="Calibri"/>
          <w:sz w:val="22"/>
          <w:szCs w:val="22"/>
          <w:u w:val="single"/>
        </w:rPr>
      </w:pPr>
      <w:r w:rsidRPr="00776407">
        <w:rPr>
          <w:rFonts w:eastAsia="Calibri"/>
          <w:sz w:val="22"/>
          <w:szCs w:val="22"/>
          <w:u w:val="single"/>
        </w:rPr>
        <w:t xml:space="preserve">Veikliosios medžiagos, kurios gali </w:t>
      </w:r>
      <w:r w:rsidRPr="00776407">
        <w:rPr>
          <w:rFonts w:eastAsia="Calibri"/>
          <w:b/>
          <w:bCs/>
          <w:sz w:val="22"/>
          <w:szCs w:val="22"/>
          <w:u w:val="single"/>
        </w:rPr>
        <w:t xml:space="preserve">didinti </w:t>
      </w:r>
      <w:r w:rsidRPr="00776407">
        <w:rPr>
          <w:rFonts w:eastAsia="Calibri"/>
          <w:sz w:val="22"/>
          <w:szCs w:val="22"/>
          <w:u w:val="single"/>
        </w:rPr>
        <w:t xml:space="preserve">imatinibo koncentraciją plazmoje: </w:t>
      </w:r>
    </w:p>
    <w:p w14:paraId="2FE83586" w14:textId="77777777" w:rsidR="006B44B3" w:rsidRPr="00776407" w:rsidRDefault="006B44B3" w:rsidP="006B44B3">
      <w:pPr>
        <w:rPr>
          <w:rFonts w:eastAsia="Calibri"/>
          <w:sz w:val="22"/>
          <w:szCs w:val="22"/>
        </w:rPr>
      </w:pPr>
      <w:r w:rsidRPr="00776407">
        <w:rPr>
          <w:rFonts w:eastAsia="Calibri"/>
          <w:sz w:val="22"/>
          <w:szCs w:val="22"/>
        </w:rPr>
        <w:t xml:space="preserve">Medžiagos, kurios slopina citochromo P450 izofermento CYP3A4 aktyvumą </w:t>
      </w:r>
      <w:r w:rsidR="00E34347" w:rsidRPr="00776407">
        <w:rPr>
          <w:color w:val="000000"/>
          <w:sz w:val="22"/>
          <w:szCs w:val="22"/>
        </w:rPr>
        <w:t>(pvz., proteazės inhibitoriai, tokie kaip indinaviras, lopinaviras/ritonaviras, ritonaviras, sakvinaviras, telapreviras, nelfinaviras, bocepreviras; priešgrybeliniai azolo dariniai, įskaitant ketokonazolą, itrakonazolą, posakonazolą, vorikonazolą; tam tikri makrolidai, tokie kaip eritromicinas, klaritromicinas ir telitromicinas)</w:t>
      </w:r>
      <w:r w:rsidRPr="00776407">
        <w:rPr>
          <w:rFonts w:eastAsia="Calibri"/>
          <w:sz w:val="22"/>
          <w:szCs w:val="22"/>
        </w:rPr>
        <w:t>, gali slopinti imatinibo metabolizmą ir padidinti jo koncentraciją. Nustatyta reikšmingai padidėjusi imatinibo ekspozicija (vidutinė imatinibo C</w:t>
      </w:r>
      <w:r w:rsidRPr="00776407">
        <w:rPr>
          <w:rFonts w:eastAsia="Calibri"/>
          <w:sz w:val="22"/>
          <w:szCs w:val="22"/>
          <w:vertAlign w:val="subscript"/>
        </w:rPr>
        <w:t>max</w:t>
      </w:r>
      <w:r w:rsidRPr="00776407">
        <w:rPr>
          <w:rFonts w:eastAsia="Calibri"/>
          <w:sz w:val="22"/>
          <w:szCs w:val="22"/>
        </w:rPr>
        <w:t xml:space="preserve"> ir AUC padidėjo atitinkamai 26 % ir 40 %) sveikiems savanoriams, kurie kartu vartojo vienkartinę ketokonazolio (CYP3A4 inhibitoriaus) dozę. Būtina laikytis atsargumo priemonių, kai imatinibo skiriama kartu su CYP3A4 šeimos inhibitoriais. </w:t>
      </w:r>
    </w:p>
    <w:p w14:paraId="7A5A1BE2" w14:textId="77777777" w:rsidR="006B44B3" w:rsidRPr="00776407" w:rsidRDefault="006B44B3" w:rsidP="006B44B3">
      <w:pPr>
        <w:rPr>
          <w:rFonts w:eastAsia="Calibri"/>
          <w:sz w:val="22"/>
          <w:szCs w:val="22"/>
        </w:rPr>
      </w:pPr>
    </w:p>
    <w:p w14:paraId="6DECB4DF" w14:textId="77777777" w:rsidR="006B44B3" w:rsidRPr="00776407" w:rsidRDefault="006B44B3" w:rsidP="006B44B3">
      <w:pPr>
        <w:rPr>
          <w:rFonts w:eastAsia="Calibri"/>
          <w:sz w:val="22"/>
          <w:szCs w:val="22"/>
          <w:u w:val="single"/>
        </w:rPr>
      </w:pPr>
      <w:r w:rsidRPr="00776407">
        <w:rPr>
          <w:rFonts w:eastAsia="Calibri"/>
          <w:sz w:val="22"/>
          <w:szCs w:val="22"/>
          <w:u w:val="single"/>
        </w:rPr>
        <w:t xml:space="preserve">Veikliosios medžiagos, kurios gali </w:t>
      </w:r>
      <w:r w:rsidRPr="00776407">
        <w:rPr>
          <w:rFonts w:eastAsia="Calibri"/>
          <w:b/>
          <w:bCs/>
          <w:sz w:val="22"/>
          <w:szCs w:val="22"/>
          <w:u w:val="single"/>
        </w:rPr>
        <w:t xml:space="preserve">mažinti </w:t>
      </w:r>
      <w:r w:rsidRPr="00776407">
        <w:rPr>
          <w:rFonts w:eastAsia="Calibri"/>
          <w:sz w:val="22"/>
          <w:szCs w:val="22"/>
          <w:u w:val="single"/>
        </w:rPr>
        <w:t xml:space="preserve">imatinibo koncentraciją plazmoje: </w:t>
      </w:r>
    </w:p>
    <w:p w14:paraId="2CE3ADF3" w14:textId="1CC0A245" w:rsidR="006B44B3" w:rsidRPr="00776407" w:rsidRDefault="006B44B3" w:rsidP="006B44B3">
      <w:pPr>
        <w:rPr>
          <w:rFonts w:eastAsia="Calibri"/>
          <w:sz w:val="22"/>
          <w:szCs w:val="22"/>
        </w:rPr>
      </w:pPr>
      <w:r w:rsidRPr="00776407">
        <w:rPr>
          <w:rFonts w:eastAsia="Calibri"/>
          <w:sz w:val="22"/>
          <w:szCs w:val="22"/>
        </w:rPr>
        <w:t xml:space="preserve">Medžiagos, kurios indukuoja CYP3A4 aktyvumą (pvz., deksametazonas, fenitoinas, karbamazepinas, rifampicinas, fenobarbitalis, fosfenitoinas, primidonas ar </w:t>
      </w:r>
      <w:r w:rsidRPr="00776407">
        <w:rPr>
          <w:rFonts w:eastAsia="Calibri"/>
          <w:i/>
          <w:iCs/>
          <w:sz w:val="22"/>
          <w:szCs w:val="22"/>
        </w:rPr>
        <w:t>Hypericum perforatum</w:t>
      </w:r>
      <w:r w:rsidRPr="00776407">
        <w:rPr>
          <w:rFonts w:eastAsia="Calibri"/>
          <w:sz w:val="22"/>
          <w:szCs w:val="22"/>
        </w:rPr>
        <w:t>, t.</w:t>
      </w:r>
      <w:r w:rsidR="00B03979" w:rsidRPr="00776407">
        <w:rPr>
          <w:rFonts w:eastAsia="Calibri"/>
          <w:sz w:val="22"/>
          <w:szCs w:val="22"/>
        </w:rPr>
        <w:t> </w:t>
      </w:r>
      <w:r w:rsidRPr="00776407">
        <w:rPr>
          <w:rFonts w:eastAsia="Calibri"/>
          <w:sz w:val="22"/>
          <w:szCs w:val="22"/>
        </w:rPr>
        <w:t>y. jonažolė), gali reikšmingai sumažinti imatinibo ekspoziciją ir padidinti nesėkmingo gydymo tikimybę. Po iš pradžių skirto gydymo daugkartinėmis rifampicino 600 mg dozėmis, suvartojus vienkartinę 400 mg imatinibo dozę, imatinibo C</w:t>
      </w:r>
      <w:r w:rsidRPr="00776407">
        <w:rPr>
          <w:rFonts w:eastAsia="Calibri"/>
          <w:sz w:val="22"/>
          <w:szCs w:val="22"/>
          <w:vertAlign w:val="subscript"/>
        </w:rPr>
        <w:t>max</w:t>
      </w:r>
      <w:r w:rsidRPr="00776407">
        <w:rPr>
          <w:rFonts w:eastAsia="Calibri"/>
          <w:sz w:val="22"/>
          <w:szCs w:val="22"/>
        </w:rPr>
        <w:t xml:space="preserve"> ir AUC</w:t>
      </w:r>
      <w:r w:rsidRPr="00776407">
        <w:rPr>
          <w:rFonts w:eastAsia="Calibri"/>
          <w:sz w:val="22"/>
          <w:szCs w:val="22"/>
          <w:vertAlign w:val="subscript"/>
        </w:rPr>
        <w:t>(0-∞)</w:t>
      </w:r>
      <w:r w:rsidRPr="00776407">
        <w:rPr>
          <w:rFonts w:eastAsia="Calibri"/>
          <w:sz w:val="22"/>
          <w:szCs w:val="22"/>
        </w:rPr>
        <w:t xml:space="preserve"> sumažėjo atitinkamai 54 % ir 74 % lyginant su atitinkamais duomenimis be rifampicino vartojimo. Panašūs rezultatai pastebėti imatinibo skyrus piktybinėmis gliomomis sergantiems pacientams, vartojusiems fermentus indukuojančius </w:t>
      </w:r>
      <w:r w:rsidR="002C1F12" w:rsidRPr="00776407">
        <w:rPr>
          <w:rFonts w:eastAsia="Calibri"/>
          <w:sz w:val="22"/>
          <w:szCs w:val="22"/>
        </w:rPr>
        <w:t xml:space="preserve">vaistinius preparatus </w:t>
      </w:r>
      <w:r w:rsidRPr="00776407">
        <w:rPr>
          <w:rFonts w:eastAsia="Calibri"/>
          <w:sz w:val="22"/>
          <w:szCs w:val="22"/>
        </w:rPr>
        <w:t>nuo epilepsijos (FIVNE), pavyzdžiui, karbamazepiną, oksakarbazepiną ir fenitoiną. Lyginant su FIVNE nevartojusiais pacientais, vartojant FIVNE, plotas po imatinibo koncentracijos plazmoje kreive AUC sumažėjo 73 %. Reikia vengti imatinibą vartoti kartu su rifampicinu ar kitais stipriais CYP3A4 induktoriais.</w:t>
      </w:r>
    </w:p>
    <w:p w14:paraId="3594FC26" w14:textId="77777777" w:rsidR="007578C4" w:rsidRPr="00776407" w:rsidRDefault="007578C4" w:rsidP="006B44B3">
      <w:pPr>
        <w:rPr>
          <w:rFonts w:eastAsia="Calibri"/>
          <w:sz w:val="22"/>
          <w:szCs w:val="22"/>
        </w:rPr>
      </w:pPr>
    </w:p>
    <w:p w14:paraId="2F9A127A" w14:textId="77777777" w:rsidR="00F70F32" w:rsidRPr="00776407" w:rsidRDefault="00F70F32" w:rsidP="00F70F32">
      <w:pPr>
        <w:keepNext/>
        <w:rPr>
          <w:rFonts w:eastAsia="Calibri"/>
          <w:sz w:val="22"/>
          <w:szCs w:val="22"/>
          <w:u w:val="single"/>
        </w:rPr>
      </w:pPr>
      <w:r w:rsidRPr="00776407">
        <w:rPr>
          <w:rFonts w:eastAsia="Calibri"/>
          <w:sz w:val="22"/>
          <w:szCs w:val="22"/>
          <w:u w:val="single"/>
        </w:rPr>
        <w:t xml:space="preserve">Veikliosios medžiagos, kurių koncentraciją plazmoje gali keisti imatinibas </w:t>
      </w:r>
    </w:p>
    <w:p w14:paraId="44C38F89" w14:textId="251DFB66" w:rsidR="00F70F32" w:rsidRPr="00776407" w:rsidRDefault="00F70F32" w:rsidP="00F70F32">
      <w:pPr>
        <w:rPr>
          <w:rFonts w:eastAsia="Calibri"/>
          <w:sz w:val="22"/>
          <w:szCs w:val="22"/>
        </w:rPr>
      </w:pPr>
      <w:r w:rsidRPr="00776407">
        <w:rPr>
          <w:rFonts w:eastAsia="Calibri"/>
          <w:sz w:val="22"/>
          <w:szCs w:val="22"/>
        </w:rPr>
        <w:t>Imatinibas padidina simvastatino (CYP3A4 substrato) C</w:t>
      </w:r>
      <w:r w:rsidRPr="00776407">
        <w:rPr>
          <w:rFonts w:eastAsia="Calibri"/>
          <w:sz w:val="22"/>
          <w:szCs w:val="22"/>
          <w:vertAlign w:val="subscript"/>
        </w:rPr>
        <w:t>max</w:t>
      </w:r>
      <w:r w:rsidRPr="00776407">
        <w:rPr>
          <w:rFonts w:eastAsia="Calibri"/>
          <w:sz w:val="22"/>
          <w:szCs w:val="22"/>
        </w:rPr>
        <w:t xml:space="preserve"> ir AUC atitinkamai 2 kartus ir 3,5 karto. Tai rodo, kad imatinibas slopina CYP3A4. Todėl būtina laikytis atsargumo priemonių, kai imatinibo vartojama kartu su CYP3A4 substratais, kurių yra siaura terapinė platuma (pvz., ciklosporinu ar pimozidu). Imatinibas gali padidinti kitų CYP3A4 metabolizuojamų </w:t>
      </w:r>
      <w:r w:rsidR="00AB0D9E" w:rsidRPr="00776407">
        <w:rPr>
          <w:color w:val="000000"/>
          <w:sz w:val="22"/>
          <w:szCs w:val="22"/>
        </w:rPr>
        <w:t xml:space="preserve">vaistinių preparatų </w:t>
      </w:r>
      <w:r w:rsidRPr="00776407">
        <w:rPr>
          <w:rFonts w:eastAsia="Calibri"/>
          <w:sz w:val="22"/>
          <w:szCs w:val="22"/>
        </w:rPr>
        <w:t>(pvz., triazolo grupės benzodiazepinų, dihidropiridino grupės kalcio kanalų blokatorių, tam tikrų HMG-KoA reduktazės inhibitorių, t.</w:t>
      </w:r>
      <w:r w:rsidR="00B03979" w:rsidRPr="00776407">
        <w:rPr>
          <w:rFonts w:eastAsia="Calibri"/>
          <w:sz w:val="22"/>
          <w:szCs w:val="22"/>
        </w:rPr>
        <w:t> </w:t>
      </w:r>
      <w:r w:rsidRPr="00776407">
        <w:rPr>
          <w:rFonts w:eastAsia="Calibri"/>
          <w:sz w:val="22"/>
          <w:szCs w:val="22"/>
        </w:rPr>
        <w:t xml:space="preserve">y. statinų, ir kt.) koncentraciją plazmoje. </w:t>
      </w:r>
    </w:p>
    <w:p w14:paraId="1D6663F9" w14:textId="77777777" w:rsidR="00F70F32" w:rsidRPr="00776407" w:rsidRDefault="00F70F32" w:rsidP="00F70F32">
      <w:pPr>
        <w:rPr>
          <w:rFonts w:eastAsia="Calibri"/>
          <w:sz w:val="22"/>
          <w:szCs w:val="22"/>
        </w:rPr>
      </w:pPr>
    </w:p>
    <w:p w14:paraId="7C15FBD4" w14:textId="77777777" w:rsidR="00F70F32" w:rsidRPr="00776407" w:rsidRDefault="00F70F32" w:rsidP="00F70F32">
      <w:pPr>
        <w:rPr>
          <w:rFonts w:eastAsia="Calibri"/>
          <w:sz w:val="22"/>
          <w:szCs w:val="22"/>
        </w:rPr>
      </w:pPr>
      <w:r w:rsidRPr="00776407">
        <w:rPr>
          <w:rFonts w:eastAsia="Calibri"/>
          <w:sz w:val="22"/>
          <w:szCs w:val="22"/>
        </w:rPr>
        <w:t xml:space="preserve">Dėl žinomos padidėjusios kraujavimo rizikos, pacientams, kuriuos reikia gydyti antikoaguliantais, vietoj kumarino darinių, tokių kaip varfarinas, reikėtų skirti mažos molekulinės masės ar standartinio heparino. </w:t>
      </w:r>
    </w:p>
    <w:p w14:paraId="726AF2F1" w14:textId="77777777" w:rsidR="00F70F32" w:rsidRPr="00776407" w:rsidRDefault="00F70F32" w:rsidP="00F70F32">
      <w:pPr>
        <w:rPr>
          <w:rFonts w:eastAsia="Calibri"/>
          <w:sz w:val="22"/>
          <w:szCs w:val="22"/>
        </w:rPr>
      </w:pPr>
    </w:p>
    <w:p w14:paraId="0BF6FC5E" w14:textId="77777777" w:rsidR="00F70F32" w:rsidRPr="00776407" w:rsidRDefault="00F70F32" w:rsidP="00F70F32">
      <w:pPr>
        <w:rPr>
          <w:rFonts w:eastAsia="Calibri"/>
          <w:sz w:val="22"/>
          <w:szCs w:val="22"/>
        </w:rPr>
      </w:pPr>
      <w:r w:rsidRPr="00776407">
        <w:rPr>
          <w:rFonts w:eastAsia="Calibri"/>
          <w:i/>
          <w:iCs/>
          <w:sz w:val="22"/>
          <w:szCs w:val="22"/>
        </w:rPr>
        <w:t xml:space="preserve">In vitro </w:t>
      </w:r>
      <w:r w:rsidR="00A348F6" w:rsidRPr="00776407">
        <w:rPr>
          <w:rFonts w:eastAsia="Calibri"/>
          <w:sz w:val="22"/>
          <w:szCs w:val="22"/>
        </w:rPr>
        <w:t>imatinibas</w:t>
      </w:r>
      <w:r w:rsidRPr="00776407">
        <w:rPr>
          <w:rFonts w:eastAsia="Calibri"/>
          <w:sz w:val="22"/>
          <w:szCs w:val="22"/>
        </w:rPr>
        <w:t xml:space="preserve"> slopina citochromo P450 izofermento CYP2D6 aktyvumą, kai jo koncentracija yra panaši į tą, kuri veikia CYP3A4 aktyvumą. Imatinibas, vartojant 400</w:t>
      </w:r>
      <w:r w:rsidR="00A348F6" w:rsidRPr="00776407">
        <w:rPr>
          <w:rFonts w:eastAsia="Calibri"/>
          <w:sz w:val="22"/>
          <w:szCs w:val="22"/>
        </w:rPr>
        <w:t> </w:t>
      </w:r>
      <w:r w:rsidRPr="00776407">
        <w:rPr>
          <w:rFonts w:eastAsia="Calibri"/>
          <w:sz w:val="22"/>
          <w:szCs w:val="22"/>
        </w:rPr>
        <w:t>mg doz</w:t>
      </w:r>
      <w:r w:rsidR="00F30EAC" w:rsidRPr="00776407">
        <w:rPr>
          <w:rFonts w:eastAsia="Calibri"/>
          <w:sz w:val="22"/>
          <w:szCs w:val="22"/>
        </w:rPr>
        <w:t>ę</w:t>
      </w:r>
      <w:r w:rsidRPr="00776407">
        <w:rPr>
          <w:rFonts w:eastAsia="Calibri"/>
          <w:sz w:val="22"/>
          <w:szCs w:val="22"/>
        </w:rPr>
        <w:t xml:space="preserve"> du kartus per parą, slopina metaprololio metabolizmą CYP2D6 fermentų sistemoje, kai metaprololio C</w:t>
      </w:r>
      <w:r w:rsidRPr="00776407">
        <w:rPr>
          <w:rFonts w:eastAsia="Calibri"/>
          <w:sz w:val="22"/>
          <w:szCs w:val="22"/>
          <w:vertAlign w:val="subscript"/>
        </w:rPr>
        <w:t xml:space="preserve">max </w:t>
      </w:r>
      <w:r w:rsidRPr="00776407">
        <w:rPr>
          <w:rFonts w:eastAsia="Calibri"/>
          <w:sz w:val="22"/>
          <w:szCs w:val="22"/>
        </w:rPr>
        <w:t>ir AUC padidėjo maždaug 23</w:t>
      </w:r>
      <w:r w:rsidR="00A348F6" w:rsidRPr="00776407">
        <w:rPr>
          <w:rFonts w:eastAsia="Calibri"/>
          <w:sz w:val="22"/>
          <w:szCs w:val="22"/>
        </w:rPr>
        <w:t> </w:t>
      </w:r>
      <w:r w:rsidRPr="00776407">
        <w:rPr>
          <w:rFonts w:eastAsia="Calibri"/>
          <w:sz w:val="22"/>
          <w:szCs w:val="22"/>
        </w:rPr>
        <w:t>% (90</w:t>
      </w:r>
      <w:r w:rsidR="00A348F6" w:rsidRPr="00776407">
        <w:rPr>
          <w:rFonts w:eastAsia="Calibri"/>
          <w:sz w:val="22"/>
          <w:szCs w:val="22"/>
        </w:rPr>
        <w:t> </w:t>
      </w:r>
      <w:r w:rsidRPr="00776407">
        <w:rPr>
          <w:rFonts w:eastAsia="Calibri"/>
          <w:sz w:val="22"/>
          <w:szCs w:val="22"/>
        </w:rPr>
        <w:t>%</w:t>
      </w:r>
      <w:r w:rsidR="00A348F6" w:rsidRPr="00776407">
        <w:rPr>
          <w:rFonts w:eastAsia="Calibri"/>
          <w:sz w:val="22"/>
          <w:szCs w:val="22"/>
        </w:rPr>
        <w:t> </w:t>
      </w:r>
      <w:r w:rsidRPr="00776407">
        <w:rPr>
          <w:rFonts w:eastAsia="Calibri"/>
          <w:sz w:val="22"/>
          <w:szCs w:val="22"/>
        </w:rPr>
        <w:t>PI</w:t>
      </w:r>
      <w:r w:rsidR="00A348F6" w:rsidRPr="00776407">
        <w:rPr>
          <w:rFonts w:eastAsia="Calibri"/>
          <w:sz w:val="22"/>
          <w:szCs w:val="22"/>
        </w:rPr>
        <w:t> </w:t>
      </w:r>
      <w:r w:rsidRPr="00776407">
        <w:rPr>
          <w:rFonts w:eastAsia="Calibri"/>
          <w:sz w:val="22"/>
          <w:szCs w:val="22"/>
        </w:rPr>
        <w:t>[1,16-1,30]). Kai imatinibas yra vartojamas kartu su CYP2D6 substratais, dozės koreguoti nereikėtų, tačiau būtina laikytis atsargum</w:t>
      </w:r>
      <w:r w:rsidR="00A348F6" w:rsidRPr="00776407">
        <w:rPr>
          <w:rFonts w:eastAsia="Calibri"/>
          <w:sz w:val="22"/>
          <w:szCs w:val="22"/>
        </w:rPr>
        <w:t>o priemonių, kai skiriami siauro terapinio</w:t>
      </w:r>
      <w:r w:rsidRPr="00776407">
        <w:rPr>
          <w:rFonts w:eastAsia="Calibri"/>
          <w:sz w:val="22"/>
          <w:szCs w:val="22"/>
        </w:rPr>
        <w:t xml:space="preserve"> </w:t>
      </w:r>
      <w:r w:rsidR="00145DC4" w:rsidRPr="00776407">
        <w:rPr>
          <w:rFonts w:eastAsia="Calibri"/>
          <w:sz w:val="22"/>
          <w:szCs w:val="22"/>
        </w:rPr>
        <w:t xml:space="preserve">intervalo </w:t>
      </w:r>
      <w:r w:rsidRPr="00776407">
        <w:rPr>
          <w:rFonts w:eastAsia="Calibri"/>
          <w:sz w:val="22"/>
          <w:szCs w:val="22"/>
        </w:rPr>
        <w:t xml:space="preserve">CYP2D6 substratai, tokie kaip metoprololis. Metoprololiu gydomus pacientus patariama atidžiai stebėti. </w:t>
      </w:r>
    </w:p>
    <w:p w14:paraId="1D3C5C85" w14:textId="77777777" w:rsidR="00A348F6" w:rsidRPr="00776407" w:rsidRDefault="00A348F6" w:rsidP="00F70F32">
      <w:pPr>
        <w:rPr>
          <w:rFonts w:eastAsia="Calibri"/>
          <w:sz w:val="22"/>
          <w:szCs w:val="22"/>
        </w:rPr>
      </w:pPr>
    </w:p>
    <w:p w14:paraId="2FB620E6" w14:textId="77777777" w:rsidR="00F70F32" w:rsidRPr="00776407" w:rsidRDefault="00F70F32" w:rsidP="00F70F32">
      <w:pPr>
        <w:rPr>
          <w:rFonts w:eastAsia="Calibri"/>
          <w:sz w:val="22"/>
          <w:szCs w:val="22"/>
        </w:rPr>
      </w:pPr>
      <w:r w:rsidRPr="00776407">
        <w:rPr>
          <w:rFonts w:eastAsia="Calibri"/>
          <w:i/>
          <w:iCs/>
          <w:sz w:val="22"/>
          <w:szCs w:val="22"/>
        </w:rPr>
        <w:t xml:space="preserve">In vitro </w:t>
      </w:r>
      <w:r w:rsidR="00A348F6" w:rsidRPr="00776407">
        <w:rPr>
          <w:rFonts w:eastAsia="Calibri"/>
          <w:sz w:val="22"/>
          <w:szCs w:val="22"/>
        </w:rPr>
        <w:t>imatinibas</w:t>
      </w:r>
      <w:r w:rsidRPr="00776407">
        <w:rPr>
          <w:rFonts w:eastAsia="Calibri"/>
          <w:sz w:val="22"/>
          <w:szCs w:val="22"/>
        </w:rPr>
        <w:t xml:space="preserve"> slopina paracetamolio O</w:t>
      </w:r>
      <w:r w:rsidR="007578C4" w:rsidRPr="00776407">
        <w:rPr>
          <w:rFonts w:eastAsia="Calibri"/>
          <w:sz w:val="22"/>
          <w:szCs w:val="22"/>
        </w:rPr>
        <w:noBreakHyphen/>
      </w:r>
      <w:r w:rsidRPr="00776407">
        <w:rPr>
          <w:rFonts w:eastAsia="Calibri"/>
          <w:sz w:val="22"/>
          <w:szCs w:val="22"/>
        </w:rPr>
        <w:t>gliukuroninimą, kai Ki vertė yra 58,5</w:t>
      </w:r>
      <w:r w:rsidR="00A348F6" w:rsidRPr="00776407">
        <w:rPr>
          <w:rFonts w:eastAsia="Calibri"/>
          <w:sz w:val="22"/>
          <w:szCs w:val="22"/>
        </w:rPr>
        <w:t> </w:t>
      </w:r>
      <w:r w:rsidRPr="00776407">
        <w:rPr>
          <w:rFonts w:eastAsia="Calibri"/>
          <w:sz w:val="22"/>
          <w:szCs w:val="22"/>
        </w:rPr>
        <w:t xml:space="preserve">mikromol/l. Po </w:t>
      </w:r>
      <w:r w:rsidR="00F30EAC" w:rsidRPr="00776407">
        <w:rPr>
          <w:rFonts w:eastAsia="Calibri"/>
          <w:sz w:val="22"/>
          <w:szCs w:val="22"/>
        </w:rPr>
        <w:t xml:space="preserve">400 mg </w:t>
      </w:r>
      <w:r w:rsidR="00A348F6" w:rsidRPr="00776407">
        <w:rPr>
          <w:rFonts w:eastAsia="Calibri"/>
          <w:sz w:val="22"/>
          <w:szCs w:val="22"/>
        </w:rPr>
        <w:t>imatinibo</w:t>
      </w:r>
      <w:r w:rsidRPr="00776407">
        <w:rPr>
          <w:rFonts w:eastAsia="Calibri"/>
          <w:sz w:val="22"/>
          <w:szCs w:val="22"/>
        </w:rPr>
        <w:t xml:space="preserve"> ir </w:t>
      </w:r>
      <w:r w:rsidR="00F30EAC" w:rsidRPr="00776407">
        <w:rPr>
          <w:rFonts w:eastAsia="Calibri"/>
          <w:sz w:val="22"/>
          <w:szCs w:val="22"/>
        </w:rPr>
        <w:t xml:space="preserve">1000 mg </w:t>
      </w:r>
      <w:r w:rsidRPr="00776407">
        <w:rPr>
          <w:rFonts w:eastAsia="Calibri"/>
          <w:sz w:val="22"/>
          <w:szCs w:val="22"/>
        </w:rPr>
        <w:t xml:space="preserve">paracetamolio </w:t>
      </w:r>
      <w:r w:rsidR="00145DC4" w:rsidRPr="00776407">
        <w:rPr>
          <w:rFonts w:eastAsia="Calibri"/>
          <w:sz w:val="22"/>
          <w:szCs w:val="22"/>
        </w:rPr>
        <w:t>vartojimo</w:t>
      </w:r>
      <w:r w:rsidR="00145DC4" w:rsidRPr="00776407" w:rsidDel="00F30EAC">
        <w:rPr>
          <w:rFonts w:eastAsia="Calibri"/>
          <w:sz w:val="22"/>
          <w:szCs w:val="22"/>
        </w:rPr>
        <w:t xml:space="preserve"> </w:t>
      </w:r>
      <w:r w:rsidRPr="00776407">
        <w:rPr>
          <w:rFonts w:eastAsia="Calibri"/>
          <w:i/>
          <w:iCs/>
          <w:sz w:val="22"/>
          <w:szCs w:val="22"/>
        </w:rPr>
        <w:t xml:space="preserve">in vivo </w:t>
      </w:r>
      <w:r w:rsidRPr="00776407">
        <w:rPr>
          <w:rFonts w:eastAsia="Calibri"/>
          <w:sz w:val="22"/>
          <w:szCs w:val="22"/>
        </w:rPr>
        <w:t xml:space="preserve">tokio slopinimo </w:t>
      </w:r>
      <w:r w:rsidR="00F30EAC" w:rsidRPr="00776407">
        <w:rPr>
          <w:rFonts w:eastAsia="Calibri"/>
          <w:sz w:val="22"/>
          <w:szCs w:val="22"/>
        </w:rPr>
        <w:t>ne</w:t>
      </w:r>
      <w:r w:rsidRPr="00776407">
        <w:rPr>
          <w:rFonts w:eastAsia="Calibri"/>
          <w:sz w:val="22"/>
          <w:szCs w:val="22"/>
        </w:rPr>
        <w:t xml:space="preserve">nustatyta. Dėl didesnių </w:t>
      </w:r>
      <w:r w:rsidR="00A348F6" w:rsidRPr="00776407">
        <w:rPr>
          <w:rFonts w:eastAsia="Calibri"/>
          <w:sz w:val="22"/>
          <w:szCs w:val="22"/>
        </w:rPr>
        <w:t>imatinibo</w:t>
      </w:r>
      <w:r w:rsidRPr="00776407">
        <w:rPr>
          <w:rFonts w:eastAsia="Calibri"/>
          <w:sz w:val="22"/>
          <w:szCs w:val="22"/>
        </w:rPr>
        <w:t xml:space="preserve"> ir paracetamolio dozių vartojimo tyrimų neatlikta. </w:t>
      </w:r>
    </w:p>
    <w:p w14:paraId="7918F570" w14:textId="77777777" w:rsidR="00A348F6" w:rsidRPr="00776407" w:rsidRDefault="00A348F6" w:rsidP="00F70F32">
      <w:pPr>
        <w:rPr>
          <w:rFonts w:eastAsia="Calibri"/>
          <w:sz w:val="22"/>
          <w:szCs w:val="22"/>
        </w:rPr>
      </w:pPr>
    </w:p>
    <w:p w14:paraId="4D8CBA61" w14:textId="77777777" w:rsidR="00F70F32" w:rsidRPr="00776407" w:rsidRDefault="00F70F32" w:rsidP="00F70F32">
      <w:pPr>
        <w:rPr>
          <w:rFonts w:eastAsia="Calibri"/>
          <w:sz w:val="22"/>
          <w:szCs w:val="22"/>
        </w:rPr>
      </w:pPr>
      <w:r w:rsidRPr="00776407">
        <w:rPr>
          <w:rFonts w:eastAsia="Calibri"/>
          <w:sz w:val="22"/>
          <w:szCs w:val="22"/>
        </w:rPr>
        <w:t xml:space="preserve">Todėl reikia atsargiai vartoti dideles </w:t>
      </w:r>
      <w:r w:rsidR="00A348F6" w:rsidRPr="00776407">
        <w:rPr>
          <w:rFonts w:eastAsia="Calibri"/>
          <w:sz w:val="22"/>
          <w:szCs w:val="22"/>
        </w:rPr>
        <w:t>imatinibo</w:t>
      </w:r>
      <w:r w:rsidRPr="00776407">
        <w:rPr>
          <w:rFonts w:eastAsia="Calibri"/>
          <w:sz w:val="22"/>
          <w:szCs w:val="22"/>
        </w:rPr>
        <w:t xml:space="preserve"> dozes kartu su paracetamoliu. </w:t>
      </w:r>
    </w:p>
    <w:p w14:paraId="2AD6FC46" w14:textId="77777777" w:rsidR="00A348F6" w:rsidRPr="00776407" w:rsidRDefault="00A348F6" w:rsidP="00F70F32">
      <w:pPr>
        <w:rPr>
          <w:rFonts w:eastAsia="Calibri"/>
          <w:sz w:val="22"/>
          <w:szCs w:val="22"/>
        </w:rPr>
      </w:pPr>
    </w:p>
    <w:p w14:paraId="1498C586" w14:textId="77777777" w:rsidR="00F70F32" w:rsidRPr="00776407" w:rsidRDefault="00F70F32" w:rsidP="00F70F32">
      <w:pPr>
        <w:rPr>
          <w:rFonts w:eastAsia="Calibri"/>
          <w:sz w:val="22"/>
          <w:szCs w:val="22"/>
        </w:rPr>
      </w:pPr>
      <w:r w:rsidRPr="00776407">
        <w:rPr>
          <w:rFonts w:eastAsia="Calibri"/>
          <w:sz w:val="22"/>
          <w:szCs w:val="22"/>
        </w:rPr>
        <w:t xml:space="preserve">Pacientams, gydomiems levotiroksinu po skydliaukės pašalinimo ir kartu skiriant </w:t>
      </w:r>
      <w:r w:rsidR="00A348F6" w:rsidRPr="00776407">
        <w:rPr>
          <w:rFonts w:eastAsia="Calibri"/>
          <w:sz w:val="22"/>
          <w:szCs w:val="22"/>
        </w:rPr>
        <w:t>imatinibo</w:t>
      </w:r>
      <w:r w:rsidRPr="00776407">
        <w:rPr>
          <w:rFonts w:eastAsia="Calibri"/>
          <w:sz w:val="22"/>
          <w:szCs w:val="22"/>
        </w:rPr>
        <w:t>, gali sumažėti levotiroksino kiekis plazmoje (žr. 4.4</w:t>
      </w:r>
      <w:r w:rsidR="00A348F6" w:rsidRPr="00776407">
        <w:rPr>
          <w:rFonts w:eastAsia="Calibri"/>
          <w:sz w:val="22"/>
          <w:szCs w:val="22"/>
        </w:rPr>
        <w:t> </w:t>
      </w:r>
      <w:r w:rsidRPr="00776407">
        <w:rPr>
          <w:rFonts w:eastAsia="Calibri"/>
          <w:sz w:val="22"/>
          <w:szCs w:val="22"/>
        </w:rPr>
        <w:t xml:space="preserve">skyrių), todėl rekomenduojamos atsargumo priemonės. Vis dėlto stebėtos sąveikos mechanizmas iki šiol nežinomas. </w:t>
      </w:r>
    </w:p>
    <w:p w14:paraId="43DE7315" w14:textId="77777777" w:rsidR="00A348F6" w:rsidRPr="00776407" w:rsidRDefault="00A348F6" w:rsidP="00F70F32">
      <w:pPr>
        <w:rPr>
          <w:rFonts w:eastAsia="Calibri"/>
          <w:sz w:val="22"/>
          <w:szCs w:val="22"/>
        </w:rPr>
      </w:pPr>
    </w:p>
    <w:p w14:paraId="47F1B875" w14:textId="77777777" w:rsidR="00F70F32" w:rsidRPr="00776407" w:rsidRDefault="00F70F32" w:rsidP="00F70F32">
      <w:pPr>
        <w:rPr>
          <w:rFonts w:eastAsia="Calibri"/>
          <w:sz w:val="22"/>
          <w:szCs w:val="22"/>
        </w:rPr>
      </w:pPr>
      <w:r w:rsidRPr="00776407">
        <w:rPr>
          <w:rFonts w:eastAsia="Calibri"/>
          <w:sz w:val="22"/>
          <w:szCs w:val="22"/>
        </w:rPr>
        <w:t xml:space="preserve">Yra klinikinės patirties kartu vartojant </w:t>
      </w:r>
      <w:r w:rsidR="00A348F6" w:rsidRPr="00776407">
        <w:rPr>
          <w:rFonts w:eastAsia="Calibri"/>
          <w:sz w:val="22"/>
          <w:szCs w:val="22"/>
        </w:rPr>
        <w:t>imatinibą</w:t>
      </w:r>
      <w:r w:rsidRPr="00776407">
        <w:rPr>
          <w:rFonts w:eastAsia="Calibri"/>
          <w:sz w:val="22"/>
          <w:szCs w:val="22"/>
        </w:rPr>
        <w:t xml:space="preserve"> ir chemoterapiją pacientų, sergančiųjų Ph+</w:t>
      </w:r>
      <w:r w:rsidR="00A348F6" w:rsidRPr="00776407">
        <w:rPr>
          <w:rFonts w:eastAsia="Calibri"/>
          <w:sz w:val="22"/>
          <w:szCs w:val="22"/>
        </w:rPr>
        <w:t> </w:t>
      </w:r>
      <w:r w:rsidRPr="00776407">
        <w:rPr>
          <w:rFonts w:eastAsia="Calibri"/>
          <w:sz w:val="22"/>
          <w:szCs w:val="22"/>
        </w:rPr>
        <w:t>ŪLL, tarpe (žr. 5.1</w:t>
      </w:r>
      <w:r w:rsidR="00A348F6" w:rsidRPr="00776407">
        <w:rPr>
          <w:rFonts w:eastAsia="Calibri"/>
          <w:sz w:val="22"/>
          <w:szCs w:val="22"/>
        </w:rPr>
        <w:t> </w:t>
      </w:r>
      <w:r w:rsidRPr="00776407">
        <w:rPr>
          <w:rFonts w:eastAsia="Calibri"/>
          <w:sz w:val="22"/>
          <w:szCs w:val="22"/>
        </w:rPr>
        <w:t xml:space="preserve">skyrių), bet </w:t>
      </w:r>
      <w:r w:rsidR="00AB0D9E" w:rsidRPr="00776407">
        <w:rPr>
          <w:color w:val="000000"/>
          <w:sz w:val="22"/>
          <w:szCs w:val="22"/>
        </w:rPr>
        <w:t xml:space="preserve">vaistinio preparato </w:t>
      </w:r>
      <w:r w:rsidRPr="00776407">
        <w:rPr>
          <w:rFonts w:eastAsia="Calibri"/>
          <w:sz w:val="22"/>
          <w:szCs w:val="22"/>
        </w:rPr>
        <w:t>-</w:t>
      </w:r>
      <w:r w:rsidR="00AB0D9E" w:rsidRPr="00776407">
        <w:rPr>
          <w:color w:val="000000"/>
          <w:sz w:val="22"/>
          <w:szCs w:val="22"/>
        </w:rPr>
        <w:t xml:space="preserve"> vaistinio preparato </w:t>
      </w:r>
      <w:r w:rsidRPr="00776407">
        <w:rPr>
          <w:rFonts w:eastAsia="Calibri"/>
          <w:sz w:val="22"/>
          <w:szCs w:val="22"/>
        </w:rPr>
        <w:t>sąveikos tarp imatinibo ir chemoterapijos kontrolės nėra gerai aprašytos. Imatinibo sukeliamų nepageidaujamų reiškinių, pvz., hepatotoksiškumo, kaulų čiulpų supresijos arba kitų, gali daugėti ir pranešta, kad kartu vartojant L-asparaginazės, gali padidėti hepatotoksiškumas (žr. 4.8</w:t>
      </w:r>
      <w:r w:rsidR="00A348F6" w:rsidRPr="00776407">
        <w:rPr>
          <w:rFonts w:eastAsia="Calibri"/>
          <w:sz w:val="22"/>
          <w:szCs w:val="22"/>
        </w:rPr>
        <w:t> </w:t>
      </w:r>
      <w:r w:rsidRPr="00776407">
        <w:rPr>
          <w:rFonts w:eastAsia="Calibri"/>
          <w:sz w:val="22"/>
          <w:szCs w:val="22"/>
        </w:rPr>
        <w:t xml:space="preserve">skyrių). Todėl, kartu su </w:t>
      </w:r>
      <w:r w:rsidR="00A348F6" w:rsidRPr="00776407">
        <w:rPr>
          <w:rFonts w:eastAsia="Calibri"/>
          <w:sz w:val="22"/>
          <w:szCs w:val="22"/>
        </w:rPr>
        <w:t>imatinibu</w:t>
      </w:r>
      <w:r w:rsidRPr="00776407">
        <w:rPr>
          <w:rFonts w:eastAsia="Calibri"/>
          <w:sz w:val="22"/>
          <w:szCs w:val="22"/>
        </w:rPr>
        <w:t xml:space="preserve"> vartojant kitų </w:t>
      </w:r>
      <w:r w:rsidR="00AB0D9E" w:rsidRPr="00776407">
        <w:rPr>
          <w:color w:val="000000"/>
          <w:sz w:val="22"/>
          <w:szCs w:val="22"/>
        </w:rPr>
        <w:t>vaistinių preparatų</w:t>
      </w:r>
      <w:r w:rsidRPr="00776407">
        <w:rPr>
          <w:rFonts w:eastAsia="Calibri"/>
          <w:sz w:val="22"/>
          <w:szCs w:val="22"/>
        </w:rPr>
        <w:t xml:space="preserve">, reikia specialių atsargumo priemonių. </w:t>
      </w:r>
    </w:p>
    <w:p w14:paraId="1F3E3374" w14:textId="77777777" w:rsidR="00A348F6" w:rsidRPr="00776407" w:rsidRDefault="00A348F6" w:rsidP="00F70F32">
      <w:pPr>
        <w:rPr>
          <w:rFonts w:eastAsia="Calibri"/>
          <w:sz w:val="22"/>
          <w:szCs w:val="22"/>
        </w:rPr>
      </w:pPr>
    </w:p>
    <w:p w14:paraId="30489F8A" w14:textId="77777777" w:rsidR="00F70F32" w:rsidRPr="00776407" w:rsidRDefault="00F70F32" w:rsidP="00864BE6">
      <w:pPr>
        <w:pStyle w:val="Listenabsatz"/>
        <w:numPr>
          <w:ilvl w:val="1"/>
          <w:numId w:val="9"/>
        </w:numPr>
        <w:ind w:left="567" w:hanging="567"/>
        <w:rPr>
          <w:rFonts w:eastAsia="Calibri"/>
          <w:b/>
          <w:sz w:val="22"/>
          <w:szCs w:val="22"/>
        </w:rPr>
      </w:pPr>
      <w:r w:rsidRPr="00776407">
        <w:rPr>
          <w:rFonts w:eastAsia="Calibri"/>
          <w:b/>
          <w:sz w:val="22"/>
          <w:szCs w:val="22"/>
        </w:rPr>
        <w:t xml:space="preserve">Vaisingumas, nėštumo ir žindymo laikotarpis </w:t>
      </w:r>
    </w:p>
    <w:p w14:paraId="6D1D4606" w14:textId="77777777" w:rsidR="00A348F6" w:rsidRPr="00776407" w:rsidRDefault="00A348F6" w:rsidP="00A348F6">
      <w:pPr>
        <w:rPr>
          <w:rFonts w:eastAsia="Calibri"/>
          <w:sz w:val="22"/>
          <w:szCs w:val="22"/>
        </w:rPr>
      </w:pPr>
    </w:p>
    <w:p w14:paraId="17144CAB" w14:textId="77777777" w:rsidR="00DC5C62" w:rsidRPr="00776407" w:rsidRDefault="00DC5C62" w:rsidP="00DC5C62">
      <w:pPr>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Vaisingo amžiaus moterys </w:t>
      </w:r>
    </w:p>
    <w:p w14:paraId="00CDF299" w14:textId="259DEA58" w:rsidR="00DC5C62" w:rsidRPr="00776407" w:rsidRDefault="00DC5C62" w:rsidP="00DC5C62">
      <w:pPr>
        <w:rPr>
          <w:rFonts w:eastAsia="Calibri"/>
          <w:sz w:val="22"/>
          <w:szCs w:val="22"/>
        </w:rPr>
      </w:pPr>
      <w:r w:rsidRPr="00776407">
        <w:rPr>
          <w:rFonts w:eastAsia="Calibri"/>
          <w:color w:val="000000"/>
          <w:sz w:val="22"/>
          <w:szCs w:val="22"/>
        </w:rPr>
        <w:t xml:space="preserve">Vaisingo amžiaus moteris </w:t>
      </w:r>
      <w:r w:rsidR="00B03979" w:rsidRPr="00776407">
        <w:rPr>
          <w:rFonts w:eastAsia="Calibri"/>
          <w:color w:val="000000"/>
          <w:sz w:val="22"/>
          <w:szCs w:val="22"/>
        </w:rPr>
        <w:t>būtina informuoti</w:t>
      </w:r>
      <w:r w:rsidRPr="00776407">
        <w:rPr>
          <w:rFonts w:eastAsia="Calibri"/>
          <w:color w:val="000000"/>
          <w:sz w:val="22"/>
          <w:szCs w:val="22"/>
        </w:rPr>
        <w:t xml:space="preserve">, kad gydymo metu </w:t>
      </w:r>
      <w:r w:rsidR="003050FE" w:rsidRPr="00776407">
        <w:rPr>
          <w:rFonts w:eastAsia="Calibri"/>
          <w:color w:val="000000"/>
          <w:sz w:val="22"/>
          <w:szCs w:val="22"/>
        </w:rPr>
        <w:t xml:space="preserve">ir mažiausiai 15 dienų po gydymo Imatinib Actavis nutraukimo </w:t>
      </w:r>
      <w:r w:rsidRPr="00776407">
        <w:rPr>
          <w:rFonts w:eastAsia="Calibri"/>
          <w:color w:val="000000"/>
          <w:sz w:val="22"/>
          <w:szCs w:val="22"/>
        </w:rPr>
        <w:t>jos turi naudoti veiksmingą kontracepcijos metodą.</w:t>
      </w:r>
    </w:p>
    <w:p w14:paraId="77E08D14" w14:textId="77777777" w:rsidR="00DC5C62" w:rsidRPr="00776407" w:rsidRDefault="00DC5C62" w:rsidP="00A348F6">
      <w:pPr>
        <w:rPr>
          <w:rFonts w:eastAsia="Calibri"/>
          <w:sz w:val="22"/>
          <w:szCs w:val="22"/>
        </w:rPr>
      </w:pPr>
    </w:p>
    <w:p w14:paraId="7C912CA1" w14:textId="77777777" w:rsidR="00F70F32" w:rsidRPr="00776407" w:rsidRDefault="00F70F32" w:rsidP="00F70F32">
      <w:pPr>
        <w:rPr>
          <w:rFonts w:eastAsia="Calibri"/>
          <w:sz w:val="22"/>
          <w:szCs w:val="22"/>
          <w:u w:val="single"/>
        </w:rPr>
      </w:pPr>
      <w:r w:rsidRPr="00776407">
        <w:rPr>
          <w:rFonts w:eastAsia="Calibri"/>
          <w:sz w:val="22"/>
          <w:szCs w:val="22"/>
          <w:u w:val="single"/>
        </w:rPr>
        <w:t xml:space="preserve">Nėštumas </w:t>
      </w:r>
    </w:p>
    <w:p w14:paraId="686A0550" w14:textId="77777777" w:rsidR="006C4DB6" w:rsidRPr="00776407" w:rsidRDefault="00F70F32" w:rsidP="00F70F32">
      <w:pPr>
        <w:rPr>
          <w:rFonts w:eastAsia="Calibri"/>
          <w:sz w:val="22"/>
          <w:szCs w:val="22"/>
        </w:rPr>
      </w:pPr>
      <w:r w:rsidRPr="00776407">
        <w:rPr>
          <w:rFonts w:eastAsia="Calibri"/>
          <w:sz w:val="22"/>
          <w:szCs w:val="22"/>
        </w:rPr>
        <w:t xml:space="preserve">Duomenų apie imatinibo vartojimą nėštumo metu nepakanka. </w:t>
      </w:r>
      <w:r w:rsidR="00217A90" w:rsidRPr="00776407">
        <w:rPr>
          <w:rFonts w:eastAsia="Calibri"/>
          <w:sz w:val="22"/>
          <w:szCs w:val="22"/>
        </w:rPr>
        <w:t>Vaistiniam preparatui patekus į rinką gauta pranešimų apie imatinibą vartojusioms moterims pasireiškusius spontaninių abortų atvejus ir įgimtas kūdikių anomalijas.</w:t>
      </w:r>
      <w:r w:rsidR="00A90A07" w:rsidRPr="00776407">
        <w:rPr>
          <w:rFonts w:eastAsia="Calibri"/>
          <w:sz w:val="22"/>
          <w:szCs w:val="22"/>
        </w:rPr>
        <w:t xml:space="preserve"> </w:t>
      </w:r>
      <w:r w:rsidRPr="00776407">
        <w:rPr>
          <w:rFonts w:eastAsia="Calibri"/>
          <w:sz w:val="22"/>
          <w:szCs w:val="22"/>
        </w:rPr>
        <w:t>Tačiau su gyvūnais atlikti tyrimai parodė toksinį poveikį reprodukcijai (žr. 5.3</w:t>
      </w:r>
      <w:r w:rsidR="00D63A4B" w:rsidRPr="00776407">
        <w:rPr>
          <w:rFonts w:eastAsia="Calibri"/>
          <w:sz w:val="22"/>
          <w:szCs w:val="22"/>
        </w:rPr>
        <w:t> </w:t>
      </w:r>
      <w:r w:rsidRPr="00776407">
        <w:rPr>
          <w:rFonts w:eastAsia="Calibri"/>
          <w:sz w:val="22"/>
          <w:szCs w:val="22"/>
        </w:rPr>
        <w:t xml:space="preserve">skyrių), todėl galimas pavojus vaisiui nežinomas. </w:t>
      </w:r>
      <w:r w:rsidR="00D63A4B" w:rsidRPr="00776407">
        <w:rPr>
          <w:rFonts w:eastAsia="Calibri"/>
          <w:sz w:val="22"/>
          <w:szCs w:val="22"/>
        </w:rPr>
        <w:t xml:space="preserve">Imatinibo </w:t>
      </w:r>
      <w:r w:rsidRPr="00776407">
        <w:rPr>
          <w:rFonts w:eastAsia="Calibri"/>
          <w:sz w:val="22"/>
          <w:szCs w:val="22"/>
        </w:rPr>
        <w:t xml:space="preserve">nėštumo metu vartoti negalima, išskyrus neabejotinai būtinus atvejus. Nėščiąją, kuriai skiriama </w:t>
      </w:r>
      <w:r w:rsidR="00AB0D9E" w:rsidRPr="00776407">
        <w:rPr>
          <w:color w:val="000000"/>
          <w:sz w:val="22"/>
          <w:szCs w:val="22"/>
        </w:rPr>
        <w:t>vaistinio preparato</w:t>
      </w:r>
      <w:r w:rsidRPr="00776407">
        <w:rPr>
          <w:rFonts w:eastAsia="Calibri"/>
          <w:sz w:val="22"/>
          <w:szCs w:val="22"/>
        </w:rPr>
        <w:t xml:space="preserve">, reikia informuoti apie galimą riziką vaisiui. </w:t>
      </w:r>
    </w:p>
    <w:p w14:paraId="465AAC66" w14:textId="77777777" w:rsidR="00D63A4B" w:rsidRPr="00776407" w:rsidRDefault="00D63A4B" w:rsidP="00F70F32">
      <w:pPr>
        <w:rPr>
          <w:sz w:val="22"/>
          <w:szCs w:val="22"/>
        </w:rPr>
      </w:pPr>
    </w:p>
    <w:p w14:paraId="1F9492D5" w14:textId="77777777" w:rsidR="00D63A4B" w:rsidRPr="00776407" w:rsidRDefault="00D63A4B" w:rsidP="00D63A4B">
      <w:pPr>
        <w:rPr>
          <w:rFonts w:eastAsia="Calibri"/>
          <w:sz w:val="22"/>
          <w:szCs w:val="22"/>
          <w:u w:val="single"/>
        </w:rPr>
      </w:pPr>
      <w:r w:rsidRPr="00776407">
        <w:rPr>
          <w:rFonts w:eastAsia="Calibri"/>
          <w:sz w:val="22"/>
          <w:szCs w:val="22"/>
          <w:u w:val="single"/>
        </w:rPr>
        <w:t xml:space="preserve">Žindymas </w:t>
      </w:r>
    </w:p>
    <w:p w14:paraId="21D1BDB0" w14:textId="59AA11B0" w:rsidR="00D63A4B" w:rsidRPr="00776407" w:rsidRDefault="00D63A4B" w:rsidP="00D63A4B">
      <w:pPr>
        <w:rPr>
          <w:rFonts w:eastAsia="Calibri"/>
          <w:sz w:val="22"/>
          <w:szCs w:val="22"/>
        </w:rPr>
      </w:pPr>
      <w:r w:rsidRPr="00776407">
        <w:rPr>
          <w:rFonts w:eastAsia="Calibri"/>
          <w:sz w:val="22"/>
          <w:szCs w:val="22"/>
        </w:rPr>
        <w:t xml:space="preserve">Yra mažai duomenų apie imatinibo išsiskirimą į motinos pieną. Abi žindančių moterų studijos parodė, kad tiek imatinibo, tiek jo aktyvaus metabolito gali išsiskirti į žindyvės pieną. Nustatyta, kad imatinibo ir jo metabolito koncentracijų piene ir kraujo plazmoje santykis, vienai pacientei tenka, atitinkamai, 0,5 ir 0,9; tai rodo, kad į pieną daugiau išsiskiria </w:t>
      </w:r>
      <w:r w:rsidR="00AB0D9E" w:rsidRPr="00776407">
        <w:rPr>
          <w:sz w:val="22"/>
          <w:szCs w:val="22"/>
        </w:rPr>
        <w:t xml:space="preserve">vaistinio preparato </w:t>
      </w:r>
      <w:r w:rsidRPr="00776407">
        <w:rPr>
          <w:rFonts w:eastAsia="Calibri"/>
          <w:sz w:val="22"/>
          <w:szCs w:val="22"/>
        </w:rPr>
        <w:t xml:space="preserve">metabolito. Atsižvelgiant į suminę imatinibo ir jo metabolito koncentraciją bei didžiausią kūdikio suvartojamą pieno kiekį per parą, tikėtina, kad bendroji ekspozicija galėtų būti nedidelė (~10 % terapinės dozės). Tačiau, kadangi nedidelės imatinibo dozės poveikis kūdikiui nežinomas, </w:t>
      </w:r>
      <w:r w:rsidR="003050FE" w:rsidRPr="00776407">
        <w:rPr>
          <w:rFonts w:eastAsia="Calibri"/>
          <w:sz w:val="22"/>
          <w:szCs w:val="22"/>
        </w:rPr>
        <w:t xml:space="preserve">gydymo metu </w:t>
      </w:r>
      <w:r w:rsidR="003050FE" w:rsidRPr="00776407">
        <w:rPr>
          <w:rFonts w:eastAsia="Calibri"/>
          <w:color w:val="000000"/>
          <w:sz w:val="22"/>
          <w:szCs w:val="22"/>
        </w:rPr>
        <w:t>ir mažiausiai 15 dienų po gydymo Imatinib Actavis nutraukimo</w:t>
      </w:r>
      <w:r w:rsidRPr="00776407">
        <w:rPr>
          <w:rFonts w:eastAsia="Calibri"/>
          <w:sz w:val="22"/>
          <w:szCs w:val="22"/>
        </w:rPr>
        <w:t xml:space="preserve"> moterims žindyti negalima. </w:t>
      </w:r>
    </w:p>
    <w:p w14:paraId="0666C748" w14:textId="77777777" w:rsidR="00D63A4B" w:rsidRPr="00776407" w:rsidRDefault="00D63A4B" w:rsidP="00D63A4B">
      <w:pPr>
        <w:rPr>
          <w:rFonts w:eastAsia="Calibri"/>
          <w:sz w:val="22"/>
          <w:szCs w:val="22"/>
        </w:rPr>
      </w:pPr>
    </w:p>
    <w:p w14:paraId="2FF7CD6E" w14:textId="77777777" w:rsidR="00D63A4B" w:rsidRPr="00776407" w:rsidRDefault="00D63A4B" w:rsidP="00D63A4B">
      <w:pPr>
        <w:rPr>
          <w:rFonts w:eastAsia="Calibri"/>
          <w:sz w:val="22"/>
          <w:szCs w:val="22"/>
          <w:u w:val="single"/>
        </w:rPr>
      </w:pPr>
      <w:r w:rsidRPr="00776407">
        <w:rPr>
          <w:rFonts w:eastAsia="Calibri"/>
          <w:sz w:val="22"/>
          <w:szCs w:val="22"/>
          <w:u w:val="single"/>
        </w:rPr>
        <w:t xml:space="preserve">Vaisingumas </w:t>
      </w:r>
    </w:p>
    <w:p w14:paraId="5090B83F" w14:textId="5488D342" w:rsidR="00D63A4B" w:rsidRPr="00776407" w:rsidRDefault="00D63A4B" w:rsidP="00D63A4B">
      <w:pPr>
        <w:rPr>
          <w:rFonts w:eastAsia="Calibri"/>
          <w:sz w:val="22"/>
          <w:szCs w:val="22"/>
        </w:rPr>
      </w:pPr>
      <w:r w:rsidRPr="00776407">
        <w:rPr>
          <w:rFonts w:eastAsia="Calibri"/>
          <w:sz w:val="22"/>
          <w:szCs w:val="22"/>
        </w:rPr>
        <w:t>Ikiklinikinių tyrimų metu, žiurkių patinų ir patelių vaisingumas nepakito</w:t>
      </w:r>
      <w:r w:rsidR="003050FE" w:rsidRPr="00776407">
        <w:rPr>
          <w:rFonts w:eastAsia="Calibri"/>
          <w:sz w:val="22"/>
          <w:szCs w:val="22"/>
        </w:rPr>
        <w:t>, nors poveikis reprodukciniams parametrams buvo pastebėtas</w:t>
      </w:r>
      <w:r w:rsidRPr="00776407">
        <w:rPr>
          <w:rFonts w:eastAsia="Calibri"/>
          <w:sz w:val="22"/>
          <w:szCs w:val="22"/>
        </w:rPr>
        <w:t xml:space="preserve"> (žr. 5.3</w:t>
      </w:r>
      <w:r w:rsidR="002F6124" w:rsidRPr="00776407">
        <w:rPr>
          <w:rFonts w:eastAsia="Calibri"/>
          <w:sz w:val="22"/>
          <w:szCs w:val="22"/>
        </w:rPr>
        <w:t> </w:t>
      </w:r>
      <w:r w:rsidRPr="00776407">
        <w:rPr>
          <w:rFonts w:eastAsia="Calibri"/>
          <w:sz w:val="22"/>
          <w:szCs w:val="22"/>
        </w:rPr>
        <w:t xml:space="preserve">skyrių). Nebuvo atlikta tyrimų, </w:t>
      </w:r>
      <w:r w:rsidR="002F6124" w:rsidRPr="00776407">
        <w:rPr>
          <w:rFonts w:eastAsia="Calibri"/>
          <w:sz w:val="22"/>
          <w:szCs w:val="22"/>
        </w:rPr>
        <w:t>imatinib</w:t>
      </w:r>
      <w:r w:rsidR="006406B3" w:rsidRPr="00776407">
        <w:rPr>
          <w:rFonts w:eastAsia="Calibri"/>
          <w:sz w:val="22"/>
          <w:szCs w:val="22"/>
        </w:rPr>
        <w:t>a</w:t>
      </w:r>
      <w:r w:rsidRPr="00776407">
        <w:rPr>
          <w:rFonts w:eastAsia="Calibri"/>
          <w:sz w:val="22"/>
          <w:szCs w:val="22"/>
        </w:rPr>
        <w:t xml:space="preserve"> skiriant pacientams, taigi </w:t>
      </w:r>
      <w:r w:rsidR="00AB0D9E" w:rsidRPr="00776407">
        <w:rPr>
          <w:sz w:val="22"/>
          <w:szCs w:val="22"/>
        </w:rPr>
        <w:t xml:space="preserve">vaistinio preparato </w:t>
      </w:r>
      <w:r w:rsidRPr="00776407">
        <w:rPr>
          <w:rFonts w:eastAsia="Calibri"/>
          <w:sz w:val="22"/>
          <w:szCs w:val="22"/>
        </w:rPr>
        <w:t xml:space="preserve">poveikis vaisingumui ir gametogenezei nebuvo ištirtas. Dėl gydymo </w:t>
      </w:r>
      <w:r w:rsidR="002F6124" w:rsidRPr="00776407">
        <w:rPr>
          <w:rFonts w:eastAsia="Calibri"/>
          <w:sz w:val="22"/>
          <w:szCs w:val="22"/>
        </w:rPr>
        <w:t>imatinibu</w:t>
      </w:r>
      <w:r w:rsidRPr="00776407">
        <w:rPr>
          <w:rFonts w:eastAsia="Calibri"/>
          <w:sz w:val="22"/>
          <w:szCs w:val="22"/>
        </w:rPr>
        <w:t xml:space="preserve"> poveikio vaisingumui, pacientams reikėtų pasitarti su gydytoju. </w:t>
      </w:r>
    </w:p>
    <w:p w14:paraId="5AF92712" w14:textId="77777777" w:rsidR="00D63A4B" w:rsidRPr="00776407" w:rsidRDefault="00D63A4B" w:rsidP="00D63A4B">
      <w:pPr>
        <w:rPr>
          <w:rFonts w:eastAsia="Calibri"/>
          <w:sz w:val="22"/>
          <w:szCs w:val="22"/>
        </w:rPr>
      </w:pPr>
    </w:p>
    <w:p w14:paraId="235CC3BE" w14:textId="77777777" w:rsidR="00D63A4B" w:rsidRPr="00776407" w:rsidRDefault="00D63A4B" w:rsidP="00864BE6">
      <w:pPr>
        <w:pStyle w:val="Listenabsatz"/>
        <w:keepNext/>
        <w:numPr>
          <w:ilvl w:val="1"/>
          <w:numId w:val="9"/>
        </w:numPr>
        <w:ind w:left="567" w:hanging="567"/>
        <w:rPr>
          <w:rFonts w:eastAsia="Calibri"/>
          <w:b/>
          <w:sz w:val="22"/>
          <w:szCs w:val="22"/>
        </w:rPr>
      </w:pPr>
      <w:r w:rsidRPr="00776407">
        <w:rPr>
          <w:rFonts w:eastAsia="Calibri"/>
          <w:b/>
          <w:bCs/>
          <w:sz w:val="22"/>
          <w:szCs w:val="22"/>
        </w:rPr>
        <w:t xml:space="preserve">Poveikis gebėjimui vairuoti ir valdyti mechanizmus </w:t>
      </w:r>
    </w:p>
    <w:p w14:paraId="38CE2092" w14:textId="77777777" w:rsidR="00D63A4B" w:rsidRPr="00776407" w:rsidRDefault="00D63A4B" w:rsidP="00D63A4B">
      <w:pPr>
        <w:rPr>
          <w:rFonts w:eastAsia="Calibri"/>
          <w:b/>
          <w:sz w:val="22"/>
          <w:szCs w:val="22"/>
        </w:rPr>
      </w:pPr>
    </w:p>
    <w:p w14:paraId="56C464FE" w14:textId="77777777" w:rsidR="00D63A4B" w:rsidRPr="00776407" w:rsidRDefault="00D63A4B" w:rsidP="00D63A4B">
      <w:pPr>
        <w:rPr>
          <w:rFonts w:eastAsia="Calibri"/>
          <w:sz w:val="22"/>
          <w:szCs w:val="22"/>
        </w:rPr>
      </w:pPr>
      <w:r w:rsidRPr="00776407">
        <w:rPr>
          <w:rFonts w:eastAsia="Calibri"/>
          <w:sz w:val="22"/>
          <w:szCs w:val="22"/>
        </w:rPr>
        <w:t xml:space="preserve">Pacientams reikia nurodyti, kad vartojant imatinibą gali būti nepageidaujamų reiškinių, pvz., galvos svaigimas, neryškus matymas ar mieguistumas. Todėl vairuojant ar valdant mechanizmus būtina laikytis atsargumo priemonių. </w:t>
      </w:r>
    </w:p>
    <w:p w14:paraId="476349F3" w14:textId="77777777" w:rsidR="00D63A4B" w:rsidRPr="00776407" w:rsidRDefault="00D63A4B" w:rsidP="00D63A4B">
      <w:pPr>
        <w:rPr>
          <w:rFonts w:eastAsia="Calibri"/>
          <w:sz w:val="22"/>
          <w:szCs w:val="22"/>
        </w:rPr>
      </w:pPr>
    </w:p>
    <w:p w14:paraId="4718DBC6" w14:textId="77777777" w:rsidR="00D63A4B" w:rsidRPr="00776407" w:rsidRDefault="00D63A4B" w:rsidP="00864BE6">
      <w:pPr>
        <w:pStyle w:val="Listenabsatz"/>
        <w:keepNext/>
        <w:numPr>
          <w:ilvl w:val="1"/>
          <w:numId w:val="9"/>
        </w:numPr>
        <w:ind w:left="567" w:hanging="567"/>
        <w:rPr>
          <w:rFonts w:eastAsia="Calibri"/>
          <w:b/>
          <w:sz w:val="22"/>
          <w:szCs w:val="22"/>
        </w:rPr>
      </w:pPr>
      <w:r w:rsidRPr="00776407">
        <w:rPr>
          <w:rFonts w:eastAsia="Calibri"/>
          <w:b/>
          <w:bCs/>
          <w:sz w:val="22"/>
          <w:szCs w:val="22"/>
        </w:rPr>
        <w:t xml:space="preserve">Nepageidaujamas poveikis </w:t>
      </w:r>
    </w:p>
    <w:p w14:paraId="1FB4155F" w14:textId="77777777" w:rsidR="00D63A4B" w:rsidRPr="00776407" w:rsidRDefault="00D63A4B" w:rsidP="00D63A4B">
      <w:pPr>
        <w:keepNext/>
        <w:rPr>
          <w:rFonts w:eastAsia="Calibri"/>
          <w:sz w:val="22"/>
          <w:szCs w:val="22"/>
        </w:rPr>
      </w:pPr>
    </w:p>
    <w:p w14:paraId="5AA49A34" w14:textId="77777777" w:rsidR="00767C3D" w:rsidRPr="00776407" w:rsidRDefault="00767C3D" w:rsidP="00D63A4B">
      <w:pPr>
        <w:keepNext/>
        <w:rPr>
          <w:rFonts w:eastAsia="Calibri"/>
          <w:sz w:val="22"/>
          <w:szCs w:val="22"/>
          <w:u w:val="single"/>
        </w:rPr>
      </w:pPr>
      <w:r w:rsidRPr="00776407">
        <w:rPr>
          <w:rFonts w:eastAsia="Calibri"/>
          <w:sz w:val="22"/>
          <w:szCs w:val="22"/>
          <w:u w:val="single"/>
        </w:rPr>
        <w:t>Saugumo duomenų santrauka</w:t>
      </w:r>
    </w:p>
    <w:p w14:paraId="77BC9BAC" w14:textId="77777777" w:rsidR="00D63A4B" w:rsidRPr="00776407" w:rsidRDefault="00D63A4B" w:rsidP="00D63A4B">
      <w:pPr>
        <w:rPr>
          <w:rFonts w:eastAsia="Calibri"/>
          <w:sz w:val="22"/>
          <w:szCs w:val="22"/>
        </w:rPr>
      </w:pPr>
      <w:r w:rsidRPr="00776407">
        <w:rPr>
          <w:rFonts w:eastAsia="Calibri"/>
          <w:sz w:val="22"/>
          <w:szCs w:val="22"/>
        </w:rPr>
        <w:t xml:space="preserve">Pacientams, sergantiems piktybiniais navikais, gali būti kitų sveikatos būklių, dėl kurių sunkiau nustatyti nepageidaujamų reiškinių priežastis dėl įvairių simptomų, susijusių su esančia liga, jos progresavimu ir dėl kitų kartu vartojamų vaistinių preparatų. </w:t>
      </w:r>
    </w:p>
    <w:p w14:paraId="19AD0D13" w14:textId="77777777" w:rsidR="00D63A4B" w:rsidRPr="00776407" w:rsidRDefault="00D63A4B" w:rsidP="00D63A4B">
      <w:pPr>
        <w:rPr>
          <w:rFonts w:eastAsia="Calibri"/>
          <w:sz w:val="22"/>
          <w:szCs w:val="22"/>
        </w:rPr>
      </w:pPr>
    </w:p>
    <w:p w14:paraId="1EDB417C" w14:textId="77777777" w:rsidR="00D63A4B" w:rsidRPr="00776407" w:rsidRDefault="00D63A4B" w:rsidP="00D63A4B">
      <w:pPr>
        <w:rPr>
          <w:rFonts w:eastAsia="Calibri"/>
          <w:sz w:val="22"/>
          <w:szCs w:val="22"/>
        </w:rPr>
      </w:pPr>
      <w:r w:rsidRPr="00776407">
        <w:rPr>
          <w:rFonts w:eastAsia="Calibri"/>
          <w:sz w:val="22"/>
          <w:szCs w:val="22"/>
        </w:rPr>
        <w:t xml:space="preserve">Klinikinių LML tyrimų metu dėl nepageidaujamų su </w:t>
      </w:r>
      <w:r w:rsidR="009C52C2" w:rsidRPr="00776407">
        <w:rPr>
          <w:color w:val="000000"/>
          <w:sz w:val="22"/>
          <w:szCs w:val="22"/>
        </w:rPr>
        <w:t xml:space="preserve">vaistiniu preparatu </w:t>
      </w:r>
      <w:r w:rsidRPr="00776407">
        <w:rPr>
          <w:rFonts w:eastAsia="Calibri"/>
          <w:sz w:val="22"/>
          <w:szCs w:val="22"/>
        </w:rPr>
        <w:t xml:space="preserve">susijusių reakcijų </w:t>
      </w:r>
      <w:r w:rsidR="009C52C2" w:rsidRPr="00776407">
        <w:rPr>
          <w:color w:val="000000"/>
          <w:sz w:val="22"/>
          <w:szCs w:val="22"/>
        </w:rPr>
        <w:t xml:space="preserve">vaistinio preparato </w:t>
      </w:r>
      <w:r w:rsidRPr="00776407">
        <w:rPr>
          <w:rFonts w:eastAsia="Calibri"/>
          <w:sz w:val="22"/>
          <w:szCs w:val="22"/>
        </w:rPr>
        <w:t xml:space="preserve">vartojimą teko nutraukti 2,4 % pacientų, kuriems buvo naujai diagnozuota liga, 4 % pacientų, kuriems buvo vėlyvoji lėtinė ligos fazė po nesėkmingo gydymo interferonu, 4 % – kuriems buvo akceleracijos fazė po nesėkmingo gydymo interferonu ir 5 % – kuriems buvo blastinė krizė po nesėkmingo gydymo interferonu. VTSN tyrimų metu dėl </w:t>
      </w:r>
      <w:r w:rsidR="009C52C2" w:rsidRPr="00776407">
        <w:rPr>
          <w:color w:val="000000"/>
          <w:sz w:val="22"/>
          <w:szCs w:val="22"/>
        </w:rPr>
        <w:t xml:space="preserve">vaistinio preparato </w:t>
      </w:r>
      <w:r w:rsidRPr="00776407">
        <w:rPr>
          <w:rFonts w:eastAsia="Calibri"/>
          <w:sz w:val="22"/>
          <w:szCs w:val="22"/>
        </w:rPr>
        <w:t xml:space="preserve">sukeltų nepageidaujamų reakcijų </w:t>
      </w:r>
      <w:r w:rsidR="009C52C2" w:rsidRPr="00776407">
        <w:rPr>
          <w:color w:val="000000"/>
          <w:sz w:val="22"/>
          <w:szCs w:val="22"/>
        </w:rPr>
        <w:t xml:space="preserve">vaistinį preparatą </w:t>
      </w:r>
      <w:r w:rsidRPr="00776407">
        <w:rPr>
          <w:rFonts w:eastAsia="Calibri"/>
          <w:sz w:val="22"/>
          <w:szCs w:val="22"/>
        </w:rPr>
        <w:t xml:space="preserve">teko nutraukti 4 % pacientų. </w:t>
      </w:r>
    </w:p>
    <w:p w14:paraId="5C6BF2A2" w14:textId="77777777" w:rsidR="00D63A4B" w:rsidRPr="00776407" w:rsidRDefault="00D63A4B" w:rsidP="00D63A4B">
      <w:pPr>
        <w:rPr>
          <w:rFonts w:eastAsia="Calibri"/>
          <w:sz w:val="22"/>
          <w:szCs w:val="22"/>
        </w:rPr>
      </w:pPr>
    </w:p>
    <w:p w14:paraId="344820B8" w14:textId="77777777" w:rsidR="00D63A4B" w:rsidRPr="00776407" w:rsidRDefault="00D63A4B" w:rsidP="00D63A4B">
      <w:pPr>
        <w:rPr>
          <w:rFonts w:eastAsia="Calibri"/>
          <w:sz w:val="22"/>
          <w:szCs w:val="22"/>
        </w:rPr>
      </w:pPr>
      <w:r w:rsidRPr="00776407">
        <w:rPr>
          <w:rFonts w:eastAsia="Calibri"/>
          <w:sz w:val="22"/>
          <w:szCs w:val="22"/>
        </w:rPr>
        <w:t xml:space="preserve">Visomis minėtomis ligomis sergantiems pacientams nepageidaujamos reakcijos buvo panašios, išskyrus dvi išimtis. Sergant LML, dažniau stebėta mielosupresija, galinti priklausyti nuo esančios ligos. Klinikinio tyrimo duomenimis, iš jame dalyvavusių pacientų, kuriems buvo nerezekuotinas ir (ar) metastazavęs VTSN, </w:t>
      </w:r>
      <w:r w:rsidR="00F73F9E" w:rsidRPr="00776407">
        <w:rPr>
          <w:sz w:val="22"/>
          <w:szCs w:val="22"/>
        </w:rPr>
        <w:t>7 </w:t>
      </w:r>
      <w:r w:rsidRPr="00776407">
        <w:rPr>
          <w:rFonts w:eastAsia="Calibri"/>
          <w:sz w:val="22"/>
          <w:szCs w:val="22"/>
        </w:rPr>
        <w:t xml:space="preserve">(5 %) </w:t>
      </w:r>
      <w:r w:rsidR="00BC26C4" w:rsidRPr="00776407">
        <w:rPr>
          <w:rFonts w:eastAsia="Calibri"/>
          <w:sz w:val="22"/>
          <w:szCs w:val="22"/>
        </w:rPr>
        <w:t>pacientams buvo CTC ¾ laipsnio kraujavimas iš virškinimo trakto</w:t>
      </w:r>
      <w:r w:rsidRPr="00776407">
        <w:rPr>
          <w:rFonts w:eastAsia="Calibri"/>
          <w:sz w:val="22"/>
          <w:szCs w:val="22"/>
        </w:rPr>
        <w:t xml:space="preserve"> (3 pacientams), vidunavikinis kraujavimas (3 pacientams) ar abu požymiai (1 pacientui). Virškinimo trakte gali kraujuoti iš naviko (žr. 4.4 skyrių). Retkarčiais kraujavimas iš virškinimo trakto ar naviko gali būti mirtinas. Dažniausi </w:t>
      </w:r>
      <w:r w:rsidRPr="00776407">
        <w:rPr>
          <w:sz w:val="22"/>
          <w:szCs w:val="22"/>
        </w:rPr>
        <w:t>(≥ 10</w:t>
      </w:r>
      <w:r w:rsidR="00A70AC7" w:rsidRPr="00776407">
        <w:rPr>
          <w:sz w:val="22"/>
          <w:szCs w:val="22"/>
        </w:rPr>
        <w:t> </w:t>
      </w:r>
      <w:r w:rsidRPr="00776407">
        <w:rPr>
          <w:sz w:val="22"/>
          <w:szCs w:val="22"/>
        </w:rPr>
        <w:t xml:space="preserve">%) </w:t>
      </w:r>
      <w:r w:rsidRPr="00776407">
        <w:rPr>
          <w:rFonts w:eastAsia="Calibri"/>
          <w:sz w:val="22"/>
          <w:szCs w:val="22"/>
        </w:rPr>
        <w:t xml:space="preserve">su </w:t>
      </w:r>
      <w:r w:rsidR="009C52C2" w:rsidRPr="00776407">
        <w:rPr>
          <w:color w:val="000000"/>
          <w:sz w:val="22"/>
          <w:szCs w:val="22"/>
        </w:rPr>
        <w:t xml:space="preserve">vaistiniu preparatu </w:t>
      </w:r>
      <w:r w:rsidRPr="00776407">
        <w:rPr>
          <w:rFonts w:eastAsia="Calibri"/>
          <w:sz w:val="22"/>
          <w:szCs w:val="22"/>
        </w:rPr>
        <w:t xml:space="preserve">susiję nepageidaujami reiškiniai abiem ligomis sergantiems pacientams buvo nestiprus pykinimas, vėmimas, viduriavimas, pilvo skausmas, nuovargis, mialgija, raumenų mėšlungis ir bėrimas. Visų tyrimų metu dažnai stebėta paviršinių edemų, dažniausiai – apie akis ar kojų. Tačiau retai šios edemos būna sunkios, jas galima koreguoti diuretikais, kitomis pagalbinėmis priemonėmis ar sumažinus imatinibo dozę. </w:t>
      </w:r>
    </w:p>
    <w:p w14:paraId="4E1C13F3" w14:textId="77777777" w:rsidR="00D63A4B" w:rsidRPr="00776407" w:rsidRDefault="00D63A4B" w:rsidP="00D63A4B">
      <w:pPr>
        <w:rPr>
          <w:rFonts w:eastAsia="Calibri"/>
          <w:sz w:val="22"/>
          <w:szCs w:val="22"/>
        </w:rPr>
      </w:pPr>
    </w:p>
    <w:p w14:paraId="26363AB4" w14:textId="77777777" w:rsidR="00D63A4B" w:rsidRPr="00776407" w:rsidRDefault="00D63A4B" w:rsidP="00C742B3">
      <w:pPr>
        <w:pStyle w:val="Text"/>
        <w:widowControl w:val="0"/>
        <w:jc w:val="left"/>
        <w:rPr>
          <w:rFonts w:eastAsia="Calibri"/>
          <w:sz w:val="22"/>
          <w:szCs w:val="22"/>
        </w:rPr>
      </w:pPr>
      <w:r w:rsidRPr="00776407">
        <w:rPr>
          <w:rFonts w:eastAsia="Calibri"/>
          <w:sz w:val="22"/>
          <w:szCs w:val="22"/>
        </w:rPr>
        <w:t xml:space="preserve">Ph+ ŪLL sergantiems pacientams, vartojusiems imatinibą kartu su didelėmis chemoterapinių preparatų dozėmis, stebėtas laikinas toksinis poveikis kepenims, pasireiškęs transaminazių aktyvumo padidėjimu ir hiperbilirubinemija. </w:t>
      </w:r>
      <w:r w:rsidR="00F076A0" w:rsidRPr="00776407">
        <w:rPr>
          <w:rFonts w:eastAsia="Calibri"/>
          <w:sz w:val="22"/>
          <w:szCs w:val="22"/>
        </w:rPr>
        <w:t>Atsižvelgiant į ribotus saugumo duomenis, iki šiol vaikams pasireiškusių nepageidaujamų reiškinių pobūdis atitinka žinomus saugumo savybių duomenis Ph+ ŪLL sergantiems suaugusiesiems. Duomenys apie saugumo savybes Ph+ ŪLL sergantiems vaikams yra labai riboti, vis dėlto naujų nerimą keliančių saugumo duomenų nustatyta nebuvo.</w:t>
      </w:r>
    </w:p>
    <w:p w14:paraId="0976D4AD" w14:textId="77777777" w:rsidR="00D63A4B" w:rsidRPr="00776407" w:rsidRDefault="00D63A4B" w:rsidP="00D63A4B">
      <w:pPr>
        <w:rPr>
          <w:rFonts w:eastAsia="Calibri"/>
          <w:sz w:val="22"/>
          <w:szCs w:val="22"/>
        </w:rPr>
      </w:pPr>
    </w:p>
    <w:p w14:paraId="2EC996B0" w14:textId="77777777" w:rsidR="00D63A4B" w:rsidRPr="00776407" w:rsidRDefault="00D63A4B" w:rsidP="00D63A4B">
      <w:pPr>
        <w:rPr>
          <w:rFonts w:eastAsia="Calibri"/>
          <w:sz w:val="22"/>
          <w:szCs w:val="22"/>
        </w:rPr>
      </w:pPr>
      <w:r w:rsidRPr="00776407">
        <w:rPr>
          <w:rFonts w:eastAsia="Calibri"/>
          <w:sz w:val="22"/>
          <w:szCs w:val="22"/>
        </w:rPr>
        <w:t>Įvairios nepageidaujamos reakcijos, pvz., skystis pleuros ertmėje, ascitas, plaučių edema ar greitai didėjantis kūno svoris su paviršine edema ar be jos, gali būti bendrai vadinamos “skysčių susilaikymu”. Šias reakcijas galima gydyti laikinai nutraukiant imatinibo vartojimą ir diuretikais, ir kitomis tinkamomis pagalbos priemonėmis. Tačiau kai kurie šių reiškinių gali būti sunkūs ir grėsti gyvybei. Keli pacientai, kuriems buvo blastinė krizė, mirė. Jų ligos istorija buvo sudėtinė: skystis pleuros ertmėje, stazinis širdies nepakankamumas ir inkstų nepakankamumas. Vaikų klinikinių tyrimų metu ypatingų saugumo reiškinių nenustatyta.</w:t>
      </w:r>
    </w:p>
    <w:p w14:paraId="06A6AD5E" w14:textId="77777777" w:rsidR="00D63A4B" w:rsidRPr="00776407" w:rsidRDefault="00D63A4B" w:rsidP="00D63A4B">
      <w:pPr>
        <w:rPr>
          <w:rFonts w:eastAsia="Calibri"/>
          <w:sz w:val="22"/>
          <w:szCs w:val="22"/>
        </w:rPr>
      </w:pPr>
    </w:p>
    <w:p w14:paraId="435590F1" w14:textId="77777777" w:rsidR="00D63A4B" w:rsidRPr="00776407" w:rsidRDefault="00D63A4B" w:rsidP="00CE151A">
      <w:pPr>
        <w:keepNext/>
        <w:autoSpaceDE w:val="0"/>
        <w:autoSpaceDN w:val="0"/>
        <w:adjustRightInd w:val="0"/>
        <w:rPr>
          <w:rFonts w:eastAsia="Calibri"/>
          <w:color w:val="000000"/>
          <w:sz w:val="22"/>
          <w:szCs w:val="22"/>
          <w:u w:val="single"/>
        </w:rPr>
      </w:pPr>
      <w:r w:rsidRPr="00776407">
        <w:rPr>
          <w:rFonts w:eastAsia="Calibri"/>
          <w:bCs/>
          <w:color w:val="000000"/>
          <w:sz w:val="22"/>
          <w:szCs w:val="22"/>
          <w:u w:val="single"/>
        </w:rPr>
        <w:t xml:space="preserve">Nepageidaujamos reakcijos </w:t>
      </w:r>
    </w:p>
    <w:p w14:paraId="44A64451" w14:textId="77777777" w:rsidR="00D63A4B" w:rsidRPr="00776407" w:rsidRDefault="00D63A4B" w:rsidP="00D63A4B">
      <w:pPr>
        <w:autoSpaceDE w:val="0"/>
        <w:autoSpaceDN w:val="0"/>
        <w:adjustRightInd w:val="0"/>
        <w:rPr>
          <w:rFonts w:eastAsia="Calibri"/>
          <w:color w:val="000000"/>
          <w:sz w:val="22"/>
          <w:szCs w:val="22"/>
        </w:rPr>
      </w:pPr>
      <w:r w:rsidRPr="00776407">
        <w:rPr>
          <w:rFonts w:eastAsia="Calibri"/>
          <w:color w:val="000000"/>
          <w:sz w:val="22"/>
          <w:szCs w:val="22"/>
        </w:rPr>
        <w:t>Nepageidaujamos reakcijos, pasireiškusios dažniau negu pavieniais atvejais, išvardytos žemiau pagal organų sistemas ir dažnį. Nepageidaujamų reiškinių dažnis nurodomas naudojant tokius dažnių apibūdinimus: labai dažni (≥1/10), dažni (nuo ≥1/100 iki &lt;1/10), nedažni (nuo ≥1/1</w:t>
      </w:r>
      <w:r w:rsidR="002F6124" w:rsidRPr="00776407">
        <w:rPr>
          <w:rFonts w:eastAsia="Calibri"/>
          <w:color w:val="000000"/>
          <w:sz w:val="22"/>
          <w:szCs w:val="22"/>
        </w:rPr>
        <w:t> </w:t>
      </w:r>
      <w:r w:rsidRPr="00776407">
        <w:rPr>
          <w:rFonts w:eastAsia="Calibri"/>
          <w:color w:val="000000"/>
          <w:sz w:val="22"/>
          <w:szCs w:val="22"/>
        </w:rPr>
        <w:t>000 iki &lt;1/100), reti (nuo ≥1/10</w:t>
      </w:r>
      <w:r w:rsidR="002F6124" w:rsidRPr="00776407">
        <w:rPr>
          <w:rFonts w:eastAsia="Calibri"/>
          <w:color w:val="000000"/>
          <w:sz w:val="22"/>
          <w:szCs w:val="22"/>
        </w:rPr>
        <w:t> </w:t>
      </w:r>
      <w:r w:rsidRPr="00776407">
        <w:rPr>
          <w:rFonts w:eastAsia="Calibri"/>
          <w:color w:val="000000"/>
          <w:sz w:val="22"/>
          <w:szCs w:val="22"/>
        </w:rPr>
        <w:t>000 iki &lt;1/1</w:t>
      </w:r>
      <w:r w:rsidR="002F6124" w:rsidRPr="00776407">
        <w:rPr>
          <w:rFonts w:eastAsia="Calibri"/>
          <w:color w:val="000000"/>
          <w:sz w:val="22"/>
          <w:szCs w:val="22"/>
        </w:rPr>
        <w:t> </w:t>
      </w:r>
      <w:r w:rsidRPr="00776407">
        <w:rPr>
          <w:rFonts w:eastAsia="Calibri"/>
          <w:color w:val="000000"/>
          <w:sz w:val="22"/>
          <w:szCs w:val="22"/>
        </w:rPr>
        <w:t>000), labai reti (&lt;1/10</w:t>
      </w:r>
      <w:r w:rsidR="002F6124" w:rsidRPr="00776407">
        <w:rPr>
          <w:rFonts w:eastAsia="Calibri"/>
          <w:color w:val="000000"/>
          <w:sz w:val="22"/>
          <w:szCs w:val="22"/>
        </w:rPr>
        <w:t> </w:t>
      </w:r>
      <w:r w:rsidRPr="00776407">
        <w:rPr>
          <w:rFonts w:eastAsia="Calibri"/>
          <w:color w:val="000000"/>
          <w:sz w:val="22"/>
          <w:szCs w:val="22"/>
        </w:rPr>
        <w:t xml:space="preserve">000), dažnis nežinomas (negali būti </w:t>
      </w:r>
      <w:r w:rsidR="00A70AC7" w:rsidRPr="00776407">
        <w:rPr>
          <w:rFonts w:eastAsia="Calibri"/>
          <w:color w:val="000000"/>
          <w:sz w:val="22"/>
          <w:szCs w:val="22"/>
        </w:rPr>
        <w:t>apskaičiuotas</w:t>
      </w:r>
      <w:r w:rsidRPr="00776407">
        <w:rPr>
          <w:rFonts w:eastAsia="Calibri"/>
          <w:color w:val="000000"/>
          <w:sz w:val="22"/>
          <w:szCs w:val="22"/>
        </w:rPr>
        <w:t xml:space="preserve"> pagal turimus duomenis). </w:t>
      </w:r>
    </w:p>
    <w:p w14:paraId="3997BE4E" w14:textId="77777777" w:rsidR="00CE151A" w:rsidRPr="00776407" w:rsidRDefault="00CE151A" w:rsidP="00D63A4B">
      <w:pPr>
        <w:autoSpaceDE w:val="0"/>
        <w:autoSpaceDN w:val="0"/>
        <w:adjustRightInd w:val="0"/>
        <w:rPr>
          <w:rFonts w:eastAsia="Calibri"/>
          <w:color w:val="000000"/>
          <w:sz w:val="22"/>
          <w:szCs w:val="22"/>
        </w:rPr>
      </w:pPr>
    </w:p>
    <w:p w14:paraId="0D6C78E0" w14:textId="77777777" w:rsidR="00D63A4B" w:rsidRPr="00776407" w:rsidRDefault="00D63A4B" w:rsidP="00D63A4B">
      <w:pPr>
        <w:autoSpaceDE w:val="0"/>
        <w:autoSpaceDN w:val="0"/>
        <w:adjustRightInd w:val="0"/>
        <w:rPr>
          <w:rFonts w:eastAsia="Calibri"/>
          <w:color w:val="000000"/>
          <w:sz w:val="22"/>
          <w:szCs w:val="22"/>
        </w:rPr>
      </w:pPr>
      <w:r w:rsidRPr="00776407">
        <w:rPr>
          <w:rFonts w:eastAsia="Calibri"/>
          <w:color w:val="000000"/>
          <w:sz w:val="22"/>
          <w:szCs w:val="22"/>
        </w:rPr>
        <w:t>1</w:t>
      </w:r>
      <w:r w:rsidR="00CE151A" w:rsidRPr="00776407">
        <w:rPr>
          <w:rFonts w:eastAsia="Calibri"/>
          <w:color w:val="000000"/>
          <w:sz w:val="22"/>
          <w:szCs w:val="22"/>
        </w:rPr>
        <w:t> </w:t>
      </w:r>
      <w:r w:rsidRPr="00776407">
        <w:rPr>
          <w:rFonts w:eastAsia="Calibri"/>
          <w:color w:val="000000"/>
          <w:sz w:val="22"/>
          <w:szCs w:val="22"/>
        </w:rPr>
        <w:t xml:space="preserve">lentelėje išvardintos nepageidaujamos reakcijos ir jų pasireiškimo dažnumas nurodyti, remiantis pagrindinių registracijos tyrimų duomenimis. </w:t>
      </w:r>
    </w:p>
    <w:p w14:paraId="1565E83E" w14:textId="77777777" w:rsidR="00CE151A" w:rsidRPr="00776407" w:rsidRDefault="00CE151A" w:rsidP="00D63A4B">
      <w:pPr>
        <w:autoSpaceDE w:val="0"/>
        <w:autoSpaceDN w:val="0"/>
        <w:adjustRightInd w:val="0"/>
        <w:rPr>
          <w:rFonts w:eastAsia="Calibri"/>
          <w:color w:val="000000"/>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2376"/>
        <w:gridCol w:w="6656"/>
        <w:gridCol w:w="39"/>
      </w:tblGrid>
      <w:tr w:rsidR="00CE151A" w:rsidRPr="00776407" w14:paraId="0AB27AAF" w14:textId="77777777" w:rsidTr="00040CD4">
        <w:trPr>
          <w:gridAfter w:val="1"/>
          <w:wAfter w:w="39" w:type="dxa"/>
          <w:trHeight w:val="98"/>
        </w:trPr>
        <w:tc>
          <w:tcPr>
            <w:tcW w:w="9032" w:type="dxa"/>
            <w:gridSpan w:val="2"/>
            <w:tcBorders>
              <w:bottom w:val="single" w:sz="4" w:space="0" w:color="auto"/>
            </w:tcBorders>
          </w:tcPr>
          <w:p w14:paraId="018B5537" w14:textId="77777777" w:rsidR="00CE151A" w:rsidRPr="00776407" w:rsidRDefault="00CE151A" w:rsidP="00CE151A">
            <w:pPr>
              <w:keepNext/>
              <w:autoSpaceDE w:val="0"/>
              <w:autoSpaceDN w:val="0"/>
              <w:adjustRightInd w:val="0"/>
              <w:rPr>
                <w:rFonts w:eastAsia="Calibri"/>
                <w:b/>
                <w:bCs/>
                <w:color w:val="000000"/>
              </w:rPr>
            </w:pPr>
            <w:r w:rsidRPr="00776407">
              <w:rPr>
                <w:rFonts w:eastAsia="Calibri"/>
                <w:b/>
                <w:bCs/>
                <w:color w:val="000000"/>
                <w:sz w:val="22"/>
                <w:szCs w:val="22"/>
              </w:rPr>
              <w:t>1 lentelė</w:t>
            </w:r>
            <w:r w:rsidR="002C1F12" w:rsidRPr="00776407">
              <w:rPr>
                <w:rFonts w:eastAsia="Calibri"/>
                <w:b/>
                <w:bCs/>
                <w:color w:val="000000"/>
                <w:sz w:val="22"/>
                <w:szCs w:val="22"/>
              </w:rPr>
              <w:tab/>
            </w:r>
            <w:r w:rsidR="00171C6B" w:rsidRPr="00776407">
              <w:rPr>
                <w:rFonts w:eastAsia="Calibri"/>
                <w:b/>
                <w:bCs/>
                <w:color w:val="000000"/>
                <w:sz w:val="22"/>
                <w:szCs w:val="22"/>
              </w:rPr>
              <w:t>Nepageidaujamų reakcijų santrauka</w:t>
            </w:r>
            <w:r w:rsidRPr="00776407">
              <w:rPr>
                <w:rFonts w:eastAsia="Calibri"/>
                <w:b/>
                <w:bCs/>
                <w:color w:val="000000"/>
                <w:sz w:val="22"/>
                <w:szCs w:val="22"/>
              </w:rPr>
              <w:t xml:space="preserve"> </w:t>
            </w:r>
            <w:r w:rsidR="006406B3" w:rsidRPr="00776407">
              <w:rPr>
                <w:rFonts w:eastAsia="Calibri"/>
                <w:b/>
                <w:bCs/>
                <w:color w:val="000000"/>
                <w:sz w:val="22"/>
                <w:szCs w:val="22"/>
              </w:rPr>
              <w:t>lentelėje</w:t>
            </w:r>
          </w:p>
          <w:p w14:paraId="5950C56B" w14:textId="77777777" w:rsidR="00CE151A" w:rsidRPr="00776407" w:rsidRDefault="00CE151A" w:rsidP="00CE151A">
            <w:pPr>
              <w:keepNext/>
              <w:autoSpaceDE w:val="0"/>
              <w:autoSpaceDN w:val="0"/>
              <w:adjustRightInd w:val="0"/>
              <w:rPr>
                <w:rFonts w:eastAsia="Calibri"/>
                <w:b/>
                <w:bCs/>
                <w:color w:val="000000"/>
              </w:rPr>
            </w:pPr>
          </w:p>
        </w:tc>
      </w:tr>
      <w:tr w:rsidR="00D63A4B" w:rsidRPr="00776407" w14:paraId="6F7508D1" w14:textId="77777777" w:rsidTr="00040CD4">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7C193E39" w14:textId="77777777" w:rsidR="00D63A4B" w:rsidRPr="00776407" w:rsidRDefault="00D63A4B" w:rsidP="00D63A4B">
            <w:pPr>
              <w:autoSpaceDE w:val="0"/>
              <w:autoSpaceDN w:val="0"/>
              <w:adjustRightInd w:val="0"/>
              <w:rPr>
                <w:rFonts w:eastAsia="Calibri"/>
                <w:color w:val="000000"/>
              </w:rPr>
            </w:pPr>
            <w:r w:rsidRPr="00776407">
              <w:rPr>
                <w:rFonts w:eastAsia="Calibri"/>
                <w:b/>
                <w:bCs/>
                <w:color w:val="000000"/>
                <w:sz w:val="22"/>
                <w:szCs w:val="22"/>
              </w:rPr>
              <w:t xml:space="preserve">Infekcijos ir infestacijos </w:t>
            </w:r>
          </w:p>
        </w:tc>
      </w:tr>
      <w:tr w:rsidR="00D63A4B" w:rsidRPr="00776407" w14:paraId="5ECF0C16" w14:textId="77777777" w:rsidTr="002A1779">
        <w:trPr>
          <w:gridAfter w:val="1"/>
          <w:wAfter w:w="39" w:type="dxa"/>
          <w:trHeight w:val="382"/>
        </w:trPr>
        <w:tc>
          <w:tcPr>
            <w:tcW w:w="2376" w:type="dxa"/>
            <w:tcBorders>
              <w:top w:val="single" w:sz="4" w:space="0" w:color="auto"/>
              <w:left w:val="single" w:sz="4" w:space="0" w:color="auto"/>
              <w:bottom w:val="single" w:sz="4" w:space="0" w:color="auto"/>
              <w:right w:val="single" w:sz="4" w:space="0" w:color="auto"/>
            </w:tcBorders>
          </w:tcPr>
          <w:p w14:paraId="77E01A5B"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Nedažnos</w:t>
            </w:r>
          </w:p>
        </w:tc>
        <w:tc>
          <w:tcPr>
            <w:tcW w:w="6656" w:type="dxa"/>
            <w:tcBorders>
              <w:top w:val="single" w:sz="4" w:space="0" w:color="auto"/>
              <w:left w:val="single" w:sz="4" w:space="0" w:color="auto"/>
              <w:bottom w:val="single" w:sz="4" w:space="0" w:color="auto"/>
              <w:right w:val="single" w:sz="4" w:space="0" w:color="auto"/>
            </w:tcBorders>
          </w:tcPr>
          <w:p w14:paraId="6B600C91"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Herpes zoster</w:t>
            </w:r>
            <w:r w:rsidRPr="00776407">
              <w:rPr>
                <w:rFonts w:eastAsia="Calibri"/>
                <w:color w:val="000000"/>
                <w:sz w:val="22"/>
                <w:szCs w:val="22"/>
              </w:rPr>
              <w:t xml:space="preserve">, </w:t>
            </w:r>
            <w:r w:rsidRPr="00776407">
              <w:rPr>
                <w:rFonts w:eastAsia="Calibri"/>
                <w:i/>
                <w:iCs/>
                <w:color w:val="000000"/>
                <w:sz w:val="22"/>
                <w:szCs w:val="22"/>
              </w:rPr>
              <w:t>herpes simplex</w:t>
            </w:r>
            <w:r w:rsidRPr="00776407">
              <w:rPr>
                <w:rFonts w:eastAsia="Calibri"/>
                <w:color w:val="000000"/>
                <w:sz w:val="22"/>
                <w:szCs w:val="22"/>
              </w:rPr>
              <w:t>, nosiaryklės uždegimas, pneumonija</w:t>
            </w:r>
            <w:r w:rsidRPr="00776407">
              <w:rPr>
                <w:rFonts w:eastAsia="Calibri"/>
                <w:color w:val="000000"/>
                <w:sz w:val="14"/>
                <w:szCs w:val="14"/>
                <w:vertAlign w:val="superscript"/>
              </w:rPr>
              <w:t>1</w:t>
            </w:r>
            <w:r w:rsidRPr="00776407">
              <w:rPr>
                <w:rFonts w:eastAsia="Calibri"/>
                <w:color w:val="000000"/>
                <w:sz w:val="22"/>
                <w:szCs w:val="22"/>
              </w:rPr>
              <w:t xml:space="preserve">, sinusitas, puriojo ląstelyno uždegimas, viršutinių kvėpavimo takų infekcija, gripas, šlapimo takų infekcija, gastroenteritas, sepsis </w:t>
            </w:r>
          </w:p>
        </w:tc>
      </w:tr>
      <w:tr w:rsidR="00D63A4B" w:rsidRPr="00776407" w14:paraId="74E4C2AF"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480F9A1C"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Retos</w:t>
            </w:r>
          </w:p>
        </w:tc>
        <w:tc>
          <w:tcPr>
            <w:tcW w:w="6656" w:type="dxa"/>
            <w:tcBorders>
              <w:top w:val="single" w:sz="4" w:space="0" w:color="auto"/>
              <w:left w:val="single" w:sz="4" w:space="0" w:color="auto"/>
              <w:bottom w:val="single" w:sz="4" w:space="0" w:color="auto"/>
              <w:right w:val="single" w:sz="4" w:space="0" w:color="auto"/>
            </w:tcBorders>
          </w:tcPr>
          <w:p w14:paraId="1997F027"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 xml:space="preserve">Grybelinė infekcija </w:t>
            </w:r>
          </w:p>
        </w:tc>
      </w:tr>
      <w:tr w:rsidR="00D934F6" w:rsidRPr="00776407" w14:paraId="6C4240E1"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070DAE76" w14:textId="77777777" w:rsidR="00D934F6" w:rsidRPr="00776407" w:rsidRDefault="00D934F6" w:rsidP="00D63A4B">
            <w:pPr>
              <w:autoSpaceDE w:val="0"/>
              <w:autoSpaceDN w:val="0"/>
              <w:adjustRightInd w:val="0"/>
              <w:rPr>
                <w:rFonts w:eastAsia="Calibri"/>
                <w:i/>
                <w:iCs/>
                <w:color w:val="000000"/>
                <w:sz w:val="22"/>
                <w:szCs w:val="22"/>
              </w:rPr>
            </w:pPr>
            <w:r w:rsidRPr="00776407">
              <w:rPr>
                <w:rFonts w:eastAsia="Calibri"/>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32EA9426" w14:textId="77777777" w:rsidR="00D934F6" w:rsidRPr="00776407" w:rsidRDefault="00D934F6" w:rsidP="00D63A4B">
            <w:pPr>
              <w:autoSpaceDE w:val="0"/>
              <w:autoSpaceDN w:val="0"/>
              <w:adjustRightInd w:val="0"/>
              <w:rPr>
                <w:rFonts w:eastAsia="Calibri"/>
                <w:color w:val="000000"/>
                <w:sz w:val="22"/>
                <w:szCs w:val="22"/>
              </w:rPr>
            </w:pPr>
            <w:r w:rsidRPr="00776407">
              <w:rPr>
                <w:rFonts w:eastAsia="Calibri"/>
                <w:color w:val="000000"/>
                <w:sz w:val="22"/>
                <w:szCs w:val="22"/>
              </w:rPr>
              <w:t>Hepatito B reaktyvacija</w:t>
            </w:r>
            <w:r w:rsidR="00955C83" w:rsidRPr="00776407">
              <w:rPr>
                <w:rFonts w:eastAsia="Calibri"/>
                <w:color w:val="000000"/>
                <w:sz w:val="22"/>
                <w:szCs w:val="22"/>
              </w:rPr>
              <w:t>*</w:t>
            </w:r>
          </w:p>
        </w:tc>
      </w:tr>
      <w:tr w:rsidR="00D63A4B" w:rsidRPr="00776407" w14:paraId="139D6A0B" w14:textId="77777777" w:rsidTr="00040CD4">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44BFF817" w14:textId="77777777" w:rsidR="00D63A4B" w:rsidRPr="00776407" w:rsidRDefault="00D63A4B" w:rsidP="00D63A4B">
            <w:pPr>
              <w:autoSpaceDE w:val="0"/>
              <w:autoSpaceDN w:val="0"/>
              <w:adjustRightInd w:val="0"/>
              <w:rPr>
                <w:rFonts w:eastAsia="Calibri"/>
                <w:color w:val="000000"/>
              </w:rPr>
            </w:pPr>
            <w:r w:rsidRPr="00776407">
              <w:rPr>
                <w:rFonts w:eastAsia="Calibri"/>
                <w:b/>
                <w:bCs/>
                <w:color w:val="000000"/>
                <w:sz w:val="22"/>
                <w:szCs w:val="22"/>
              </w:rPr>
              <w:t xml:space="preserve">Gerybiniai, piktybiniai ir nepatikslinti navikai (tarp jų cistos ir polipai) </w:t>
            </w:r>
          </w:p>
        </w:tc>
      </w:tr>
      <w:tr w:rsidR="00D63A4B" w:rsidRPr="00776407" w14:paraId="1CFDB065"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18F9D9C0"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Retos</w:t>
            </w:r>
          </w:p>
        </w:tc>
        <w:tc>
          <w:tcPr>
            <w:tcW w:w="6656" w:type="dxa"/>
            <w:tcBorders>
              <w:top w:val="single" w:sz="4" w:space="0" w:color="auto"/>
              <w:left w:val="single" w:sz="4" w:space="0" w:color="auto"/>
              <w:bottom w:val="single" w:sz="4" w:space="0" w:color="auto"/>
              <w:right w:val="single" w:sz="4" w:space="0" w:color="auto"/>
            </w:tcBorders>
          </w:tcPr>
          <w:p w14:paraId="4423659A" w14:textId="77777777" w:rsidR="00D63A4B" w:rsidRPr="00776407" w:rsidRDefault="00D47CF6" w:rsidP="00D63A4B">
            <w:pPr>
              <w:autoSpaceDE w:val="0"/>
              <w:autoSpaceDN w:val="0"/>
              <w:adjustRightInd w:val="0"/>
              <w:rPr>
                <w:rFonts w:eastAsia="Calibri"/>
                <w:color w:val="000000"/>
              </w:rPr>
            </w:pPr>
            <w:r w:rsidRPr="00776407">
              <w:rPr>
                <w:rFonts w:eastAsia="Calibri"/>
                <w:color w:val="000000"/>
                <w:sz w:val="22"/>
                <w:szCs w:val="22"/>
              </w:rPr>
              <w:t>Naviko</w:t>
            </w:r>
            <w:r w:rsidR="00D63A4B" w:rsidRPr="00776407">
              <w:rPr>
                <w:rFonts w:eastAsia="Calibri"/>
                <w:color w:val="000000"/>
                <w:sz w:val="22"/>
                <w:szCs w:val="22"/>
              </w:rPr>
              <w:t xml:space="preserve"> irimo sindromas </w:t>
            </w:r>
          </w:p>
        </w:tc>
      </w:tr>
      <w:tr w:rsidR="00171C6B" w:rsidRPr="00776407" w14:paraId="5DE6FD2D"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4B64D84D" w14:textId="77777777" w:rsidR="00171C6B" w:rsidRPr="00776407" w:rsidRDefault="00171C6B" w:rsidP="00D63A4B">
            <w:pPr>
              <w:autoSpaceDE w:val="0"/>
              <w:autoSpaceDN w:val="0"/>
              <w:adjustRightInd w:val="0"/>
              <w:rPr>
                <w:rFonts w:eastAsia="Calibri"/>
                <w:i/>
                <w:iCs/>
                <w:color w:val="000000"/>
                <w:sz w:val="22"/>
                <w:szCs w:val="22"/>
              </w:rPr>
            </w:pPr>
            <w:r w:rsidRPr="00776407">
              <w:rPr>
                <w:rFonts w:eastAsia="Calibri"/>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76CAD1FE" w14:textId="77777777" w:rsidR="00171C6B" w:rsidRPr="00776407" w:rsidRDefault="00171C6B" w:rsidP="00D63A4B">
            <w:pPr>
              <w:autoSpaceDE w:val="0"/>
              <w:autoSpaceDN w:val="0"/>
              <w:adjustRightInd w:val="0"/>
              <w:rPr>
                <w:rFonts w:eastAsia="Calibri"/>
                <w:color w:val="000000"/>
                <w:sz w:val="22"/>
                <w:szCs w:val="22"/>
              </w:rPr>
            </w:pPr>
            <w:r w:rsidRPr="00776407">
              <w:rPr>
                <w:rFonts w:eastAsia="Calibri"/>
                <w:color w:val="000000"/>
                <w:sz w:val="22"/>
                <w:szCs w:val="22"/>
              </w:rPr>
              <w:t>Naviko kraujosruva/naviko nekrozė*</w:t>
            </w:r>
          </w:p>
        </w:tc>
      </w:tr>
      <w:tr w:rsidR="00171C6B" w:rsidRPr="00776407" w14:paraId="6043DBF8" w14:textId="77777777" w:rsidTr="004B600B">
        <w:trPr>
          <w:gridAfter w:val="1"/>
          <w:wAfter w:w="39" w:type="dxa"/>
          <w:trHeight w:val="100"/>
        </w:trPr>
        <w:tc>
          <w:tcPr>
            <w:tcW w:w="9032" w:type="dxa"/>
            <w:gridSpan w:val="2"/>
            <w:tcBorders>
              <w:top w:val="single" w:sz="4" w:space="0" w:color="auto"/>
              <w:left w:val="single" w:sz="4" w:space="0" w:color="auto"/>
              <w:bottom w:val="single" w:sz="4" w:space="0" w:color="auto"/>
              <w:right w:val="single" w:sz="4" w:space="0" w:color="auto"/>
            </w:tcBorders>
          </w:tcPr>
          <w:p w14:paraId="018B8397" w14:textId="77777777" w:rsidR="00171C6B" w:rsidRPr="00776407" w:rsidRDefault="00171C6B" w:rsidP="00D63A4B">
            <w:pPr>
              <w:autoSpaceDE w:val="0"/>
              <w:autoSpaceDN w:val="0"/>
              <w:adjustRightInd w:val="0"/>
              <w:rPr>
                <w:rFonts w:eastAsia="Calibri"/>
                <w:b/>
                <w:color w:val="000000"/>
                <w:sz w:val="22"/>
                <w:szCs w:val="22"/>
              </w:rPr>
            </w:pPr>
            <w:r w:rsidRPr="00776407">
              <w:rPr>
                <w:rFonts w:eastAsia="Calibri"/>
                <w:b/>
                <w:color w:val="000000"/>
                <w:sz w:val="22"/>
                <w:szCs w:val="22"/>
              </w:rPr>
              <w:t>Imuninės sistemos sutrikimai</w:t>
            </w:r>
          </w:p>
        </w:tc>
      </w:tr>
      <w:tr w:rsidR="00171C6B" w:rsidRPr="00776407" w14:paraId="1805CEE9"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265AA811" w14:textId="77777777" w:rsidR="00171C6B" w:rsidRPr="00776407" w:rsidRDefault="00171C6B" w:rsidP="00D63A4B">
            <w:pPr>
              <w:autoSpaceDE w:val="0"/>
              <w:autoSpaceDN w:val="0"/>
              <w:adjustRightInd w:val="0"/>
              <w:rPr>
                <w:rFonts w:eastAsia="Calibri"/>
                <w:i/>
                <w:iCs/>
                <w:color w:val="000000"/>
                <w:sz w:val="22"/>
                <w:szCs w:val="22"/>
              </w:rPr>
            </w:pPr>
            <w:r w:rsidRPr="00776407">
              <w:rPr>
                <w:rFonts w:eastAsia="Calibri"/>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7EEE537D" w14:textId="77777777" w:rsidR="00171C6B" w:rsidRPr="00776407" w:rsidRDefault="00171C6B" w:rsidP="00D63A4B">
            <w:pPr>
              <w:autoSpaceDE w:val="0"/>
              <w:autoSpaceDN w:val="0"/>
              <w:adjustRightInd w:val="0"/>
              <w:rPr>
                <w:rFonts w:eastAsia="Calibri"/>
                <w:color w:val="000000"/>
                <w:sz w:val="22"/>
                <w:szCs w:val="22"/>
              </w:rPr>
            </w:pPr>
            <w:r w:rsidRPr="00776407">
              <w:rPr>
                <w:rFonts w:eastAsia="Calibri"/>
                <w:color w:val="000000"/>
                <w:sz w:val="22"/>
                <w:szCs w:val="22"/>
              </w:rPr>
              <w:t>Anafilaksinis šokas*</w:t>
            </w:r>
          </w:p>
        </w:tc>
      </w:tr>
      <w:tr w:rsidR="00D63A4B" w:rsidRPr="00776407" w14:paraId="648D99E6" w14:textId="77777777" w:rsidTr="00040CD4">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31DF74B9" w14:textId="77777777" w:rsidR="00D63A4B" w:rsidRPr="00776407" w:rsidRDefault="00D63A4B" w:rsidP="00D63A4B">
            <w:pPr>
              <w:autoSpaceDE w:val="0"/>
              <w:autoSpaceDN w:val="0"/>
              <w:adjustRightInd w:val="0"/>
              <w:rPr>
                <w:rFonts w:eastAsia="Calibri"/>
                <w:color w:val="000000"/>
              </w:rPr>
            </w:pPr>
            <w:r w:rsidRPr="00776407">
              <w:rPr>
                <w:rFonts w:eastAsia="Calibri"/>
                <w:b/>
                <w:bCs/>
                <w:color w:val="000000"/>
                <w:sz w:val="22"/>
                <w:szCs w:val="22"/>
              </w:rPr>
              <w:t xml:space="preserve">Kraujo ir limfinės sistemos sutrikimai </w:t>
            </w:r>
          </w:p>
        </w:tc>
      </w:tr>
      <w:tr w:rsidR="00D63A4B" w:rsidRPr="00776407" w14:paraId="6FE14FF5"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2755EB57"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Labai dažnos</w:t>
            </w:r>
          </w:p>
        </w:tc>
        <w:tc>
          <w:tcPr>
            <w:tcW w:w="6656" w:type="dxa"/>
            <w:tcBorders>
              <w:top w:val="single" w:sz="4" w:space="0" w:color="auto"/>
              <w:left w:val="single" w:sz="4" w:space="0" w:color="auto"/>
              <w:bottom w:val="single" w:sz="4" w:space="0" w:color="auto"/>
              <w:right w:val="single" w:sz="4" w:space="0" w:color="auto"/>
            </w:tcBorders>
          </w:tcPr>
          <w:p w14:paraId="263239D4"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 xml:space="preserve">Neutropenija, trombocitopenija, anemija </w:t>
            </w:r>
          </w:p>
        </w:tc>
      </w:tr>
      <w:tr w:rsidR="00D63A4B" w:rsidRPr="00776407" w14:paraId="451D6C13"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31C550F5"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Dažnos</w:t>
            </w:r>
          </w:p>
        </w:tc>
        <w:tc>
          <w:tcPr>
            <w:tcW w:w="6656" w:type="dxa"/>
            <w:tcBorders>
              <w:top w:val="single" w:sz="4" w:space="0" w:color="auto"/>
              <w:left w:val="single" w:sz="4" w:space="0" w:color="auto"/>
              <w:bottom w:val="single" w:sz="4" w:space="0" w:color="auto"/>
              <w:right w:val="single" w:sz="4" w:space="0" w:color="auto"/>
            </w:tcBorders>
          </w:tcPr>
          <w:p w14:paraId="79BF90A8"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 xml:space="preserve">Pancitopenija, febrili neutropenija </w:t>
            </w:r>
          </w:p>
        </w:tc>
      </w:tr>
      <w:tr w:rsidR="00D63A4B" w:rsidRPr="00776407" w14:paraId="2B54A31F" w14:textId="77777777" w:rsidTr="002A1779">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14C7F63D"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Nedažnos</w:t>
            </w:r>
          </w:p>
        </w:tc>
        <w:tc>
          <w:tcPr>
            <w:tcW w:w="6656" w:type="dxa"/>
            <w:tcBorders>
              <w:top w:val="single" w:sz="4" w:space="0" w:color="auto"/>
              <w:left w:val="single" w:sz="4" w:space="0" w:color="auto"/>
              <w:bottom w:val="single" w:sz="4" w:space="0" w:color="auto"/>
              <w:right w:val="single" w:sz="4" w:space="0" w:color="auto"/>
            </w:tcBorders>
          </w:tcPr>
          <w:p w14:paraId="563E33C3"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 xml:space="preserve">Trombocitopenija, limfocitopenija, kaulų čiulpų slopinimas, eozinofilija, limfodenopatija </w:t>
            </w:r>
          </w:p>
        </w:tc>
      </w:tr>
      <w:tr w:rsidR="00D63A4B" w:rsidRPr="00776407" w14:paraId="38DDA58C"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6902A996"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Retos</w:t>
            </w:r>
          </w:p>
        </w:tc>
        <w:tc>
          <w:tcPr>
            <w:tcW w:w="6656" w:type="dxa"/>
            <w:tcBorders>
              <w:top w:val="single" w:sz="4" w:space="0" w:color="auto"/>
              <w:left w:val="single" w:sz="4" w:space="0" w:color="auto"/>
              <w:bottom w:val="single" w:sz="4" w:space="0" w:color="auto"/>
              <w:right w:val="single" w:sz="4" w:space="0" w:color="auto"/>
            </w:tcBorders>
          </w:tcPr>
          <w:p w14:paraId="2630CAB7"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Hemolizinė anemija</w:t>
            </w:r>
            <w:r w:rsidR="001C1204" w:rsidRPr="00776407">
              <w:rPr>
                <w:rFonts w:eastAsia="Calibri"/>
                <w:color w:val="000000"/>
                <w:sz w:val="22"/>
                <w:szCs w:val="22"/>
              </w:rPr>
              <w:t>,</w:t>
            </w:r>
            <w:r w:rsidRPr="00776407">
              <w:rPr>
                <w:rFonts w:eastAsia="Calibri"/>
                <w:color w:val="000000"/>
                <w:sz w:val="22"/>
                <w:szCs w:val="22"/>
              </w:rPr>
              <w:t xml:space="preserve"> </w:t>
            </w:r>
            <w:r w:rsidR="001C1204" w:rsidRPr="00776407">
              <w:rPr>
                <w:rFonts w:eastAsia="Calibri"/>
                <w:color w:val="000000"/>
                <w:sz w:val="22"/>
                <w:szCs w:val="22"/>
              </w:rPr>
              <w:t>trombinė mikroangiopatija</w:t>
            </w:r>
          </w:p>
        </w:tc>
      </w:tr>
      <w:tr w:rsidR="00D63A4B" w:rsidRPr="00776407" w14:paraId="6022F14D" w14:textId="77777777" w:rsidTr="00040CD4">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2A24C83F" w14:textId="77777777" w:rsidR="00D63A4B" w:rsidRPr="00776407" w:rsidRDefault="00D63A4B" w:rsidP="00D63A4B">
            <w:pPr>
              <w:autoSpaceDE w:val="0"/>
              <w:autoSpaceDN w:val="0"/>
              <w:adjustRightInd w:val="0"/>
              <w:rPr>
                <w:rFonts w:eastAsia="Calibri"/>
                <w:color w:val="000000"/>
              </w:rPr>
            </w:pPr>
            <w:r w:rsidRPr="00776407">
              <w:rPr>
                <w:rFonts w:eastAsia="Calibri"/>
                <w:b/>
                <w:bCs/>
                <w:color w:val="000000"/>
                <w:sz w:val="22"/>
                <w:szCs w:val="22"/>
              </w:rPr>
              <w:t xml:space="preserve">Metabolizmo ir mitybos sutrikimai </w:t>
            </w:r>
          </w:p>
        </w:tc>
      </w:tr>
      <w:tr w:rsidR="00D63A4B" w:rsidRPr="00776407" w14:paraId="0D215562"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378FFDB3"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Dažnos</w:t>
            </w:r>
          </w:p>
        </w:tc>
        <w:tc>
          <w:tcPr>
            <w:tcW w:w="6656" w:type="dxa"/>
            <w:tcBorders>
              <w:top w:val="single" w:sz="4" w:space="0" w:color="auto"/>
              <w:left w:val="single" w:sz="4" w:space="0" w:color="auto"/>
              <w:bottom w:val="single" w:sz="4" w:space="0" w:color="auto"/>
              <w:right w:val="single" w:sz="4" w:space="0" w:color="auto"/>
            </w:tcBorders>
          </w:tcPr>
          <w:p w14:paraId="2A0496FE"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 xml:space="preserve">Anoreksija </w:t>
            </w:r>
          </w:p>
        </w:tc>
      </w:tr>
      <w:tr w:rsidR="00D63A4B" w:rsidRPr="00776407" w14:paraId="248B997A" w14:textId="77777777" w:rsidTr="002A1779">
        <w:trPr>
          <w:gridAfter w:val="1"/>
          <w:wAfter w:w="39" w:type="dxa"/>
          <w:trHeight w:val="360"/>
        </w:trPr>
        <w:tc>
          <w:tcPr>
            <w:tcW w:w="2376" w:type="dxa"/>
            <w:tcBorders>
              <w:top w:val="single" w:sz="4" w:space="0" w:color="auto"/>
              <w:left w:val="single" w:sz="4" w:space="0" w:color="auto"/>
              <w:bottom w:val="single" w:sz="4" w:space="0" w:color="auto"/>
              <w:right w:val="single" w:sz="4" w:space="0" w:color="auto"/>
            </w:tcBorders>
          </w:tcPr>
          <w:p w14:paraId="52D5528A"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Nedažnos</w:t>
            </w:r>
          </w:p>
        </w:tc>
        <w:tc>
          <w:tcPr>
            <w:tcW w:w="6656" w:type="dxa"/>
            <w:tcBorders>
              <w:top w:val="single" w:sz="4" w:space="0" w:color="auto"/>
              <w:left w:val="single" w:sz="4" w:space="0" w:color="auto"/>
              <w:bottom w:val="single" w:sz="4" w:space="0" w:color="auto"/>
              <w:right w:val="single" w:sz="4" w:space="0" w:color="auto"/>
            </w:tcBorders>
          </w:tcPr>
          <w:p w14:paraId="5CCC4BFA"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 xml:space="preserve">Hipokalemija, padidėjęs apetitas, hipofosfatemija, sumažėjęs apetitas, dehidracija, podagra, hiperurikemija, hiperkalcemija, hiperglikemija, hiponatremija </w:t>
            </w:r>
          </w:p>
        </w:tc>
      </w:tr>
      <w:tr w:rsidR="00D63A4B" w:rsidRPr="00776407" w14:paraId="197B1C77"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1A8BA721"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Retos</w:t>
            </w:r>
          </w:p>
        </w:tc>
        <w:tc>
          <w:tcPr>
            <w:tcW w:w="6656" w:type="dxa"/>
            <w:tcBorders>
              <w:top w:val="single" w:sz="4" w:space="0" w:color="auto"/>
              <w:left w:val="single" w:sz="4" w:space="0" w:color="auto"/>
              <w:bottom w:val="single" w:sz="4" w:space="0" w:color="auto"/>
              <w:right w:val="single" w:sz="4" w:space="0" w:color="auto"/>
            </w:tcBorders>
          </w:tcPr>
          <w:p w14:paraId="7A974D3D"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 xml:space="preserve">Hiperkalemija, hipomagnemija </w:t>
            </w:r>
          </w:p>
        </w:tc>
      </w:tr>
      <w:tr w:rsidR="00D63A4B" w:rsidRPr="00776407" w14:paraId="4A452D13" w14:textId="77777777" w:rsidTr="00040CD4">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22FFCC16" w14:textId="77777777" w:rsidR="00D63A4B" w:rsidRPr="00776407" w:rsidRDefault="00D63A4B" w:rsidP="00D63A4B">
            <w:pPr>
              <w:autoSpaceDE w:val="0"/>
              <w:autoSpaceDN w:val="0"/>
              <w:adjustRightInd w:val="0"/>
              <w:rPr>
                <w:rFonts w:eastAsia="Calibri"/>
                <w:color w:val="000000"/>
              </w:rPr>
            </w:pPr>
            <w:r w:rsidRPr="00776407">
              <w:rPr>
                <w:rFonts w:eastAsia="Calibri"/>
                <w:b/>
                <w:bCs/>
                <w:color w:val="000000"/>
                <w:sz w:val="22"/>
                <w:szCs w:val="22"/>
              </w:rPr>
              <w:t xml:space="preserve">Psichikos sutrikimai </w:t>
            </w:r>
          </w:p>
        </w:tc>
      </w:tr>
      <w:tr w:rsidR="00D63A4B" w:rsidRPr="00776407" w14:paraId="11F22499"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5ADF1DDF"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Dažnos</w:t>
            </w:r>
          </w:p>
        </w:tc>
        <w:tc>
          <w:tcPr>
            <w:tcW w:w="6656" w:type="dxa"/>
            <w:tcBorders>
              <w:top w:val="single" w:sz="4" w:space="0" w:color="auto"/>
              <w:left w:val="single" w:sz="4" w:space="0" w:color="auto"/>
              <w:bottom w:val="single" w:sz="4" w:space="0" w:color="auto"/>
              <w:right w:val="single" w:sz="4" w:space="0" w:color="auto"/>
            </w:tcBorders>
          </w:tcPr>
          <w:p w14:paraId="3C89EA66"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 xml:space="preserve">Nemiga </w:t>
            </w:r>
          </w:p>
        </w:tc>
      </w:tr>
      <w:tr w:rsidR="00D63A4B" w:rsidRPr="00776407" w14:paraId="74489B42"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1172B762"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Nedažnos</w:t>
            </w:r>
          </w:p>
        </w:tc>
        <w:tc>
          <w:tcPr>
            <w:tcW w:w="6656" w:type="dxa"/>
            <w:tcBorders>
              <w:top w:val="single" w:sz="4" w:space="0" w:color="auto"/>
              <w:left w:val="single" w:sz="4" w:space="0" w:color="auto"/>
              <w:bottom w:val="single" w:sz="4" w:space="0" w:color="auto"/>
              <w:right w:val="single" w:sz="4" w:space="0" w:color="auto"/>
            </w:tcBorders>
          </w:tcPr>
          <w:p w14:paraId="78F1EE1C"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 xml:space="preserve">Depresija, sumažėjęs lytinis potraukis, nerimas </w:t>
            </w:r>
          </w:p>
        </w:tc>
      </w:tr>
      <w:tr w:rsidR="00D63A4B" w:rsidRPr="00776407" w14:paraId="651B91DC"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2079332E"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Retos</w:t>
            </w:r>
          </w:p>
        </w:tc>
        <w:tc>
          <w:tcPr>
            <w:tcW w:w="6656" w:type="dxa"/>
            <w:tcBorders>
              <w:top w:val="single" w:sz="4" w:space="0" w:color="auto"/>
              <w:left w:val="single" w:sz="4" w:space="0" w:color="auto"/>
              <w:bottom w:val="single" w:sz="4" w:space="0" w:color="auto"/>
              <w:right w:val="single" w:sz="4" w:space="0" w:color="auto"/>
            </w:tcBorders>
          </w:tcPr>
          <w:p w14:paraId="64AD3D75"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 xml:space="preserve">Sumišimo būklė </w:t>
            </w:r>
          </w:p>
        </w:tc>
      </w:tr>
      <w:tr w:rsidR="00D63A4B" w:rsidRPr="00776407" w14:paraId="36EAE975" w14:textId="77777777" w:rsidTr="00040CD4">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6DB79563" w14:textId="77777777" w:rsidR="00D63A4B" w:rsidRPr="00776407" w:rsidRDefault="00D63A4B" w:rsidP="00D63A4B">
            <w:pPr>
              <w:autoSpaceDE w:val="0"/>
              <w:autoSpaceDN w:val="0"/>
              <w:adjustRightInd w:val="0"/>
              <w:rPr>
                <w:rFonts w:eastAsia="Calibri"/>
                <w:color w:val="000000"/>
              </w:rPr>
            </w:pPr>
            <w:r w:rsidRPr="00776407">
              <w:rPr>
                <w:rFonts w:eastAsia="Calibri"/>
                <w:b/>
                <w:bCs/>
                <w:color w:val="000000"/>
                <w:sz w:val="22"/>
                <w:szCs w:val="22"/>
              </w:rPr>
              <w:t xml:space="preserve">Nervų sistemos sutrikimai </w:t>
            </w:r>
          </w:p>
        </w:tc>
      </w:tr>
      <w:tr w:rsidR="00D63A4B" w:rsidRPr="00776407" w14:paraId="5AC1527B" w14:textId="77777777" w:rsidTr="002A1779">
        <w:trPr>
          <w:gridAfter w:val="1"/>
          <w:wAfter w:w="39" w:type="dxa"/>
          <w:trHeight w:val="122"/>
        </w:trPr>
        <w:tc>
          <w:tcPr>
            <w:tcW w:w="2376" w:type="dxa"/>
            <w:tcBorders>
              <w:top w:val="single" w:sz="4" w:space="0" w:color="auto"/>
              <w:left w:val="single" w:sz="4" w:space="0" w:color="auto"/>
              <w:bottom w:val="single" w:sz="4" w:space="0" w:color="auto"/>
              <w:right w:val="single" w:sz="4" w:space="0" w:color="auto"/>
            </w:tcBorders>
          </w:tcPr>
          <w:p w14:paraId="6D0AF5F5"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Labai dažnos</w:t>
            </w:r>
          </w:p>
        </w:tc>
        <w:tc>
          <w:tcPr>
            <w:tcW w:w="6656" w:type="dxa"/>
            <w:tcBorders>
              <w:top w:val="single" w:sz="4" w:space="0" w:color="auto"/>
              <w:left w:val="single" w:sz="4" w:space="0" w:color="auto"/>
              <w:bottom w:val="single" w:sz="4" w:space="0" w:color="auto"/>
              <w:right w:val="single" w:sz="4" w:space="0" w:color="auto"/>
            </w:tcBorders>
          </w:tcPr>
          <w:p w14:paraId="588AAAA5"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Galvos skausmas</w:t>
            </w:r>
            <w:r w:rsidRPr="00776407">
              <w:rPr>
                <w:rFonts w:eastAsia="Calibri"/>
                <w:color w:val="000000"/>
                <w:sz w:val="22"/>
                <w:szCs w:val="22"/>
                <w:vertAlign w:val="superscript"/>
              </w:rPr>
              <w:t>2</w:t>
            </w:r>
            <w:r w:rsidRPr="00776407">
              <w:rPr>
                <w:rFonts w:eastAsia="Calibri"/>
                <w:color w:val="000000"/>
                <w:sz w:val="22"/>
                <w:szCs w:val="22"/>
              </w:rPr>
              <w:t xml:space="preserve"> </w:t>
            </w:r>
          </w:p>
        </w:tc>
      </w:tr>
      <w:tr w:rsidR="00D63A4B" w:rsidRPr="00776407" w14:paraId="29B25F96"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45863105"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Dažnos</w:t>
            </w:r>
          </w:p>
        </w:tc>
        <w:tc>
          <w:tcPr>
            <w:tcW w:w="6656" w:type="dxa"/>
            <w:tcBorders>
              <w:top w:val="single" w:sz="4" w:space="0" w:color="auto"/>
              <w:left w:val="single" w:sz="4" w:space="0" w:color="auto"/>
              <w:bottom w:val="single" w:sz="4" w:space="0" w:color="auto"/>
              <w:right w:val="single" w:sz="4" w:space="0" w:color="auto"/>
            </w:tcBorders>
          </w:tcPr>
          <w:p w14:paraId="48135BB7"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 xml:space="preserve">Galvos svaigimas, parestezija, sutrikęs skonio jutimas, hipoestezija </w:t>
            </w:r>
          </w:p>
        </w:tc>
      </w:tr>
      <w:tr w:rsidR="00D63A4B" w:rsidRPr="00776407" w14:paraId="67BDE1FB" w14:textId="77777777" w:rsidTr="002A1779">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3B09CABE"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Nedažnos</w:t>
            </w:r>
          </w:p>
        </w:tc>
        <w:tc>
          <w:tcPr>
            <w:tcW w:w="6656" w:type="dxa"/>
            <w:tcBorders>
              <w:top w:val="single" w:sz="4" w:space="0" w:color="auto"/>
              <w:left w:val="single" w:sz="4" w:space="0" w:color="auto"/>
              <w:bottom w:val="single" w:sz="4" w:space="0" w:color="auto"/>
              <w:right w:val="single" w:sz="4" w:space="0" w:color="auto"/>
            </w:tcBorders>
          </w:tcPr>
          <w:p w14:paraId="01B3BF48"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 xml:space="preserve">Migrena, mieguistumas, sinkopė, periferinė neuropatija, atminties sutrikimai, išialgija, neramių kojų sindromas, tremoras, smegenų kraujosruvos </w:t>
            </w:r>
          </w:p>
        </w:tc>
      </w:tr>
      <w:tr w:rsidR="00D63A4B" w:rsidRPr="00776407" w14:paraId="30B74ADD"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7A933632" w14:textId="77777777" w:rsidR="00D63A4B" w:rsidRPr="00776407" w:rsidRDefault="00D63A4B" w:rsidP="00D63A4B">
            <w:pPr>
              <w:autoSpaceDE w:val="0"/>
              <w:autoSpaceDN w:val="0"/>
              <w:adjustRightInd w:val="0"/>
              <w:rPr>
                <w:rFonts w:eastAsia="Calibri"/>
                <w:color w:val="000000"/>
              </w:rPr>
            </w:pPr>
            <w:r w:rsidRPr="00776407">
              <w:rPr>
                <w:rFonts w:eastAsia="Calibri"/>
                <w:i/>
                <w:iCs/>
                <w:color w:val="000000"/>
                <w:sz w:val="22"/>
                <w:szCs w:val="22"/>
              </w:rPr>
              <w:t>Retos</w:t>
            </w:r>
          </w:p>
        </w:tc>
        <w:tc>
          <w:tcPr>
            <w:tcW w:w="6656" w:type="dxa"/>
            <w:tcBorders>
              <w:top w:val="single" w:sz="4" w:space="0" w:color="auto"/>
              <w:left w:val="single" w:sz="4" w:space="0" w:color="auto"/>
              <w:bottom w:val="single" w:sz="4" w:space="0" w:color="auto"/>
              <w:right w:val="single" w:sz="4" w:space="0" w:color="auto"/>
            </w:tcBorders>
          </w:tcPr>
          <w:p w14:paraId="7C930F1A" w14:textId="77777777" w:rsidR="00D63A4B" w:rsidRPr="00776407" w:rsidRDefault="00D63A4B" w:rsidP="00D63A4B">
            <w:pPr>
              <w:autoSpaceDE w:val="0"/>
              <w:autoSpaceDN w:val="0"/>
              <w:adjustRightInd w:val="0"/>
              <w:rPr>
                <w:rFonts w:eastAsia="Calibri"/>
                <w:color w:val="000000"/>
              </w:rPr>
            </w:pPr>
            <w:r w:rsidRPr="00776407">
              <w:rPr>
                <w:rFonts w:eastAsia="Calibri"/>
                <w:color w:val="000000"/>
                <w:sz w:val="22"/>
                <w:szCs w:val="22"/>
              </w:rPr>
              <w:t xml:space="preserve">Padidėjęs intrakranijinis spaudimas, traukuliai, regos nervo uždegimas </w:t>
            </w:r>
          </w:p>
        </w:tc>
      </w:tr>
      <w:tr w:rsidR="00171C6B" w:rsidRPr="00776407" w14:paraId="6F426B6C"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02BFC1DA" w14:textId="77777777" w:rsidR="00171C6B" w:rsidRPr="00776407" w:rsidRDefault="00171C6B" w:rsidP="00D63A4B">
            <w:pPr>
              <w:autoSpaceDE w:val="0"/>
              <w:autoSpaceDN w:val="0"/>
              <w:adjustRightInd w:val="0"/>
              <w:rPr>
                <w:rFonts w:eastAsia="Calibri"/>
                <w:i/>
                <w:iCs/>
                <w:color w:val="000000"/>
                <w:sz w:val="22"/>
                <w:szCs w:val="22"/>
              </w:rPr>
            </w:pPr>
            <w:r w:rsidRPr="00776407">
              <w:rPr>
                <w:rFonts w:eastAsia="Calibri"/>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117C7934" w14:textId="77777777" w:rsidR="00171C6B" w:rsidRPr="00776407" w:rsidRDefault="00171C6B" w:rsidP="00D63A4B">
            <w:pPr>
              <w:autoSpaceDE w:val="0"/>
              <w:autoSpaceDN w:val="0"/>
              <w:adjustRightInd w:val="0"/>
              <w:rPr>
                <w:rFonts w:eastAsia="Calibri"/>
                <w:color w:val="000000"/>
                <w:sz w:val="22"/>
                <w:szCs w:val="22"/>
              </w:rPr>
            </w:pPr>
            <w:r w:rsidRPr="00776407">
              <w:rPr>
                <w:rFonts w:eastAsia="Calibri"/>
                <w:color w:val="000000"/>
                <w:sz w:val="22"/>
                <w:szCs w:val="22"/>
              </w:rPr>
              <w:t>Smegenų edema*</w:t>
            </w:r>
          </w:p>
        </w:tc>
      </w:tr>
      <w:tr w:rsidR="00CE151A" w:rsidRPr="00776407" w14:paraId="039A27A5" w14:textId="77777777" w:rsidTr="00040CD4">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62201388" w14:textId="77777777" w:rsidR="00CE151A" w:rsidRPr="00776407" w:rsidRDefault="00CE151A" w:rsidP="00CE151A">
            <w:pPr>
              <w:autoSpaceDE w:val="0"/>
              <w:autoSpaceDN w:val="0"/>
              <w:adjustRightInd w:val="0"/>
              <w:rPr>
                <w:rFonts w:eastAsia="Calibri"/>
                <w:color w:val="000000"/>
              </w:rPr>
            </w:pPr>
            <w:r w:rsidRPr="00776407">
              <w:rPr>
                <w:rFonts w:eastAsia="Calibri"/>
                <w:b/>
                <w:bCs/>
                <w:color w:val="000000"/>
                <w:sz w:val="22"/>
                <w:szCs w:val="22"/>
              </w:rPr>
              <w:t xml:space="preserve">Akių sutrikimai </w:t>
            </w:r>
          </w:p>
        </w:tc>
      </w:tr>
      <w:tr w:rsidR="00CE151A" w:rsidRPr="00776407" w14:paraId="6E54AD6D" w14:textId="77777777" w:rsidTr="002A1779">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4BEF933F"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Dažnos</w:t>
            </w:r>
          </w:p>
        </w:tc>
        <w:tc>
          <w:tcPr>
            <w:tcW w:w="6656" w:type="dxa"/>
            <w:tcBorders>
              <w:top w:val="single" w:sz="4" w:space="0" w:color="auto"/>
              <w:left w:val="single" w:sz="4" w:space="0" w:color="auto"/>
              <w:bottom w:val="single" w:sz="4" w:space="0" w:color="auto"/>
              <w:right w:val="single" w:sz="4" w:space="0" w:color="auto"/>
            </w:tcBorders>
          </w:tcPr>
          <w:p w14:paraId="40F0BB77"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Akių vokų edema, padidėjęs ašarojimas, junginės kraujosruvos, konjunktyvitas, akių sausmė, neryškus matymas </w:t>
            </w:r>
          </w:p>
        </w:tc>
      </w:tr>
      <w:tr w:rsidR="00CE151A" w:rsidRPr="00776407" w14:paraId="5E477B63" w14:textId="77777777" w:rsidTr="002A1779">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418E2FB3"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Nedažnos</w:t>
            </w:r>
          </w:p>
        </w:tc>
        <w:tc>
          <w:tcPr>
            <w:tcW w:w="6656" w:type="dxa"/>
            <w:tcBorders>
              <w:top w:val="single" w:sz="4" w:space="0" w:color="auto"/>
              <w:left w:val="single" w:sz="4" w:space="0" w:color="auto"/>
              <w:bottom w:val="single" w:sz="4" w:space="0" w:color="auto"/>
              <w:right w:val="single" w:sz="4" w:space="0" w:color="auto"/>
            </w:tcBorders>
          </w:tcPr>
          <w:p w14:paraId="06C8BEAC"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Akių dirginimas, akių skausmas, akiduobės edema, odenos kraujosruvos, tinklainės kraujosruvos, blefaritas, geltonosios dėmės edema </w:t>
            </w:r>
          </w:p>
        </w:tc>
      </w:tr>
      <w:tr w:rsidR="00CE151A" w:rsidRPr="00776407" w14:paraId="401DCF09"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775579ED"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Retos</w:t>
            </w:r>
          </w:p>
        </w:tc>
        <w:tc>
          <w:tcPr>
            <w:tcW w:w="6656" w:type="dxa"/>
            <w:tcBorders>
              <w:top w:val="single" w:sz="4" w:space="0" w:color="auto"/>
              <w:left w:val="single" w:sz="4" w:space="0" w:color="auto"/>
              <w:bottom w:val="single" w:sz="4" w:space="0" w:color="auto"/>
              <w:right w:val="single" w:sz="4" w:space="0" w:color="auto"/>
            </w:tcBorders>
          </w:tcPr>
          <w:p w14:paraId="253367B2"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Katarakta, glaukoma, regos nervo disko edema </w:t>
            </w:r>
          </w:p>
        </w:tc>
      </w:tr>
      <w:tr w:rsidR="00171C6B" w:rsidRPr="00776407" w14:paraId="27A29DD9"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529C6F06" w14:textId="77777777" w:rsidR="00171C6B" w:rsidRPr="00776407" w:rsidRDefault="00171C6B" w:rsidP="00CE151A">
            <w:pPr>
              <w:autoSpaceDE w:val="0"/>
              <w:autoSpaceDN w:val="0"/>
              <w:adjustRightInd w:val="0"/>
              <w:rPr>
                <w:rFonts w:eastAsia="Calibri"/>
                <w:i/>
                <w:iCs/>
                <w:color w:val="000000"/>
                <w:sz w:val="22"/>
                <w:szCs w:val="22"/>
              </w:rPr>
            </w:pPr>
            <w:r w:rsidRPr="00776407">
              <w:rPr>
                <w:rFonts w:eastAsia="Calibri"/>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565C2274" w14:textId="77777777" w:rsidR="00171C6B" w:rsidRPr="00776407" w:rsidRDefault="00171C6B" w:rsidP="00CE151A">
            <w:pPr>
              <w:autoSpaceDE w:val="0"/>
              <w:autoSpaceDN w:val="0"/>
              <w:adjustRightInd w:val="0"/>
              <w:rPr>
                <w:rFonts w:eastAsia="Calibri"/>
                <w:color w:val="000000"/>
                <w:sz w:val="22"/>
                <w:szCs w:val="22"/>
              </w:rPr>
            </w:pPr>
            <w:r w:rsidRPr="00776407">
              <w:rPr>
                <w:rFonts w:eastAsia="Calibri"/>
                <w:color w:val="000000"/>
                <w:sz w:val="22"/>
                <w:szCs w:val="22"/>
              </w:rPr>
              <w:t>Stiklakūnio kraujosruva*</w:t>
            </w:r>
          </w:p>
        </w:tc>
      </w:tr>
      <w:tr w:rsidR="00CE151A" w:rsidRPr="00776407" w14:paraId="055D0C79" w14:textId="77777777" w:rsidTr="00040CD4">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248E6247" w14:textId="77777777" w:rsidR="00CE151A" w:rsidRPr="00776407" w:rsidRDefault="00CE151A" w:rsidP="00CE151A">
            <w:pPr>
              <w:autoSpaceDE w:val="0"/>
              <w:autoSpaceDN w:val="0"/>
              <w:adjustRightInd w:val="0"/>
              <w:rPr>
                <w:rFonts w:eastAsia="Calibri"/>
                <w:color w:val="000000"/>
              </w:rPr>
            </w:pPr>
            <w:r w:rsidRPr="00776407">
              <w:rPr>
                <w:rFonts w:eastAsia="Calibri"/>
                <w:b/>
                <w:bCs/>
                <w:color w:val="000000"/>
                <w:sz w:val="22"/>
                <w:szCs w:val="22"/>
              </w:rPr>
              <w:t xml:space="preserve">Ausų ir labirintų sutrikimai </w:t>
            </w:r>
          </w:p>
        </w:tc>
      </w:tr>
      <w:tr w:rsidR="00CE151A" w:rsidRPr="00776407" w14:paraId="5290938D"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5DB426CB"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56" w:type="dxa"/>
            <w:tcBorders>
              <w:top w:val="single" w:sz="4" w:space="0" w:color="auto"/>
              <w:left w:val="single" w:sz="4" w:space="0" w:color="auto"/>
              <w:bottom w:val="single" w:sz="4" w:space="0" w:color="auto"/>
              <w:right w:val="single" w:sz="4" w:space="0" w:color="auto"/>
            </w:tcBorders>
          </w:tcPr>
          <w:p w14:paraId="6341135C"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Svaigulys, ūžimas ausyse, apkurtimas </w:t>
            </w:r>
          </w:p>
        </w:tc>
      </w:tr>
      <w:tr w:rsidR="00CE151A" w:rsidRPr="00776407" w14:paraId="407CDCEC" w14:textId="77777777" w:rsidTr="00040CD4">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0F796DFB" w14:textId="77777777" w:rsidR="00CE151A" w:rsidRPr="00776407" w:rsidRDefault="00CE151A" w:rsidP="00CE151A">
            <w:pPr>
              <w:autoSpaceDE w:val="0"/>
              <w:autoSpaceDN w:val="0"/>
              <w:adjustRightInd w:val="0"/>
              <w:rPr>
                <w:rFonts w:eastAsia="Calibri"/>
                <w:color w:val="000000"/>
              </w:rPr>
            </w:pPr>
            <w:r w:rsidRPr="00776407">
              <w:rPr>
                <w:rFonts w:eastAsia="Calibri"/>
                <w:b/>
                <w:bCs/>
                <w:color w:val="000000"/>
                <w:sz w:val="22"/>
                <w:szCs w:val="22"/>
              </w:rPr>
              <w:t xml:space="preserve">Širdies sutrikimai </w:t>
            </w:r>
          </w:p>
        </w:tc>
      </w:tr>
      <w:tr w:rsidR="00CE151A" w:rsidRPr="00776407" w14:paraId="00C7916F" w14:textId="77777777" w:rsidTr="002A1779">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1134200E"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Nedažnos</w:t>
            </w:r>
          </w:p>
        </w:tc>
        <w:tc>
          <w:tcPr>
            <w:tcW w:w="6656" w:type="dxa"/>
            <w:tcBorders>
              <w:top w:val="single" w:sz="4" w:space="0" w:color="auto"/>
              <w:left w:val="single" w:sz="4" w:space="0" w:color="auto"/>
              <w:bottom w:val="single" w:sz="4" w:space="0" w:color="auto"/>
              <w:right w:val="single" w:sz="4" w:space="0" w:color="auto"/>
            </w:tcBorders>
          </w:tcPr>
          <w:p w14:paraId="17BE7628"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Stiprus ir greitas širdies plakimas, tachikardija, stazinis širdies nepakankamumas</w:t>
            </w:r>
            <w:r w:rsidRPr="00776407">
              <w:rPr>
                <w:rFonts w:eastAsia="Calibri"/>
                <w:color w:val="000000"/>
                <w:sz w:val="22"/>
                <w:szCs w:val="22"/>
                <w:vertAlign w:val="superscript"/>
              </w:rPr>
              <w:t>3</w:t>
            </w:r>
            <w:r w:rsidRPr="00776407">
              <w:rPr>
                <w:rFonts w:eastAsia="Calibri"/>
                <w:color w:val="000000"/>
                <w:sz w:val="22"/>
                <w:szCs w:val="22"/>
              </w:rPr>
              <w:t xml:space="preserve">, plaučių edema </w:t>
            </w:r>
          </w:p>
        </w:tc>
      </w:tr>
      <w:tr w:rsidR="00CE151A" w:rsidRPr="00776407" w14:paraId="4AE49AFE" w14:textId="77777777" w:rsidTr="002A1779">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03230BF2"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Retos</w:t>
            </w:r>
          </w:p>
        </w:tc>
        <w:tc>
          <w:tcPr>
            <w:tcW w:w="6656" w:type="dxa"/>
            <w:tcBorders>
              <w:top w:val="single" w:sz="4" w:space="0" w:color="auto"/>
              <w:left w:val="single" w:sz="4" w:space="0" w:color="auto"/>
              <w:bottom w:val="single" w:sz="4" w:space="0" w:color="auto"/>
              <w:right w:val="single" w:sz="4" w:space="0" w:color="auto"/>
            </w:tcBorders>
          </w:tcPr>
          <w:p w14:paraId="728DF45D"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Aritmija, prieširdžių virpėjimas, širdies sustojimas, miokardo infarktas, krūtinės angina, skystis perikarde </w:t>
            </w:r>
          </w:p>
        </w:tc>
      </w:tr>
      <w:tr w:rsidR="00171C6B" w:rsidRPr="00776407" w14:paraId="22DA4B04" w14:textId="77777777" w:rsidTr="002A1779">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3F1ACF86" w14:textId="77777777" w:rsidR="00171C6B" w:rsidRPr="00776407" w:rsidRDefault="00171C6B" w:rsidP="00CE151A">
            <w:pPr>
              <w:autoSpaceDE w:val="0"/>
              <w:autoSpaceDN w:val="0"/>
              <w:adjustRightInd w:val="0"/>
              <w:rPr>
                <w:rFonts w:eastAsia="Calibri"/>
                <w:i/>
                <w:iCs/>
                <w:color w:val="000000"/>
                <w:sz w:val="22"/>
                <w:szCs w:val="22"/>
              </w:rPr>
            </w:pPr>
            <w:r w:rsidRPr="00776407">
              <w:rPr>
                <w:rFonts w:eastAsia="Calibri"/>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02982BF0" w14:textId="77777777" w:rsidR="00171C6B" w:rsidRPr="00776407" w:rsidRDefault="00171C6B" w:rsidP="00CE151A">
            <w:pPr>
              <w:autoSpaceDE w:val="0"/>
              <w:autoSpaceDN w:val="0"/>
              <w:adjustRightInd w:val="0"/>
              <w:rPr>
                <w:rFonts w:eastAsia="Calibri"/>
                <w:color w:val="000000"/>
                <w:sz w:val="22"/>
                <w:szCs w:val="22"/>
              </w:rPr>
            </w:pPr>
            <w:r w:rsidRPr="00776407">
              <w:rPr>
                <w:rFonts w:eastAsia="Calibri"/>
                <w:color w:val="000000"/>
                <w:sz w:val="22"/>
                <w:szCs w:val="22"/>
              </w:rPr>
              <w:t>Perikarditas*, širdies tamponada*</w:t>
            </w:r>
          </w:p>
        </w:tc>
      </w:tr>
      <w:tr w:rsidR="00CE151A" w:rsidRPr="00776407" w14:paraId="64646E62" w14:textId="77777777" w:rsidTr="00040CD4">
        <w:trPr>
          <w:gridAfter w:val="1"/>
          <w:wAfter w:w="39" w:type="dxa"/>
          <w:trHeight w:val="121"/>
        </w:trPr>
        <w:tc>
          <w:tcPr>
            <w:tcW w:w="9032" w:type="dxa"/>
            <w:gridSpan w:val="2"/>
            <w:tcBorders>
              <w:top w:val="single" w:sz="4" w:space="0" w:color="auto"/>
              <w:left w:val="single" w:sz="4" w:space="0" w:color="auto"/>
              <w:bottom w:val="single" w:sz="4" w:space="0" w:color="auto"/>
              <w:right w:val="single" w:sz="4" w:space="0" w:color="auto"/>
            </w:tcBorders>
          </w:tcPr>
          <w:p w14:paraId="2B7C8E1B" w14:textId="77777777" w:rsidR="00CE151A" w:rsidRPr="00776407" w:rsidRDefault="00CE151A" w:rsidP="00CE151A">
            <w:pPr>
              <w:autoSpaceDE w:val="0"/>
              <w:autoSpaceDN w:val="0"/>
              <w:adjustRightInd w:val="0"/>
              <w:rPr>
                <w:rFonts w:eastAsia="Calibri"/>
                <w:color w:val="000000"/>
              </w:rPr>
            </w:pPr>
            <w:r w:rsidRPr="00776407">
              <w:rPr>
                <w:rFonts w:eastAsia="Calibri"/>
                <w:b/>
                <w:bCs/>
                <w:color w:val="000000"/>
                <w:sz w:val="22"/>
                <w:szCs w:val="22"/>
              </w:rPr>
              <w:t xml:space="preserve">Kraujagyslių sutrikimai </w:t>
            </w:r>
          </w:p>
        </w:tc>
      </w:tr>
      <w:tr w:rsidR="00CE151A" w:rsidRPr="00776407" w14:paraId="36CBE1F4"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7BEB97DD"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56" w:type="dxa"/>
            <w:tcBorders>
              <w:top w:val="single" w:sz="4" w:space="0" w:color="auto"/>
              <w:left w:val="single" w:sz="4" w:space="0" w:color="auto"/>
              <w:bottom w:val="single" w:sz="4" w:space="0" w:color="auto"/>
              <w:right w:val="single" w:sz="4" w:space="0" w:color="auto"/>
            </w:tcBorders>
          </w:tcPr>
          <w:p w14:paraId="182DF991"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Raudonis, hemoragija </w:t>
            </w:r>
          </w:p>
        </w:tc>
      </w:tr>
      <w:tr w:rsidR="00CE151A" w:rsidRPr="00776407" w14:paraId="09FF201F" w14:textId="77777777" w:rsidTr="002A1779">
        <w:trPr>
          <w:gridAfter w:val="1"/>
          <w:wAfter w:w="39" w:type="dxa"/>
          <w:trHeight w:val="231"/>
        </w:trPr>
        <w:tc>
          <w:tcPr>
            <w:tcW w:w="2376" w:type="dxa"/>
            <w:tcBorders>
              <w:top w:val="single" w:sz="4" w:space="0" w:color="auto"/>
              <w:left w:val="single" w:sz="4" w:space="0" w:color="auto"/>
              <w:bottom w:val="single" w:sz="4" w:space="0" w:color="auto"/>
              <w:right w:val="single" w:sz="4" w:space="0" w:color="auto"/>
            </w:tcBorders>
          </w:tcPr>
          <w:p w14:paraId="46A822E9"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56" w:type="dxa"/>
            <w:tcBorders>
              <w:top w:val="single" w:sz="4" w:space="0" w:color="auto"/>
              <w:left w:val="single" w:sz="4" w:space="0" w:color="auto"/>
              <w:bottom w:val="single" w:sz="4" w:space="0" w:color="auto"/>
              <w:right w:val="single" w:sz="4" w:space="0" w:color="auto"/>
            </w:tcBorders>
          </w:tcPr>
          <w:p w14:paraId="3B50133F"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Hipertenzija, hematoma, subdurinė hematoma, periferinis šalimas, hipotenzija, Reino fenomenas </w:t>
            </w:r>
          </w:p>
        </w:tc>
      </w:tr>
      <w:tr w:rsidR="00171C6B" w:rsidRPr="00776407" w14:paraId="1442E496" w14:textId="77777777" w:rsidTr="002A1779">
        <w:trPr>
          <w:gridAfter w:val="1"/>
          <w:wAfter w:w="39" w:type="dxa"/>
          <w:trHeight w:val="231"/>
        </w:trPr>
        <w:tc>
          <w:tcPr>
            <w:tcW w:w="2376" w:type="dxa"/>
            <w:tcBorders>
              <w:top w:val="single" w:sz="4" w:space="0" w:color="auto"/>
              <w:left w:val="single" w:sz="4" w:space="0" w:color="auto"/>
              <w:bottom w:val="single" w:sz="4" w:space="0" w:color="auto"/>
              <w:right w:val="single" w:sz="4" w:space="0" w:color="auto"/>
            </w:tcBorders>
          </w:tcPr>
          <w:p w14:paraId="1B7FFCA3" w14:textId="77777777" w:rsidR="00171C6B" w:rsidRPr="00776407" w:rsidRDefault="00171C6B" w:rsidP="00CE151A">
            <w:pPr>
              <w:autoSpaceDE w:val="0"/>
              <w:autoSpaceDN w:val="0"/>
              <w:adjustRightInd w:val="0"/>
              <w:rPr>
                <w:rFonts w:eastAsia="Calibri"/>
                <w:i/>
                <w:iCs/>
                <w:color w:val="000000"/>
                <w:sz w:val="22"/>
                <w:szCs w:val="22"/>
              </w:rPr>
            </w:pPr>
            <w:r w:rsidRPr="00776407">
              <w:rPr>
                <w:rFonts w:eastAsia="Calibri"/>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180BB59C" w14:textId="77777777" w:rsidR="00171C6B" w:rsidRPr="00776407" w:rsidRDefault="00171C6B" w:rsidP="00CE151A">
            <w:pPr>
              <w:autoSpaceDE w:val="0"/>
              <w:autoSpaceDN w:val="0"/>
              <w:adjustRightInd w:val="0"/>
              <w:rPr>
                <w:rFonts w:eastAsia="Calibri"/>
                <w:color w:val="000000"/>
                <w:sz w:val="22"/>
                <w:szCs w:val="22"/>
              </w:rPr>
            </w:pPr>
            <w:r w:rsidRPr="00776407">
              <w:rPr>
                <w:rFonts w:eastAsia="Calibri"/>
                <w:color w:val="000000"/>
                <w:sz w:val="22"/>
                <w:szCs w:val="22"/>
              </w:rPr>
              <w:t>Trombozė/embolija*</w:t>
            </w:r>
          </w:p>
        </w:tc>
      </w:tr>
      <w:tr w:rsidR="00CE151A" w:rsidRPr="00776407" w14:paraId="17AE2B30" w14:textId="77777777" w:rsidTr="00040CD4">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654809D5" w14:textId="77777777" w:rsidR="00CE151A" w:rsidRPr="00776407" w:rsidRDefault="00CE151A" w:rsidP="00CE151A">
            <w:pPr>
              <w:autoSpaceDE w:val="0"/>
              <w:autoSpaceDN w:val="0"/>
              <w:adjustRightInd w:val="0"/>
              <w:rPr>
                <w:rFonts w:eastAsia="Calibri"/>
                <w:color w:val="000000"/>
              </w:rPr>
            </w:pPr>
            <w:r w:rsidRPr="00776407">
              <w:rPr>
                <w:rFonts w:eastAsia="Calibri"/>
                <w:b/>
                <w:bCs/>
                <w:color w:val="000000"/>
                <w:sz w:val="22"/>
                <w:szCs w:val="22"/>
              </w:rPr>
              <w:t xml:space="preserve">Kvėpavimo sistemos, krūtinės ląstos ir tarpuplaučio sutrikimai </w:t>
            </w:r>
          </w:p>
        </w:tc>
      </w:tr>
      <w:tr w:rsidR="00CE151A" w:rsidRPr="00776407" w14:paraId="7BE107E8"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0FBB9F1E"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56" w:type="dxa"/>
            <w:tcBorders>
              <w:top w:val="single" w:sz="4" w:space="0" w:color="auto"/>
              <w:left w:val="single" w:sz="4" w:space="0" w:color="auto"/>
              <w:bottom w:val="single" w:sz="4" w:space="0" w:color="auto"/>
              <w:right w:val="single" w:sz="4" w:space="0" w:color="auto"/>
            </w:tcBorders>
          </w:tcPr>
          <w:p w14:paraId="2BD3EABC"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Dusulys, kraujavimas iš nosies, kosulys </w:t>
            </w:r>
          </w:p>
        </w:tc>
      </w:tr>
      <w:tr w:rsidR="00CE151A" w:rsidRPr="00776407" w14:paraId="5EE4AB8C" w14:textId="77777777" w:rsidTr="002A1779">
        <w:trPr>
          <w:gridAfter w:val="1"/>
          <w:wAfter w:w="39" w:type="dxa"/>
          <w:trHeight w:val="122"/>
        </w:trPr>
        <w:tc>
          <w:tcPr>
            <w:tcW w:w="2376" w:type="dxa"/>
            <w:tcBorders>
              <w:top w:val="single" w:sz="4" w:space="0" w:color="auto"/>
              <w:left w:val="single" w:sz="4" w:space="0" w:color="auto"/>
              <w:bottom w:val="single" w:sz="4" w:space="0" w:color="auto"/>
              <w:right w:val="single" w:sz="4" w:space="0" w:color="auto"/>
            </w:tcBorders>
          </w:tcPr>
          <w:p w14:paraId="02F958C7"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56" w:type="dxa"/>
            <w:tcBorders>
              <w:top w:val="single" w:sz="4" w:space="0" w:color="auto"/>
              <w:left w:val="single" w:sz="4" w:space="0" w:color="auto"/>
              <w:bottom w:val="single" w:sz="4" w:space="0" w:color="auto"/>
              <w:right w:val="single" w:sz="4" w:space="0" w:color="auto"/>
            </w:tcBorders>
          </w:tcPr>
          <w:p w14:paraId="32CF89C2"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Skystis pleuros ertmėje</w:t>
            </w:r>
            <w:r w:rsidRPr="00776407">
              <w:rPr>
                <w:rFonts w:eastAsia="Calibri"/>
                <w:color w:val="000000"/>
                <w:sz w:val="22"/>
                <w:szCs w:val="22"/>
                <w:vertAlign w:val="superscript"/>
              </w:rPr>
              <w:t>5</w:t>
            </w:r>
            <w:r w:rsidRPr="00776407">
              <w:rPr>
                <w:rFonts w:eastAsia="Calibri"/>
                <w:color w:val="000000"/>
                <w:sz w:val="22"/>
                <w:szCs w:val="22"/>
              </w:rPr>
              <w:t xml:space="preserve">, ryklės ir gerklų skausmas, faringitas </w:t>
            </w:r>
          </w:p>
        </w:tc>
      </w:tr>
      <w:tr w:rsidR="00CE151A" w:rsidRPr="00776407" w14:paraId="0D6BD702" w14:textId="77777777" w:rsidTr="002A1779">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05960310"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56" w:type="dxa"/>
            <w:tcBorders>
              <w:top w:val="single" w:sz="4" w:space="0" w:color="auto"/>
              <w:left w:val="single" w:sz="4" w:space="0" w:color="auto"/>
              <w:bottom w:val="single" w:sz="4" w:space="0" w:color="auto"/>
              <w:right w:val="single" w:sz="4" w:space="0" w:color="auto"/>
            </w:tcBorders>
          </w:tcPr>
          <w:p w14:paraId="6700312F"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Pleuritinis skausmas, plaučių fibrozė, plaučių hipertenzija, kraujavimas iš plaučių </w:t>
            </w:r>
          </w:p>
        </w:tc>
      </w:tr>
      <w:tr w:rsidR="00171C6B" w:rsidRPr="00776407" w14:paraId="38B3998A" w14:textId="77777777" w:rsidTr="002A1779">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7D240FA9" w14:textId="77777777" w:rsidR="00171C6B" w:rsidRPr="00776407" w:rsidRDefault="00171C6B" w:rsidP="00CE151A">
            <w:pPr>
              <w:autoSpaceDE w:val="0"/>
              <w:autoSpaceDN w:val="0"/>
              <w:adjustRightInd w:val="0"/>
              <w:rPr>
                <w:rFonts w:eastAsia="Calibri"/>
                <w:i/>
                <w:iCs/>
                <w:color w:val="000000"/>
                <w:sz w:val="22"/>
                <w:szCs w:val="22"/>
              </w:rPr>
            </w:pPr>
            <w:r w:rsidRPr="00776407">
              <w:rPr>
                <w:rFonts w:eastAsia="Calibri"/>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6B79BF7A" w14:textId="77777777" w:rsidR="00171C6B" w:rsidRPr="00776407" w:rsidRDefault="00171C6B" w:rsidP="00CE151A">
            <w:pPr>
              <w:autoSpaceDE w:val="0"/>
              <w:autoSpaceDN w:val="0"/>
              <w:adjustRightInd w:val="0"/>
              <w:rPr>
                <w:rFonts w:eastAsia="Calibri"/>
                <w:color w:val="000000"/>
                <w:sz w:val="22"/>
                <w:szCs w:val="22"/>
              </w:rPr>
            </w:pPr>
            <w:r w:rsidRPr="00776407">
              <w:rPr>
                <w:rFonts w:eastAsia="Calibri"/>
                <w:color w:val="000000"/>
                <w:sz w:val="22"/>
                <w:szCs w:val="22"/>
              </w:rPr>
              <w:t>Ūminis kvėpavimo nepakankamumas</w:t>
            </w:r>
            <w:r w:rsidRPr="00776407">
              <w:rPr>
                <w:rFonts w:eastAsia="Calibri"/>
                <w:color w:val="000000"/>
                <w:sz w:val="22"/>
                <w:szCs w:val="22"/>
                <w:vertAlign w:val="superscript"/>
              </w:rPr>
              <w:t>1</w:t>
            </w:r>
            <w:r w:rsidR="00955C83" w:rsidRPr="00776407">
              <w:rPr>
                <w:rFonts w:eastAsia="Calibri"/>
                <w:color w:val="000000"/>
                <w:sz w:val="22"/>
                <w:szCs w:val="22"/>
                <w:vertAlign w:val="superscript"/>
              </w:rPr>
              <w:t>1</w:t>
            </w:r>
            <w:r w:rsidRPr="00776407">
              <w:rPr>
                <w:rFonts w:eastAsia="Calibri"/>
                <w:color w:val="000000"/>
                <w:sz w:val="22"/>
                <w:szCs w:val="22"/>
              </w:rPr>
              <w:t>*, intersticinė plaučių liga*</w:t>
            </w:r>
          </w:p>
        </w:tc>
      </w:tr>
      <w:tr w:rsidR="00CE151A" w:rsidRPr="00776407" w14:paraId="3581C132" w14:textId="77777777" w:rsidTr="00040CD4">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5D162477" w14:textId="77777777" w:rsidR="00CE151A" w:rsidRPr="00776407" w:rsidRDefault="00CE151A" w:rsidP="00CE151A">
            <w:pPr>
              <w:autoSpaceDE w:val="0"/>
              <w:autoSpaceDN w:val="0"/>
              <w:adjustRightInd w:val="0"/>
              <w:rPr>
                <w:rFonts w:eastAsia="Calibri"/>
                <w:color w:val="000000"/>
              </w:rPr>
            </w:pPr>
            <w:r w:rsidRPr="00776407">
              <w:rPr>
                <w:rFonts w:eastAsia="Calibri"/>
                <w:b/>
                <w:bCs/>
                <w:color w:val="000000"/>
                <w:sz w:val="22"/>
                <w:szCs w:val="22"/>
              </w:rPr>
              <w:t xml:space="preserve">Virškinimo trakto sutrikimai </w:t>
            </w:r>
          </w:p>
        </w:tc>
      </w:tr>
      <w:tr w:rsidR="00CE151A" w:rsidRPr="00776407" w14:paraId="0F7E45E3" w14:textId="77777777" w:rsidTr="002A1779">
        <w:trPr>
          <w:gridAfter w:val="1"/>
          <w:wAfter w:w="39" w:type="dxa"/>
          <w:trHeight w:val="122"/>
        </w:trPr>
        <w:tc>
          <w:tcPr>
            <w:tcW w:w="2376" w:type="dxa"/>
            <w:tcBorders>
              <w:top w:val="single" w:sz="4" w:space="0" w:color="auto"/>
              <w:left w:val="single" w:sz="4" w:space="0" w:color="auto"/>
              <w:bottom w:val="single" w:sz="4" w:space="0" w:color="auto"/>
              <w:right w:val="single" w:sz="4" w:space="0" w:color="auto"/>
            </w:tcBorders>
          </w:tcPr>
          <w:p w14:paraId="4DDD7E72"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Labai dažnos</w:t>
            </w:r>
          </w:p>
        </w:tc>
        <w:tc>
          <w:tcPr>
            <w:tcW w:w="6656" w:type="dxa"/>
            <w:tcBorders>
              <w:top w:val="single" w:sz="4" w:space="0" w:color="auto"/>
              <w:left w:val="single" w:sz="4" w:space="0" w:color="auto"/>
              <w:bottom w:val="single" w:sz="4" w:space="0" w:color="auto"/>
              <w:right w:val="single" w:sz="4" w:space="0" w:color="auto"/>
            </w:tcBorders>
          </w:tcPr>
          <w:p w14:paraId="4548A8BD" w14:textId="77777777" w:rsidR="00CE151A" w:rsidRPr="00776407" w:rsidRDefault="00CE151A" w:rsidP="00CE151A">
            <w:pPr>
              <w:autoSpaceDE w:val="0"/>
              <w:autoSpaceDN w:val="0"/>
              <w:adjustRightInd w:val="0"/>
              <w:rPr>
                <w:rFonts w:eastAsia="Calibri"/>
                <w:color w:val="000000"/>
                <w:sz w:val="14"/>
                <w:szCs w:val="14"/>
              </w:rPr>
            </w:pPr>
            <w:r w:rsidRPr="00776407">
              <w:rPr>
                <w:rFonts w:eastAsia="Calibri"/>
                <w:color w:val="000000"/>
                <w:sz w:val="22"/>
                <w:szCs w:val="22"/>
              </w:rPr>
              <w:t>Pykinimas, viduriavimas, vėmimas, dispepsija, pilvo skausmas</w:t>
            </w:r>
            <w:r w:rsidRPr="00776407">
              <w:rPr>
                <w:rFonts w:eastAsia="Calibri"/>
                <w:color w:val="000000"/>
                <w:sz w:val="22"/>
                <w:szCs w:val="22"/>
                <w:vertAlign w:val="superscript"/>
              </w:rPr>
              <w:t xml:space="preserve">6 </w:t>
            </w:r>
          </w:p>
        </w:tc>
      </w:tr>
      <w:tr w:rsidR="00CE151A" w:rsidRPr="00776407" w14:paraId="7F50F137" w14:textId="77777777" w:rsidTr="002A1779">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7A4BC62A"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56" w:type="dxa"/>
            <w:tcBorders>
              <w:top w:val="single" w:sz="4" w:space="0" w:color="auto"/>
              <w:left w:val="single" w:sz="4" w:space="0" w:color="auto"/>
              <w:bottom w:val="single" w:sz="4" w:space="0" w:color="auto"/>
              <w:right w:val="single" w:sz="4" w:space="0" w:color="auto"/>
            </w:tcBorders>
          </w:tcPr>
          <w:p w14:paraId="47FE3C02"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Dujų susikaupimas žarnyne, pilvo pūtimas, gastroezofaginis refliuksas, vidurių užkietėjimas, burnos džiūvimas, gastritas </w:t>
            </w:r>
          </w:p>
        </w:tc>
      </w:tr>
      <w:tr w:rsidR="00CE151A" w:rsidRPr="00776407" w14:paraId="0E689CC9" w14:textId="77777777" w:rsidTr="002A1779">
        <w:trPr>
          <w:gridAfter w:val="1"/>
          <w:wAfter w:w="39" w:type="dxa"/>
          <w:trHeight w:val="382"/>
        </w:trPr>
        <w:tc>
          <w:tcPr>
            <w:tcW w:w="2376" w:type="dxa"/>
            <w:tcBorders>
              <w:top w:val="single" w:sz="4" w:space="0" w:color="auto"/>
              <w:left w:val="single" w:sz="4" w:space="0" w:color="auto"/>
              <w:bottom w:val="single" w:sz="4" w:space="0" w:color="auto"/>
              <w:right w:val="single" w:sz="4" w:space="0" w:color="auto"/>
            </w:tcBorders>
          </w:tcPr>
          <w:p w14:paraId="5F42B8AD"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56" w:type="dxa"/>
            <w:tcBorders>
              <w:top w:val="single" w:sz="4" w:space="0" w:color="auto"/>
              <w:left w:val="single" w:sz="4" w:space="0" w:color="auto"/>
              <w:bottom w:val="single" w:sz="4" w:space="0" w:color="auto"/>
              <w:right w:val="single" w:sz="4" w:space="0" w:color="auto"/>
            </w:tcBorders>
          </w:tcPr>
          <w:p w14:paraId="1DB39BB1"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Stomatitas, burnos išopėjimas, kraujavimas iš virškinimo trakto</w:t>
            </w:r>
            <w:r w:rsidR="00BC26C4" w:rsidRPr="00776407">
              <w:rPr>
                <w:rFonts w:eastAsia="Calibri"/>
                <w:color w:val="000000"/>
                <w:sz w:val="22"/>
                <w:szCs w:val="22"/>
                <w:vertAlign w:val="superscript"/>
              </w:rPr>
              <w:t>7</w:t>
            </w:r>
            <w:r w:rsidRPr="00776407">
              <w:rPr>
                <w:rFonts w:eastAsia="Calibri"/>
                <w:color w:val="000000"/>
                <w:sz w:val="22"/>
                <w:szCs w:val="22"/>
              </w:rPr>
              <w:t xml:space="preserve">, raugulys, melena, ezofagitas, ascitas, skrandžio opa, hematemezė, lūpos uždegimas, disfagija, pankreatitas </w:t>
            </w:r>
          </w:p>
        </w:tc>
      </w:tr>
      <w:tr w:rsidR="00CE151A" w:rsidRPr="00776407" w14:paraId="49B005A0"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5E53896F"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56" w:type="dxa"/>
            <w:tcBorders>
              <w:top w:val="single" w:sz="4" w:space="0" w:color="auto"/>
              <w:left w:val="single" w:sz="4" w:space="0" w:color="auto"/>
              <w:bottom w:val="single" w:sz="4" w:space="0" w:color="auto"/>
              <w:right w:val="single" w:sz="4" w:space="0" w:color="auto"/>
            </w:tcBorders>
          </w:tcPr>
          <w:p w14:paraId="45CC4CED"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Kolitas, žarnų nepraeinamumas, uždegiminė žarnų liga </w:t>
            </w:r>
          </w:p>
        </w:tc>
      </w:tr>
      <w:tr w:rsidR="00171C6B" w:rsidRPr="00776407" w14:paraId="05317CED"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00D4A9B0" w14:textId="77777777" w:rsidR="00171C6B" w:rsidRPr="00776407" w:rsidRDefault="00171C6B" w:rsidP="00CE151A">
            <w:pPr>
              <w:autoSpaceDE w:val="0"/>
              <w:autoSpaceDN w:val="0"/>
              <w:adjustRightInd w:val="0"/>
              <w:rPr>
                <w:rFonts w:eastAsia="Calibri"/>
                <w:i/>
                <w:iCs/>
                <w:color w:val="000000"/>
                <w:sz w:val="22"/>
                <w:szCs w:val="22"/>
              </w:rPr>
            </w:pPr>
            <w:r w:rsidRPr="00776407">
              <w:rPr>
                <w:rFonts w:eastAsia="Calibri"/>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797E8140" w14:textId="77777777" w:rsidR="00171C6B" w:rsidRPr="00776407" w:rsidRDefault="00F6214E" w:rsidP="00CE151A">
            <w:pPr>
              <w:autoSpaceDE w:val="0"/>
              <w:autoSpaceDN w:val="0"/>
              <w:adjustRightInd w:val="0"/>
              <w:rPr>
                <w:rFonts w:eastAsia="Calibri"/>
                <w:color w:val="000000"/>
                <w:sz w:val="22"/>
                <w:szCs w:val="22"/>
              </w:rPr>
            </w:pPr>
            <w:r w:rsidRPr="00776407">
              <w:rPr>
                <w:rFonts w:eastAsia="Calibri"/>
                <w:color w:val="000000"/>
                <w:sz w:val="22"/>
                <w:szCs w:val="22"/>
              </w:rPr>
              <w:t>Žarnų nepraeinamumas/žarnų obstrukcija*, virškinimo trakto perforacija*, divertikulitas*, prievarčio kraujagyslių išsiplėtimas (GAVE)*</w:t>
            </w:r>
          </w:p>
        </w:tc>
      </w:tr>
      <w:tr w:rsidR="00CE151A" w:rsidRPr="00776407" w14:paraId="41FE09AE" w14:textId="77777777" w:rsidTr="00040CD4">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569234BD" w14:textId="77777777" w:rsidR="00CE151A" w:rsidRPr="00776407" w:rsidRDefault="00CE151A" w:rsidP="00CE151A">
            <w:pPr>
              <w:autoSpaceDE w:val="0"/>
              <w:autoSpaceDN w:val="0"/>
              <w:adjustRightInd w:val="0"/>
              <w:rPr>
                <w:rFonts w:eastAsia="Calibri"/>
                <w:color w:val="000000"/>
              </w:rPr>
            </w:pPr>
            <w:r w:rsidRPr="00776407">
              <w:rPr>
                <w:rFonts w:eastAsia="Calibri"/>
                <w:b/>
                <w:bCs/>
                <w:color w:val="000000"/>
                <w:sz w:val="22"/>
                <w:szCs w:val="22"/>
              </w:rPr>
              <w:t xml:space="preserve">Kepenų, tulžies pūslės ir latakų sutrikimai </w:t>
            </w:r>
          </w:p>
        </w:tc>
      </w:tr>
      <w:tr w:rsidR="00CE151A" w:rsidRPr="00776407" w14:paraId="0A670BA7"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49C63BF1"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56" w:type="dxa"/>
            <w:tcBorders>
              <w:top w:val="single" w:sz="4" w:space="0" w:color="auto"/>
              <w:left w:val="single" w:sz="4" w:space="0" w:color="auto"/>
              <w:bottom w:val="single" w:sz="4" w:space="0" w:color="auto"/>
              <w:right w:val="single" w:sz="4" w:space="0" w:color="auto"/>
            </w:tcBorders>
          </w:tcPr>
          <w:p w14:paraId="54F65D53"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Padidėjusi kepenų fermentų koncentracija </w:t>
            </w:r>
          </w:p>
        </w:tc>
      </w:tr>
      <w:tr w:rsidR="00CE151A" w:rsidRPr="00776407" w14:paraId="5D2A56B0"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2E36B89F"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56" w:type="dxa"/>
            <w:tcBorders>
              <w:top w:val="single" w:sz="4" w:space="0" w:color="auto"/>
              <w:left w:val="single" w:sz="4" w:space="0" w:color="auto"/>
              <w:bottom w:val="single" w:sz="4" w:space="0" w:color="auto"/>
              <w:right w:val="single" w:sz="4" w:space="0" w:color="auto"/>
            </w:tcBorders>
          </w:tcPr>
          <w:p w14:paraId="04557306"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Hiperbilirubinemija, hepatitas, gelta </w:t>
            </w:r>
          </w:p>
        </w:tc>
      </w:tr>
      <w:tr w:rsidR="00CE151A" w:rsidRPr="00776407" w14:paraId="1756B3EB" w14:textId="77777777" w:rsidTr="002A1779">
        <w:trPr>
          <w:gridAfter w:val="1"/>
          <w:wAfter w:w="39" w:type="dxa"/>
          <w:trHeight w:val="122"/>
        </w:trPr>
        <w:tc>
          <w:tcPr>
            <w:tcW w:w="2376" w:type="dxa"/>
            <w:tcBorders>
              <w:top w:val="single" w:sz="4" w:space="0" w:color="auto"/>
              <w:left w:val="single" w:sz="4" w:space="0" w:color="auto"/>
              <w:bottom w:val="single" w:sz="4" w:space="0" w:color="auto"/>
              <w:right w:val="single" w:sz="4" w:space="0" w:color="auto"/>
            </w:tcBorders>
          </w:tcPr>
          <w:p w14:paraId="3C4C8FE7"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56" w:type="dxa"/>
            <w:tcBorders>
              <w:top w:val="single" w:sz="4" w:space="0" w:color="auto"/>
              <w:left w:val="single" w:sz="4" w:space="0" w:color="auto"/>
              <w:bottom w:val="single" w:sz="4" w:space="0" w:color="auto"/>
              <w:right w:val="single" w:sz="4" w:space="0" w:color="auto"/>
            </w:tcBorders>
          </w:tcPr>
          <w:p w14:paraId="60397552"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Kepenų nepakankamumas</w:t>
            </w:r>
            <w:r w:rsidRPr="00776407">
              <w:rPr>
                <w:rFonts w:eastAsia="Calibri"/>
                <w:color w:val="000000"/>
                <w:sz w:val="22"/>
                <w:szCs w:val="22"/>
                <w:vertAlign w:val="superscript"/>
              </w:rPr>
              <w:t>8</w:t>
            </w:r>
            <w:r w:rsidRPr="00776407">
              <w:rPr>
                <w:rFonts w:eastAsia="Calibri"/>
                <w:color w:val="000000"/>
                <w:sz w:val="22"/>
                <w:szCs w:val="22"/>
              </w:rPr>
              <w:t xml:space="preserve">, kepenų nekrozė </w:t>
            </w:r>
          </w:p>
        </w:tc>
      </w:tr>
      <w:tr w:rsidR="00CE151A" w:rsidRPr="00776407" w14:paraId="79A20DFA" w14:textId="77777777" w:rsidTr="00040CD4">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7440EBC6" w14:textId="77777777" w:rsidR="00CE151A" w:rsidRPr="00776407" w:rsidRDefault="00CE151A" w:rsidP="00CE151A">
            <w:pPr>
              <w:autoSpaceDE w:val="0"/>
              <w:autoSpaceDN w:val="0"/>
              <w:adjustRightInd w:val="0"/>
              <w:rPr>
                <w:rFonts w:eastAsia="Calibri"/>
                <w:color w:val="000000"/>
              </w:rPr>
            </w:pPr>
            <w:r w:rsidRPr="00776407">
              <w:rPr>
                <w:rFonts w:eastAsia="Calibri"/>
                <w:b/>
                <w:bCs/>
                <w:color w:val="000000"/>
                <w:sz w:val="22"/>
                <w:szCs w:val="22"/>
              </w:rPr>
              <w:t xml:space="preserve">Odos ir poodinio audinio sutrikimai </w:t>
            </w:r>
          </w:p>
        </w:tc>
      </w:tr>
      <w:tr w:rsidR="00CE151A" w:rsidRPr="00776407" w14:paraId="7FAD34BA" w14:textId="77777777" w:rsidTr="002A1779">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58FF242F"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Labai dažnos </w:t>
            </w:r>
          </w:p>
        </w:tc>
        <w:tc>
          <w:tcPr>
            <w:tcW w:w="6656" w:type="dxa"/>
            <w:tcBorders>
              <w:top w:val="single" w:sz="4" w:space="0" w:color="auto"/>
              <w:left w:val="single" w:sz="4" w:space="0" w:color="auto"/>
              <w:bottom w:val="single" w:sz="4" w:space="0" w:color="auto"/>
              <w:right w:val="single" w:sz="4" w:space="0" w:color="auto"/>
            </w:tcBorders>
          </w:tcPr>
          <w:p w14:paraId="4F1BFC5C"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Edema apie akis, dermatitas/egzema/bėrimas </w:t>
            </w:r>
          </w:p>
        </w:tc>
      </w:tr>
      <w:tr w:rsidR="00CE151A" w:rsidRPr="00776407" w14:paraId="2A7A3E95" w14:textId="77777777" w:rsidTr="002A1779">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32CCC592"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56" w:type="dxa"/>
            <w:tcBorders>
              <w:top w:val="single" w:sz="4" w:space="0" w:color="auto"/>
              <w:left w:val="single" w:sz="4" w:space="0" w:color="auto"/>
              <w:bottom w:val="single" w:sz="4" w:space="0" w:color="auto"/>
              <w:right w:val="single" w:sz="4" w:space="0" w:color="auto"/>
            </w:tcBorders>
          </w:tcPr>
          <w:p w14:paraId="74C45192"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Niežulys, veido edema, sausa oda, eritema, alopecija, naktinis prakaitavimas, fotosensibilizacijos reakcija </w:t>
            </w:r>
          </w:p>
        </w:tc>
      </w:tr>
      <w:tr w:rsidR="00CE151A" w:rsidRPr="00776407" w14:paraId="480A8C37" w14:textId="77777777" w:rsidTr="002A1779">
        <w:trPr>
          <w:gridAfter w:val="1"/>
          <w:wAfter w:w="39" w:type="dxa"/>
          <w:trHeight w:val="490"/>
        </w:trPr>
        <w:tc>
          <w:tcPr>
            <w:tcW w:w="2376" w:type="dxa"/>
            <w:tcBorders>
              <w:top w:val="single" w:sz="4" w:space="0" w:color="auto"/>
              <w:left w:val="single" w:sz="4" w:space="0" w:color="auto"/>
              <w:bottom w:val="single" w:sz="4" w:space="0" w:color="auto"/>
              <w:right w:val="single" w:sz="4" w:space="0" w:color="auto"/>
            </w:tcBorders>
          </w:tcPr>
          <w:p w14:paraId="2EBFAD60"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56" w:type="dxa"/>
            <w:tcBorders>
              <w:top w:val="single" w:sz="4" w:space="0" w:color="auto"/>
              <w:left w:val="single" w:sz="4" w:space="0" w:color="auto"/>
              <w:bottom w:val="single" w:sz="4" w:space="0" w:color="auto"/>
              <w:right w:val="single" w:sz="4" w:space="0" w:color="auto"/>
            </w:tcBorders>
          </w:tcPr>
          <w:p w14:paraId="0A6B0E26" w14:textId="77777777" w:rsidR="00CE151A" w:rsidRPr="00776407" w:rsidRDefault="00CE151A" w:rsidP="00CE151A">
            <w:pPr>
              <w:autoSpaceDE w:val="0"/>
              <w:autoSpaceDN w:val="0"/>
              <w:adjustRightInd w:val="0"/>
              <w:rPr>
                <w:rFonts w:eastAsia="Calibri"/>
                <w:color w:val="000000"/>
              </w:rPr>
            </w:pPr>
            <w:r w:rsidRPr="00776407">
              <w:rPr>
                <w:rFonts w:eastAsia="Calibri"/>
                <w:color w:val="000000"/>
                <w:sz w:val="22"/>
                <w:szCs w:val="22"/>
              </w:rPr>
              <w:t xml:space="preserve">Pustulinis bėrimas, sumušimas, padidėjęs prakaitavimas, dilgėlinė, ekchimozė, padidėjęs polinkis į mėlynes, sumažėjęs plaukuotumas, odos hipopigmentacija, eksfoliacinis dermatitas, nagų lūžinėjimas, folikulitas, petechijos, psoriazė, purpura, odos hiperpigmentacija, pūslinis bėrimas </w:t>
            </w:r>
          </w:p>
        </w:tc>
      </w:tr>
      <w:tr w:rsidR="00CE151A" w:rsidRPr="00776407" w14:paraId="5468B1D5" w14:textId="77777777" w:rsidTr="002A1779">
        <w:trPr>
          <w:gridAfter w:val="1"/>
          <w:wAfter w:w="39" w:type="dxa"/>
          <w:trHeight w:val="490"/>
        </w:trPr>
        <w:tc>
          <w:tcPr>
            <w:tcW w:w="2376" w:type="dxa"/>
            <w:tcBorders>
              <w:top w:val="single" w:sz="4" w:space="0" w:color="auto"/>
              <w:left w:val="single" w:sz="4" w:space="0" w:color="auto"/>
              <w:bottom w:val="single" w:sz="4" w:space="0" w:color="auto"/>
              <w:right w:val="single" w:sz="4" w:space="0" w:color="auto"/>
            </w:tcBorders>
          </w:tcPr>
          <w:p w14:paraId="57B1ED99" w14:textId="77777777" w:rsidR="00CE151A" w:rsidRPr="00776407" w:rsidRDefault="00CE151A" w:rsidP="00CE151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56" w:type="dxa"/>
            <w:tcBorders>
              <w:top w:val="single" w:sz="4" w:space="0" w:color="auto"/>
              <w:left w:val="single" w:sz="4" w:space="0" w:color="auto"/>
              <w:bottom w:val="single" w:sz="4" w:space="0" w:color="auto"/>
              <w:right w:val="single" w:sz="4" w:space="0" w:color="auto"/>
            </w:tcBorders>
          </w:tcPr>
          <w:p w14:paraId="5FF4FBB1" w14:textId="77777777" w:rsidR="00CE151A" w:rsidRPr="00776407" w:rsidRDefault="00CE151A" w:rsidP="00F303FB">
            <w:pPr>
              <w:autoSpaceDE w:val="0"/>
              <w:autoSpaceDN w:val="0"/>
              <w:adjustRightInd w:val="0"/>
              <w:rPr>
                <w:rFonts w:eastAsia="Calibri"/>
                <w:color w:val="000000"/>
              </w:rPr>
            </w:pPr>
            <w:r w:rsidRPr="00776407">
              <w:rPr>
                <w:rFonts w:eastAsia="Calibri"/>
                <w:color w:val="000000"/>
                <w:sz w:val="22"/>
                <w:szCs w:val="22"/>
              </w:rPr>
              <w:t>Ūminė febrilinė neutrofilinė dermatozė (</w:t>
            </w:r>
            <w:r w:rsidRPr="00776407">
              <w:rPr>
                <w:rFonts w:eastAsia="Calibri"/>
                <w:i/>
                <w:color w:val="000000"/>
                <w:sz w:val="22"/>
                <w:szCs w:val="22"/>
              </w:rPr>
              <w:t>Sweet</w:t>
            </w:r>
            <w:r w:rsidRPr="00776407">
              <w:rPr>
                <w:rFonts w:eastAsia="Calibri"/>
                <w:color w:val="000000"/>
                <w:sz w:val="22"/>
                <w:szCs w:val="22"/>
              </w:rPr>
              <w:t xml:space="preserve"> sindromas), nagų spalvos pakitimas, angioneurozinė edema, pūslelinis bėrimas, daugiaformė eritema, leukocitoklastinis vaskulitas, </w:t>
            </w:r>
            <w:r w:rsidRPr="00776407">
              <w:rPr>
                <w:rFonts w:eastAsia="Calibri"/>
                <w:i/>
                <w:color w:val="000000"/>
                <w:sz w:val="22"/>
                <w:szCs w:val="22"/>
              </w:rPr>
              <w:t>Stevens-Johnson</w:t>
            </w:r>
            <w:r w:rsidRPr="00776407">
              <w:rPr>
                <w:rFonts w:eastAsia="Calibri"/>
                <w:color w:val="000000"/>
                <w:sz w:val="22"/>
                <w:szCs w:val="22"/>
              </w:rPr>
              <w:t xml:space="preserve"> sindromas, ūminė generalizuota egzanteminė pustuliozė (ŪGEP) </w:t>
            </w:r>
          </w:p>
        </w:tc>
      </w:tr>
      <w:tr w:rsidR="00F6214E" w:rsidRPr="00776407" w14:paraId="4DBD352F" w14:textId="77777777" w:rsidTr="002A1779">
        <w:trPr>
          <w:gridAfter w:val="1"/>
          <w:wAfter w:w="39" w:type="dxa"/>
          <w:trHeight w:val="490"/>
        </w:trPr>
        <w:tc>
          <w:tcPr>
            <w:tcW w:w="2376" w:type="dxa"/>
            <w:tcBorders>
              <w:top w:val="single" w:sz="4" w:space="0" w:color="auto"/>
              <w:left w:val="single" w:sz="4" w:space="0" w:color="auto"/>
              <w:bottom w:val="single" w:sz="4" w:space="0" w:color="auto"/>
              <w:right w:val="single" w:sz="4" w:space="0" w:color="auto"/>
            </w:tcBorders>
          </w:tcPr>
          <w:p w14:paraId="4F7B0DDF" w14:textId="77777777" w:rsidR="00F6214E" w:rsidRPr="00776407" w:rsidRDefault="00F6214E" w:rsidP="00CE151A">
            <w:pPr>
              <w:autoSpaceDE w:val="0"/>
              <w:autoSpaceDN w:val="0"/>
              <w:adjustRightInd w:val="0"/>
              <w:rPr>
                <w:rFonts w:eastAsia="Calibri"/>
                <w:i/>
                <w:iCs/>
                <w:color w:val="000000"/>
                <w:sz w:val="22"/>
                <w:szCs w:val="22"/>
              </w:rPr>
            </w:pPr>
            <w:r w:rsidRPr="00776407">
              <w:rPr>
                <w:rFonts w:eastAsia="Calibri"/>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3ED00784" w14:textId="77777777" w:rsidR="00F6214E" w:rsidRPr="00776407" w:rsidRDefault="00F6214E" w:rsidP="00CE151A">
            <w:pPr>
              <w:autoSpaceDE w:val="0"/>
              <w:autoSpaceDN w:val="0"/>
              <w:adjustRightInd w:val="0"/>
              <w:rPr>
                <w:rFonts w:eastAsia="Calibri"/>
                <w:color w:val="000000"/>
                <w:sz w:val="22"/>
                <w:szCs w:val="22"/>
              </w:rPr>
            </w:pPr>
            <w:r w:rsidRPr="00776407">
              <w:rPr>
                <w:rFonts w:eastAsia="Calibri"/>
                <w:color w:val="000000"/>
                <w:sz w:val="22"/>
                <w:szCs w:val="22"/>
              </w:rPr>
              <w:t xml:space="preserve">Delnų ir padų eritrodizestezijos sindromas*, lichenoidinė keratozė*, plokščioji kerpligė*, toksinė epidermio nekrolizė*, medikamentinis išbėrimas su eozinofilija ir sisteminiais simptomais </w:t>
            </w:r>
            <w:r w:rsidRPr="00776407">
              <w:rPr>
                <w:rFonts w:eastAsia="Calibri"/>
                <w:i/>
                <w:color w:val="000000"/>
                <w:sz w:val="22"/>
                <w:szCs w:val="22"/>
              </w:rPr>
              <w:t>(DRESS)</w:t>
            </w:r>
            <w:r w:rsidRPr="00776407">
              <w:rPr>
                <w:rFonts w:eastAsia="Calibri"/>
                <w:color w:val="000000"/>
                <w:sz w:val="22"/>
                <w:szCs w:val="22"/>
              </w:rPr>
              <w:t>*</w:t>
            </w:r>
            <w:r w:rsidR="00F303FB" w:rsidRPr="00776407">
              <w:rPr>
                <w:rFonts w:eastAsia="Calibri"/>
                <w:color w:val="000000"/>
                <w:sz w:val="22"/>
                <w:szCs w:val="22"/>
              </w:rPr>
              <w:t>, pseudoporfirija*</w:t>
            </w:r>
          </w:p>
        </w:tc>
      </w:tr>
      <w:tr w:rsidR="00040CD4" w:rsidRPr="00776407" w14:paraId="2AB1EB04" w14:textId="77777777" w:rsidTr="00040CD4">
        <w:trPr>
          <w:trHeight w:val="98"/>
        </w:trPr>
        <w:tc>
          <w:tcPr>
            <w:tcW w:w="9071" w:type="dxa"/>
            <w:gridSpan w:val="3"/>
            <w:tcBorders>
              <w:top w:val="single" w:sz="4" w:space="0" w:color="auto"/>
              <w:left w:val="single" w:sz="4" w:space="0" w:color="auto"/>
              <w:bottom w:val="single" w:sz="4" w:space="0" w:color="auto"/>
              <w:right w:val="single" w:sz="4" w:space="0" w:color="auto"/>
            </w:tcBorders>
          </w:tcPr>
          <w:p w14:paraId="6EAE2AEE" w14:textId="77777777" w:rsidR="00040CD4" w:rsidRPr="00776407" w:rsidRDefault="00040CD4" w:rsidP="00040CD4">
            <w:pPr>
              <w:autoSpaceDE w:val="0"/>
              <w:autoSpaceDN w:val="0"/>
              <w:adjustRightInd w:val="0"/>
              <w:rPr>
                <w:rFonts w:eastAsia="Calibri"/>
                <w:color w:val="000000"/>
              </w:rPr>
            </w:pPr>
            <w:r w:rsidRPr="00776407">
              <w:rPr>
                <w:rFonts w:eastAsia="Calibri"/>
                <w:b/>
                <w:bCs/>
                <w:color w:val="000000"/>
                <w:sz w:val="22"/>
                <w:szCs w:val="22"/>
              </w:rPr>
              <w:t xml:space="preserve">Skeleto, raumenų ir jungiamojo audinio sutrikimai </w:t>
            </w:r>
          </w:p>
        </w:tc>
      </w:tr>
      <w:tr w:rsidR="00040CD4" w:rsidRPr="00776407" w14:paraId="5A613059" w14:textId="77777777" w:rsidTr="002A1779">
        <w:trPr>
          <w:trHeight w:val="230"/>
        </w:trPr>
        <w:tc>
          <w:tcPr>
            <w:tcW w:w="2376" w:type="dxa"/>
            <w:tcBorders>
              <w:top w:val="single" w:sz="4" w:space="0" w:color="auto"/>
              <w:left w:val="single" w:sz="4" w:space="0" w:color="auto"/>
              <w:bottom w:val="single" w:sz="4" w:space="0" w:color="auto"/>
              <w:right w:val="single" w:sz="4" w:space="0" w:color="auto"/>
            </w:tcBorders>
          </w:tcPr>
          <w:p w14:paraId="0691CA5B" w14:textId="77777777" w:rsidR="00040CD4" w:rsidRPr="00776407" w:rsidRDefault="00040CD4" w:rsidP="00040CD4">
            <w:pPr>
              <w:autoSpaceDE w:val="0"/>
              <w:autoSpaceDN w:val="0"/>
              <w:adjustRightInd w:val="0"/>
              <w:rPr>
                <w:rFonts w:eastAsia="Calibri"/>
                <w:color w:val="000000"/>
              </w:rPr>
            </w:pPr>
            <w:r w:rsidRPr="00776407">
              <w:rPr>
                <w:rFonts w:eastAsia="Calibri"/>
                <w:i/>
                <w:iCs/>
                <w:color w:val="000000"/>
                <w:sz w:val="22"/>
                <w:szCs w:val="22"/>
              </w:rPr>
              <w:t xml:space="preserve">Labai dažnos </w:t>
            </w:r>
          </w:p>
        </w:tc>
        <w:tc>
          <w:tcPr>
            <w:tcW w:w="6695" w:type="dxa"/>
            <w:gridSpan w:val="2"/>
            <w:tcBorders>
              <w:top w:val="single" w:sz="4" w:space="0" w:color="auto"/>
              <w:left w:val="single" w:sz="4" w:space="0" w:color="auto"/>
              <w:bottom w:val="single" w:sz="4" w:space="0" w:color="auto"/>
              <w:right w:val="single" w:sz="4" w:space="0" w:color="auto"/>
            </w:tcBorders>
          </w:tcPr>
          <w:p w14:paraId="220CA6A1" w14:textId="77777777" w:rsidR="00040CD4" w:rsidRPr="00776407" w:rsidRDefault="00040CD4" w:rsidP="00040CD4">
            <w:pPr>
              <w:autoSpaceDE w:val="0"/>
              <w:autoSpaceDN w:val="0"/>
              <w:adjustRightInd w:val="0"/>
              <w:rPr>
                <w:rFonts w:eastAsia="Calibri"/>
                <w:color w:val="000000"/>
                <w:sz w:val="14"/>
                <w:szCs w:val="14"/>
              </w:rPr>
            </w:pPr>
            <w:r w:rsidRPr="00776407">
              <w:rPr>
                <w:rFonts w:eastAsia="Calibri"/>
                <w:color w:val="000000"/>
                <w:sz w:val="22"/>
                <w:szCs w:val="22"/>
              </w:rPr>
              <w:t>Raumenų spazmas ir mėšlungis, skeleto ir raumenų skausmas, taip pat mialgija</w:t>
            </w:r>
            <w:r w:rsidR="00955C83" w:rsidRPr="00776407">
              <w:rPr>
                <w:vertAlign w:val="superscript"/>
              </w:rPr>
              <w:t>9</w:t>
            </w:r>
            <w:r w:rsidRPr="00776407">
              <w:rPr>
                <w:rFonts w:eastAsia="Calibri"/>
                <w:color w:val="000000"/>
                <w:sz w:val="22"/>
                <w:szCs w:val="22"/>
              </w:rPr>
              <w:t>, artralgija, kaulų skausmas</w:t>
            </w:r>
            <w:r w:rsidR="00955C83" w:rsidRPr="00776407">
              <w:rPr>
                <w:rFonts w:eastAsia="Calibri"/>
                <w:color w:val="000000"/>
                <w:sz w:val="22"/>
                <w:szCs w:val="22"/>
                <w:vertAlign w:val="superscript"/>
              </w:rPr>
              <w:t>10</w:t>
            </w:r>
          </w:p>
        </w:tc>
      </w:tr>
      <w:tr w:rsidR="00040CD4" w:rsidRPr="00776407" w14:paraId="086D045C" w14:textId="77777777" w:rsidTr="002A1779">
        <w:trPr>
          <w:trHeight w:val="100"/>
        </w:trPr>
        <w:tc>
          <w:tcPr>
            <w:tcW w:w="2376" w:type="dxa"/>
            <w:tcBorders>
              <w:top w:val="single" w:sz="4" w:space="0" w:color="auto"/>
              <w:left w:val="single" w:sz="4" w:space="0" w:color="auto"/>
              <w:bottom w:val="single" w:sz="4" w:space="0" w:color="auto"/>
              <w:right w:val="single" w:sz="4" w:space="0" w:color="auto"/>
            </w:tcBorders>
          </w:tcPr>
          <w:p w14:paraId="5D88B992" w14:textId="77777777" w:rsidR="00040CD4" w:rsidRPr="00776407" w:rsidRDefault="00040CD4" w:rsidP="00040CD4">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95" w:type="dxa"/>
            <w:gridSpan w:val="2"/>
            <w:tcBorders>
              <w:top w:val="single" w:sz="4" w:space="0" w:color="auto"/>
              <w:left w:val="single" w:sz="4" w:space="0" w:color="auto"/>
              <w:bottom w:val="single" w:sz="4" w:space="0" w:color="auto"/>
              <w:right w:val="single" w:sz="4" w:space="0" w:color="auto"/>
            </w:tcBorders>
          </w:tcPr>
          <w:p w14:paraId="6143FDD0" w14:textId="77777777" w:rsidR="00040CD4" w:rsidRPr="00776407" w:rsidRDefault="00040CD4" w:rsidP="00040CD4">
            <w:pPr>
              <w:autoSpaceDE w:val="0"/>
              <w:autoSpaceDN w:val="0"/>
              <w:adjustRightInd w:val="0"/>
              <w:rPr>
                <w:rFonts w:eastAsia="Calibri"/>
                <w:color w:val="000000"/>
              </w:rPr>
            </w:pPr>
            <w:r w:rsidRPr="00776407">
              <w:rPr>
                <w:rFonts w:eastAsia="Calibri"/>
                <w:color w:val="000000"/>
                <w:sz w:val="22"/>
                <w:szCs w:val="22"/>
              </w:rPr>
              <w:t xml:space="preserve">Sąnarių tinimas </w:t>
            </w:r>
          </w:p>
        </w:tc>
      </w:tr>
      <w:tr w:rsidR="00040CD4" w:rsidRPr="00776407" w14:paraId="33CB2706" w14:textId="77777777" w:rsidTr="002A1779">
        <w:trPr>
          <w:trHeight w:val="100"/>
        </w:trPr>
        <w:tc>
          <w:tcPr>
            <w:tcW w:w="2376" w:type="dxa"/>
            <w:tcBorders>
              <w:top w:val="single" w:sz="4" w:space="0" w:color="auto"/>
              <w:left w:val="single" w:sz="4" w:space="0" w:color="auto"/>
              <w:bottom w:val="single" w:sz="4" w:space="0" w:color="auto"/>
              <w:right w:val="single" w:sz="4" w:space="0" w:color="auto"/>
            </w:tcBorders>
          </w:tcPr>
          <w:p w14:paraId="594CF132" w14:textId="77777777" w:rsidR="00040CD4" w:rsidRPr="00776407" w:rsidRDefault="00040CD4" w:rsidP="00040CD4">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95" w:type="dxa"/>
            <w:gridSpan w:val="2"/>
            <w:tcBorders>
              <w:top w:val="single" w:sz="4" w:space="0" w:color="auto"/>
              <w:left w:val="single" w:sz="4" w:space="0" w:color="auto"/>
              <w:bottom w:val="single" w:sz="4" w:space="0" w:color="auto"/>
              <w:right w:val="single" w:sz="4" w:space="0" w:color="auto"/>
            </w:tcBorders>
          </w:tcPr>
          <w:p w14:paraId="77CDF8B5" w14:textId="77777777" w:rsidR="00040CD4" w:rsidRPr="00776407" w:rsidRDefault="00040CD4" w:rsidP="00040CD4">
            <w:pPr>
              <w:autoSpaceDE w:val="0"/>
              <w:autoSpaceDN w:val="0"/>
              <w:adjustRightInd w:val="0"/>
              <w:rPr>
                <w:rFonts w:eastAsia="Calibri"/>
                <w:color w:val="000000"/>
              </w:rPr>
            </w:pPr>
            <w:r w:rsidRPr="00776407">
              <w:rPr>
                <w:rFonts w:eastAsia="Calibri"/>
                <w:color w:val="000000"/>
                <w:sz w:val="22"/>
                <w:szCs w:val="22"/>
              </w:rPr>
              <w:t xml:space="preserve">Sąnarių ir raumenų sąstingis </w:t>
            </w:r>
          </w:p>
        </w:tc>
      </w:tr>
      <w:tr w:rsidR="00040CD4" w:rsidRPr="00776407" w14:paraId="3CB35774" w14:textId="77777777" w:rsidTr="002A1779">
        <w:trPr>
          <w:trHeight w:val="100"/>
        </w:trPr>
        <w:tc>
          <w:tcPr>
            <w:tcW w:w="2376" w:type="dxa"/>
            <w:tcBorders>
              <w:top w:val="single" w:sz="4" w:space="0" w:color="auto"/>
              <w:left w:val="single" w:sz="4" w:space="0" w:color="auto"/>
              <w:bottom w:val="single" w:sz="4" w:space="0" w:color="auto"/>
              <w:right w:val="single" w:sz="4" w:space="0" w:color="auto"/>
            </w:tcBorders>
          </w:tcPr>
          <w:p w14:paraId="13A4E0FB" w14:textId="77777777" w:rsidR="00040CD4" w:rsidRPr="00776407" w:rsidRDefault="00040CD4" w:rsidP="00040CD4">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95" w:type="dxa"/>
            <w:gridSpan w:val="2"/>
            <w:tcBorders>
              <w:top w:val="single" w:sz="4" w:space="0" w:color="auto"/>
              <w:left w:val="single" w:sz="4" w:space="0" w:color="auto"/>
              <w:bottom w:val="single" w:sz="4" w:space="0" w:color="auto"/>
              <w:right w:val="single" w:sz="4" w:space="0" w:color="auto"/>
            </w:tcBorders>
          </w:tcPr>
          <w:p w14:paraId="3757C1D2" w14:textId="77777777" w:rsidR="00040CD4" w:rsidRPr="00776407" w:rsidRDefault="00040CD4" w:rsidP="00040CD4">
            <w:pPr>
              <w:autoSpaceDE w:val="0"/>
              <w:autoSpaceDN w:val="0"/>
              <w:adjustRightInd w:val="0"/>
              <w:rPr>
                <w:rFonts w:eastAsia="Calibri"/>
                <w:color w:val="000000"/>
              </w:rPr>
            </w:pPr>
            <w:r w:rsidRPr="00776407">
              <w:rPr>
                <w:rFonts w:eastAsia="Calibri"/>
                <w:color w:val="000000"/>
                <w:sz w:val="22"/>
                <w:szCs w:val="22"/>
              </w:rPr>
              <w:t xml:space="preserve">Raumenų silpnumas, artritas, rabdomiolizė ar miopatija </w:t>
            </w:r>
          </w:p>
        </w:tc>
      </w:tr>
      <w:tr w:rsidR="00F6214E" w:rsidRPr="00776407" w14:paraId="46802F2C" w14:textId="77777777" w:rsidTr="002A1779">
        <w:trPr>
          <w:trHeight w:val="100"/>
        </w:trPr>
        <w:tc>
          <w:tcPr>
            <w:tcW w:w="2376" w:type="dxa"/>
            <w:tcBorders>
              <w:top w:val="single" w:sz="4" w:space="0" w:color="auto"/>
              <w:left w:val="single" w:sz="4" w:space="0" w:color="auto"/>
              <w:bottom w:val="single" w:sz="4" w:space="0" w:color="auto"/>
              <w:right w:val="single" w:sz="4" w:space="0" w:color="auto"/>
            </w:tcBorders>
          </w:tcPr>
          <w:p w14:paraId="472EBF87" w14:textId="77777777" w:rsidR="00F6214E" w:rsidRPr="00776407" w:rsidRDefault="00F6214E" w:rsidP="00040CD4">
            <w:pPr>
              <w:autoSpaceDE w:val="0"/>
              <w:autoSpaceDN w:val="0"/>
              <w:adjustRightInd w:val="0"/>
              <w:rPr>
                <w:rFonts w:eastAsia="Calibri"/>
                <w:i/>
                <w:iCs/>
                <w:color w:val="000000"/>
                <w:sz w:val="22"/>
                <w:szCs w:val="22"/>
              </w:rPr>
            </w:pPr>
            <w:r w:rsidRPr="00776407">
              <w:rPr>
                <w:rFonts w:eastAsia="Calibri"/>
                <w:i/>
                <w:iCs/>
                <w:color w:val="000000"/>
                <w:sz w:val="22"/>
                <w:szCs w:val="22"/>
              </w:rPr>
              <w:t>Dažnis nežinomas</w:t>
            </w:r>
          </w:p>
        </w:tc>
        <w:tc>
          <w:tcPr>
            <w:tcW w:w="6695" w:type="dxa"/>
            <w:gridSpan w:val="2"/>
            <w:tcBorders>
              <w:top w:val="single" w:sz="4" w:space="0" w:color="auto"/>
              <w:left w:val="single" w:sz="4" w:space="0" w:color="auto"/>
              <w:bottom w:val="single" w:sz="4" w:space="0" w:color="auto"/>
              <w:right w:val="single" w:sz="4" w:space="0" w:color="auto"/>
            </w:tcBorders>
          </w:tcPr>
          <w:p w14:paraId="67767555" w14:textId="77777777" w:rsidR="00F6214E" w:rsidRPr="00776407" w:rsidRDefault="00F6214E" w:rsidP="00040CD4">
            <w:pPr>
              <w:autoSpaceDE w:val="0"/>
              <w:autoSpaceDN w:val="0"/>
              <w:adjustRightInd w:val="0"/>
              <w:rPr>
                <w:rFonts w:eastAsia="Calibri"/>
                <w:color w:val="000000"/>
                <w:sz w:val="22"/>
                <w:szCs w:val="22"/>
              </w:rPr>
            </w:pPr>
            <w:r w:rsidRPr="00776407">
              <w:rPr>
                <w:rFonts w:eastAsia="Calibri"/>
                <w:color w:val="000000"/>
                <w:sz w:val="22"/>
                <w:szCs w:val="22"/>
              </w:rPr>
              <w:t>Nevaskulinė nekrozė/šlaunikaulio galvutės nekrozė*, v</w:t>
            </w:r>
            <w:r w:rsidRPr="00776407">
              <w:rPr>
                <w:rFonts w:eastAsia="Calibri"/>
                <w:bCs/>
                <w:color w:val="000000"/>
                <w:sz w:val="22"/>
                <w:szCs w:val="22"/>
              </w:rPr>
              <w:t>aikų augimo sulėtėjimas</w:t>
            </w:r>
            <w:r w:rsidRPr="00776407">
              <w:rPr>
                <w:rFonts w:eastAsia="Calibri"/>
                <w:color w:val="000000"/>
                <w:sz w:val="22"/>
                <w:szCs w:val="22"/>
              </w:rPr>
              <w:t>*</w:t>
            </w:r>
          </w:p>
        </w:tc>
      </w:tr>
      <w:tr w:rsidR="00040CD4" w:rsidRPr="00776407" w14:paraId="60497C1E" w14:textId="77777777" w:rsidTr="00040CD4">
        <w:trPr>
          <w:trHeight w:val="98"/>
        </w:trPr>
        <w:tc>
          <w:tcPr>
            <w:tcW w:w="9071" w:type="dxa"/>
            <w:gridSpan w:val="3"/>
            <w:tcBorders>
              <w:top w:val="single" w:sz="4" w:space="0" w:color="auto"/>
              <w:left w:val="single" w:sz="4" w:space="0" w:color="auto"/>
              <w:bottom w:val="single" w:sz="4" w:space="0" w:color="auto"/>
              <w:right w:val="single" w:sz="4" w:space="0" w:color="auto"/>
            </w:tcBorders>
          </w:tcPr>
          <w:p w14:paraId="3E9E7709" w14:textId="77777777" w:rsidR="00040CD4" w:rsidRPr="00776407" w:rsidRDefault="00040CD4" w:rsidP="00040CD4">
            <w:pPr>
              <w:autoSpaceDE w:val="0"/>
              <w:autoSpaceDN w:val="0"/>
              <w:adjustRightInd w:val="0"/>
              <w:rPr>
                <w:rFonts w:eastAsia="Calibri"/>
                <w:color w:val="000000"/>
              </w:rPr>
            </w:pPr>
            <w:r w:rsidRPr="00776407">
              <w:rPr>
                <w:rFonts w:eastAsia="Calibri"/>
                <w:b/>
                <w:bCs/>
                <w:color w:val="000000"/>
                <w:sz w:val="22"/>
                <w:szCs w:val="22"/>
              </w:rPr>
              <w:t xml:space="preserve">Inkstų ir šlapimo takų sutrikimai </w:t>
            </w:r>
          </w:p>
        </w:tc>
      </w:tr>
      <w:tr w:rsidR="00040CD4" w:rsidRPr="00776407" w14:paraId="0F74D811" w14:textId="77777777" w:rsidTr="002A1779">
        <w:trPr>
          <w:trHeight w:val="230"/>
        </w:trPr>
        <w:tc>
          <w:tcPr>
            <w:tcW w:w="2376" w:type="dxa"/>
            <w:tcBorders>
              <w:top w:val="single" w:sz="4" w:space="0" w:color="auto"/>
              <w:left w:val="single" w:sz="4" w:space="0" w:color="auto"/>
              <w:bottom w:val="single" w:sz="4" w:space="0" w:color="auto"/>
              <w:right w:val="single" w:sz="4" w:space="0" w:color="auto"/>
            </w:tcBorders>
          </w:tcPr>
          <w:p w14:paraId="7E2B81A8" w14:textId="77777777" w:rsidR="00040CD4" w:rsidRPr="00776407" w:rsidRDefault="00040CD4" w:rsidP="00040CD4">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95" w:type="dxa"/>
            <w:gridSpan w:val="2"/>
            <w:tcBorders>
              <w:top w:val="single" w:sz="4" w:space="0" w:color="auto"/>
              <w:left w:val="single" w:sz="4" w:space="0" w:color="auto"/>
              <w:bottom w:val="single" w:sz="4" w:space="0" w:color="auto"/>
              <w:right w:val="single" w:sz="4" w:space="0" w:color="auto"/>
            </w:tcBorders>
          </w:tcPr>
          <w:p w14:paraId="661A0669" w14:textId="77777777" w:rsidR="00040CD4" w:rsidRPr="00776407" w:rsidRDefault="00040CD4" w:rsidP="00040CD4">
            <w:pPr>
              <w:autoSpaceDE w:val="0"/>
              <w:autoSpaceDN w:val="0"/>
              <w:adjustRightInd w:val="0"/>
              <w:rPr>
                <w:rFonts w:eastAsia="Calibri"/>
                <w:color w:val="000000"/>
              </w:rPr>
            </w:pPr>
            <w:r w:rsidRPr="00776407">
              <w:rPr>
                <w:rFonts w:eastAsia="Calibri"/>
                <w:color w:val="000000"/>
                <w:sz w:val="22"/>
                <w:szCs w:val="22"/>
              </w:rPr>
              <w:t xml:space="preserve">Inkstų skausmas, hematurija, ūminis inkstų nepakankamumas, padažnėjęs šlapinimasis </w:t>
            </w:r>
          </w:p>
        </w:tc>
      </w:tr>
      <w:tr w:rsidR="00F6214E" w:rsidRPr="00776407" w14:paraId="2929E5DD" w14:textId="77777777" w:rsidTr="002A1779">
        <w:trPr>
          <w:trHeight w:val="230"/>
        </w:trPr>
        <w:tc>
          <w:tcPr>
            <w:tcW w:w="2376" w:type="dxa"/>
            <w:tcBorders>
              <w:top w:val="single" w:sz="4" w:space="0" w:color="auto"/>
              <w:left w:val="single" w:sz="4" w:space="0" w:color="auto"/>
              <w:bottom w:val="single" w:sz="4" w:space="0" w:color="auto"/>
              <w:right w:val="single" w:sz="4" w:space="0" w:color="auto"/>
            </w:tcBorders>
          </w:tcPr>
          <w:p w14:paraId="1091C990" w14:textId="77777777" w:rsidR="00F6214E" w:rsidRPr="00776407" w:rsidRDefault="00F6214E" w:rsidP="00040CD4">
            <w:pPr>
              <w:autoSpaceDE w:val="0"/>
              <w:autoSpaceDN w:val="0"/>
              <w:adjustRightInd w:val="0"/>
              <w:rPr>
                <w:rFonts w:eastAsia="Calibri"/>
                <w:i/>
                <w:iCs/>
                <w:color w:val="000000"/>
                <w:sz w:val="22"/>
                <w:szCs w:val="22"/>
              </w:rPr>
            </w:pPr>
            <w:r w:rsidRPr="00776407">
              <w:rPr>
                <w:rFonts w:eastAsia="Calibri"/>
                <w:i/>
                <w:iCs/>
                <w:color w:val="000000"/>
                <w:sz w:val="22"/>
                <w:szCs w:val="22"/>
              </w:rPr>
              <w:t>Dažnis nežinomas</w:t>
            </w:r>
          </w:p>
        </w:tc>
        <w:tc>
          <w:tcPr>
            <w:tcW w:w="6695" w:type="dxa"/>
            <w:gridSpan w:val="2"/>
            <w:tcBorders>
              <w:top w:val="single" w:sz="4" w:space="0" w:color="auto"/>
              <w:left w:val="single" w:sz="4" w:space="0" w:color="auto"/>
              <w:bottom w:val="single" w:sz="4" w:space="0" w:color="auto"/>
              <w:right w:val="single" w:sz="4" w:space="0" w:color="auto"/>
            </w:tcBorders>
          </w:tcPr>
          <w:p w14:paraId="43EE546E" w14:textId="77777777" w:rsidR="00F6214E" w:rsidRPr="00776407" w:rsidRDefault="00F6214E" w:rsidP="00040CD4">
            <w:pPr>
              <w:autoSpaceDE w:val="0"/>
              <w:autoSpaceDN w:val="0"/>
              <w:adjustRightInd w:val="0"/>
              <w:rPr>
                <w:rFonts w:eastAsia="Calibri"/>
                <w:color w:val="000000"/>
                <w:sz w:val="22"/>
                <w:szCs w:val="22"/>
              </w:rPr>
            </w:pPr>
            <w:r w:rsidRPr="00776407">
              <w:rPr>
                <w:rFonts w:eastAsia="Calibri"/>
                <w:color w:val="000000"/>
                <w:sz w:val="22"/>
                <w:szCs w:val="22"/>
              </w:rPr>
              <w:t>Lėtinis inkstų nepakankamumas</w:t>
            </w:r>
          </w:p>
        </w:tc>
      </w:tr>
      <w:tr w:rsidR="00040CD4" w:rsidRPr="00776407" w14:paraId="68B8803A" w14:textId="77777777" w:rsidTr="00040CD4">
        <w:trPr>
          <w:trHeight w:val="98"/>
        </w:trPr>
        <w:tc>
          <w:tcPr>
            <w:tcW w:w="9071" w:type="dxa"/>
            <w:gridSpan w:val="3"/>
            <w:tcBorders>
              <w:top w:val="single" w:sz="4" w:space="0" w:color="auto"/>
              <w:left w:val="single" w:sz="4" w:space="0" w:color="auto"/>
              <w:bottom w:val="single" w:sz="4" w:space="0" w:color="auto"/>
              <w:right w:val="single" w:sz="4" w:space="0" w:color="auto"/>
            </w:tcBorders>
          </w:tcPr>
          <w:p w14:paraId="47642A53" w14:textId="77777777" w:rsidR="00040CD4" w:rsidRPr="00776407" w:rsidRDefault="00040CD4" w:rsidP="00040CD4">
            <w:pPr>
              <w:autoSpaceDE w:val="0"/>
              <w:autoSpaceDN w:val="0"/>
              <w:adjustRightInd w:val="0"/>
              <w:rPr>
                <w:rFonts w:eastAsia="Calibri"/>
                <w:color w:val="000000"/>
              </w:rPr>
            </w:pPr>
            <w:r w:rsidRPr="00776407">
              <w:rPr>
                <w:rFonts w:eastAsia="Calibri"/>
                <w:b/>
                <w:bCs/>
                <w:color w:val="000000"/>
                <w:sz w:val="22"/>
                <w:szCs w:val="22"/>
              </w:rPr>
              <w:t xml:space="preserve">Lytinės sistemos ir krūties sutrikimai </w:t>
            </w:r>
          </w:p>
        </w:tc>
      </w:tr>
      <w:tr w:rsidR="00040CD4" w:rsidRPr="00776407" w14:paraId="53B337BA" w14:textId="77777777" w:rsidTr="002A1779">
        <w:trPr>
          <w:trHeight w:val="361"/>
        </w:trPr>
        <w:tc>
          <w:tcPr>
            <w:tcW w:w="2376" w:type="dxa"/>
            <w:tcBorders>
              <w:top w:val="single" w:sz="4" w:space="0" w:color="auto"/>
              <w:left w:val="single" w:sz="4" w:space="0" w:color="auto"/>
              <w:bottom w:val="single" w:sz="4" w:space="0" w:color="auto"/>
              <w:right w:val="single" w:sz="4" w:space="0" w:color="auto"/>
            </w:tcBorders>
          </w:tcPr>
          <w:p w14:paraId="091C1541" w14:textId="77777777" w:rsidR="00040CD4" w:rsidRPr="00776407" w:rsidRDefault="00040CD4" w:rsidP="00040CD4">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95" w:type="dxa"/>
            <w:gridSpan w:val="2"/>
            <w:tcBorders>
              <w:top w:val="single" w:sz="4" w:space="0" w:color="auto"/>
              <w:left w:val="single" w:sz="4" w:space="0" w:color="auto"/>
              <w:bottom w:val="single" w:sz="4" w:space="0" w:color="auto"/>
              <w:right w:val="single" w:sz="4" w:space="0" w:color="auto"/>
            </w:tcBorders>
          </w:tcPr>
          <w:p w14:paraId="15680C79" w14:textId="77777777" w:rsidR="00040CD4" w:rsidRPr="00776407" w:rsidRDefault="00040CD4" w:rsidP="00040CD4">
            <w:pPr>
              <w:autoSpaceDE w:val="0"/>
              <w:autoSpaceDN w:val="0"/>
              <w:adjustRightInd w:val="0"/>
              <w:rPr>
                <w:rFonts w:eastAsia="Calibri"/>
                <w:color w:val="000000"/>
              </w:rPr>
            </w:pPr>
            <w:r w:rsidRPr="00776407">
              <w:rPr>
                <w:rFonts w:eastAsia="Calibri"/>
                <w:color w:val="000000"/>
                <w:sz w:val="22"/>
                <w:szCs w:val="22"/>
              </w:rPr>
              <w:t xml:space="preserve">Ginekomastija, erekcijos sutrikimas, menoragija, menstruacijų ciklo sutrikimas, lytinė disfunkcija, spenelio skausmas, krūtų padidėjimas, kapšelio edema </w:t>
            </w:r>
          </w:p>
        </w:tc>
      </w:tr>
      <w:tr w:rsidR="00040CD4" w:rsidRPr="00776407" w14:paraId="7ED33BCC" w14:textId="77777777" w:rsidTr="002A1779">
        <w:trPr>
          <w:trHeight w:val="100"/>
        </w:trPr>
        <w:tc>
          <w:tcPr>
            <w:tcW w:w="2376" w:type="dxa"/>
            <w:tcBorders>
              <w:top w:val="single" w:sz="4" w:space="0" w:color="auto"/>
              <w:left w:val="single" w:sz="4" w:space="0" w:color="auto"/>
              <w:bottom w:val="single" w:sz="4" w:space="0" w:color="auto"/>
              <w:right w:val="single" w:sz="4" w:space="0" w:color="auto"/>
            </w:tcBorders>
          </w:tcPr>
          <w:p w14:paraId="1D6DB623" w14:textId="77777777" w:rsidR="00040CD4" w:rsidRPr="00776407" w:rsidRDefault="00040CD4" w:rsidP="00040CD4">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95" w:type="dxa"/>
            <w:gridSpan w:val="2"/>
            <w:tcBorders>
              <w:top w:val="single" w:sz="4" w:space="0" w:color="auto"/>
              <w:left w:val="single" w:sz="4" w:space="0" w:color="auto"/>
              <w:bottom w:val="single" w:sz="4" w:space="0" w:color="auto"/>
              <w:right w:val="single" w:sz="4" w:space="0" w:color="auto"/>
            </w:tcBorders>
          </w:tcPr>
          <w:p w14:paraId="14F10ED8" w14:textId="77777777" w:rsidR="00040CD4" w:rsidRPr="00776407" w:rsidRDefault="00040CD4" w:rsidP="00040CD4">
            <w:pPr>
              <w:autoSpaceDE w:val="0"/>
              <w:autoSpaceDN w:val="0"/>
              <w:adjustRightInd w:val="0"/>
              <w:rPr>
                <w:rFonts w:eastAsia="Calibri"/>
                <w:color w:val="000000"/>
              </w:rPr>
            </w:pPr>
            <w:r w:rsidRPr="00776407">
              <w:rPr>
                <w:rFonts w:eastAsia="Calibri"/>
                <w:color w:val="000000"/>
                <w:sz w:val="22"/>
                <w:szCs w:val="22"/>
              </w:rPr>
              <w:t xml:space="preserve">Geltonkūnio hemoragija ar hemoraginė kiaušidžių cista </w:t>
            </w:r>
          </w:p>
        </w:tc>
      </w:tr>
      <w:tr w:rsidR="00040CD4" w:rsidRPr="00776407" w14:paraId="7C8E30FB" w14:textId="77777777" w:rsidTr="00040CD4">
        <w:trPr>
          <w:trHeight w:val="98"/>
        </w:trPr>
        <w:tc>
          <w:tcPr>
            <w:tcW w:w="9071" w:type="dxa"/>
            <w:gridSpan w:val="3"/>
            <w:tcBorders>
              <w:top w:val="single" w:sz="4" w:space="0" w:color="auto"/>
              <w:left w:val="single" w:sz="4" w:space="0" w:color="auto"/>
              <w:bottom w:val="single" w:sz="4" w:space="0" w:color="auto"/>
              <w:right w:val="single" w:sz="4" w:space="0" w:color="auto"/>
            </w:tcBorders>
          </w:tcPr>
          <w:p w14:paraId="08A9FE51" w14:textId="77777777" w:rsidR="00040CD4" w:rsidRPr="00776407" w:rsidRDefault="00040CD4" w:rsidP="00040CD4">
            <w:pPr>
              <w:autoSpaceDE w:val="0"/>
              <w:autoSpaceDN w:val="0"/>
              <w:adjustRightInd w:val="0"/>
              <w:rPr>
                <w:rFonts w:eastAsia="Calibri"/>
                <w:color w:val="000000"/>
              </w:rPr>
            </w:pPr>
            <w:r w:rsidRPr="00776407">
              <w:rPr>
                <w:rFonts w:eastAsia="Calibri"/>
                <w:b/>
                <w:bCs/>
                <w:color w:val="000000"/>
                <w:sz w:val="22"/>
                <w:szCs w:val="22"/>
              </w:rPr>
              <w:t xml:space="preserve">Bendrieji sutrikimai ir vartojimo vietos pažeidimai </w:t>
            </w:r>
          </w:p>
        </w:tc>
      </w:tr>
      <w:tr w:rsidR="00040CD4" w:rsidRPr="00776407" w14:paraId="65D6FA44" w14:textId="77777777" w:rsidTr="002A1779">
        <w:trPr>
          <w:trHeight w:val="100"/>
        </w:trPr>
        <w:tc>
          <w:tcPr>
            <w:tcW w:w="2376" w:type="dxa"/>
            <w:tcBorders>
              <w:top w:val="single" w:sz="4" w:space="0" w:color="auto"/>
              <w:left w:val="single" w:sz="4" w:space="0" w:color="auto"/>
              <w:bottom w:val="single" w:sz="4" w:space="0" w:color="auto"/>
              <w:right w:val="single" w:sz="4" w:space="0" w:color="auto"/>
            </w:tcBorders>
          </w:tcPr>
          <w:p w14:paraId="75F9F8ED" w14:textId="77777777" w:rsidR="00040CD4" w:rsidRPr="00776407" w:rsidRDefault="00040CD4" w:rsidP="00040CD4">
            <w:pPr>
              <w:autoSpaceDE w:val="0"/>
              <w:autoSpaceDN w:val="0"/>
              <w:adjustRightInd w:val="0"/>
              <w:rPr>
                <w:rFonts w:eastAsia="Calibri"/>
                <w:color w:val="000000"/>
              </w:rPr>
            </w:pPr>
            <w:r w:rsidRPr="00776407">
              <w:rPr>
                <w:rFonts w:eastAsia="Calibri"/>
                <w:i/>
                <w:iCs/>
                <w:color w:val="000000"/>
                <w:sz w:val="22"/>
                <w:szCs w:val="22"/>
              </w:rPr>
              <w:t xml:space="preserve">Labai dažnos </w:t>
            </w:r>
          </w:p>
        </w:tc>
        <w:tc>
          <w:tcPr>
            <w:tcW w:w="6695" w:type="dxa"/>
            <w:gridSpan w:val="2"/>
            <w:tcBorders>
              <w:top w:val="single" w:sz="4" w:space="0" w:color="auto"/>
              <w:left w:val="single" w:sz="4" w:space="0" w:color="auto"/>
              <w:bottom w:val="single" w:sz="4" w:space="0" w:color="auto"/>
              <w:right w:val="single" w:sz="4" w:space="0" w:color="auto"/>
            </w:tcBorders>
          </w:tcPr>
          <w:p w14:paraId="11CFA418" w14:textId="77777777" w:rsidR="00040CD4" w:rsidRPr="00776407" w:rsidRDefault="00040CD4" w:rsidP="00040CD4">
            <w:pPr>
              <w:autoSpaceDE w:val="0"/>
              <w:autoSpaceDN w:val="0"/>
              <w:adjustRightInd w:val="0"/>
              <w:rPr>
                <w:rFonts w:eastAsia="Calibri"/>
                <w:color w:val="000000"/>
              </w:rPr>
            </w:pPr>
            <w:r w:rsidRPr="00776407">
              <w:rPr>
                <w:rFonts w:eastAsia="Calibri"/>
                <w:color w:val="000000"/>
                <w:sz w:val="22"/>
                <w:szCs w:val="22"/>
              </w:rPr>
              <w:t xml:space="preserve">Skysčių susilaikymas ir edema, nuovargis </w:t>
            </w:r>
          </w:p>
        </w:tc>
      </w:tr>
      <w:tr w:rsidR="00040CD4" w:rsidRPr="00776407" w14:paraId="4F79B324" w14:textId="77777777" w:rsidTr="002A1779">
        <w:trPr>
          <w:trHeight w:val="100"/>
        </w:trPr>
        <w:tc>
          <w:tcPr>
            <w:tcW w:w="2376" w:type="dxa"/>
            <w:tcBorders>
              <w:top w:val="single" w:sz="4" w:space="0" w:color="auto"/>
              <w:left w:val="single" w:sz="4" w:space="0" w:color="auto"/>
              <w:bottom w:val="single" w:sz="4" w:space="0" w:color="auto"/>
              <w:right w:val="single" w:sz="4" w:space="0" w:color="auto"/>
            </w:tcBorders>
          </w:tcPr>
          <w:p w14:paraId="034C02D6" w14:textId="77777777" w:rsidR="00040CD4" w:rsidRPr="00776407" w:rsidRDefault="00040CD4" w:rsidP="00040CD4">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95" w:type="dxa"/>
            <w:gridSpan w:val="2"/>
            <w:tcBorders>
              <w:top w:val="single" w:sz="4" w:space="0" w:color="auto"/>
              <w:left w:val="single" w:sz="4" w:space="0" w:color="auto"/>
              <w:bottom w:val="single" w:sz="4" w:space="0" w:color="auto"/>
              <w:right w:val="single" w:sz="4" w:space="0" w:color="auto"/>
            </w:tcBorders>
          </w:tcPr>
          <w:p w14:paraId="16157016" w14:textId="77777777" w:rsidR="00040CD4" w:rsidRPr="00776407" w:rsidRDefault="00040CD4" w:rsidP="00040CD4">
            <w:pPr>
              <w:autoSpaceDE w:val="0"/>
              <w:autoSpaceDN w:val="0"/>
              <w:adjustRightInd w:val="0"/>
              <w:rPr>
                <w:rFonts w:eastAsia="Calibri"/>
                <w:color w:val="000000"/>
              </w:rPr>
            </w:pPr>
            <w:r w:rsidRPr="00776407">
              <w:rPr>
                <w:rFonts w:eastAsia="Calibri"/>
                <w:color w:val="000000"/>
                <w:sz w:val="22"/>
                <w:szCs w:val="22"/>
              </w:rPr>
              <w:t xml:space="preserve">Silpnumas, karščiavimas, odos vandenė, šaltkrėtis, sąstingis </w:t>
            </w:r>
          </w:p>
        </w:tc>
      </w:tr>
      <w:tr w:rsidR="00040CD4" w:rsidRPr="00776407" w14:paraId="1497BF51" w14:textId="77777777" w:rsidTr="002A1779">
        <w:trPr>
          <w:trHeight w:val="100"/>
        </w:trPr>
        <w:tc>
          <w:tcPr>
            <w:tcW w:w="2376" w:type="dxa"/>
            <w:tcBorders>
              <w:top w:val="single" w:sz="4" w:space="0" w:color="auto"/>
              <w:left w:val="single" w:sz="4" w:space="0" w:color="auto"/>
              <w:bottom w:val="single" w:sz="4" w:space="0" w:color="auto"/>
              <w:right w:val="single" w:sz="4" w:space="0" w:color="auto"/>
            </w:tcBorders>
          </w:tcPr>
          <w:p w14:paraId="0ADA50EF" w14:textId="77777777" w:rsidR="00040CD4" w:rsidRPr="00776407" w:rsidRDefault="00040CD4" w:rsidP="00040CD4">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95" w:type="dxa"/>
            <w:gridSpan w:val="2"/>
            <w:tcBorders>
              <w:top w:val="single" w:sz="4" w:space="0" w:color="auto"/>
              <w:left w:val="single" w:sz="4" w:space="0" w:color="auto"/>
              <w:bottom w:val="single" w:sz="4" w:space="0" w:color="auto"/>
              <w:right w:val="single" w:sz="4" w:space="0" w:color="auto"/>
            </w:tcBorders>
          </w:tcPr>
          <w:p w14:paraId="745FA707" w14:textId="77777777" w:rsidR="00040CD4" w:rsidRPr="00776407" w:rsidRDefault="00040CD4" w:rsidP="00040CD4">
            <w:pPr>
              <w:autoSpaceDE w:val="0"/>
              <w:autoSpaceDN w:val="0"/>
              <w:adjustRightInd w:val="0"/>
              <w:rPr>
                <w:rFonts w:eastAsia="Calibri"/>
                <w:color w:val="000000"/>
              </w:rPr>
            </w:pPr>
            <w:r w:rsidRPr="00776407">
              <w:rPr>
                <w:rFonts w:eastAsia="Calibri"/>
                <w:color w:val="000000"/>
                <w:sz w:val="22"/>
                <w:szCs w:val="22"/>
              </w:rPr>
              <w:t xml:space="preserve">Skausmas krūtinėje, bloga savijauta </w:t>
            </w:r>
          </w:p>
        </w:tc>
      </w:tr>
      <w:tr w:rsidR="00040CD4" w:rsidRPr="00776407" w14:paraId="57E49BCB" w14:textId="77777777" w:rsidTr="00040CD4">
        <w:trPr>
          <w:trHeight w:val="98"/>
        </w:trPr>
        <w:tc>
          <w:tcPr>
            <w:tcW w:w="9071" w:type="dxa"/>
            <w:gridSpan w:val="3"/>
            <w:tcBorders>
              <w:top w:val="single" w:sz="4" w:space="0" w:color="auto"/>
              <w:left w:val="single" w:sz="4" w:space="0" w:color="auto"/>
              <w:bottom w:val="single" w:sz="4" w:space="0" w:color="auto"/>
              <w:right w:val="single" w:sz="4" w:space="0" w:color="auto"/>
            </w:tcBorders>
          </w:tcPr>
          <w:p w14:paraId="1C933F00" w14:textId="77777777" w:rsidR="00040CD4" w:rsidRPr="00776407" w:rsidRDefault="00040CD4" w:rsidP="00040CD4">
            <w:pPr>
              <w:autoSpaceDE w:val="0"/>
              <w:autoSpaceDN w:val="0"/>
              <w:adjustRightInd w:val="0"/>
              <w:rPr>
                <w:rFonts w:eastAsia="Calibri"/>
                <w:color w:val="000000"/>
              </w:rPr>
            </w:pPr>
            <w:r w:rsidRPr="00776407">
              <w:rPr>
                <w:rFonts w:eastAsia="Calibri"/>
                <w:b/>
                <w:bCs/>
                <w:color w:val="000000"/>
                <w:sz w:val="22"/>
                <w:szCs w:val="22"/>
              </w:rPr>
              <w:t xml:space="preserve">Tyrimai </w:t>
            </w:r>
          </w:p>
        </w:tc>
      </w:tr>
      <w:tr w:rsidR="00040CD4" w:rsidRPr="00776407" w14:paraId="4BEBBA61" w14:textId="77777777" w:rsidTr="002A1779">
        <w:trPr>
          <w:trHeight w:val="100"/>
        </w:trPr>
        <w:tc>
          <w:tcPr>
            <w:tcW w:w="2376" w:type="dxa"/>
            <w:tcBorders>
              <w:top w:val="single" w:sz="4" w:space="0" w:color="auto"/>
              <w:left w:val="single" w:sz="4" w:space="0" w:color="auto"/>
              <w:bottom w:val="single" w:sz="4" w:space="0" w:color="auto"/>
              <w:right w:val="single" w:sz="4" w:space="0" w:color="auto"/>
            </w:tcBorders>
          </w:tcPr>
          <w:p w14:paraId="7839AECF" w14:textId="77777777" w:rsidR="00040CD4" w:rsidRPr="00776407" w:rsidRDefault="00040CD4" w:rsidP="00040CD4">
            <w:pPr>
              <w:autoSpaceDE w:val="0"/>
              <w:autoSpaceDN w:val="0"/>
              <w:adjustRightInd w:val="0"/>
              <w:rPr>
                <w:rFonts w:eastAsia="Calibri"/>
                <w:color w:val="000000"/>
              </w:rPr>
            </w:pPr>
            <w:r w:rsidRPr="00776407">
              <w:rPr>
                <w:rFonts w:eastAsia="Calibri"/>
                <w:i/>
                <w:iCs/>
                <w:color w:val="000000"/>
                <w:sz w:val="22"/>
                <w:szCs w:val="22"/>
              </w:rPr>
              <w:t xml:space="preserve">Labai dažnos </w:t>
            </w:r>
          </w:p>
        </w:tc>
        <w:tc>
          <w:tcPr>
            <w:tcW w:w="6695" w:type="dxa"/>
            <w:gridSpan w:val="2"/>
            <w:tcBorders>
              <w:top w:val="single" w:sz="4" w:space="0" w:color="auto"/>
              <w:left w:val="single" w:sz="4" w:space="0" w:color="auto"/>
              <w:bottom w:val="single" w:sz="4" w:space="0" w:color="auto"/>
              <w:right w:val="single" w:sz="4" w:space="0" w:color="auto"/>
            </w:tcBorders>
          </w:tcPr>
          <w:p w14:paraId="57F422E6" w14:textId="77777777" w:rsidR="00040CD4" w:rsidRPr="00776407" w:rsidRDefault="00040CD4" w:rsidP="00040CD4">
            <w:pPr>
              <w:autoSpaceDE w:val="0"/>
              <w:autoSpaceDN w:val="0"/>
              <w:adjustRightInd w:val="0"/>
              <w:rPr>
                <w:rFonts w:eastAsia="Calibri"/>
                <w:color w:val="000000"/>
              </w:rPr>
            </w:pPr>
            <w:r w:rsidRPr="00776407">
              <w:rPr>
                <w:rFonts w:eastAsia="Calibri"/>
                <w:color w:val="000000"/>
                <w:sz w:val="22"/>
                <w:szCs w:val="22"/>
              </w:rPr>
              <w:t xml:space="preserve">Padidėjęs kūno svoris </w:t>
            </w:r>
          </w:p>
        </w:tc>
      </w:tr>
      <w:tr w:rsidR="00040CD4" w:rsidRPr="00776407" w14:paraId="038C2521" w14:textId="77777777" w:rsidTr="002A1779">
        <w:trPr>
          <w:trHeight w:val="100"/>
        </w:trPr>
        <w:tc>
          <w:tcPr>
            <w:tcW w:w="2376" w:type="dxa"/>
            <w:tcBorders>
              <w:top w:val="single" w:sz="4" w:space="0" w:color="auto"/>
              <w:left w:val="single" w:sz="4" w:space="0" w:color="auto"/>
              <w:bottom w:val="single" w:sz="4" w:space="0" w:color="auto"/>
              <w:right w:val="single" w:sz="4" w:space="0" w:color="auto"/>
            </w:tcBorders>
          </w:tcPr>
          <w:p w14:paraId="2D59F980" w14:textId="77777777" w:rsidR="00040CD4" w:rsidRPr="00776407" w:rsidRDefault="00040CD4" w:rsidP="00040CD4">
            <w:pPr>
              <w:autoSpaceDE w:val="0"/>
              <w:autoSpaceDN w:val="0"/>
              <w:adjustRightInd w:val="0"/>
              <w:rPr>
                <w:rFonts w:eastAsia="Calibri"/>
                <w:color w:val="000000"/>
              </w:rPr>
            </w:pPr>
            <w:r w:rsidRPr="00776407">
              <w:rPr>
                <w:rFonts w:eastAsia="Calibri"/>
                <w:i/>
                <w:iCs/>
                <w:color w:val="000000"/>
                <w:sz w:val="22"/>
                <w:szCs w:val="22"/>
              </w:rPr>
              <w:t>Dažnos</w:t>
            </w:r>
          </w:p>
        </w:tc>
        <w:tc>
          <w:tcPr>
            <w:tcW w:w="6695" w:type="dxa"/>
            <w:gridSpan w:val="2"/>
            <w:tcBorders>
              <w:top w:val="single" w:sz="4" w:space="0" w:color="auto"/>
              <w:left w:val="single" w:sz="4" w:space="0" w:color="auto"/>
              <w:bottom w:val="single" w:sz="4" w:space="0" w:color="auto"/>
              <w:right w:val="single" w:sz="4" w:space="0" w:color="auto"/>
            </w:tcBorders>
          </w:tcPr>
          <w:p w14:paraId="6FC56A4E" w14:textId="77777777" w:rsidR="00040CD4" w:rsidRPr="00776407" w:rsidRDefault="00040CD4" w:rsidP="00040CD4">
            <w:pPr>
              <w:autoSpaceDE w:val="0"/>
              <w:autoSpaceDN w:val="0"/>
              <w:adjustRightInd w:val="0"/>
              <w:rPr>
                <w:rFonts w:eastAsia="Calibri"/>
                <w:color w:val="000000"/>
              </w:rPr>
            </w:pPr>
            <w:r w:rsidRPr="00776407">
              <w:rPr>
                <w:rFonts w:eastAsia="Calibri"/>
                <w:color w:val="000000"/>
                <w:sz w:val="22"/>
                <w:szCs w:val="22"/>
              </w:rPr>
              <w:t xml:space="preserve">Sumažėjęs kūno svoris </w:t>
            </w:r>
          </w:p>
        </w:tc>
      </w:tr>
      <w:tr w:rsidR="00040CD4" w:rsidRPr="00776407" w14:paraId="40C7F400" w14:textId="77777777" w:rsidTr="002A1779">
        <w:trPr>
          <w:trHeight w:val="360"/>
        </w:trPr>
        <w:tc>
          <w:tcPr>
            <w:tcW w:w="2376" w:type="dxa"/>
            <w:tcBorders>
              <w:top w:val="single" w:sz="4" w:space="0" w:color="auto"/>
              <w:left w:val="single" w:sz="4" w:space="0" w:color="auto"/>
              <w:bottom w:val="single" w:sz="4" w:space="0" w:color="auto"/>
              <w:right w:val="single" w:sz="4" w:space="0" w:color="auto"/>
            </w:tcBorders>
          </w:tcPr>
          <w:p w14:paraId="327920F5" w14:textId="77777777" w:rsidR="00040CD4" w:rsidRPr="00776407" w:rsidRDefault="00040CD4" w:rsidP="00040CD4">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95" w:type="dxa"/>
            <w:gridSpan w:val="2"/>
            <w:tcBorders>
              <w:top w:val="single" w:sz="4" w:space="0" w:color="auto"/>
              <w:left w:val="single" w:sz="4" w:space="0" w:color="auto"/>
              <w:bottom w:val="single" w:sz="4" w:space="0" w:color="auto"/>
              <w:right w:val="single" w:sz="4" w:space="0" w:color="auto"/>
            </w:tcBorders>
          </w:tcPr>
          <w:p w14:paraId="6BF212CB" w14:textId="77777777" w:rsidR="00040CD4" w:rsidRPr="00776407" w:rsidRDefault="00040CD4" w:rsidP="00040CD4">
            <w:pPr>
              <w:autoSpaceDE w:val="0"/>
              <w:autoSpaceDN w:val="0"/>
              <w:adjustRightInd w:val="0"/>
              <w:rPr>
                <w:rFonts w:eastAsia="Calibri"/>
                <w:color w:val="000000"/>
              </w:rPr>
            </w:pPr>
            <w:r w:rsidRPr="00776407">
              <w:rPr>
                <w:rFonts w:eastAsia="Calibri"/>
                <w:color w:val="000000"/>
                <w:sz w:val="22"/>
                <w:szCs w:val="22"/>
              </w:rPr>
              <w:t xml:space="preserve">Padidėjusi kreatinino koncentracija kraujyje, padidėjusi kreatinfosfokinazės koncentracija kraujyje, padidėjusi laktatdehidrogenazės koncentracija kraujyje, padidėjusi šarminės fosfatazės koncentracija kraujyje </w:t>
            </w:r>
          </w:p>
        </w:tc>
      </w:tr>
      <w:tr w:rsidR="00040CD4" w:rsidRPr="00776407" w14:paraId="060A25F8" w14:textId="77777777" w:rsidTr="002A1779">
        <w:trPr>
          <w:trHeight w:val="100"/>
        </w:trPr>
        <w:tc>
          <w:tcPr>
            <w:tcW w:w="2376" w:type="dxa"/>
            <w:tcBorders>
              <w:top w:val="single" w:sz="4" w:space="0" w:color="auto"/>
              <w:left w:val="single" w:sz="4" w:space="0" w:color="auto"/>
              <w:bottom w:val="single" w:sz="4" w:space="0" w:color="auto"/>
              <w:right w:val="single" w:sz="4" w:space="0" w:color="auto"/>
            </w:tcBorders>
          </w:tcPr>
          <w:p w14:paraId="51E88063" w14:textId="77777777" w:rsidR="00040CD4" w:rsidRPr="00776407" w:rsidRDefault="00040CD4" w:rsidP="00040CD4">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95" w:type="dxa"/>
            <w:gridSpan w:val="2"/>
            <w:tcBorders>
              <w:top w:val="single" w:sz="4" w:space="0" w:color="auto"/>
              <w:left w:val="single" w:sz="4" w:space="0" w:color="auto"/>
              <w:bottom w:val="single" w:sz="4" w:space="0" w:color="auto"/>
              <w:right w:val="single" w:sz="4" w:space="0" w:color="auto"/>
            </w:tcBorders>
          </w:tcPr>
          <w:p w14:paraId="5F922E61" w14:textId="77777777" w:rsidR="00040CD4" w:rsidRPr="00776407" w:rsidRDefault="00040CD4" w:rsidP="00040CD4">
            <w:pPr>
              <w:autoSpaceDE w:val="0"/>
              <w:autoSpaceDN w:val="0"/>
              <w:adjustRightInd w:val="0"/>
              <w:rPr>
                <w:rFonts w:eastAsia="Calibri"/>
                <w:color w:val="000000"/>
              </w:rPr>
            </w:pPr>
            <w:r w:rsidRPr="00776407">
              <w:rPr>
                <w:rFonts w:eastAsia="Calibri"/>
                <w:color w:val="000000"/>
                <w:sz w:val="22"/>
                <w:szCs w:val="22"/>
              </w:rPr>
              <w:t xml:space="preserve">Padidėjusi amilazės koncentracija kraujyje </w:t>
            </w:r>
          </w:p>
        </w:tc>
      </w:tr>
    </w:tbl>
    <w:p w14:paraId="4E5F4FB1" w14:textId="77777777" w:rsidR="00D63A4B" w:rsidRPr="00776407" w:rsidRDefault="00D63A4B" w:rsidP="00D63A4B">
      <w:pPr>
        <w:rPr>
          <w:sz w:val="22"/>
          <w:szCs w:val="22"/>
        </w:rPr>
      </w:pPr>
    </w:p>
    <w:p w14:paraId="398126C6" w14:textId="77777777" w:rsidR="00F6214E" w:rsidRPr="00776407" w:rsidRDefault="00F6214E" w:rsidP="00F6214E">
      <w:pPr>
        <w:rPr>
          <w:sz w:val="22"/>
          <w:szCs w:val="22"/>
        </w:rPr>
      </w:pPr>
      <w:r w:rsidRPr="00776407">
        <w:rPr>
          <w:sz w:val="22"/>
          <w:szCs w:val="22"/>
        </w:rPr>
        <w:t>*</w:t>
      </w:r>
      <w:r w:rsidRPr="00776407">
        <w:rPr>
          <w:sz w:val="22"/>
          <w:szCs w:val="22"/>
        </w:rPr>
        <w:tab/>
        <w:t>Šių reakcijų tipai daugiausiai registruoti po imatinibo pateikimo į rinką. Tai nepageidaujamos reakcijos, apie kurias pranešta spontaniniuose pranešimuose, taip pat sunkūs nepageidaujami reiškiniai, stebėti tebevykstančių tyrimų, išplėstinių gydymo programų, klinikinių farmakologinių tyrimų ir bandomųjų nepatvirtintų indikacijų tyrimų metu. Kadangi šios reakcijos registruotos neaiškaus dydžio populiacijoje, ne visuomet galima patikimai įvertinti jų dažnumą arba nustatyti priežastinį ryšį su imatinibo ekspozicija.</w:t>
      </w:r>
    </w:p>
    <w:p w14:paraId="2AB93BDE" w14:textId="77777777" w:rsidR="002A1779" w:rsidRPr="00776407" w:rsidRDefault="002A1779" w:rsidP="002A1779">
      <w:pPr>
        <w:autoSpaceDE w:val="0"/>
        <w:autoSpaceDN w:val="0"/>
        <w:adjustRightInd w:val="0"/>
        <w:rPr>
          <w:rFonts w:eastAsia="Calibri"/>
          <w:color w:val="000000"/>
          <w:sz w:val="22"/>
          <w:szCs w:val="22"/>
        </w:rPr>
      </w:pPr>
      <w:r w:rsidRPr="00776407">
        <w:rPr>
          <w:rFonts w:eastAsia="Calibri"/>
          <w:color w:val="000000"/>
          <w:sz w:val="22"/>
          <w:szCs w:val="22"/>
        </w:rPr>
        <w:t>1</w:t>
      </w:r>
      <w:r w:rsidR="00F6214E" w:rsidRPr="00776407">
        <w:rPr>
          <w:rFonts w:eastAsia="Calibri"/>
          <w:color w:val="000000"/>
          <w:sz w:val="22"/>
          <w:szCs w:val="22"/>
        </w:rPr>
        <w:tab/>
      </w:r>
      <w:r w:rsidRPr="00776407">
        <w:rPr>
          <w:rFonts w:eastAsia="Calibri"/>
          <w:color w:val="000000"/>
          <w:sz w:val="22"/>
          <w:szCs w:val="22"/>
        </w:rPr>
        <w:t xml:space="preserve">Pneumonija dažniausiai registruota pacientams, kuriems buvo transformuota LML, ir pacientams, kuriems buvo VTSN. </w:t>
      </w:r>
    </w:p>
    <w:p w14:paraId="1F3A877F" w14:textId="77777777" w:rsidR="002A1779" w:rsidRPr="00776407" w:rsidRDefault="002A1779" w:rsidP="002A1779">
      <w:pPr>
        <w:autoSpaceDE w:val="0"/>
        <w:autoSpaceDN w:val="0"/>
        <w:adjustRightInd w:val="0"/>
        <w:rPr>
          <w:rFonts w:eastAsia="Calibri"/>
          <w:color w:val="000000"/>
          <w:sz w:val="22"/>
          <w:szCs w:val="22"/>
        </w:rPr>
      </w:pPr>
      <w:r w:rsidRPr="00776407">
        <w:rPr>
          <w:rFonts w:eastAsia="Calibri"/>
          <w:color w:val="000000"/>
          <w:sz w:val="22"/>
          <w:szCs w:val="22"/>
        </w:rPr>
        <w:t>2</w:t>
      </w:r>
      <w:r w:rsidR="00F6214E" w:rsidRPr="00776407">
        <w:rPr>
          <w:rFonts w:eastAsia="Calibri"/>
          <w:color w:val="000000"/>
          <w:sz w:val="22"/>
          <w:szCs w:val="22"/>
        </w:rPr>
        <w:tab/>
      </w:r>
      <w:r w:rsidRPr="00776407">
        <w:rPr>
          <w:rFonts w:eastAsia="Calibri"/>
          <w:color w:val="000000"/>
          <w:sz w:val="22"/>
          <w:szCs w:val="22"/>
        </w:rPr>
        <w:t xml:space="preserve">Galvos skausmas dažniausiai pasireiškė pacientams, kuriems buvo VTSN. </w:t>
      </w:r>
    </w:p>
    <w:p w14:paraId="236CD06E" w14:textId="77777777" w:rsidR="002A1779" w:rsidRPr="00776407" w:rsidRDefault="002A1779" w:rsidP="007E026D">
      <w:pPr>
        <w:autoSpaceDE w:val="0"/>
        <w:autoSpaceDN w:val="0"/>
        <w:adjustRightInd w:val="0"/>
        <w:ind w:left="720" w:hanging="720"/>
        <w:rPr>
          <w:rFonts w:eastAsia="Calibri"/>
          <w:color w:val="000000"/>
          <w:sz w:val="22"/>
          <w:szCs w:val="22"/>
        </w:rPr>
      </w:pPr>
      <w:r w:rsidRPr="00776407">
        <w:rPr>
          <w:rFonts w:eastAsia="Calibri"/>
          <w:color w:val="000000"/>
          <w:sz w:val="22"/>
          <w:szCs w:val="22"/>
        </w:rPr>
        <w:t>3</w:t>
      </w:r>
      <w:r w:rsidR="00F6214E" w:rsidRPr="00776407">
        <w:rPr>
          <w:rFonts w:eastAsia="Calibri"/>
          <w:color w:val="000000"/>
          <w:sz w:val="22"/>
          <w:szCs w:val="22"/>
        </w:rPr>
        <w:tab/>
      </w:r>
      <w:r w:rsidRPr="00776407">
        <w:rPr>
          <w:rFonts w:eastAsia="Calibri"/>
          <w:color w:val="000000"/>
          <w:sz w:val="22"/>
          <w:szCs w:val="22"/>
        </w:rPr>
        <w:t xml:space="preserve">Vertinant pagal pacientų metus </w:t>
      </w:r>
      <w:r w:rsidRPr="00776407">
        <w:rPr>
          <w:rFonts w:eastAsia="Calibri"/>
          <w:i/>
          <w:iCs/>
          <w:color w:val="000000"/>
          <w:sz w:val="22"/>
          <w:szCs w:val="22"/>
        </w:rPr>
        <w:t>(angl. patient-years</w:t>
      </w:r>
      <w:r w:rsidRPr="00776407">
        <w:rPr>
          <w:rFonts w:eastAsia="Calibri"/>
          <w:color w:val="000000"/>
          <w:sz w:val="22"/>
          <w:szCs w:val="22"/>
        </w:rPr>
        <w:t xml:space="preserve">), kardiologiniai reiškiniai, įskaitant stazinį širdies nepakankamumą, dažniau stebėti pacientams, kuriems buvo transformuota LML, nei pacientams, sergantiems lėtine LML. </w:t>
      </w:r>
    </w:p>
    <w:p w14:paraId="2084D5C4" w14:textId="77777777" w:rsidR="002A1779" w:rsidRPr="00776407" w:rsidRDefault="002A1779" w:rsidP="002A1779">
      <w:pPr>
        <w:autoSpaceDE w:val="0"/>
        <w:autoSpaceDN w:val="0"/>
        <w:adjustRightInd w:val="0"/>
        <w:rPr>
          <w:rFonts w:eastAsia="Calibri"/>
          <w:color w:val="000000"/>
          <w:sz w:val="22"/>
          <w:szCs w:val="22"/>
        </w:rPr>
      </w:pPr>
      <w:r w:rsidRPr="00776407">
        <w:rPr>
          <w:rFonts w:eastAsia="Calibri"/>
          <w:color w:val="000000"/>
          <w:sz w:val="22"/>
          <w:szCs w:val="22"/>
        </w:rPr>
        <w:t>4</w:t>
      </w:r>
      <w:r w:rsidR="00F6214E" w:rsidRPr="00776407">
        <w:rPr>
          <w:rFonts w:eastAsia="Calibri"/>
          <w:color w:val="000000"/>
          <w:sz w:val="22"/>
          <w:szCs w:val="22"/>
        </w:rPr>
        <w:tab/>
      </w:r>
      <w:r w:rsidRPr="00776407">
        <w:rPr>
          <w:rFonts w:eastAsia="Calibri"/>
          <w:color w:val="000000"/>
          <w:sz w:val="22"/>
          <w:szCs w:val="22"/>
        </w:rPr>
        <w:t xml:space="preserve">Raudonis dažniausiai pasireiškė pacientams, kuriems buvo VTSN, o kraujavimas (hematoma, hemoragija) pacientams, kuriems buvo VTSN, ir pacientams, kuriems buvo transformuota LML (LML-AF ir LML-BK). </w:t>
      </w:r>
    </w:p>
    <w:p w14:paraId="230996D3" w14:textId="77777777" w:rsidR="002A1779" w:rsidRPr="00776407" w:rsidRDefault="002A1779" w:rsidP="002A1779">
      <w:pPr>
        <w:autoSpaceDE w:val="0"/>
        <w:autoSpaceDN w:val="0"/>
        <w:adjustRightInd w:val="0"/>
        <w:rPr>
          <w:rFonts w:eastAsia="Calibri"/>
          <w:color w:val="000000"/>
          <w:sz w:val="22"/>
          <w:szCs w:val="22"/>
        </w:rPr>
      </w:pPr>
      <w:r w:rsidRPr="00776407">
        <w:rPr>
          <w:rFonts w:eastAsia="Calibri"/>
          <w:color w:val="000000"/>
          <w:sz w:val="22"/>
          <w:szCs w:val="22"/>
        </w:rPr>
        <w:t>5</w:t>
      </w:r>
      <w:r w:rsidR="00F6214E" w:rsidRPr="00776407">
        <w:rPr>
          <w:rFonts w:eastAsia="Calibri"/>
          <w:color w:val="000000"/>
          <w:sz w:val="22"/>
          <w:szCs w:val="22"/>
        </w:rPr>
        <w:tab/>
      </w:r>
      <w:r w:rsidRPr="00776407">
        <w:rPr>
          <w:rFonts w:eastAsia="Calibri"/>
          <w:color w:val="000000"/>
          <w:sz w:val="22"/>
          <w:szCs w:val="22"/>
        </w:rPr>
        <w:t xml:space="preserve">Skystis pleuros ertmėje dažniau registruotas pacientams, kuriems buvo VTSN, ir pacientams, kuriems buvo transformuota LML (LML-AF ir LML-BK), nei pacientams, sergantiems lėtine LML. </w:t>
      </w:r>
    </w:p>
    <w:p w14:paraId="41EBCF3B" w14:textId="77777777" w:rsidR="002A1779" w:rsidRPr="00776407" w:rsidRDefault="002A1779" w:rsidP="007E026D">
      <w:pPr>
        <w:autoSpaceDE w:val="0"/>
        <w:autoSpaceDN w:val="0"/>
        <w:adjustRightInd w:val="0"/>
        <w:ind w:left="720" w:hanging="720"/>
        <w:rPr>
          <w:rFonts w:eastAsia="Calibri"/>
          <w:color w:val="000000"/>
          <w:sz w:val="22"/>
          <w:szCs w:val="22"/>
        </w:rPr>
      </w:pPr>
      <w:r w:rsidRPr="00776407">
        <w:rPr>
          <w:rFonts w:eastAsia="Calibri"/>
          <w:color w:val="000000"/>
          <w:sz w:val="22"/>
          <w:szCs w:val="22"/>
        </w:rPr>
        <w:t>6+7</w:t>
      </w:r>
      <w:r w:rsidR="00F6214E" w:rsidRPr="00776407">
        <w:rPr>
          <w:rFonts w:eastAsia="Calibri"/>
          <w:color w:val="000000"/>
          <w:sz w:val="22"/>
          <w:szCs w:val="22"/>
        </w:rPr>
        <w:tab/>
      </w:r>
      <w:r w:rsidRPr="00776407">
        <w:rPr>
          <w:rFonts w:eastAsia="Calibri"/>
          <w:color w:val="000000"/>
          <w:sz w:val="22"/>
          <w:szCs w:val="22"/>
        </w:rPr>
        <w:t xml:space="preserve">Pilvo skausmas ir kraujavimas iš virškinimo trakto dažniausiai stebėtas pacientams, kuriems buvo VTSN. </w:t>
      </w:r>
    </w:p>
    <w:p w14:paraId="0E79D537" w14:textId="77777777" w:rsidR="002A1779" w:rsidRPr="00776407" w:rsidRDefault="002A1779" w:rsidP="002A1779">
      <w:pPr>
        <w:autoSpaceDE w:val="0"/>
        <w:autoSpaceDN w:val="0"/>
        <w:adjustRightInd w:val="0"/>
        <w:rPr>
          <w:rFonts w:eastAsia="Calibri"/>
          <w:color w:val="000000"/>
          <w:sz w:val="22"/>
          <w:szCs w:val="22"/>
        </w:rPr>
      </w:pPr>
      <w:r w:rsidRPr="00776407">
        <w:rPr>
          <w:rFonts w:eastAsia="Calibri"/>
          <w:color w:val="000000"/>
          <w:sz w:val="22"/>
          <w:szCs w:val="22"/>
        </w:rPr>
        <w:t>8</w:t>
      </w:r>
      <w:r w:rsidR="00F6214E" w:rsidRPr="00776407">
        <w:rPr>
          <w:rFonts w:eastAsia="Calibri"/>
          <w:color w:val="000000"/>
          <w:sz w:val="22"/>
          <w:szCs w:val="22"/>
        </w:rPr>
        <w:tab/>
      </w:r>
      <w:r w:rsidRPr="00776407">
        <w:rPr>
          <w:rFonts w:eastAsia="Calibri"/>
          <w:color w:val="000000"/>
          <w:sz w:val="22"/>
          <w:szCs w:val="22"/>
        </w:rPr>
        <w:t xml:space="preserve">Registruoti keli mirtini kepenų nepakankamumo ir kepenų nekrozės atvejai. </w:t>
      </w:r>
    </w:p>
    <w:p w14:paraId="72F55D18" w14:textId="77777777" w:rsidR="00955C83" w:rsidRPr="00776407" w:rsidRDefault="00955C83" w:rsidP="002A1779">
      <w:pPr>
        <w:autoSpaceDE w:val="0"/>
        <w:autoSpaceDN w:val="0"/>
        <w:adjustRightInd w:val="0"/>
        <w:rPr>
          <w:rFonts w:eastAsia="Calibri"/>
          <w:color w:val="000000"/>
          <w:sz w:val="22"/>
          <w:szCs w:val="22"/>
        </w:rPr>
      </w:pPr>
      <w:r w:rsidRPr="00776407">
        <w:rPr>
          <w:rFonts w:eastAsia="Calibri"/>
          <w:color w:val="000000"/>
          <w:sz w:val="22"/>
          <w:szCs w:val="22"/>
        </w:rPr>
        <w:t>9</w:t>
      </w:r>
      <w:r w:rsidRPr="00776407">
        <w:rPr>
          <w:rFonts w:eastAsia="Calibri"/>
          <w:color w:val="000000"/>
          <w:sz w:val="22"/>
          <w:szCs w:val="22"/>
        </w:rPr>
        <w:tab/>
      </w:r>
      <w:r w:rsidR="00305597" w:rsidRPr="00776407">
        <w:rPr>
          <w:rFonts w:eastAsia="Calibri"/>
          <w:color w:val="000000"/>
          <w:sz w:val="22"/>
          <w:szCs w:val="22"/>
        </w:rPr>
        <w:t>Po registracijos, gauta pranešimų apie skeleto ir raumenų skausmo atvejus pacientams, kurie pastebėti gydymo imatinibu metu arba po jo vartojimo nutraukimo.</w:t>
      </w:r>
    </w:p>
    <w:p w14:paraId="4A0151D0" w14:textId="77777777" w:rsidR="002A1779" w:rsidRPr="00776407" w:rsidRDefault="00955C83" w:rsidP="002A1779">
      <w:pPr>
        <w:autoSpaceDE w:val="0"/>
        <w:autoSpaceDN w:val="0"/>
        <w:adjustRightInd w:val="0"/>
        <w:rPr>
          <w:rFonts w:eastAsia="Calibri"/>
          <w:color w:val="000000"/>
          <w:sz w:val="22"/>
          <w:szCs w:val="22"/>
        </w:rPr>
      </w:pPr>
      <w:r w:rsidRPr="00776407">
        <w:rPr>
          <w:rFonts w:eastAsia="Calibri"/>
          <w:color w:val="000000"/>
          <w:sz w:val="22"/>
          <w:szCs w:val="22"/>
        </w:rPr>
        <w:t>10</w:t>
      </w:r>
      <w:r w:rsidR="00F6214E" w:rsidRPr="00776407">
        <w:rPr>
          <w:rFonts w:eastAsia="Calibri"/>
          <w:color w:val="000000"/>
          <w:sz w:val="22"/>
          <w:szCs w:val="22"/>
        </w:rPr>
        <w:tab/>
      </w:r>
      <w:r w:rsidR="002A1779" w:rsidRPr="00776407">
        <w:rPr>
          <w:rFonts w:eastAsia="Calibri"/>
          <w:color w:val="000000"/>
          <w:sz w:val="22"/>
          <w:szCs w:val="22"/>
        </w:rPr>
        <w:t xml:space="preserve">Skeleto ir raumenų skausmas bei susiję reiškiniai dažniau stebėti pacientams, sergantiems LML, nei pacientams, kuriems buvo VTSN. </w:t>
      </w:r>
    </w:p>
    <w:p w14:paraId="2FAC6836" w14:textId="77777777" w:rsidR="002A1779" w:rsidRPr="00776407" w:rsidRDefault="006406B3" w:rsidP="007E026D">
      <w:pPr>
        <w:autoSpaceDE w:val="0"/>
        <w:autoSpaceDN w:val="0"/>
        <w:adjustRightInd w:val="0"/>
        <w:ind w:left="720" w:hanging="720"/>
        <w:rPr>
          <w:rFonts w:eastAsia="Calibri"/>
          <w:color w:val="000000"/>
          <w:sz w:val="22"/>
          <w:szCs w:val="22"/>
        </w:rPr>
      </w:pPr>
      <w:r w:rsidRPr="00776407">
        <w:rPr>
          <w:rFonts w:eastAsia="Calibri"/>
          <w:color w:val="000000"/>
          <w:sz w:val="22"/>
          <w:szCs w:val="22"/>
        </w:rPr>
        <w:t>1</w:t>
      </w:r>
      <w:r w:rsidR="00955C83" w:rsidRPr="00776407">
        <w:rPr>
          <w:rFonts w:eastAsia="Calibri"/>
          <w:color w:val="000000"/>
          <w:sz w:val="22"/>
          <w:szCs w:val="22"/>
        </w:rPr>
        <w:t>1</w:t>
      </w:r>
      <w:r w:rsidRPr="00776407">
        <w:rPr>
          <w:rFonts w:eastAsia="Calibri"/>
          <w:color w:val="000000"/>
          <w:sz w:val="22"/>
          <w:szCs w:val="22"/>
        </w:rPr>
        <w:tab/>
        <w:t>Buvo pranešta</w:t>
      </w:r>
      <w:r w:rsidR="00F6214E" w:rsidRPr="00776407">
        <w:rPr>
          <w:rFonts w:eastAsia="Calibri"/>
          <w:color w:val="000000"/>
          <w:sz w:val="22"/>
          <w:szCs w:val="22"/>
        </w:rPr>
        <w:t xml:space="preserve"> apie mirties atvejus pacientams, kuriems yra progresavusi liga, sunkių infekcijų, sunki neutropenija ir kitų sunkių gretutinių ligų.</w:t>
      </w:r>
    </w:p>
    <w:p w14:paraId="0426BCAF" w14:textId="77777777" w:rsidR="002A1779" w:rsidRPr="00776407" w:rsidRDefault="002A1779" w:rsidP="002A1779">
      <w:pPr>
        <w:rPr>
          <w:sz w:val="22"/>
          <w:szCs w:val="22"/>
        </w:rPr>
      </w:pPr>
    </w:p>
    <w:p w14:paraId="5D21299D" w14:textId="77777777" w:rsidR="002A1779" w:rsidRPr="00776407" w:rsidRDefault="002A1779" w:rsidP="002A1779">
      <w:pPr>
        <w:autoSpaceDE w:val="0"/>
        <w:autoSpaceDN w:val="0"/>
        <w:adjustRightInd w:val="0"/>
        <w:rPr>
          <w:rFonts w:eastAsia="Calibri"/>
          <w:i/>
          <w:color w:val="000000"/>
          <w:sz w:val="22"/>
          <w:szCs w:val="22"/>
          <w:u w:val="single"/>
        </w:rPr>
      </w:pPr>
      <w:r w:rsidRPr="00776407">
        <w:rPr>
          <w:rFonts w:eastAsia="Calibri"/>
          <w:i/>
          <w:color w:val="000000"/>
          <w:sz w:val="22"/>
          <w:szCs w:val="22"/>
          <w:u w:val="single"/>
        </w:rPr>
        <w:t xml:space="preserve">Pakitę laboratoriniai testai </w:t>
      </w:r>
    </w:p>
    <w:p w14:paraId="5C465409" w14:textId="77777777" w:rsidR="002A1779" w:rsidRPr="00776407" w:rsidRDefault="002A1779" w:rsidP="002A1779">
      <w:pPr>
        <w:autoSpaceDE w:val="0"/>
        <w:autoSpaceDN w:val="0"/>
        <w:adjustRightInd w:val="0"/>
        <w:rPr>
          <w:rFonts w:eastAsia="Calibri"/>
          <w:color w:val="000000"/>
          <w:sz w:val="22"/>
          <w:szCs w:val="22"/>
        </w:rPr>
      </w:pPr>
      <w:r w:rsidRPr="00776407">
        <w:rPr>
          <w:rFonts w:eastAsia="Calibri"/>
          <w:i/>
          <w:iCs/>
          <w:color w:val="000000"/>
          <w:sz w:val="22"/>
          <w:szCs w:val="22"/>
        </w:rPr>
        <w:t xml:space="preserve">Hematologija </w:t>
      </w:r>
    </w:p>
    <w:p w14:paraId="1112BB9C" w14:textId="77777777" w:rsidR="002A1779" w:rsidRPr="00776407" w:rsidRDefault="002A1779" w:rsidP="002A1779">
      <w:pPr>
        <w:autoSpaceDE w:val="0"/>
        <w:autoSpaceDN w:val="0"/>
        <w:adjustRightInd w:val="0"/>
        <w:rPr>
          <w:rFonts w:eastAsia="Calibri"/>
          <w:color w:val="000000"/>
          <w:sz w:val="22"/>
          <w:szCs w:val="22"/>
        </w:rPr>
      </w:pPr>
      <w:r w:rsidRPr="00776407">
        <w:rPr>
          <w:rFonts w:eastAsia="Calibri"/>
          <w:color w:val="000000"/>
          <w:sz w:val="22"/>
          <w:szCs w:val="22"/>
        </w:rPr>
        <w:t xml:space="preserve">Visų tyrimų metu LML sergantiems pacientams stebėta citopenija, ypač neutropenija ir trombocitopenija, dažniau vartojant dideles </w:t>
      </w:r>
      <w:r w:rsidRPr="00776407">
        <w:t xml:space="preserve">≥ 750 mg </w:t>
      </w:r>
      <w:r w:rsidRPr="00776407">
        <w:rPr>
          <w:rFonts w:eastAsia="Calibri"/>
          <w:color w:val="000000"/>
          <w:sz w:val="22"/>
          <w:szCs w:val="22"/>
        </w:rPr>
        <w:t>dozes (I fazės tyrimas). Tačiau citopenijos aiškiai priklauso nuo ligos stadijos, III-IV</w:t>
      </w:r>
      <w:r w:rsidR="004726D8" w:rsidRPr="00776407">
        <w:rPr>
          <w:rFonts w:eastAsia="Calibri"/>
          <w:color w:val="000000"/>
          <w:sz w:val="22"/>
          <w:szCs w:val="22"/>
        </w:rPr>
        <w:t> </w:t>
      </w:r>
      <w:r w:rsidRPr="00776407">
        <w:rPr>
          <w:rFonts w:eastAsia="Calibri"/>
          <w:color w:val="000000"/>
          <w:sz w:val="22"/>
          <w:szCs w:val="22"/>
        </w:rPr>
        <w:t>laipsnio neutropenija (ANS</w:t>
      </w:r>
      <w:r w:rsidR="004726D8" w:rsidRPr="00776407">
        <w:rPr>
          <w:rFonts w:eastAsia="Calibri"/>
          <w:color w:val="000000"/>
          <w:sz w:val="22"/>
          <w:szCs w:val="22"/>
        </w:rPr>
        <w:t> </w:t>
      </w:r>
      <w:r w:rsidRPr="00776407">
        <w:rPr>
          <w:rFonts w:eastAsia="Calibri"/>
          <w:color w:val="000000"/>
          <w:sz w:val="22"/>
          <w:szCs w:val="22"/>
        </w:rPr>
        <w:t>&lt;</w:t>
      </w:r>
      <w:r w:rsidR="004726D8" w:rsidRPr="00776407">
        <w:rPr>
          <w:rFonts w:eastAsia="Calibri"/>
          <w:color w:val="000000"/>
          <w:sz w:val="22"/>
          <w:szCs w:val="22"/>
        </w:rPr>
        <w:t> </w:t>
      </w:r>
      <w:r w:rsidRPr="00776407">
        <w:rPr>
          <w:rFonts w:eastAsia="Calibri"/>
          <w:color w:val="000000"/>
          <w:sz w:val="22"/>
          <w:szCs w:val="22"/>
        </w:rPr>
        <w:t>1,0</w:t>
      </w:r>
      <w:r w:rsidR="004726D8" w:rsidRPr="00776407">
        <w:rPr>
          <w:rFonts w:eastAsia="Calibri"/>
          <w:color w:val="000000"/>
          <w:sz w:val="22"/>
          <w:szCs w:val="22"/>
        </w:rPr>
        <w:t> </w:t>
      </w:r>
      <w:r w:rsidRPr="00776407">
        <w:rPr>
          <w:rFonts w:eastAsia="Calibri"/>
          <w:color w:val="000000"/>
          <w:sz w:val="22"/>
          <w:szCs w:val="22"/>
        </w:rPr>
        <w:t>x</w:t>
      </w:r>
      <w:r w:rsidR="004726D8" w:rsidRPr="00776407">
        <w:rPr>
          <w:rFonts w:eastAsia="Calibri"/>
          <w:color w:val="000000"/>
          <w:sz w:val="22"/>
          <w:szCs w:val="22"/>
        </w:rPr>
        <w:t> </w:t>
      </w:r>
      <w:r w:rsidRPr="00776407">
        <w:rPr>
          <w:rFonts w:eastAsia="Calibri"/>
          <w:color w:val="000000"/>
          <w:sz w:val="22"/>
          <w:szCs w:val="22"/>
        </w:rPr>
        <w:t>10</w:t>
      </w:r>
      <w:r w:rsidRPr="00776407">
        <w:rPr>
          <w:rFonts w:eastAsia="Calibri"/>
          <w:color w:val="000000"/>
          <w:sz w:val="22"/>
          <w:szCs w:val="22"/>
          <w:vertAlign w:val="superscript"/>
        </w:rPr>
        <w:t>9</w:t>
      </w:r>
      <w:r w:rsidRPr="00776407">
        <w:rPr>
          <w:rFonts w:eastAsia="Calibri"/>
          <w:color w:val="000000"/>
          <w:sz w:val="22"/>
          <w:szCs w:val="22"/>
        </w:rPr>
        <w:t>/l) ir trombocitopenija (trombocitų</w:t>
      </w:r>
      <w:r w:rsidR="004726D8" w:rsidRPr="00776407">
        <w:rPr>
          <w:rFonts w:eastAsia="Calibri"/>
          <w:color w:val="000000"/>
          <w:sz w:val="22"/>
          <w:szCs w:val="22"/>
        </w:rPr>
        <w:t> </w:t>
      </w:r>
      <w:r w:rsidRPr="00776407">
        <w:rPr>
          <w:rFonts w:eastAsia="Calibri"/>
          <w:color w:val="000000"/>
          <w:sz w:val="22"/>
          <w:szCs w:val="22"/>
        </w:rPr>
        <w:t>&lt;</w:t>
      </w:r>
      <w:r w:rsidR="004726D8" w:rsidRPr="00776407">
        <w:rPr>
          <w:rFonts w:eastAsia="Calibri"/>
          <w:color w:val="000000"/>
          <w:sz w:val="22"/>
          <w:szCs w:val="22"/>
        </w:rPr>
        <w:t> </w:t>
      </w:r>
      <w:r w:rsidRPr="00776407">
        <w:rPr>
          <w:rFonts w:eastAsia="Calibri"/>
          <w:color w:val="000000"/>
          <w:sz w:val="22"/>
          <w:szCs w:val="22"/>
        </w:rPr>
        <w:t>50</w:t>
      </w:r>
      <w:r w:rsidR="004726D8" w:rsidRPr="00776407">
        <w:rPr>
          <w:rFonts w:eastAsia="Calibri"/>
          <w:color w:val="000000"/>
          <w:sz w:val="22"/>
          <w:szCs w:val="22"/>
        </w:rPr>
        <w:t> </w:t>
      </w:r>
      <w:r w:rsidRPr="00776407">
        <w:rPr>
          <w:rFonts w:eastAsia="Calibri"/>
          <w:color w:val="000000"/>
          <w:sz w:val="22"/>
          <w:szCs w:val="22"/>
        </w:rPr>
        <w:t>x</w:t>
      </w:r>
      <w:r w:rsidR="004726D8" w:rsidRPr="00776407">
        <w:rPr>
          <w:rFonts w:eastAsia="Calibri"/>
          <w:color w:val="000000"/>
          <w:sz w:val="22"/>
          <w:szCs w:val="22"/>
        </w:rPr>
        <w:t> </w:t>
      </w:r>
      <w:r w:rsidRPr="00776407">
        <w:rPr>
          <w:rFonts w:eastAsia="Calibri"/>
          <w:color w:val="000000"/>
          <w:sz w:val="22"/>
          <w:szCs w:val="22"/>
        </w:rPr>
        <w:t>10</w:t>
      </w:r>
      <w:r w:rsidRPr="00776407">
        <w:rPr>
          <w:rFonts w:eastAsia="Calibri"/>
          <w:color w:val="000000"/>
          <w:sz w:val="22"/>
          <w:szCs w:val="22"/>
          <w:vertAlign w:val="superscript"/>
        </w:rPr>
        <w:t>9</w:t>
      </w:r>
      <w:r w:rsidRPr="00776407">
        <w:rPr>
          <w:rFonts w:eastAsia="Calibri"/>
          <w:color w:val="000000"/>
          <w:sz w:val="22"/>
          <w:szCs w:val="22"/>
        </w:rPr>
        <w:t>/l) buvo 4–6</w:t>
      </w:r>
      <w:r w:rsidR="004726D8" w:rsidRPr="00776407">
        <w:rPr>
          <w:rFonts w:eastAsia="Calibri"/>
          <w:color w:val="000000"/>
          <w:sz w:val="22"/>
          <w:szCs w:val="22"/>
        </w:rPr>
        <w:t> </w:t>
      </w:r>
      <w:r w:rsidRPr="00776407">
        <w:rPr>
          <w:rFonts w:eastAsia="Calibri"/>
          <w:color w:val="000000"/>
          <w:sz w:val="22"/>
          <w:szCs w:val="22"/>
        </w:rPr>
        <w:t>kartus dažniau nustatyta pacientams, kuriems buvo blastinė krizė ar akceleracijos fazė (neutropenija ir trombocitopenija atitinkamai 59–64</w:t>
      </w:r>
      <w:r w:rsidR="004726D8" w:rsidRPr="00776407">
        <w:rPr>
          <w:rFonts w:eastAsia="Calibri"/>
          <w:color w:val="000000"/>
          <w:sz w:val="22"/>
          <w:szCs w:val="22"/>
        </w:rPr>
        <w:t> </w:t>
      </w:r>
      <w:r w:rsidRPr="00776407">
        <w:rPr>
          <w:rFonts w:eastAsia="Calibri"/>
          <w:color w:val="000000"/>
          <w:sz w:val="22"/>
          <w:szCs w:val="22"/>
        </w:rPr>
        <w:t>% ir 44–63</w:t>
      </w:r>
      <w:r w:rsidR="004726D8" w:rsidRPr="00776407">
        <w:rPr>
          <w:rFonts w:eastAsia="Calibri"/>
          <w:color w:val="000000"/>
          <w:sz w:val="22"/>
          <w:szCs w:val="22"/>
        </w:rPr>
        <w:t> </w:t>
      </w:r>
      <w:r w:rsidRPr="00776407">
        <w:rPr>
          <w:rFonts w:eastAsia="Calibri"/>
          <w:color w:val="000000"/>
          <w:sz w:val="22"/>
          <w:szCs w:val="22"/>
        </w:rPr>
        <w:t>%), lyginant su pacientais, kuriems buvo naujai diagnozuota lėtinė LML fazė (16,7</w:t>
      </w:r>
      <w:r w:rsidR="004726D8" w:rsidRPr="00776407">
        <w:rPr>
          <w:rFonts w:eastAsia="Calibri"/>
          <w:color w:val="000000"/>
          <w:sz w:val="22"/>
          <w:szCs w:val="22"/>
        </w:rPr>
        <w:t> </w:t>
      </w:r>
      <w:r w:rsidRPr="00776407">
        <w:rPr>
          <w:rFonts w:eastAsia="Calibri"/>
          <w:color w:val="000000"/>
          <w:sz w:val="22"/>
          <w:szCs w:val="22"/>
        </w:rPr>
        <w:t>% neutropenija ir 8,9</w:t>
      </w:r>
      <w:r w:rsidR="004726D8" w:rsidRPr="00776407">
        <w:rPr>
          <w:rFonts w:eastAsia="Calibri"/>
          <w:color w:val="000000"/>
          <w:sz w:val="22"/>
          <w:szCs w:val="22"/>
        </w:rPr>
        <w:t> </w:t>
      </w:r>
      <w:r w:rsidRPr="00776407">
        <w:rPr>
          <w:rFonts w:eastAsia="Calibri"/>
          <w:color w:val="000000"/>
          <w:sz w:val="22"/>
          <w:szCs w:val="22"/>
        </w:rPr>
        <w:t>% trombocitopenija). Naujai diagnozuotos lėtinės LML fazės metu IV</w:t>
      </w:r>
      <w:r w:rsidR="004726D8" w:rsidRPr="00776407">
        <w:rPr>
          <w:rFonts w:eastAsia="Calibri"/>
        </w:rPr>
        <w:t> </w:t>
      </w:r>
      <w:r w:rsidRPr="00776407">
        <w:rPr>
          <w:rFonts w:eastAsia="Calibri"/>
          <w:color w:val="000000"/>
          <w:sz w:val="22"/>
          <w:szCs w:val="22"/>
        </w:rPr>
        <w:t>laipsnio neutropenija (ANS</w:t>
      </w:r>
      <w:r w:rsidR="004726D8" w:rsidRPr="00776407">
        <w:rPr>
          <w:rFonts w:eastAsia="Calibri"/>
          <w:color w:val="000000"/>
          <w:sz w:val="22"/>
          <w:szCs w:val="22"/>
        </w:rPr>
        <w:t> </w:t>
      </w:r>
      <w:r w:rsidRPr="00776407">
        <w:rPr>
          <w:rFonts w:eastAsia="Calibri"/>
          <w:color w:val="000000"/>
          <w:sz w:val="22"/>
          <w:szCs w:val="22"/>
        </w:rPr>
        <w:t>&lt;</w:t>
      </w:r>
      <w:r w:rsidR="004726D8" w:rsidRPr="00776407">
        <w:rPr>
          <w:rFonts w:eastAsia="Calibri"/>
          <w:color w:val="000000"/>
          <w:sz w:val="22"/>
          <w:szCs w:val="22"/>
        </w:rPr>
        <w:t> </w:t>
      </w:r>
      <w:r w:rsidRPr="00776407">
        <w:rPr>
          <w:rFonts w:eastAsia="Calibri"/>
          <w:color w:val="000000"/>
          <w:sz w:val="22"/>
          <w:szCs w:val="22"/>
        </w:rPr>
        <w:t>0,5</w:t>
      </w:r>
      <w:r w:rsidR="004726D8" w:rsidRPr="00776407">
        <w:rPr>
          <w:rFonts w:eastAsia="Calibri"/>
          <w:color w:val="000000"/>
          <w:sz w:val="22"/>
          <w:szCs w:val="22"/>
        </w:rPr>
        <w:t> </w:t>
      </w:r>
      <w:r w:rsidRPr="00776407">
        <w:rPr>
          <w:rFonts w:eastAsia="Calibri"/>
          <w:color w:val="000000"/>
          <w:sz w:val="22"/>
          <w:szCs w:val="22"/>
        </w:rPr>
        <w:t>x</w:t>
      </w:r>
      <w:r w:rsidR="004726D8" w:rsidRPr="00776407">
        <w:rPr>
          <w:rFonts w:eastAsia="Calibri"/>
          <w:color w:val="000000"/>
          <w:sz w:val="22"/>
          <w:szCs w:val="22"/>
        </w:rPr>
        <w:t> </w:t>
      </w:r>
      <w:r w:rsidRPr="00776407">
        <w:rPr>
          <w:rFonts w:eastAsia="Calibri"/>
          <w:color w:val="000000"/>
          <w:sz w:val="22"/>
          <w:szCs w:val="22"/>
        </w:rPr>
        <w:t>10</w:t>
      </w:r>
      <w:r w:rsidRPr="00776407">
        <w:rPr>
          <w:rFonts w:eastAsia="Calibri"/>
          <w:color w:val="000000"/>
          <w:sz w:val="22"/>
          <w:szCs w:val="22"/>
          <w:vertAlign w:val="superscript"/>
        </w:rPr>
        <w:t>9</w:t>
      </w:r>
      <w:r w:rsidRPr="00776407">
        <w:rPr>
          <w:rFonts w:eastAsia="Calibri"/>
          <w:color w:val="000000"/>
          <w:sz w:val="22"/>
          <w:szCs w:val="22"/>
        </w:rPr>
        <w:t>/l) ir trombocitopenija (trombocitų</w:t>
      </w:r>
      <w:r w:rsidR="004726D8" w:rsidRPr="00776407">
        <w:rPr>
          <w:rFonts w:eastAsia="Calibri"/>
          <w:color w:val="000000"/>
          <w:sz w:val="22"/>
          <w:szCs w:val="22"/>
        </w:rPr>
        <w:t> </w:t>
      </w:r>
      <w:r w:rsidRPr="00776407">
        <w:rPr>
          <w:rFonts w:eastAsia="Calibri"/>
          <w:color w:val="000000"/>
          <w:sz w:val="22"/>
          <w:szCs w:val="22"/>
        </w:rPr>
        <w:t>&lt;</w:t>
      </w:r>
      <w:r w:rsidR="004726D8" w:rsidRPr="00776407">
        <w:rPr>
          <w:rFonts w:eastAsia="Calibri"/>
          <w:color w:val="000000"/>
          <w:sz w:val="22"/>
          <w:szCs w:val="22"/>
        </w:rPr>
        <w:t> </w:t>
      </w:r>
      <w:r w:rsidRPr="00776407">
        <w:rPr>
          <w:rFonts w:eastAsia="Calibri"/>
          <w:color w:val="000000"/>
          <w:sz w:val="22"/>
          <w:szCs w:val="22"/>
        </w:rPr>
        <w:t>50</w:t>
      </w:r>
      <w:r w:rsidR="004726D8" w:rsidRPr="00776407">
        <w:rPr>
          <w:rFonts w:eastAsia="Calibri"/>
          <w:color w:val="000000"/>
          <w:sz w:val="22"/>
          <w:szCs w:val="22"/>
        </w:rPr>
        <w:t> </w:t>
      </w:r>
      <w:r w:rsidRPr="00776407">
        <w:rPr>
          <w:rFonts w:eastAsia="Calibri"/>
          <w:color w:val="000000"/>
          <w:sz w:val="22"/>
          <w:szCs w:val="22"/>
        </w:rPr>
        <w:t>x</w:t>
      </w:r>
      <w:r w:rsidR="004726D8" w:rsidRPr="00776407">
        <w:rPr>
          <w:rFonts w:eastAsia="Calibri"/>
          <w:color w:val="000000"/>
          <w:sz w:val="22"/>
          <w:szCs w:val="22"/>
        </w:rPr>
        <w:t> </w:t>
      </w:r>
      <w:r w:rsidRPr="00776407">
        <w:rPr>
          <w:rFonts w:eastAsia="Calibri"/>
          <w:color w:val="000000"/>
          <w:sz w:val="22"/>
          <w:szCs w:val="22"/>
        </w:rPr>
        <w:t>10</w:t>
      </w:r>
      <w:r w:rsidRPr="00776407">
        <w:rPr>
          <w:rFonts w:eastAsia="Calibri"/>
          <w:color w:val="000000"/>
          <w:sz w:val="22"/>
          <w:szCs w:val="22"/>
          <w:vertAlign w:val="superscript"/>
        </w:rPr>
        <w:t>9</w:t>
      </w:r>
      <w:r w:rsidRPr="00776407">
        <w:rPr>
          <w:rFonts w:eastAsia="Calibri"/>
          <w:color w:val="000000"/>
          <w:sz w:val="22"/>
          <w:szCs w:val="22"/>
        </w:rPr>
        <w:t xml:space="preserve">/l) stebėta atitinkamai 3,6 </w:t>
      </w:r>
      <w:r w:rsidR="004726D8" w:rsidRPr="00776407">
        <w:rPr>
          <w:rFonts w:eastAsia="Calibri"/>
          <w:color w:val="000000"/>
          <w:sz w:val="22"/>
          <w:szCs w:val="22"/>
        </w:rPr>
        <w:t> </w:t>
      </w:r>
      <w:r w:rsidRPr="00776407">
        <w:rPr>
          <w:rFonts w:eastAsia="Calibri"/>
          <w:color w:val="000000"/>
          <w:sz w:val="22"/>
          <w:szCs w:val="22"/>
        </w:rPr>
        <w:t>% ir &lt;</w:t>
      </w:r>
      <w:r w:rsidR="004726D8" w:rsidRPr="00776407">
        <w:rPr>
          <w:rFonts w:eastAsia="Calibri"/>
          <w:color w:val="000000"/>
          <w:sz w:val="22"/>
          <w:szCs w:val="22"/>
        </w:rPr>
        <w:t> </w:t>
      </w:r>
      <w:r w:rsidRPr="00776407">
        <w:rPr>
          <w:rFonts w:eastAsia="Calibri"/>
          <w:color w:val="000000"/>
          <w:sz w:val="22"/>
          <w:szCs w:val="22"/>
        </w:rPr>
        <w:t>1</w:t>
      </w:r>
      <w:r w:rsidR="004726D8" w:rsidRPr="00776407">
        <w:rPr>
          <w:rFonts w:eastAsia="Calibri"/>
          <w:color w:val="000000"/>
          <w:sz w:val="22"/>
          <w:szCs w:val="22"/>
        </w:rPr>
        <w:t> </w:t>
      </w:r>
      <w:r w:rsidRPr="00776407">
        <w:rPr>
          <w:rFonts w:eastAsia="Calibri"/>
          <w:color w:val="000000"/>
          <w:sz w:val="22"/>
          <w:szCs w:val="22"/>
        </w:rPr>
        <w:t>% pacientų. Vidurinė neutropenijos ir trombocitopenijos epizodų trukmė paprastai yra atitinkamai 2–3</w:t>
      </w:r>
      <w:r w:rsidR="004726D8" w:rsidRPr="00776407">
        <w:rPr>
          <w:rFonts w:eastAsia="Calibri"/>
          <w:color w:val="000000"/>
          <w:sz w:val="22"/>
          <w:szCs w:val="22"/>
        </w:rPr>
        <w:t> </w:t>
      </w:r>
      <w:r w:rsidRPr="00776407">
        <w:rPr>
          <w:rFonts w:eastAsia="Calibri"/>
          <w:color w:val="000000"/>
          <w:sz w:val="22"/>
          <w:szCs w:val="22"/>
        </w:rPr>
        <w:t>savaitės ir 3–4</w:t>
      </w:r>
      <w:r w:rsidR="004726D8" w:rsidRPr="00776407">
        <w:rPr>
          <w:rFonts w:eastAsia="Calibri"/>
          <w:color w:val="000000"/>
          <w:sz w:val="22"/>
          <w:szCs w:val="22"/>
        </w:rPr>
        <w:t> </w:t>
      </w:r>
      <w:r w:rsidRPr="00776407">
        <w:rPr>
          <w:rFonts w:eastAsia="Calibri"/>
          <w:color w:val="000000"/>
          <w:sz w:val="22"/>
          <w:szCs w:val="22"/>
        </w:rPr>
        <w:t xml:space="preserve">savaitės. Šiuos reiškinius dažniausiai galima kontroliuoti sumažinus </w:t>
      </w:r>
      <w:r w:rsidR="004726D8" w:rsidRPr="00776407">
        <w:rPr>
          <w:rFonts w:eastAsia="Calibri"/>
          <w:color w:val="000000"/>
          <w:sz w:val="22"/>
          <w:szCs w:val="22"/>
        </w:rPr>
        <w:t>imatinibo</w:t>
      </w:r>
      <w:r w:rsidRPr="00776407">
        <w:rPr>
          <w:rFonts w:eastAsia="Calibri"/>
          <w:color w:val="000000"/>
          <w:sz w:val="22"/>
          <w:szCs w:val="22"/>
        </w:rPr>
        <w:t xml:space="preserve"> dozę ar laikinai jį nutraukus, tačiau retai tenka gydymą visiškai nutraukti. Vaikų, sergančių LML, tarpe dažniausiai stebėtas nepageidaujamas poveikis buvo III-IV</w:t>
      </w:r>
      <w:r w:rsidR="004726D8" w:rsidRPr="00776407">
        <w:rPr>
          <w:rFonts w:eastAsia="Calibri"/>
          <w:color w:val="000000"/>
          <w:sz w:val="22"/>
          <w:szCs w:val="22"/>
        </w:rPr>
        <w:t> </w:t>
      </w:r>
      <w:r w:rsidRPr="00776407">
        <w:rPr>
          <w:rFonts w:eastAsia="Calibri"/>
          <w:color w:val="000000"/>
          <w:sz w:val="22"/>
          <w:szCs w:val="22"/>
        </w:rPr>
        <w:t xml:space="preserve">laipsnio citopenijos, įskaitant neutropeniją, trombocitopeniją ir anemiją. Paprastai jos pasireiškė per pirmus gydymo mėnesius. </w:t>
      </w:r>
    </w:p>
    <w:p w14:paraId="16B3F716" w14:textId="77777777" w:rsidR="004726D8" w:rsidRPr="00776407" w:rsidRDefault="004726D8" w:rsidP="002A1779">
      <w:pPr>
        <w:autoSpaceDE w:val="0"/>
        <w:autoSpaceDN w:val="0"/>
        <w:adjustRightInd w:val="0"/>
        <w:rPr>
          <w:rFonts w:eastAsia="Calibri"/>
          <w:color w:val="000000"/>
          <w:sz w:val="22"/>
          <w:szCs w:val="22"/>
        </w:rPr>
      </w:pPr>
    </w:p>
    <w:p w14:paraId="111ACF4D" w14:textId="77777777" w:rsidR="002A1779" w:rsidRPr="00776407" w:rsidRDefault="002A1779" w:rsidP="002A1779">
      <w:pPr>
        <w:rPr>
          <w:rFonts w:eastAsia="Calibri"/>
          <w:color w:val="000000"/>
          <w:sz w:val="22"/>
          <w:szCs w:val="22"/>
        </w:rPr>
      </w:pPr>
      <w:r w:rsidRPr="00776407">
        <w:rPr>
          <w:rFonts w:eastAsia="Calibri"/>
          <w:color w:val="000000"/>
          <w:sz w:val="22"/>
          <w:szCs w:val="22"/>
        </w:rPr>
        <w:t>Atlikto klinikinio tyrimo duomenimis, jame dalyvavusiems pacientams, kuriems buvo nerezekuotinas ir (ar) metastazavęs VTSN, III–IV</w:t>
      </w:r>
      <w:r w:rsidR="004726D8" w:rsidRPr="00776407">
        <w:rPr>
          <w:rFonts w:eastAsia="Calibri"/>
          <w:color w:val="000000"/>
          <w:sz w:val="22"/>
          <w:szCs w:val="22"/>
        </w:rPr>
        <w:t> </w:t>
      </w:r>
      <w:r w:rsidRPr="00776407">
        <w:rPr>
          <w:rFonts w:eastAsia="Calibri"/>
          <w:color w:val="000000"/>
          <w:sz w:val="22"/>
          <w:szCs w:val="22"/>
        </w:rPr>
        <w:t>laipsnio anemija pasitaikė atitinkamai 5,4</w:t>
      </w:r>
      <w:r w:rsidR="004726D8" w:rsidRPr="00776407">
        <w:rPr>
          <w:rFonts w:eastAsia="Calibri"/>
          <w:color w:val="000000"/>
          <w:sz w:val="22"/>
          <w:szCs w:val="22"/>
        </w:rPr>
        <w:t> </w:t>
      </w:r>
      <w:r w:rsidRPr="00776407">
        <w:rPr>
          <w:rFonts w:eastAsia="Calibri"/>
          <w:color w:val="000000"/>
          <w:sz w:val="22"/>
          <w:szCs w:val="22"/>
        </w:rPr>
        <w:t>% ir 0,7</w:t>
      </w:r>
      <w:r w:rsidR="004726D8" w:rsidRPr="00776407">
        <w:rPr>
          <w:rFonts w:eastAsia="Calibri"/>
          <w:color w:val="000000"/>
          <w:sz w:val="22"/>
          <w:szCs w:val="22"/>
        </w:rPr>
        <w:t> </w:t>
      </w:r>
      <w:r w:rsidRPr="00776407">
        <w:rPr>
          <w:rFonts w:eastAsia="Calibri"/>
          <w:color w:val="000000"/>
          <w:sz w:val="22"/>
          <w:szCs w:val="22"/>
        </w:rPr>
        <w:t>%. Ji gali būti susijusi su virškinimo trakto ir vidunavikiniu kraujavimu, bent jau kai kuriems pacientams. III–IV</w:t>
      </w:r>
      <w:r w:rsidR="004726D8" w:rsidRPr="00776407">
        <w:rPr>
          <w:rFonts w:eastAsia="Calibri"/>
          <w:color w:val="000000"/>
          <w:sz w:val="22"/>
          <w:szCs w:val="22"/>
        </w:rPr>
        <w:t> </w:t>
      </w:r>
      <w:r w:rsidRPr="00776407">
        <w:rPr>
          <w:rFonts w:eastAsia="Calibri"/>
          <w:color w:val="000000"/>
          <w:sz w:val="22"/>
          <w:szCs w:val="22"/>
        </w:rPr>
        <w:t>laipsnio neutropenija stebėta atitinkamai 7,5</w:t>
      </w:r>
      <w:r w:rsidR="004726D8" w:rsidRPr="00776407">
        <w:rPr>
          <w:rFonts w:eastAsia="Calibri"/>
          <w:color w:val="000000"/>
          <w:sz w:val="22"/>
          <w:szCs w:val="22"/>
        </w:rPr>
        <w:t> </w:t>
      </w:r>
      <w:r w:rsidRPr="00776407">
        <w:rPr>
          <w:rFonts w:eastAsia="Calibri"/>
          <w:color w:val="000000"/>
          <w:sz w:val="22"/>
          <w:szCs w:val="22"/>
        </w:rPr>
        <w:t>% ir 2,7</w:t>
      </w:r>
      <w:r w:rsidR="004726D8" w:rsidRPr="00776407">
        <w:rPr>
          <w:rFonts w:eastAsia="Calibri"/>
          <w:color w:val="000000"/>
          <w:sz w:val="22"/>
          <w:szCs w:val="22"/>
        </w:rPr>
        <w:t> </w:t>
      </w:r>
      <w:r w:rsidRPr="00776407">
        <w:rPr>
          <w:rFonts w:eastAsia="Calibri"/>
          <w:color w:val="000000"/>
          <w:sz w:val="22"/>
          <w:szCs w:val="22"/>
        </w:rPr>
        <w:t>% pacientų, o III</w:t>
      </w:r>
      <w:r w:rsidR="004726D8" w:rsidRPr="00776407">
        <w:rPr>
          <w:rFonts w:eastAsia="Calibri"/>
          <w:color w:val="000000"/>
          <w:sz w:val="22"/>
          <w:szCs w:val="22"/>
        </w:rPr>
        <w:t> </w:t>
      </w:r>
      <w:r w:rsidRPr="00776407">
        <w:rPr>
          <w:rFonts w:eastAsia="Calibri"/>
          <w:color w:val="000000"/>
          <w:sz w:val="22"/>
          <w:szCs w:val="22"/>
        </w:rPr>
        <w:t>laipsnio trombocitopenija – 0,7</w:t>
      </w:r>
      <w:r w:rsidR="004726D8" w:rsidRPr="00776407">
        <w:rPr>
          <w:rFonts w:eastAsia="Calibri"/>
          <w:color w:val="000000"/>
          <w:sz w:val="22"/>
          <w:szCs w:val="22"/>
        </w:rPr>
        <w:t> </w:t>
      </w:r>
      <w:r w:rsidRPr="00776407">
        <w:rPr>
          <w:rFonts w:eastAsia="Calibri"/>
          <w:color w:val="000000"/>
          <w:sz w:val="22"/>
          <w:szCs w:val="22"/>
        </w:rPr>
        <w:t>% pacientų. Nė vienam pacientui nepasireiškė IV</w:t>
      </w:r>
      <w:r w:rsidR="004726D8" w:rsidRPr="00776407">
        <w:rPr>
          <w:rFonts w:eastAsia="Calibri"/>
          <w:color w:val="000000"/>
          <w:sz w:val="22"/>
          <w:szCs w:val="22"/>
        </w:rPr>
        <w:t> </w:t>
      </w:r>
      <w:r w:rsidRPr="00776407">
        <w:rPr>
          <w:rFonts w:eastAsia="Calibri"/>
          <w:color w:val="000000"/>
          <w:sz w:val="22"/>
          <w:szCs w:val="22"/>
        </w:rPr>
        <w:t>laipsnio trombocitopenija. Leukocitų (baltųjų kraujo kūnelių, BKK) ir neutrofilų daugiausia sumažėjo per pirmąsias šešias gydymo savaites, paskui jų kiekis santykinai nekito.</w:t>
      </w:r>
    </w:p>
    <w:p w14:paraId="4C8F7B50" w14:textId="77777777" w:rsidR="004726D8" w:rsidRPr="00776407" w:rsidRDefault="004726D8" w:rsidP="002A1779">
      <w:pPr>
        <w:rPr>
          <w:rFonts w:eastAsia="Calibri"/>
          <w:color w:val="000000"/>
          <w:sz w:val="22"/>
          <w:szCs w:val="22"/>
        </w:rPr>
      </w:pPr>
    </w:p>
    <w:p w14:paraId="377A8AB3" w14:textId="77777777" w:rsidR="004726D8" w:rsidRPr="00776407" w:rsidRDefault="004726D8" w:rsidP="004726D8">
      <w:pPr>
        <w:autoSpaceDE w:val="0"/>
        <w:autoSpaceDN w:val="0"/>
        <w:adjustRightInd w:val="0"/>
        <w:rPr>
          <w:rFonts w:eastAsia="Calibri"/>
          <w:color w:val="000000"/>
          <w:sz w:val="22"/>
          <w:szCs w:val="22"/>
        </w:rPr>
      </w:pPr>
      <w:r w:rsidRPr="00776407">
        <w:rPr>
          <w:rFonts w:eastAsia="Calibri"/>
          <w:i/>
          <w:iCs/>
          <w:color w:val="000000"/>
          <w:sz w:val="22"/>
          <w:szCs w:val="22"/>
        </w:rPr>
        <w:t xml:space="preserve">Biochemija </w:t>
      </w:r>
    </w:p>
    <w:p w14:paraId="7327B84F" w14:textId="77777777" w:rsidR="004726D8" w:rsidRPr="00776407" w:rsidRDefault="004726D8" w:rsidP="004726D8">
      <w:pPr>
        <w:autoSpaceDE w:val="0"/>
        <w:autoSpaceDN w:val="0"/>
        <w:adjustRightInd w:val="0"/>
        <w:rPr>
          <w:rFonts w:eastAsia="Calibri"/>
          <w:color w:val="000000"/>
          <w:sz w:val="22"/>
          <w:szCs w:val="22"/>
        </w:rPr>
      </w:pPr>
      <w:r w:rsidRPr="00776407">
        <w:rPr>
          <w:rFonts w:eastAsia="Calibri"/>
          <w:color w:val="000000"/>
          <w:sz w:val="22"/>
          <w:szCs w:val="22"/>
        </w:rPr>
        <w:t xml:space="preserve">LML sergantiems pacientams stebėta labai padidėjusi transaminazių (&lt; 5 %) ar bilirubino (&lt; 1 %) koncentracija, kuri paprastai sumažėdavo sumažinus dozę ar laikinai nutraukus gydymą (šių epizodų trukmės mediana buvo maždaug viena savaitė). Dėl pakitusių kepenų funkcijos laboratorinių rodiklių gydymą visiškai reikėjo nutraukti mažiau kaip 1 % LML sirgusių pacientų. 6,8 % VTSN sergančių pacientų (tyrimas B2222) buvo stebėtas 3 ar 4 laipsnio ALT (alanino aminotransferazių) koncentracijos padidėjimas ir 4,8 % - 3 ar 4 laipsnio AST (aspartataminotransferazių) padidėjimas. Bilirubino koncentracija didėjo mažiau kaip 3 %. </w:t>
      </w:r>
    </w:p>
    <w:p w14:paraId="55D6B33F" w14:textId="77777777" w:rsidR="004726D8" w:rsidRPr="00776407" w:rsidRDefault="004726D8" w:rsidP="004726D8">
      <w:pPr>
        <w:autoSpaceDE w:val="0"/>
        <w:autoSpaceDN w:val="0"/>
        <w:adjustRightInd w:val="0"/>
        <w:rPr>
          <w:rFonts w:eastAsia="Calibri"/>
          <w:color w:val="000000"/>
          <w:sz w:val="22"/>
          <w:szCs w:val="22"/>
        </w:rPr>
      </w:pPr>
    </w:p>
    <w:p w14:paraId="28A75E2A" w14:textId="77777777" w:rsidR="004726D8" w:rsidRPr="00776407" w:rsidRDefault="004726D8" w:rsidP="004726D8">
      <w:pPr>
        <w:autoSpaceDE w:val="0"/>
        <w:autoSpaceDN w:val="0"/>
        <w:adjustRightInd w:val="0"/>
        <w:rPr>
          <w:rFonts w:eastAsia="Calibri"/>
          <w:color w:val="000000"/>
          <w:sz w:val="22"/>
          <w:szCs w:val="22"/>
        </w:rPr>
      </w:pPr>
      <w:r w:rsidRPr="00776407">
        <w:rPr>
          <w:rFonts w:eastAsia="Calibri"/>
          <w:color w:val="000000"/>
          <w:sz w:val="22"/>
          <w:szCs w:val="22"/>
        </w:rPr>
        <w:t>Pasitaikė citolizinio bei cholestazinio hepatito ir kepenų nepakankamumo atvejų, kai kurie iš jų baigėsi mirtimi (vienam pacientui</w:t>
      </w:r>
      <w:r w:rsidR="003E3C5D" w:rsidRPr="00776407">
        <w:rPr>
          <w:rFonts w:eastAsia="Calibri"/>
          <w:color w:val="000000"/>
          <w:sz w:val="22"/>
          <w:szCs w:val="22"/>
        </w:rPr>
        <w:t>,</w:t>
      </w:r>
      <w:r w:rsidRPr="00776407">
        <w:rPr>
          <w:rFonts w:eastAsia="Calibri"/>
          <w:color w:val="000000"/>
          <w:sz w:val="22"/>
          <w:szCs w:val="22"/>
        </w:rPr>
        <w:t xml:space="preserve"> vartojusiam didelę paracetamolio dozę). </w:t>
      </w:r>
    </w:p>
    <w:p w14:paraId="37D448C6" w14:textId="77777777" w:rsidR="00493541" w:rsidRPr="00776407" w:rsidRDefault="00493541" w:rsidP="00493541">
      <w:pPr>
        <w:autoSpaceDE w:val="0"/>
        <w:autoSpaceDN w:val="0"/>
        <w:adjustRightInd w:val="0"/>
        <w:jc w:val="both"/>
        <w:rPr>
          <w:u w:val="single"/>
        </w:rPr>
      </w:pPr>
    </w:p>
    <w:p w14:paraId="65F8B3C3" w14:textId="77777777" w:rsidR="003408A0" w:rsidRPr="00776407" w:rsidRDefault="003408A0" w:rsidP="003408A0">
      <w:pPr>
        <w:keepNext/>
        <w:rPr>
          <w:color w:val="222222"/>
          <w:sz w:val="22"/>
          <w:szCs w:val="20"/>
          <w:u w:val="single"/>
        </w:rPr>
      </w:pPr>
      <w:r w:rsidRPr="00776407">
        <w:rPr>
          <w:color w:val="222222"/>
          <w:sz w:val="22"/>
          <w:szCs w:val="20"/>
          <w:u w:val="single"/>
        </w:rPr>
        <w:t>Atrinktų nepageidaujamų reakcijų apibūdinimas</w:t>
      </w:r>
    </w:p>
    <w:p w14:paraId="111525E5" w14:textId="77777777" w:rsidR="003408A0" w:rsidRPr="00776407" w:rsidRDefault="003408A0" w:rsidP="003408A0">
      <w:pPr>
        <w:keepNext/>
        <w:rPr>
          <w:i/>
          <w:color w:val="222222"/>
          <w:sz w:val="22"/>
          <w:szCs w:val="20"/>
          <w:u w:val="single"/>
        </w:rPr>
      </w:pPr>
      <w:r w:rsidRPr="00776407">
        <w:rPr>
          <w:i/>
          <w:color w:val="222222"/>
          <w:sz w:val="22"/>
          <w:szCs w:val="20"/>
          <w:u w:val="single"/>
        </w:rPr>
        <w:t>Hepatito B reaktyvacija</w:t>
      </w:r>
    </w:p>
    <w:p w14:paraId="735B84CD" w14:textId="77777777" w:rsidR="003408A0" w:rsidRPr="00776407" w:rsidRDefault="003408A0" w:rsidP="003408A0">
      <w:pPr>
        <w:rPr>
          <w:color w:val="222222"/>
          <w:sz w:val="22"/>
          <w:szCs w:val="20"/>
        </w:rPr>
      </w:pPr>
      <w:r w:rsidRPr="00776407">
        <w:rPr>
          <w:color w:val="222222"/>
          <w:sz w:val="22"/>
          <w:szCs w:val="20"/>
        </w:rPr>
        <w:t>Pranešta kad hepatito B reaktyvacijos atvejai buvo susiję su BCR-ABL tirozinkinazės inhibitorių (TKI) vartojimu. Kai kuriais atvejais tai sukėlė ūminį kepenų nepakankamumą arba žaibinį hepatitą, dėl kurio pacientui teko persodinti kepenis arba pacientas mirė (žr. 4.4 skyrių).</w:t>
      </w:r>
    </w:p>
    <w:p w14:paraId="190298AC" w14:textId="77777777" w:rsidR="00955C83" w:rsidRPr="00776407" w:rsidRDefault="00955C83" w:rsidP="00493541">
      <w:pPr>
        <w:autoSpaceDE w:val="0"/>
        <w:autoSpaceDN w:val="0"/>
        <w:adjustRightInd w:val="0"/>
        <w:jc w:val="both"/>
        <w:rPr>
          <w:u w:val="single"/>
        </w:rPr>
      </w:pPr>
    </w:p>
    <w:p w14:paraId="13A7BD0D" w14:textId="77777777" w:rsidR="00493541" w:rsidRPr="00776407" w:rsidRDefault="00493541" w:rsidP="00493541">
      <w:pPr>
        <w:autoSpaceDE w:val="0"/>
        <w:autoSpaceDN w:val="0"/>
        <w:adjustRightInd w:val="0"/>
        <w:jc w:val="both"/>
        <w:rPr>
          <w:sz w:val="22"/>
          <w:szCs w:val="22"/>
          <w:u w:val="single"/>
        </w:rPr>
      </w:pPr>
      <w:r w:rsidRPr="00776407">
        <w:rPr>
          <w:sz w:val="22"/>
          <w:szCs w:val="22"/>
          <w:u w:val="single"/>
        </w:rPr>
        <w:t>Pranešimas apie įtariamas nepageidaujamas reakcijas</w:t>
      </w:r>
    </w:p>
    <w:p w14:paraId="250C68E7" w14:textId="77777777" w:rsidR="00493541" w:rsidRPr="00776407" w:rsidRDefault="00493541" w:rsidP="00493541">
      <w:pPr>
        <w:autoSpaceDE w:val="0"/>
        <w:autoSpaceDN w:val="0"/>
        <w:adjustRightInd w:val="0"/>
        <w:jc w:val="both"/>
        <w:rPr>
          <w:sz w:val="22"/>
          <w:szCs w:val="22"/>
        </w:rPr>
      </w:pPr>
      <w:r w:rsidRPr="00776407">
        <w:rPr>
          <w:sz w:val="22"/>
          <w:szCs w:val="22"/>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2" w:history="1">
        <w:r w:rsidR="00054762" w:rsidRPr="00776407">
          <w:rPr>
            <w:rFonts w:eastAsia="Calibri"/>
            <w:color w:val="0000FF"/>
            <w:sz w:val="22"/>
            <w:szCs w:val="22"/>
            <w:highlight w:val="lightGray"/>
            <w:u w:val="single"/>
          </w:rPr>
          <w:t>V priede</w:t>
        </w:r>
      </w:hyperlink>
      <w:r w:rsidRPr="00776407">
        <w:rPr>
          <w:color w:val="00B050"/>
          <w:sz w:val="22"/>
          <w:szCs w:val="22"/>
          <w:highlight w:val="lightGray"/>
        </w:rPr>
        <w:t xml:space="preserve"> </w:t>
      </w:r>
      <w:r w:rsidRPr="00776407">
        <w:rPr>
          <w:sz w:val="22"/>
          <w:szCs w:val="22"/>
          <w:highlight w:val="lightGray"/>
        </w:rPr>
        <w:t>nurodyta nacionaline pranešimo</w:t>
      </w:r>
      <w:r w:rsidRPr="00776407">
        <w:rPr>
          <w:color w:val="00B050"/>
          <w:sz w:val="22"/>
          <w:szCs w:val="22"/>
          <w:highlight w:val="lightGray"/>
        </w:rPr>
        <w:t xml:space="preserve"> </w:t>
      </w:r>
      <w:r w:rsidRPr="00776407">
        <w:rPr>
          <w:sz w:val="22"/>
          <w:szCs w:val="22"/>
          <w:highlight w:val="lightGray"/>
        </w:rPr>
        <w:t>sistema</w:t>
      </w:r>
      <w:r w:rsidRPr="00776407">
        <w:rPr>
          <w:sz w:val="22"/>
          <w:szCs w:val="22"/>
        </w:rPr>
        <w:t>.</w:t>
      </w:r>
    </w:p>
    <w:p w14:paraId="68211CD7" w14:textId="77777777" w:rsidR="004726D8" w:rsidRPr="00776407" w:rsidRDefault="004726D8" w:rsidP="004726D8">
      <w:pPr>
        <w:autoSpaceDE w:val="0"/>
        <w:autoSpaceDN w:val="0"/>
        <w:adjustRightInd w:val="0"/>
        <w:rPr>
          <w:rFonts w:eastAsia="Calibri"/>
          <w:color w:val="000000"/>
          <w:sz w:val="22"/>
          <w:szCs w:val="22"/>
        </w:rPr>
      </w:pPr>
    </w:p>
    <w:p w14:paraId="595C436A" w14:textId="77777777" w:rsidR="004726D8" w:rsidRPr="00776407" w:rsidRDefault="004726D8" w:rsidP="00864BE6">
      <w:pPr>
        <w:pStyle w:val="Listenabsatz"/>
        <w:keepNext/>
        <w:numPr>
          <w:ilvl w:val="1"/>
          <w:numId w:val="9"/>
        </w:numPr>
        <w:autoSpaceDE w:val="0"/>
        <w:autoSpaceDN w:val="0"/>
        <w:adjustRightInd w:val="0"/>
        <w:ind w:left="567" w:hanging="567"/>
        <w:rPr>
          <w:rFonts w:eastAsia="Calibri"/>
          <w:b/>
          <w:color w:val="000000"/>
          <w:sz w:val="22"/>
          <w:szCs w:val="22"/>
        </w:rPr>
      </w:pPr>
      <w:r w:rsidRPr="00776407">
        <w:rPr>
          <w:rFonts w:eastAsia="Calibri"/>
          <w:b/>
          <w:bCs/>
          <w:color w:val="000000"/>
          <w:sz w:val="22"/>
          <w:szCs w:val="22"/>
        </w:rPr>
        <w:t xml:space="preserve">Perdozavimas </w:t>
      </w:r>
    </w:p>
    <w:p w14:paraId="43931525" w14:textId="77777777" w:rsidR="004726D8" w:rsidRPr="00776407" w:rsidRDefault="004726D8" w:rsidP="004726D8">
      <w:pPr>
        <w:autoSpaceDE w:val="0"/>
        <w:autoSpaceDN w:val="0"/>
        <w:adjustRightInd w:val="0"/>
        <w:rPr>
          <w:rFonts w:eastAsia="Calibri"/>
          <w:b/>
          <w:color w:val="000000"/>
          <w:sz w:val="22"/>
          <w:szCs w:val="22"/>
        </w:rPr>
      </w:pPr>
    </w:p>
    <w:p w14:paraId="7C9F0BE6" w14:textId="77777777" w:rsidR="004726D8" w:rsidRPr="00776407" w:rsidRDefault="004726D8" w:rsidP="00CF6CF3">
      <w:pPr>
        <w:autoSpaceDE w:val="0"/>
        <w:autoSpaceDN w:val="0"/>
        <w:adjustRightInd w:val="0"/>
        <w:rPr>
          <w:rFonts w:eastAsia="Calibri"/>
          <w:color w:val="000000"/>
          <w:sz w:val="22"/>
          <w:szCs w:val="22"/>
        </w:rPr>
      </w:pPr>
      <w:r w:rsidRPr="00776407">
        <w:rPr>
          <w:rFonts w:eastAsia="Calibri"/>
          <w:color w:val="000000"/>
          <w:sz w:val="22"/>
          <w:szCs w:val="22"/>
        </w:rPr>
        <w:t xml:space="preserve">Didesnės dozės nei rekomenduojama terapinė dozė vartojimo patirties yra nedaug. Pavienių pranešimų metu ir literatūros šaltiniuose registruoti pavieniai </w:t>
      </w:r>
      <w:r w:rsidR="00B123BE" w:rsidRPr="00776407">
        <w:rPr>
          <w:rFonts w:eastAsia="Calibri"/>
          <w:color w:val="000000"/>
          <w:sz w:val="22"/>
          <w:szCs w:val="22"/>
        </w:rPr>
        <w:t>imatinibo</w:t>
      </w:r>
      <w:r w:rsidRPr="00776407">
        <w:rPr>
          <w:rFonts w:eastAsia="Calibri"/>
          <w:color w:val="000000"/>
          <w:sz w:val="22"/>
          <w:szCs w:val="22"/>
        </w:rPr>
        <w:t xml:space="preserve"> perdozavimo atvejai. Perdozavusį </w:t>
      </w:r>
      <w:r w:rsidR="009C52C2" w:rsidRPr="00776407">
        <w:rPr>
          <w:rFonts w:eastAsia="MS Mincho"/>
          <w:color w:val="000000"/>
          <w:sz w:val="22"/>
          <w:szCs w:val="22"/>
        </w:rPr>
        <w:t xml:space="preserve">vaistinio preparato </w:t>
      </w:r>
      <w:r w:rsidRPr="00776407">
        <w:rPr>
          <w:rFonts w:eastAsia="Calibri"/>
          <w:color w:val="000000"/>
          <w:sz w:val="22"/>
          <w:szCs w:val="22"/>
        </w:rPr>
        <w:t xml:space="preserve">pacientą reikia stebėti ir taikyti atitinkamas simptominio gydymo priemones. Paprastai praneštais atvejais pacientų būklė “pagerėjo” arba jie “pasveiko”. Perdozavus skirtingų </w:t>
      </w:r>
      <w:r w:rsidR="009C52C2" w:rsidRPr="00776407">
        <w:rPr>
          <w:rFonts w:eastAsia="MS Mincho"/>
          <w:color w:val="000000"/>
          <w:sz w:val="22"/>
          <w:szCs w:val="22"/>
        </w:rPr>
        <w:t xml:space="preserve">vaistinio preparato </w:t>
      </w:r>
      <w:r w:rsidRPr="00776407">
        <w:rPr>
          <w:rFonts w:eastAsia="Calibri"/>
          <w:color w:val="000000"/>
          <w:sz w:val="22"/>
          <w:szCs w:val="22"/>
        </w:rPr>
        <w:t xml:space="preserve">dozių, pranešta apie pasireiškusius toliau išvardytus reiškinius. </w:t>
      </w:r>
    </w:p>
    <w:p w14:paraId="7C986020" w14:textId="77777777" w:rsidR="00B123BE" w:rsidRPr="00776407" w:rsidRDefault="00B123BE" w:rsidP="00CF6CF3">
      <w:pPr>
        <w:autoSpaceDE w:val="0"/>
        <w:autoSpaceDN w:val="0"/>
        <w:adjustRightInd w:val="0"/>
        <w:rPr>
          <w:rFonts w:eastAsia="Calibri"/>
          <w:color w:val="000000"/>
          <w:sz w:val="22"/>
          <w:szCs w:val="22"/>
        </w:rPr>
      </w:pPr>
    </w:p>
    <w:p w14:paraId="7CACA947" w14:textId="77777777" w:rsidR="004726D8" w:rsidRPr="00776407" w:rsidRDefault="004726D8" w:rsidP="00CF6CF3">
      <w:pPr>
        <w:autoSpaceDE w:val="0"/>
        <w:autoSpaceDN w:val="0"/>
        <w:adjustRightInd w:val="0"/>
        <w:rPr>
          <w:rFonts w:eastAsia="Calibri"/>
          <w:color w:val="000000"/>
          <w:sz w:val="22"/>
          <w:szCs w:val="22"/>
          <w:u w:val="single"/>
        </w:rPr>
      </w:pPr>
      <w:r w:rsidRPr="00776407">
        <w:rPr>
          <w:rFonts w:eastAsia="Calibri"/>
          <w:iCs/>
          <w:color w:val="000000"/>
          <w:sz w:val="22"/>
          <w:szCs w:val="22"/>
          <w:u w:val="single"/>
        </w:rPr>
        <w:t xml:space="preserve">Suaugusiųjų populiacija </w:t>
      </w:r>
    </w:p>
    <w:p w14:paraId="06E6FA2A" w14:textId="77777777" w:rsidR="004726D8" w:rsidRPr="00776407" w:rsidRDefault="004726D8" w:rsidP="00CF6CF3">
      <w:pPr>
        <w:autoSpaceDE w:val="0"/>
        <w:autoSpaceDN w:val="0"/>
        <w:adjustRightInd w:val="0"/>
        <w:rPr>
          <w:rFonts w:eastAsia="Calibri"/>
          <w:color w:val="000000"/>
          <w:sz w:val="22"/>
          <w:szCs w:val="22"/>
        </w:rPr>
      </w:pPr>
      <w:r w:rsidRPr="00776407">
        <w:rPr>
          <w:rFonts w:eastAsia="Calibri"/>
          <w:color w:val="000000"/>
          <w:sz w:val="22"/>
          <w:szCs w:val="22"/>
        </w:rPr>
        <w:t>Išgėrus 1200-1600</w:t>
      </w:r>
      <w:r w:rsidR="00B123BE" w:rsidRPr="00776407">
        <w:rPr>
          <w:rFonts w:eastAsia="Calibri"/>
          <w:color w:val="000000"/>
          <w:sz w:val="22"/>
          <w:szCs w:val="22"/>
        </w:rPr>
        <w:t> </w:t>
      </w:r>
      <w:r w:rsidRPr="00776407">
        <w:rPr>
          <w:rFonts w:eastAsia="Calibri"/>
          <w:color w:val="000000"/>
          <w:sz w:val="22"/>
          <w:szCs w:val="22"/>
        </w:rPr>
        <w:t>mg dozę (vartojimo trukmė buvo nuo 1 iki 10</w:t>
      </w:r>
      <w:r w:rsidR="00B123BE" w:rsidRPr="00776407">
        <w:rPr>
          <w:rFonts w:eastAsia="Calibri"/>
          <w:color w:val="000000"/>
          <w:sz w:val="22"/>
          <w:szCs w:val="22"/>
        </w:rPr>
        <w:t> </w:t>
      </w:r>
      <w:r w:rsidRPr="00776407">
        <w:rPr>
          <w:rFonts w:eastAsia="Calibri"/>
          <w:color w:val="000000"/>
          <w:sz w:val="22"/>
          <w:szCs w:val="22"/>
        </w:rPr>
        <w:t xml:space="preserve">dienų), pasireiškė pykinimas, vėmimas, viduriavimas, bėrimas, eritema, edema, patinimas, nuovargis, raumenų spazmai, trombocitopenija, pancitopenija, pilvo skausmas, galvos skausmas, sumažėjęs apetitas. </w:t>
      </w:r>
    </w:p>
    <w:p w14:paraId="6617C9FD" w14:textId="77777777" w:rsidR="004726D8" w:rsidRPr="00776407" w:rsidRDefault="004726D8" w:rsidP="00CF6CF3">
      <w:pPr>
        <w:autoSpaceDE w:val="0"/>
        <w:autoSpaceDN w:val="0"/>
        <w:adjustRightInd w:val="0"/>
        <w:rPr>
          <w:rFonts w:eastAsia="Calibri"/>
          <w:color w:val="000000"/>
          <w:sz w:val="22"/>
          <w:szCs w:val="22"/>
        </w:rPr>
      </w:pPr>
      <w:r w:rsidRPr="00776407">
        <w:rPr>
          <w:rFonts w:eastAsia="Calibri"/>
          <w:color w:val="000000"/>
          <w:sz w:val="22"/>
          <w:szCs w:val="22"/>
        </w:rPr>
        <w:t>Išgėrus 1800-3200</w:t>
      </w:r>
      <w:r w:rsidR="00B123BE" w:rsidRPr="00776407">
        <w:rPr>
          <w:rFonts w:eastAsia="Calibri"/>
          <w:color w:val="000000"/>
          <w:sz w:val="22"/>
          <w:szCs w:val="22"/>
        </w:rPr>
        <w:t> </w:t>
      </w:r>
      <w:r w:rsidRPr="00776407">
        <w:rPr>
          <w:rFonts w:eastAsia="Calibri"/>
          <w:color w:val="000000"/>
          <w:sz w:val="22"/>
          <w:szCs w:val="22"/>
        </w:rPr>
        <w:t>mg dozę (daugiausia po 3200</w:t>
      </w:r>
      <w:r w:rsidR="00B123BE" w:rsidRPr="00776407">
        <w:rPr>
          <w:rFonts w:eastAsia="Calibri"/>
          <w:color w:val="000000"/>
          <w:sz w:val="22"/>
          <w:szCs w:val="22"/>
        </w:rPr>
        <w:t> </w:t>
      </w:r>
      <w:r w:rsidRPr="00776407">
        <w:rPr>
          <w:rFonts w:eastAsia="Calibri"/>
          <w:color w:val="000000"/>
          <w:sz w:val="22"/>
          <w:szCs w:val="22"/>
        </w:rPr>
        <w:t>mg per parą 6</w:t>
      </w:r>
      <w:r w:rsidR="00B123BE" w:rsidRPr="00776407">
        <w:rPr>
          <w:rFonts w:eastAsia="Calibri"/>
          <w:color w:val="000000"/>
          <w:sz w:val="22"/>
          <w:szCs w:val="22"/>
        </w:rPr>
        <w:t> </w:t>
      </w:r>
      <w:r w:rsidRPr="00776407">
        <w:rPr>
          <w:rFonts w:eastAsia="Calibri"/>
          <w:color w:val="000000"/>
          <w:sz w:val="22"/>
          <w:szCs w:val="22"/>
        </w:rPr>
        <w:t xml:space="preserve">dienas), pasireiškė silpnumas, raumenų skausmas, padidėjusi kreatinfosfokinazės koncentracija, padidėjusi bilirubino koncentracija, virškinimo trakto skausmas. </w:t>
      </w:r>
    </w:p>
    <w:p w14:paraId="39ACD99C" w14:textId="77777777" w:rsidR="004726D8" w:rsidRPr="00776407" w:rsidRDefault="004726D8" w:rsidP="00CF6CF3">
      <w:pPr>
        <w:autoSpaceDE w:val="0"/>
        <w:autoSpaceDN w:val="0"/>
        <w:adjustRightInd w:val="0"/>
        <w:rPr>
          <w:rFonts w:eastAsia="Calibri"/>
          <w:color w:val="000000"/>
          <w:sz w:val="22"/>
          <w:szCs w:val="22"/>
        </w:rPr>
      </w:pPr>
      <w:r w:rsidRPr="00776407">
        <w:rPr>
          <w:rFonts w:eastAsia="Calibri"/>
          <w:color w:val="000000"/>
          <w:sz w:val="22"/>
          <w:szCs w:val="22"/>
        </w:rPr>
        <w:t>Išgėrus 6400</w:t>
      </w:r>
      <w:r w:rsidR="00B123BE" w:rsidRPr="00776407">
        <w:rPr>
          <w:rFonts w:eastAsia="Calibri"/>
          <w:color w:val="000000"/>
          <w:sz w:val="22"/>
          <w:szCs w:val="22"/>
        </w:rPr>
        <w:t> </w:t>
      </w:r>
      <w:r w:rsidRPr="00776407">
        <w:rPr>
          <w:rFonts w:eastAsia="Calibri"/>
          <w:color w:val="000000"/>
          <w:sz w:val="22"/>
          <w:szCs w:val="22"/>
        </w:rPr>
        <w:t xml:space="preserve">mg (vienkartinę dozę): literatūros šaltiniuose pranešta apie vieną tokį atvejį, kai vienam pacientui pasireiškė pykinimas, vėmimas, pilvo skausmas, karščiavimas, veido patinimas, sumažėjęs neutrofilų skaičius kraujyje, padidėjusi transaminazių koncentracija. </w:t>
      </w:r>
    </w:p>
    <w:p w14:paraId="37250253" w14:textId="77777777" w:rsidR="004726D8" w:rsidRPr="00776407" w:rsidRDefault="004726D8" w:rsidP="00CF6CF3">
      <w:pPr>
        <w:autoSpaceDE w:val="0"/>
        <w:autoSpaceDN w:val="0"/>
        <w:adjustRightInd w:val="0"/>
        <w:rPr>
          <w:rFonts w:eastAsia="Calibri"/>
          <w:color w:val="000000"/>
          <w:sz w:val="22"/>
          <w:szCs w:val="22"/>
        </w:rPr>
      </w:pPr>
      <w:r w:rsidRPr="00776407">
        <w:rPr>
          <w:rFonts w:eastAsia="Calibri"/>
          <w:color w:val="000000"/>
          <w:sz w:val="22"/>
          <w:szCs w:val="22"/>
        </w:rPr>
        <w:t>Išgėrus 8-10</w:t>
      </w:r>
      <w:r w:rsidR="00B123BE" w:rsidRPr="00776407">
        <w:rPr>
          <w:rFonts w:eastAsia="Calibri"/>
          <w:color w:val="000000"/>
          <w:sz w:val="22"/>
          <w:szCs w:val="22"/>
        </w:rPr>
        <w:t> </w:t>
      </w:r>
      <w:r w:rsidRPr="00776407">
        <w:rPr>
          <w:rFonts w:eastAsia="Calibri"/>
          <w:color w:val="000000"/>
          <w:sz w:val="22"/>
          <w:szCs w:val="22"/>
        </w:rPr>
        <w:t xml:space="preserve">g (vienkartinę dozę), pranešta apie pasireiškusį vėmimą ir virškinimo trakto skausmą. </w:t>
      </w:r>
    </w:p>
    <w:p w14:paraId="21D6FD06" w14:textId="77777777" w:rsidR="00B123BE" w:rsidRPr="00776407" w:rsidRDefault="00B123BE" w:rsidP="004726D8">
      <w:pPr>
        <w:autoSpaceDE w:val="0"/>
        <w:autoSpaceDN w:val="0"/>
        <w:adjustRightInd w:val="0"/>
        <w:rPr>
          <w:rFonts w:eastAsia="Calibri"/>
          <w:color w:val="000000"/>
          <w:sz w:val="22"/>
          <w:szCs w:val="22"/>
        </w:rPr>
      </w:pPr>
    </w:p>
    <w:p w14:paraId="4FB5A4F9" w14:textId="77777777" w:rsidR="004726D8" w:rsidRPr="00776407" w:rsidRDefault="004726D8" w:rsidP="004726D8">
      <w:pPr>
        <w:autoSpaceDE w:val="0"/>
        <w:autoSpaceDN w:val="0"/>
        <w:adjustRightInd w:val="0"/>
        <w:rPr>
          <w:rFonts w:eastAsia="Calibri"/>
          <w:color w:val="000000"/>
          <w:sz w:val="22"/>
          <w:szCs w:val="22"/>
          <w:u w:val="single"/>
        </w:rPr>
      </w:pPr>
      <w:r w:rsidRPr="00776407">
        <w:rPr>
          <w:rFonts w:eastAsia="Calibri"/>
          <w:iCs/>
          <w:color w:val="000000"/>
          <w:sz w:val="22"/>
          <w:szCs w:val="22"/>
          <w:u w:val="single"/>
        </w:rPr>
        <w:t xml:space="preserve">Vaikų populiacija </w:t>
      </w:r>
    </w:p>
    <w:p w14:paraId="0686BD7A" w14:textId="77777777" w:rsidR="004726D8" w:rsidRPr="00776407" w:rsidRDefault="004726D8" w:rsidP="004726D8">
      <w:pPr>
        <w:autoSpaceDE w:val="0"/>
        <w:autoSpaceDN w:val="0"/>
        <w:adjustRightInd w:val="0"/>
        <w:rPr>
          <w:rFonts w:eastAsia="Calibri"/>
          <w:color w:val="000000"/>
          <w:sz w:val="22"/>
          <w:szCs w:val="22"/>
        </w:rPr>
      </w:pPr>
      <w:r w:rsidRPr="00776407">
        <w:rPr>
          <w:rFonts w:eastAsia="Calibri"/>
          <w:color w:val="000000"/>
          <w:sz w:val="22"/>
          <w:szCs w:val="22"/>
        </w:rPr>
        <w:t>Vienam 3</w:t>
      </w:r>
      <w:r w:rsidR="00B123BE" w:rsidRPr="00776407">
        <w:rPr>
          <w:rFonts w:eastAsia="Calibri"/>
          <w:color w:val="000000"/>
          <w:sz w:val="22"/>
          <w:szCs w:val="22"/>
        </w:rPr>
        <w:t> </w:t>
      </w:r>
      <w:r w:rsidRPr="00776407">
        <w:rPr>
          <w:rFonts w:eastAsia="Calibri"/>
          <w:color w:val="000000"/>
          <w:sz w:val="22"/>
          <w:szCs w:val="22"/>
        </w:rPr>
        <w:t>metų berniukui, kuris išgėrė vienkartinę 400</w:t>
      </w:r>
      <w:r w:rsidR="00B123BE" w:rsidRPr="00776407">
        <w:rPr>
          <w:rFonts w:eastAsia="Calibri"/>
          <w:color w:val="000000"/>
          <w:sz w:val="22"/>
          <w:szCs w:val="22"/>
        </w:rPr>
        <w:t> </w:t>
      </w:r>
      <w:r w:rsidRPr="00776407">
        <w:rPr>
          <w:rFonts w:eastAsia="Calibri"/>
          <w:color w:val="000000"/>
          <w:sz w:val="22"/>
          <w:szCs w:val="22"/>
        </w:rPr>
        <w:t>mg dozę, pasireiškė vėmimas, viduriavimas ir anoreksija, o kitam 3</w:t>
      </w:r>
      <w:r w:rsidR="00B123BE" w:rsidRPr="00776407">
        <w:rPr>
          <w:rFonts w:eastAsia="Calibri"/>
          <w:color w:val="000000"/>
          <w:sz w:val="22"/>
          <w:szCs w:val="22"/>
        </w:rPr>
        <w:t> </w:t>
      </w:r>
      <w:r w:rsidRPr="00776407">
        <w:rPr>
          <w:rFonts w:eastAsia="Calibri"/>
          <w:color w:val="000000"/>
          <w:sz w:val="22"/>
          <w:szCs w:val="22"/>
        </w:rPr>
        <w:t>metų berniukui, kuris išgėrė vienkartinę 980</w:t>
      </w:r>
      <w:r w:rsidR="00B123BE" w:rsidRPr="00776407">
        <w:rPr>
          <w:rFonts w:eastAsia="Calibri"/>
          <w:color w:val="000000"/>
          <w:sz w:val="22"/>
          <w:szCs w:val="22"/>
        </w:rPr>
        <w:t> </w:t>
      </w:r>
      <w:r w:rsidRPr="00776407">
        <w:rPr>
          <w:rFonts w:eastAsia="Calibri"/>
          <w:color w:val="000000"/>
          <w:sz w:val="22"/>
          <w:szCs w:val="22"/>
        </w:rPr>
        <w:t xml:space="preserve">mg dozę, sumažėjo leukocitų skaičius kraujyje ir pasireiškė viduriavimas. </w:t>
      </w:r>
    </w:p>
    <w:p w14:paraId="7A1F9CB3" w14:textId="77777777" w:rsidR="00B123BE" w:rsidRPr="00776407" w:rsidRDefault="00B123BE" w:rsidP="004726D8">
      <w:pPr>
        <w:autoSpaceDE w:val="0"/>
        <w:autoSpaceDN w:val="0"/>
        <w:adjustRightInd w:val="0"/>
        <w:rPr>
          <w:rFonts w:eastAsia="Calibri"/>
          <w:color w:val="000000"/>
          <w:sz w:val="22"/>
          <w:szCs w:val="22"/>
        </w:rPr>
      </w:pPr>
    </w:p>
    <w:p w14:paraId="29CB85C0" w14:textId="77777777" w:rsidR="004726D8" w:rsidRPr="00776407" w:rsidRDefault="004726D8" w:rsidP="004726D8">
      <w:pPr>
        <w:autoSpaceDE w:val="0"/>
        <w:autoSpaceDN w:val="0"/>
        <w:adjustRightInd w:val="0"/>
        <w:rPr>
          <w:rFonts w:eastAsia="Calibri"/>
          <w:color w:val="000000"/>
          <w:sz w:val="22"/>
          <w:szCs w:val="22"/>
        </w:rPr>
      </w:pPr>
      <w:r w:rsidRPr="00776407">
        <w:rPr>
          <w:rFonts w:eastAsia="Calibri"/>
          <w:color w:val="000000"/>
          <w:sz w:val="22"/>
          <w:szCs w:val="22"/>
        </w:rPr>
        <w:t xml:space="preserve">Pacientą, perdozavusį </w:t>
      </w:r>
      <w:r w:rsidR="009C52C2" w:rsidRPr="00776407">
        <w:rPr>
          <w:rFonts w:eastAsia="MS Mincho"/>
          <w:color w:val="000000"/>
          <w:sz w:val="22"/>
          <w:szCs w:val="22"/>
        </w:rPr>
        <w:t>vaistinio preparato</w:t>
      </w:r>
      <w:r w:rsidRPr="00776407">
        <w:rPr>
          <w:rFonts w:eastAsia="Calibri"/>
          <w:color w:val="000000"/>
          <w:sz w:val="22"/>
          <w:szCs w:val="22"/>
        </w:rPr>
        <w:t xml:space="preserve">, reikia stebėti ir taikyti atitinkamas pagalbinio gydymo priemones. </w:t>
      </w:r>
    </w:p>
    <w:p w14:paraId="7FD6E100" w14:textId="77777777" w:rsidR="00B123BE" w:rsidRPr="00776407" w:rsidRDefault="00B123BE" w:rsidP="004726D8">
      <w:pPr>
        <w:autoSpaceDE w:val="0"/>
        <w:autoSpaceDN w:val="0"/>
        <w:adjustRightInd w:val="0"/>
        <w:rPr>
          <w:rFonts w:eastAsia="Calibri"/>
          <w:color w:val="000000"/>
          <w:sz w:val="22"/>
          <w:szCs w:val="22"/>
        </w:rPr>
      </w:pPr>
    </w:p>
    <w:p w14:paraId="7182BD6D" w14:textId="77777777" w:rsidR="00B123BE" w:rsidRPr="00776407" w:rsidRDefault="00B123BE" w:rsidP="004726D8">
      <w:pPr>
        <w:autoSpaceDE w:val="0"/>
        <w:autoSpaceDN w:val="0"/>
        <w:adjustRightInd w:val="0"/>
        <w:rPr>
          <w:rFonts w:eastAsia="Calibri"/>
          <w:color w:val="000000"/>
          <w:sz w:val="22"/>
          <w:szCs w:val="22"/>
        </w:rPr>
      </w:pPr>
    </w:p>
    <w:p w14:paraId="3FA9E553" w14:textId="77777777" w:rsidR="004726D8" w:rsidRPr="00776407" w:rsidRDefault="004726D8" w:rsidP="00864BE6">
      <w:pPr>
        <w:pStyle w:val="Listenabsatz"/>
        <w:keepNext/>
        <w:numPr>
          <w:ilvl w:val="0"/>
          <w:numId w:val="9"/>
        </w:numPr>
        <w:autoSpaceDE w:val="0"/>
        <w:autoSpaceDN w:val="0"/>
        <w:adjustRightInd w:val="0"/>
        <w:ind w:left="567" w:hanging="567"/>
        <w:rPr>
          <w:rFonts w:eastAsia="Calibri"/>
          <w:b/>
          <w:color w:val="000000"/>
          <w:sz w:val="22"/>
          <w:szCs w:val="22"/>
        </w:rPr>
      </w:pPr>
      <w:r w:rsidRPr="00776407">
        <w:rPr>
          <w:rFonts w:eastAsia="Calibri"/>
          <w:b/>
          <w:bCs/>
          <w:color w:val="000000"/>
          <w:sz w:val="22"/>
          <w:szCs w:val="22"/>
        </w:rPr>
        <w:t xml:space="preserve">FARMAKOLOGINĖS SAVYBĖS </w:t>
      </w:r>
    </w:p>
    <w:p w14:paraId="73CF7C30" w14:textId="77777777" w:rsidR="00B123BE" w:rsidRPr="00776407" w:rsidRDefault="00B123BE" w:rsidP="00B123BE">
      <w:pPr>
        <w:keepNext/>
        <w:autoSpaceDE w:val="0"/>
        <w:autoSpaceDN w:val="0"/>
        <w:adjustRightInd w:val="0"/>
        <w:rPr>
          <w:rFonts w:eastAsia="Calibri"/>
          <w:b/>
          <w:color w:val="000000"/>
          <w:sz w:val="22"/>
          <w:szCs w:val="22"/>
        </w:rPr>
      </w:pPr>
    </w:p>
    <w:p w14:paraId="79DC31DF" w14:textId="77777777" w:rsidR="004726D8" w:rsidRPr="00776407" w:rsidRDefault="004726D8" w:rsidP="00864BE6">
      <w:pPr>
        <w:pStyle w:val="Listenabsatz"/>
        <w:keepNext/>
        <w:numPr>
          <w:ilvl w:val="1"/>
          <w:numId w:val="9"/>
        </w:numPr>
        <w:autoSpaceDE w:val="0"/>
        <w:autoSpaceDN w:val="0"/>
        <w:adjustRightInd w:val="0"/>
        <w:ind w:left="567" w:hanging="567"/>
        <w:rPr>
          <w:rFonts w:eastAsia="Calibri"/>
          <w:b/>
          <w:color w:val="000000"/>
          <w:sz w:val="22"/>
          <w:szCs w:val="22"/>
        </w:rPr>
      </w:pPr>
      <w:r w:rsidRPr="00776407">
        <w:rPr>
          <w:rFonts w:eastAsia="Calibri"/>
          <w:b/>
          <w:bCs/>
          <w:color w:val="000000"/>
          <w:sz w:val="22"/>
          <w:szCs w:val="22"/>
        </w:rPr>
        <w:t xml:space="preserve">Farmakodinaminės savybės </w:t>
      </w:r>
    </w:p>
    <w:p w14:paraId="0F7242B5" w14:textId="77777777" w:rsidR="00B123BE" w:rsidRPr="00776407" w:rsidRDefault="00B123BE" w:rsidP="004726D8">
      <w:pPr>
        <w:autoSpaceDE w:val="0"/>
        <w:autoSpaceDN w:val="0"/>
        <w:adjustRightInd w:val="0"/>
        <w:rPr>
          <w:rFonts w:eastAsia="Calibri"/>
          <w:color w:val="000000"/>
          <w:sz w:val="22"/>
          <w:szCs w:val="22"/>
        </w:rPr>
      </w:pPr>
    </w:p>
    <w:p w14:paraId="2D75D5A0" w14:textId="77777777" w:rsidR="004726D8" w:rsidRPr="00776407" w:rsidRDefault="004726D8" w:rsidP="004726D8">
      <w:pPr>
        <w:autoSpaceDE w:val="0"/>
        <w:autoSpaceDN w:val="0"/>
        <w:adjustRightInd w:val="0"/>
        <w:rPr>
          <w:rFonts w:eastAsia="Calibri"/>
          <w:color w:val="000000"/>
          <w:sz w:val="22"/>
          <w:szCs w:val="22"/>
        </w:rPr>
      </w:pPr>
      <w:r w:rsidRPr="00776407">
        <w:rPr>
          <w:rFonts w:eastAsia="Calibri"/>
          <w:color w:val="000000"/>
          <w:sz w:val="22"/>
          <w:szCs w:val="22"/>
        </w:rPr>
        <w:t>Farmakoterapinė grupė</w:t>
      </w:r>
      <w:r w:rsidR="00CF6CF3" w:rsidRPr="00776407">
        <w:rPr>
          <w:rFonts w:eastAsia="Calibri"/>
          <w:color w:val="000000"/>
          <w:sz w:val="22"/>
          <w:szCs w:val="22"/>
        </w:rPr>
        <w:t>: antinavikiniai vaistai, protein</w:t>
      </w:r>
      <w:r w:rsidRPr="00776407">
        <w:rPr>
          <w:rFonts w:eastAsia="Calibri"/>
          <w:color w:val="000000"/>
          <w:sz w:val="22"/>
          <w:szCs w:val="22"/>
        </w:rPr>
        <w:t>kinazės inhibitorius, ATC kodas – L01XE01</w:t>
      </w:r>
      <w:r w:rsidR="002B117F" w:rsidRPr="00776407">
        <w:rPr>
          <w:rFonts w:eastAsia="Calibri"/>
          <w:color w:val="000000"/>
          <w:sz w:val="22"/>
          <w:szCs w:val="22"/>
        </w:rPr>
        <w:t>.</w:t>
      </w:r>
      <w:r w:rsidRPr="00776407">
        <w:rPr>
          <w:rFonts w:eastAsia="Calibri"/>
          <w:color w:val="000000"/>
          <w:sz w:val="22"/>
          <w:szCs w:val="22"/>
        </w:rPr>
        <w:t xml:space="preserve"> </w:t>
      </w:r>
    </w:p>
    <w:p w14:paraId="1C9113A0" w14:textId="77777777" w:rsidR="00B123BE" w:rsidRPr="00776407" w:rsidRDefault="00B123BE" w:rsidP="004726D8">
      <w:pPr>
        <w:autoSpaceDE w:val="0"/>
        <w:autoSpaceDN w:val="0"/>
        <w:adjustRightInd w:val="0"/>
        <w:rPr>
          <w:rFonts w:eastAsia="Calibri"/>
          <w:color w:val="000000"/>
          <w:sz w:val="22"/>
          <w:szCs w:val="22"/>
        </w:rPr>
      </w:pPr>
    </w:p>
    <w:p w14:paraId="04AA92F5" w14:textId="77777777" w:rsidR="004726D8" w:rsidRPr="00776407" w:rsidRDefault="004726D8" w:rsidP="004726D8">
      <w:pPr>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Veikimo mechanizmas </w:t>
      </w:r>
    </w:p>
    <w:p w14:paraId="1ED46C77" w14:textId="77777777" w:rsidR="004726D8" w:rsidRPr="00776407" w:rsidRDefault="004726D8" w:rsidP="004726D8">
      <w:pPr>
        <w:rPr>
          <w:rFonts w:eastAsia="Calibri"/>
          <w:color w:val="000000"/>
          <w:sz w:val="22"/>
          <w:szCs w:val="22"/>
        </w:rPr>
      </w:pPr>
      <w:r w:rsidRPr="00776407">
        <w:rPr>
          <w:rFonts w:eastAsia="Calibri"/>
          <w:color w:val="000000"/>
          <w:sz w:val="22"/>
          <w:szCs w:val="22"/>
        </w:rPr>
        <w:t>Imatinibas yra nedidelė baltymo tirozino kinazės inhibitoriaus molekulė, kuri stipriai slopina Bcr</w:t>
      </w:r>
      <w:r w:rsidR="00CB3B29" w:rsidRPr="00776407">
        <w:noBreakHyphen/>
      </w:r>
      <w:r w:rsidRPr="00776407">
        <w:rPr>
          <w:rFonts w:eastAsia="Calibri"/>
          <w:color w:val="000000"/>
          <w:sz w:val="22"/>
          <w:szCs w:val="22"/>
        </w:rPr>
        <w:t xml:space="preserve">Abl tirozino kinazės (TK) aktyvumą, taip pat keleto TK receptorių aktyvumą: Kit, c-Kit proto-onkogeną koduojančio kamieninių ląstelių faktoriaus (angl. </w:t>
      </w:r>
      <w:r w:rsidRPr="00776407">
        <w:rPr>
          <w:rFonts w:eastAsia="Calibri"/>
          <w:i/>
          <w:iCs/>
          <w:color w:val="000000"/>
          <w:sz w:val="22"/>
          <w:szCs w:val="22"/>
        </w:rPr>
        <w:t>stem cell factor – SCF</w:t>
      </w:r>
      <w:r w:rsidRPr="00776407">
        <w:rPr>
          <w:rFonts w:eastAsia="Calibri"/>
          <w:color w:val="000000"/>
          <w:sz w:val="22"/>
          <w:szCs w:val="22"/>
        </w:rPr>
        <w:t xml:space="preserve">) receptorių, diskoidino domeno receptorius (DDR1 ir DDR2), kolonijas stimuliuojančio faktoriaus receptorių (angl. </w:t>
      </w:r>
      <w:r w:rsidRPr="00776407">
        <w:rPr>
          <w:rFonts w:eastAsia="Calibri"/>
          <w:i/>
          <w:iCs/>
          <w:color w:val="000000"/>
          <w:sz w:val="22"/>
          <w:szCs w:val="22"/>
        </w:rPr>
        <w:t>colony stimulating factor receptor – CSF-1R</w:t>
      </w:r>
      <w:r w:rsidRPr="00776407">
        <w:rPr>
          <w:rFonts w:eastAsia="Calibri"/>
          <w:color w:val="000000"/>
          <w:sz w:val="22"/>
          <w:szCs w:val="22"/>
        </w:rPr>
        <w:t xml:space="preserve">) bei trombocituose esančius augimo faktoriaus receptorius alfa ir beta (angl. </w:t>
      </w:r>
      <w:r w:rsidRPr="00776407">
        <w:rPr>
          <w:rFonts w:eastAsia="Calibri"/>
          <w:i/>
          <w:iCs/>
          <w:color w:val="000000"/>
          <w:sz w:val="22"/>
          <w:szCs w:val="22"/>
        </w:rPr>
        <w:t>platelet-derived growth factor receptors – PDGFR-alpha, PDGFR-beta</w:t>
      </w:r>
      <w:r w:rsidRPr="00776407">
        <w:rPr>
          <w:rFonts w:eastAsia="Calibri"/>
          <w:color w:val="000000"/>
          <w:sz w:val="22"/>
          <w:szCs w:val="22"/>
        </w:rPr>
        <w:t>). Imatinibas taip pat gali slopinti ląstelių procesus, kuriuos skatina šių receptorių kinazių aktyvinimas.</w:t>
      </w:r>
    </w:p>
    <w:p w14:paraId="5651D231" w14:textId="77777777" w:rsidR="00597153" w:rsidRPr="00776407" w:rsidRDefault="00597153" w:rsidP="004726D8">
      <w:pPr>
        <w:rPr>
          <w:rFonts w:eastAsia="Calibri"/>
          <w:color w:val="000000"/>
          <w:sz w:val="22"/>
          <w:szCs w:val="22"/>
        </w:rPr>
      </w:pPr>
    </w:p>
    <w:p w14:paraId="1BF98E26" w14:textId="77777777" w:rsidR="00597153" w:rsidRPr="00776407" w:rsidRDefault="00597153" w:rsidP="00597153">
      <w:pPr>
        <w:rPr>
          <w:rFonts w:eastAsia="Calibri"/>
          <w:sz w:val="22"/>
          <w:szCs w:val="22"/>
          <w:u w:val="single"/>
        </w:rPr>
      </w:pPr>
      <w:r w:rsidRPr="00776407">
        <w:rPr>
          <w:rFonts w:eastAsia="Calibri"/>
          <w:sz w:val="22"/>
          <w:szCs w:val="22"/>
          <w:u w:val="single"/>
        </w:rPr>
        <w:t xml:space="preserve">Farmakodinaminis poveikis </w:t>
      </w:r>
    </w:p>
    <w:p w14:paraId="4FCF144E" w14:textId="77777777" w:rsidR="00597153" w:rsidRPr="00776407" w:rsidRDefault="00597153" w:rsidP="00597153">
      <w:pPr>
        <w:rPr>
          <w:rFonts w:eastAsia="Calibri"/>
          <w:sz w:val="22"/>
          <w:szCs w:val="22"/>
        </w:rPr>
      </w:pPr>
      <w:r w:rsidRPr="00776407">
        <w:rPr>
          <w:rFonts w:eastAsia="Calibri"/>
          <w:sz w:val="22"/>
          <w:szCs w:val="22"/>
        </w:rPr>
        <w:t xml:space="preserve">Imatinibas yra proteintirozinkinazės inhibitorius, kuris </w:t>
      </w:r>
      <w:r w:rsidR="003B0365" w:rsidRPr="00776407">
        <w:rPr>
          <w:rFonts w:eastAsia="Calibri"/>
          <w:i/>
          <w:iCs/>
          <w:sz w:val="22"/>
          <w:szCs w:val="22"/>
        </w:rPr>
        <w:t>in </w:t>
      </w:r>
      <w:r w:rsidRPr="00776407">
        <w:rPr>
          <w:rFonts w:eastAsia="Calibri"/>
          <w:i/>
          <w:iCs/>
          <w:sz w:val="22"/>
          <w:szCs w:val="22"/>
        </w:rPr>
        <w:t>vitro</w:t>
      </w:r>
      <w:r w:rsidRPr="00776407">
        <w:rPr>
          <w:rFonts w:eastAsia="Calibri"/>
          <w:sz w:val="22"/>
          <w:szCs w:val="22"/>
        </w:rPr>
        <w:t xml:space="preserve">, ląstelės lygmenyje ir </w:t>
      </w:r>
      <w:r w:rsidRPr="00776407">
        <w:rPr>
          <w:rFonts w:eastAsia="Calibri"/>
          <w:i/>
          <w:iCs/>
          <w:sz w:val="22"/>
          <w:szCs w:val="22"/>
        </w:rPr>
        <w:t xml:space="preserve">in vivo </w:t>
      </w:r>
      <w:r w:rsidRPr="00776407">
        <w:rPr>
          <w:rFonts w:eastAsia="Calibri"/>
          <w:sz w:val="22"/>
          <w:szCs w:val="22"/>
        </w:rPr>
        <w:t xml:space="preserve">stipriai slopina Bcr-Abl tirozinkinazę. Junginys selektyviai slopina proliferaciją ir indukuoja apoptozę Bcr-Abl teigiamose ląstelių eilėse, taip pat šviežiose leukeminėse ląstelėse, gautose iš </w:t>
      </w:r>
      <w:r w:rsidRPr="00776407">
        <w:rPr>
          <w:rFonts w:eastAsia="Calibri"/>
          <w:i/>
          <w:iCs/>
          <w:sz w:val="22"/>
          <w:szCs w:val="22"/>
        </w:rPr>
        <w:t xml:space="preserve">Philadelphia </w:t>
      </w:r>
      <w:r w:rsidRPr="00776407">
        <w:rPr>
          <w:rFonts w:eastAsia="Calibri"/>
          <w:sz w:val="22"/>
          <w:szCs w:val="22"/>
        </w:rPr>
        <w:t>chromosomai teigiamų LML</w:t>
      </w:r>
      <w:r w:rsidR="00767C3D" w:rsidRPr="00776407">
        <w:rPr>
          <w:rFonts w:eastAsia="Calibri"/>
          <w:sz w:val="22"/>
          <w:szCs w:val="22"/>
        </w:rPr>
        <w:t xml:space="preserve"> ir ūmine limfoblastine leukemija (ŪLL</w:t>
      </w:r>
      <w:r w:rsidRPr="00776407">
        <w:rPr>
          <w:rFonts w:eastAsia="Calibri"/>
          <w:sz w:val="22"/>
          <w:szCs w:val="22"/>
        </w:rPr>
        <w:t xml:space="preserve">) sergančių pacientų. </w:t>
      </w:r>
    </w:p>
    <w:p w14:paraId="564ADFA2" w14:textId="77777777" w:rsidR="00597153" w:rsidRPr="00776407" w:rsidRDefault="00597153" w:rsidP="00597153">
      <w:pPr>
        <w:rPr>
          <w:rFonts w:eastAsia="Calibri"/>
          <w:sz w:val="22"/>
          <w:szCs w:val="22"/>
        </w:rPr>
      </w:pPr>
    </w:p>
    <w:p w14:paraId="117227E4" w14:textId="77777777" w:rsidR="00597153" w:rsidRPr="00776407" w:rsidRDefault="00597153" w:rsidP="00597153">
      <w:pPr>
        <w:rPr>
          <w:rFonts w:eastAsia="Calibri"/>
          <w:sz w:val="22"/>
          <w:szCs w:val="22"/>
        </w:rPr>
      </w:pPr>
      <w:r w:rsidRPr="00776407">
        <w:rPr>
          <w:rFonts w:eastAsia="Calibri"/>
          <w:i/>
          <w:iCs/>
          <w:sz w:val="22"/>
          <w:szCs w:val="22"/>
        </w:rPr>
        <w:t xml:space="preserve">In vivo </w:t>
      </w:r>
      <w:r w:rsidRPr="00776407">
        <w:rPr>
          <w:rFonts w:eastAsia="Calibri"/>
          <w:sz w:val="22"/>
          <w:szCs w:val="22"/>
        </w:rPr>
        <w:t xml:space="preserve">gyvūnų modelyje su Bcr-Abl teigiamomis naviko ląstelėmis junginiui (monoterapijoje) būdingas antinavikinis aktyvumas. </w:t>
      </w:r>
    </w:p>
    <w:p w14:paraId="637107BB" w14:textId="77777777" w:rsidR="00767C3D" w:rsidRPr="00776407" w:rsidRDefault="00767C3D" w:rsidP="00597153">
      <w:pPr>
        <w:rPr>
          <w:sz w:val="22"/>
          <w:szCs w:val="22"/>
        </w:rPr>
      </w:pPr>
    </w:p>
    <w:p w14:paraId="024269BA" w14:textId="77777777" w:rsidR="00597153" w:rsidRPr="00776407" w:rsidRDefault="00767C3D" w:rsidP="00597153">
      <w:pPr>
        <w:rPr>
          <w:sz w:val="22"/>
          <w:szCs w:val="22"/>
        </w:rPr>
      </w:pPr>
      <w:r w:rsidRPr="00776407">
        <w:rPr>
          <w:sz w:val="22"/>
          <w:szCs w:val="22"/>
        </w:rPr>
        <w:t>Imatinibas taip pat yra trombocitų kilmės augimo faktoriaus (</w:t>
      </w:r>
      <w:r w:rsidRPr="00776407">
        <w:rPr>
          <w:i/>
          <w:iCs/>
          <w:sz w:val="22"/>
          <w:szCs w:val="22"/>
        </w:rPr>
        <w:t>platelet-derived growth factor</w:t>
      </w:r>
      <w:r w:rsidRPr="00776407">
        <w:rPr>
          <w:sz w:val="22"/>
          <w:szCs w:val="22"/>
        </w:rPr>
        <w:t>, PDGF) PDGF-R, ir slopina PDGF medijuojamus ląstelių procesus</w:t>
      </w:r>
      <w:r w:rsidR="00B93D33" w:rsidRPr="00776407">
        <w:rPr>
          <w:sz w:val="22"/>
          <w:szCs w:val="22"/>
        </w:rPr>
        <w:t>.</w:t>
      </w:r>
      <w:r w:rsidRPr="00776407">
        <w:rPr>
          <w:sz w:val="22"/>
          <w:szCs w:val="22"/>
        </w:rPr>
        <w:t xml:space="preserve"> MDS/MPL, HES/LEL ir DFSP patogenezėje svarbus PDGF receptorių ar Abl baltymo tirozino kinazės aktyvavymas, kurį gali skatinti jungimasis su įvairiais baltymais ar PDGF gamyba. Imatinibas slopina sutrikusio PDGFR ir Abl kinazės aktyvumo sukeltą signalo perdavimą ir ląstelių dauginimąsi.</w:t>
      </w:r>
    </w:p>
    <w:p w14:paraId="48DEC169" w14:textId="77777777" w:rsidR="00767C3D" w:rsidRPr="00776407" w:rsidRDefault="00767C3D" w:rsidP="00597153">
      <w:pPr>
        <w:rPr>
          <w:rFonts w:eastAsia="Calibri"/>
          <w:sz w:val="22"/>
          <w:szCs w:val="22"/>
        </w:rPr>
      </w:pPr>
    </w:p>
    <w:p w14:paraId="24AEC5DF" w14:textId="77777777" w:rsidR="00597153" w:rsidRPr="00776407" w:rsidRDefault="00597153" w:rsidP="00597153">
      <w:pPr>
        <w:rPr>
          <w:rFonts w:eastAsia="Calibri"/>
          <w:sz w:val="22"/>
          <w:szCs w:val="22"/>
          <w:u w:val="single"/>
        </w:rPr>
      </w:pPr>
      <w:r w:rsidRPr="00776407">
        <w:rPr>
          <w:rFonts w:eastAsia="Calibri"/>
          <w:sz w:val="22"/>
          <w:szCs w:val="22"/>
          <w:u w:val="single"/>
        </w:rPr>
        <w:t xml:space="preserve">Klinikiniai lėtinės mieloleukemijos tyrimai </w:t>
      </w:r>
    </w:p>
    <w:p w14:paraId="5FE9B5A1" w14:textId="77777777" w:rsidR="00597153" w:rsidRPr="00776407" w:rsidRDefault="00597153" w:rsidP="00597153">
      <w:pPr>
        <w:rPr>
          <w:rFonts w:eastAsia="Calibri"/>
          <w:sz w:val="22"/>
          <w:szCs w:val="22"/>
        </w:rPr>
      </w:pPr>
      <w:r w:rsidRPr="00776407">
        <w:rPr>
          <w:rFonts w:eastAsia="Calibri"/>
          <w:sz w:val="22"/>
          <w:szCs w:val="22"/>
        </w:rPr>
        <w:t xml:space="preserve">Imatinibo veiksmingumas nustatomas bendra hematologinio ir citogenetinio atsako dalimi ir gyvenimo trukme be ligos progresavimo. </w:t>
      </w:r>
      <w:r w:rsidR="00CF6CF3" w:rsidRPr="00776407">
        <w:rPr>
          <w:rFonts w:eastAsia="Calibri"/>
          <w:sz w:val="22"/>
          <w:szCs w:val="22"/>
        </w:rPr>
        <w:t xml:space="preserve">Kontroliuotų </w:t>
      </w:r>
      <w:r w:rsidRPr="00776407">
        <w:rPr>
          <w:rFonts w:eastAsia="Calibri"/>
          <w:sz w:val="22"/>
          <w:szCs w:val="22"/>
        </w:rPr>
        <w:t xml:space="preserve">klinikinių tyrimų, įrodančių klinikinę naudą, t.y., nuo ligos priklausomų požymių išnykimą ar pailgėjusią gyvenimo trukmę, neatlikta. </w:t>
      </w:r>
    </w:p>
    <w:p w14:paraId="23E9D57B" w14:textId="77777777" w:rsidR="00597153" w:rsidRPr="00776407" w:rsidRDefault="00597153" w:rsidP="00597153">
      <w:pPr>
        <w:rPr>
          <w:rFonts w:eastAsia="Calibri"/>
          <w:sz w:val="22"/>
          <w:szCs w:val="22"/>
        </w:rPr>
      </w:pPr>
    </w:p>
    <w:p w14:paraId="5CAF8A0D" w14:textId="77777777" w:rsidR="00597153" w:rsidRPr="00776407" w:rsidRDefault="00597153" w:rsidP="005A0B4C">
      <w:pPr>
        <w:rPr>
          <w:rFonts w:eastAsia="Calibri"/>
          <w:sz w:val="22"/>
          <w:szCs w:val="22"/>
        </w:rPr>
      </w:pPr>
      <w:r w:rsidRPr="00776407">
        <w:rPr>
          <w:rFonts w:eastAsia="Calibri"/>
          <w:sz w:val="22"/>
          <w:szCs w:val="22"/>
        </w:rPr>
        <w:t>Atlikt</w:t>
      </w:r>
      <w:r w:rsidR="005F3F6E" w:rsidRPr="00776407">
        <w:rPr>
          <w:rFonts w:eastAsia="Calibri"/>
          <w:sz w:val="22"/>
          <w:szCs w:val="22"/>
        </w:rPr>
        <w:t>asv</w:t>
      </w:r>
      <w:r w:rsidR="00CF6CF3" w:rsidRPr="00776407">
        <w:rPr>
          <w:rFonts w:eastAsia="Calibri"/>
          <w:sz w:val="22"/>
          <w:szCs w:val="22"/>
        </w:rPr>
        <w:t>ienas</w:t>
      </w:r>
      <w:r w:rsidRPr="00776407">
        <w:rPr>
          <w:rFonts w:eastAsia="Calibri"/>
          <w:sz w:val="22"/>
          <w:szCs w:val="22"/>
        </w:rPr>
        <w:t xml:space="preserve"> dideli</w:t>
      </w:r>
      <w:r w:rsidR="00CF6CF3" w:rsidRPr="00776407">
        <w:rPr>
          <w:rFonts w:eastAsia="Calibri"/>
          <w:sz w:val="22"/>
          <w:szCs w:val="22"/>
        </w:rPr>
        <w:t>s</w:t>
      </w:r>
      <w:r w:rsidRPr="00776407">
        <w:rPr>
          <w:rFonts w:eastAsia="Calibri"/>
          <w:sz w:val="22"/>
          <w:szCs w:val="22"/>
        </w:rPr>
        <w:t xml:space="preserve"> tarptautini</w:t>
      </w:r>
      <w:r w:rsidR="00CF6CF3" w:rsidRPr="00776407">
        <w:rPr>
          <w:rFonts w:eastAsia="Calibri"/>
          <w:sz w:val="22"/>
          <w:szCs w:val="22"/>
        </w:rPr>
        <w:t>s</w:t>
      </w:r>
      <w:r w:rsidRPr="00776407">
        <w:rPr>
          <w:rFonts w:eastAsia="Calibri"/>
          <w:sz w:val="22"/>
          <w:szCs w:val="22"/>
        </w:rPr>
        <w:t>, atvir</w:t>
      </w:r>
      <w:r w:rsidR="003B0365" w:rsidRPr="00776407">
        <w:rPr>
          <w:rFonts w:eastAsia="Calibri"/>
          <w:sz w:val="22"/>
          <w:szCs w:val="22"/>
        </w:rPr>
        <w:t>as</w:t>
      </w:r>
      <w:r w:rsidRPr="00776407">
        <w:rPr>
          <w:rFonts w:eastAsia="Calibri"/>
          <w:sz w:val="22"/>
          <w:szCs w:val="22"/>
        </w:rPr>
        <w:t>, nekontroliuojam</w:t>
      </w:r>
      <w:r w:rsidR="005F3F6E" w:rsidRPr="00776407">
        <w:rPr>
          <w:rFonts w:eastAsia="Calibri"/>
          <w:sz w:val="22"/>
          <w:szCs w:val="22"/>
        </w:rPr>
        <w:t>as</w:t>
      </w:r>
      <w:r w:rsidRPr="00776407">
        <w:rPr>
          <w:rFonts w:eastAsia="Calibri"/>
          <w:sz w:val="22"/>
          <w:szCs w:val="22"/>
        </w:rPr>
        <w:t xml:space="preserve"> II fazės tyrima</w:t>
      </w:r>
      <w:r w:rsidR="005F3F6E" w:rsidRPr="00776407">
        <w:rPr>
          <w:rFonts w:eastAsia="Calibri"/>
          <w:sz w:val="22"/>
          <w:szCs w:val="22"/>
        </w:rPr>
        <w:t>s</w:t>
      </w:r>
      <w:r w:rsidRPr="00776407">
        <w:rPr>
          <w:rFonts w:eastAsia="Calibri"/>
          <w:sz w:val="22"/>
          <w:szCs w:val="22"/>
        </w:rPr>
        <w:t xml:space="preserve"> pacientams, kuriems buvo </w:t>
      </w:r>
      <w:r w:rsidRPr="00776407">
        <w:rPr>
          <w:rFonts w:eastAsia="Calibri"/>
          <w:i/>
          <w:iCs/>
          <w:sz w:val="22"/>
          <w:szCs w:val="22"/>
        </w:rPr>
        <w:t xml:space="preserve">Philadelphia </w:t>
      </w:r>
      <w:r w:rsidRPr="00776407">
        <w:rPr>
          <w:rFonts w:eastAsia="Calibri"/>
          <w:sz w:val="22"/>
          <w:szCs w:val="22"/>
        </w:rPr>
        <w:t xml:space="preserve">chromosomai teigiamos (Ph+) LML progresavusi, blastinė </w:t>
      </w:r>
      <w:r w:rsidR="005F3F6E" w:rsidRPr="00776407">
        <w:rPr>
          <w:rFonts w:eastAsia="Calibri"/>
          <w:sz w:val="22"/>
          <w:szCs w:val="22"/>
        </w:rPr>
        <w:t xml:space="preserve">ligos </w:t>
      </w:r>
      <w:r w:rsidRPr="00776407">
        <w:rPr>
          <w:rFonts w:eastAsia="Calibri"/>
          <w:sz w:val="22"/>
          <w:szCs w:val="22"/>
        </w:rPr>
        <w:t>fazė</w:t>
      </w:r>
      <w:r w:rsidR="003B0365" w:rsidRPr="00776407">
        <w:rPr>
          <w:rFonts w:eastAsia="Calibri"/>
          <w:sz w:val="22"/>
          <w:szCs w:val="22"/>
        </w:rPr>
        <w:t xml:space="preserve">. </w:t>
      </w:r>
      <w:r w:rsidRPr="00776407">
        <w:rPr>
          <w:rFonts w:eastAsia="Calibri"/>
          <w:sz w:val="22"/>
          <w:szCs w:val="22"/>
        </w:rPr>
        <w:t>Be to, vaikai buvo gydomi dviejų I</w:t>
      </w:r>
      <w:r w:rsidR="00C9065C" w:rsidRPr="00776407">
        <w:rPr>
          <w:rFonts w:eastAsia="Calibri"/>
          <w:sz w:val="22"/>
          <w:szCs w:val="22"/>
        </w:rPr>
        <w:t> </w:t>
      </w:r>
      <w:r w:rsidRPr="00776407">
        <w:rPr>
          <w:rFonts w:eastAsia="Calibri"/>
          <w:sz w:val="22"/>
          <w:szCs w:val="22"/>
        </w:rPr>
        <w:t>fazės tyrimų ir vieno II</w:t>
      </w:r>
      <w:r w:rsidR="00C9065C" w:rsidRPr="00776407">
        <w:rPr>
          <w:rFonts w:eastAsia="Calibri"/>
          <w:sz w:val="22"/>
          <w:szCs w:val="22"/>
        </w:rPr>
        <w:t> </w:t>
      </w:r>
      <w:r w:rsidRPr="00776407">
        <w:rPr>
          <w:rFonts w:eastAsia="Calibri"/>
          <w:sz w:val="22"/>
          <w:szCs w:val="22"/>
        </w:rPr>
        <w:t xml:space="preserve">fazės tyrimo metu. </w:t>
      </w:r>
    </w:p>
    <w:p w14:paraId="555001AB" w14:textId="77777777" w:rsidR="00597153" w:rsidRPr="00776407" w:rsidRDefault="00597153" w:rsidP="00597153">
      <w:pPr>
        <w:rPr>
          <w:rFonts w:eastAsia="Calibri"/>
          <w:sz w:val="22"/>
          <w:szCs w:val="22"/>
        </w:rPr>
      </w:pPr>
    </w:p>
    <w:p w14:paraId="795CDB01" w14:textId="77777777" w:rsidR="00597153" w:rsidRPr="00776407" w:rsidRDefault="00597153" w:rsidP="00597153">
      <w:pPr>
        <w:rPr>
          <w:rFonts w:eastAsia="Calibri"/>
          <w:sz w:val="22"/>
          <w:szCs w:val="22"/>
        </w:rPr>
      </w:pPr>
      <w:r w:rsidRPr="00776407">
        <w:rPr>
          <w:rFonts w:eastAsia="Calibri"/>
          <w:sz w:val="22"/>
          <w:szCs w:val="22"/>
        </w:rPr>
        <w:t xml:space="preserve">38 % visuose tyrimuose dalyvavusių pacientų buvo </w:t>
      </w:r>
      <w:r w:rsidRPr="00776407">
        <w:rPr>
          <w:sz w:val="22"/>
          <w:szCs w:val="22"/>
        </w:rPr>
        <w:t>≥ 60</w:t>
      </w:r>
      <w:r w:rsidRPr="00776407">
        <w:t> </w:t>
      </w:r>
      <w:r w:rsidRPr="00776407">
        <w:rPr>
          <w:rFonts w:eastAsia="Calibri"/>
          <w:sz w:val="22"/>
          <w:szCs w:val="22"/>
        </w:rPr>
        <w:t xml:space="preserve">metų ir 12 % – </w:t>
      </w:r>
      <w:r w:rsidRPr="00776407">
        <w:rPr>
          <w:sz w:val="22"/>
          <w:szCs w:val="22"/>
        </w:rPr>
        <w:t>≥ 70</w:t>
      </w:r>
      <w:r w:rsidRPr="00776407">
        <w:t> </w:t>
      </w:r>
      <w:r w:rsidRPr="00776407">
        <w:rPr>
          <w:rFonts w:eastAsia="Calibri"/>
          <w:sz w:val="22"/>
          <w:szCs w:val="22"/>
        </w:rPr>
        <w:t xml:space="preserve">metų. </w:t>
      </w:r>
    </w:p>
    <w:p w14:paraId="7A4AA60D" w14:textId="77777777" w:rsidR="00CD46B9" w:rsidRPr="00776407" w:rsidRDefault="00CD46B9" w:rsidP="00CD46B9">
      <w:pPr>
        <w:autoSpaceDE w:val="0"/>
        <w:autoSpaceDN w:val="0"/>
        <w:adjustRightInd w:val="0"/>
        <w:rPr>
          <w:rFonts w:eastAsia="Calibri"/>
          <w:color w:val="000000"/>
          <w:sz w:val="22"/>
          <w:szCs w:val="22"/>
        </w:rPr>
      </w:pPr>
    </w:p>
    <w:p w14:paraId="1CD1481F" w14:textId="77777777" w:rsidR="00861F83" w:rsidRPr="00776407" w:rsidRDefault="00861F83" w:rsidP="00CD46B9">
      <w:pPr>
        <w:autoSpaceDE w:val="0"/>
        <w:autoSpaceDN w:val="0"/>
        <w:adjustRightInd w:val="0"/>
        <w:rPr>
          <w:rFonts w:eastAsia="Calibri"/>
          <w:sz w:val="22"/>
          <w:szCs w:val="22"/>
        </w:rPr>
      </w:pPr>
      <w:r w:rsidRPr="00776407">
        <w:rPr>
          <w:rFonts w:eastAsia="Calibri"/>
          <w:i/>
          <w:iCs/>
          <w:sz w:val="22"/>
          <w:szCs w:val="22"/>
        </w:rPr>
        <w:t>Mieloblastinė krizė</w:t>
      </w:r>
      <w:r w:rsidRPr="00776407">
        <w:rPr>
          <w:rFonts w:eastAsia="Calibri"/>
          <w:sz w:val="22"/>
          <w:szCs w:val="22"/>
        </w:rPr>
        <w:t>. Tyrime dalyvavo 260</w:t>
      </w:r>
      <w:r w:rsidR="00CD46B9" w:rsidRPr="00776407">
        <w:rPr>
          <w:rFonts w:eastAsia="Calibri"/>
          <w:sz w:val="22"/>
          <w:szCs w:val="22"/>
        </w:rPr>
        <w:t> </w:t>
      </w:r>
      <w:r w:rsidRPr="00776407">
        <w:rPr>
          <w:rFonts w:eastAsia="Calibri"/>
          <w:sz w:val="22"/>
          <w:szCs w:val="22"/>
        </w:rPr>
        <w:t>pacientų, kuriems buvo mieloblastinė krizė. 95</w:t>
      </w:r>
      <w:r w:rsidR="00CD46B9" w:rsidRPr="00776407">
        <w:rPr>
          <w:rFonts w:eastAsia="Calibri"/>
          <w:sz w:val="22"/>
          <w:szCs w:val="22"/>
        </w:rPr>
        <w:t> </w:t>
      </w:r>
      <w:r w:rsidRPr="00776407">
        <w:rPr>
          <w:rFonts w:eastAsia="Calibri"/>
          <w:sz w:val="22"/>
          <w:szCs w:val="22"/>
        </w:rPr>
        <w:t>(37</w:t>
      </w:r>
      <w:r w:rsidR="00CD46B9" w:rsidRPr="00776407">
        <w:rPr>
          <w:rFonts w:eastAsia="Calibri"/>
          <w:sz w:val="22"/>
          <w:szCs w:val="22"/>
        </w:rPr>
        <w:t> </w:t>
      </w:r>
      <w:r w:rsidRPr="00776407">
        <w:rPr>
          <w:rFonts w:eastAsia="Calibri"/>
          <w:sz w:val="22"/>
          <w:szCs w:val="22"/>
        </w:rPr>
        <w:t>%) pacientai anksčiau gavo chemoterapiją dėl akceleracijos fazės ar blastinės krizės (“anksčiau gydyti pacientai”) ir 165</w:t>
      </w:r>
      <w:r w:rsidR="00CD46B9" w:rsidRPr="00776407">
        <w:rPr>
          <w:rFonts w:eastAsia="Calibri"/>
          <w:sz w:val="22"/>
          <w:szCs w:val="22"/>
        </w:rPr>
        <w:t> </w:t>
      </w:r>
      <w:r w:rsidRPr="00776407">
        <w:rPr>
          <w:rFonts w:eastAsia="Calibri"/>
          <w:sz w:val="22"/>
          <w:szCs w:val="22"/>
        </w:rPr>
        <w:t>(63</w:t>
      </w:r>
      <w:r w:rsidR="00CD46B9" w:rsidRPr="00776407">
        <w:rPr>
          <w:rFonts w:eastAsia="Calibri"/>
          <w:sz w:val="22"/>
          <w:szCs w:val="22"/>
        </w:rPr>
        <w:t> </w:t>
      </w:r>
      <w:r w:rsidRPr="00776407">
        <w:rPr>
          <w:rFonts w:eastAsia="Calibri"/>
          <w:sz w:val="22"/>
          <w:szCs w:val="22"/>
        </w:rPr>
        <w:t>%) negydyti (“negydyti pacientai”). Pirmieji 37</w:t>
      </w:r>
      <w:r w:rsidR="00CD46B9" w:rsidRPr="00776407">
        <w:rPr>
          <w:rFonts w:eastAsia="Calibri"/>
          <w:sz w:val="22"/>
          <w:szCs w:val="22"/>
        </w:rPr>
        <w:t> </w:t>
      </w:r>
      <w:r w:rsidRPr="00776407">
        <w:rPr>
          <w:rFonts w:eastAsia="Calibri"/>
          <w:sz w:val="22"/>
          <w:szCs w:val="22"/>
        </w:rPr>
        <w:t>pacientai pradėti gydyti 400</w:t>
      </w:r>
      <w:r w:rsidR="00CD46B9" w:rsidRPr="00776407">
        <w:rPr>
          <w:rFonts w:eastAsia="Calibri"/>
          <w:sz w:val="22"/>
          <w:szCs w:val="22"/>
        </w:rPr>
        <w:t> </w:t>
      </w:r>
      <w:r w:rsidRPr="00776407">
        <w:rPr>
          <w:rFonts w:eastAsia="Calibri"/>
          <w:sz w:val="22"/>
          <w:szCs w:val="22"/>
        </w:rPr>
        <w:t>mg doze. Paskui protokolas buvo papildytas, kad galima būtų skirti didesnę dozę, taigi kiti 223</w:t>
      </w:r>
      <w:r w:rsidR="00CD46B9" w:rsidRPr="00776407">
        <w:rPr>
          <w:rFonts w:eastAsia="Calibri"/>
          <w:sz w:val="22"/>
          <w:szCs w:val="22"/>
        </w:rPr>
        <w:t> </w:t>
      </w:r>
      <w:r w:rsidRPr="00776407">
        <w:rPr>
          <w:rFonts w:eastAsia="Calibri"/>
          <w:sz w:val="22"/>
          <w:szCs w:val="22"/>
        </w:rPr>
        <w:t>pacientai buvo pradėti gydyti 600</w:t>
      </w:r>
      <w:r w:rsidR="00CD46B9" w:rsidRPr="00776407">
        <w:rPr>
          <w:rFonts w:eastAsia="Calibri"/>
          <w:sz w:val="22"/>
          <w:szCs w:val="22"/>
        </w:rPr>
        <w:t> </w:t>
      </w:r>
      <w:r w:rsidRPr="00776407">
        <w:rPr>
          <w:rFonts w:eastAsia="Calibri"/>
          <w:sz w:val="22"/>
          <w:szCs w:val="22"/>
        </w:rPr>
        <w:t xml:space="preserve">mg doze. </w:t>
      </w:r>
    </w:p>
    <w:p w14:paraId="23C8896E" w14:textId="77777777" w:rsidR="00CD46B9" w:rsidRPr="00776407" w:rsidRDefault="00CD46B9" w:rsidP="00CD46B9">
      <w:pPr>
        <w:autoSpaceDE w:val="0"/>
        <w:autoSpaceDN w:val="0"/>
        <w:adjustRightInd w:val="0"/>
        <w:rPr>
          <w:rFonts w:eastAsia="Calibri"/>
          <w:sz w:val="22"/>
          <w:szCs w:val="22"/>
        </w:rPr>
      </w:pPr>
    </w:p>
    <w:p w14:paraId="5F4D1554" w14:textId="77777777" w:rsidR="00861F83" w:rsidRPr="00776407" w:rsidRDefault="00861F83" w:rsidP="00861F83">
      <w:pPr>
        <w:autoSpaceDE w:val="0"/>
        <w:autoSpaceDN w:val="0"/>
        <w:adjustRightInd w:val="0"/>
        <w:rPr>
          <w:rFonts w:eastAsia="Calibri"/>
          <w:sz w:val="22"/>
          <w:szCs w:val="22"/>
        </w:rPr>
      </w:pPr>
      <w:r w:rsidRPr="00776407">
        <w:rPr>
          <w:rFonts w:eastAsia="Calibri"/>
          <w:sz w:val="22"/>
          <w:szCs w:val="22"/>
        </w:rPr>
        <w:t>Svarbiausias veiksmingumo kintamasis buvo hematologinio atsako, apibūdinamo visišku hematologiniu atsaku, išnykusia leukemija</w:t>
      </w:r>
      <w:r w:rsidR="005F3F6E" w:rsidRPr="00776407">
        <w:rPr>
          <w:rFonts w:eastAsia="Calibri"/>
          <w:sz w:val="22"/>
          <w:szCs w:val="22"/>
        </w:rPr>
        <w:t xml:space="preserve"> (t. y.</w:t>
      </w:r>
      <w:r w:rsidR="00192DB3" w:rsidRPr="00776407">
        <w:rPr>
          <w:rFonts w:eastAsia="Calibri"/>
          <w:sz w:val="22"/>
          <w:szCs w:val="22"/>
        </w:rPr>
        <w:t>,</w:t>
      </w:r>
      <w:r w:rsidR="005F3F6E" w:rsidRPr="00776407">
        <w:rPr>
          <w:rFonts w:eastAsia="Calibri"/>
          <w:sz w:val="22"/>
          <w:szCs w:val="22"/>
        </w:rPr>
        <w:t xml:space="preserve"> </w:t>
      </w:r>
      <w:r w:rsidR="00192DB3" w:rsidRPr="00776407">
        <w:rPr>
          <w:rFonts w:eastAsia="Calibri"/>
          <w:sz w:val="22"/>
          <w:szCs w:val="22"/>
        </w:rPr>
        <w:t>išnykusiais blastais iš</w:t>
      </w:r>
      <w:r w:rsidR="00192DB3" w:rsidRPr="00776407">
        <w:t xml:space="preserve"> </w:t>
      </w:r>
      <w:r w:rsidR="00192DB3" w:rsidRPr="00776407">
        <w:rPr>
          <w:sz w:val="22"/>
          <w:szCs w:val="22"/>
        </w:rPr>
        <w:t>kaulų čiulpų ir kraujo, bet nevisiškai atsigavusiam periferiniam kraujui kaip esant visiškam atsakui)</w:t>
      </w:r>
      <w:r w:rsidR="00192DB3" w:rsidRPr="00776407">
        <w:t xml:space="preserve">, </w:t>
      </w:r>
      <w:r w:rsidRPr="00776407">
        <w:rPr>
          <w:rFonts w:eastAsia="Calibri"/>
          <w:sz w:val="22"/>
          <w:szCs w:val="22"/>
        </w:rPr>
        <w:t>ar grįžimu į lėtinę LML fazę, vertinant pagal tuos pačius kriterijus kaip ir akceleracijos fazės tyrimo metu, dažnis. Šio tyrimo metu hematologinis atsakas gautas 31</w:t>
      </w:r>
      <w:r w:rsidR="00CD46B9" w:rsidRPr="00776407">
        <w:rPr>
          <w:rFonts w:eastAsia="Calibri"/>
          <w:sz w:val="22"/>
          <w:szCs w:val="22"/>
        </w:rPr>
        <w:t> </w:t>
      </w:r>
      <w:r w:rsidRPr="00776407">
        <w:rPr>
          <w:rFonts w:eastAsia="Calibri"/>
          <w:sz w:val="22"/>
          <w:szCs w:val="22"/>
        </w:rPr>
        <w:t>% pacientų (36</w:t>
      </w:r>
      <w:r w:rsidR="00CD46B9" w:rsidRPr="00776407">
        <w:rPr>
          <w:rFonts w:eastAsia="Calibri"/>
          <w:sz w:val="22"/>
          <w:szCs w:val="22"/>
        </w:rPr>
        <w:t> </w:t>
      </w:r>
      <w:r w:rsidRPr="00776407">
        <w:rPr>
          <w:rFonts w:eastAsia="Calibri"/>
          <w:sz w:val="22"/>
          <w:szCs w:val="22"/>
        </w:rPr>
        <w:t>% – anksčiau negydytiems ir 22</w:t>
      </w:r>
      <w:r w:rsidR="00CD46B9" w:rsidRPr="00776407">
        <w:rPr>
          <w:rFonts w:eastAsia="Calibri"/>
          <w:sz w:val="22"/>
          <w:szCs w:val="22"/>
        </w:rPr>
        <w:t> </w:t>
      </w:r>
      <w:r w:rsidRPr="00776407">
        <w:rPr>
          <w:rFonts w:eastAsia="Calibri"/>
          <w:sz w:val="22"/>
          <w:szCs w:val="22"/>
        </w:rPr>
        <w:t>% – anksčiau gydytiems)</w:t>
      </w:r>
      <w:r w:rsidR="00054762" w:rsidRPr="00776407">
        <w:rPr>
          <w:rFonts w:eastAsia="Calibri"/>
          <w:sz w:val="22"/>
          <w:szCs w:val="22"/>
        </w:rPr>
        <w:t xml:space="preserve"> (žr. 2 lentelę)</w:t>
      </w:r>
      <w:r w:rsidRPr="00776407">
        <w:rPr>
          <w:rFonts w:eastAsia="Calibri"/>
          <w:sz w:val="22"/>
          <w:szCs w:val="22"/>
        </w:rPr>
        <w:t>. Atsako dažnis taip pat buvo didesnis pacientams, gydytiems 600 mg</w:t>
      </w:r>
      <w:r w:rsidR="00CD46B9" w:rsidRPr="00776407">
        <w:rPr>
          <w:rFonts w:eastAsia="Calibri"/>
          <w:sz w:val="22"/>
          <w:szCs w:val="22"/>
        </w:rPr>
        <w:t> </w:t>
      </w:r>
      <w:r w:rsidRPr="00776407">
        <w:rPr>
          <w:rFonts w:eastAsia="Calibri"/>
          <w:sz w:val="22"/>
          <w:szCs w:val="22"/>
        </w:rPr>
        <w:t>doze (33</w:t>
      </w:r>
      <w:r w:rsidR="00CD46B9" w:rsidRPr="00776407">
        <w:rPr>
          <w:rFonts w:eastAsia="Calibri"/>
          <w:sz w:val="22"/>
          <w:szCs w:val="22"/>
        </w:rPr>
        <w:t> </w:t>
      </w:r>
      <w:r w:rsidRPr="00776407">
        <w:rPr>
          <w:rFonts w:eastAsia="Calibri"/>
          <w:sz w:val="22"/>
          <w:szCs w:val="22"/>
        </w:rPr>
        <w:t>%), lyginant su gydytais 400</w:t>
      </w:r>
      <w:r w:rsidR="00CD46B9" w:rsidRPr="00776407">
        <w:rPr>
          <w:rFonts w:eastAsia="Calibri"/>
          <w:sz w:val="22"/>
          <w:szCs w:val="22"/>
        </w:rPr>
        <w:t> </w:t>
      </w:r>
      <w:r w:rsidRPr="00776407">
        <w:rPr>
          <w:rFonts w:eastAsia="Calibri"/>
          <w:sz w:val="22"/>
          <w:szCs w:val="22"/>
        </w:rPr>
        <w:t>mg doze (16</w:t>
      </w:r>
      <w:r w:rsidR="00CD46B9" w:rsidRPr="00776407">
        <w:rPr>
          <w:rFonts w:eastAsia="Calibri"/>
          <w:sz w:val="22"/>
          <w:szCs w:val="22"/>
        </w:rPr>
        <w:t> </w:t>
      </w:r>
      <w:r w:rsidRPr="00776407">
        <w:rPr>
          <w:rFonts w:eastAsia="Calibri"/>
          <w:sz w:val="22"/>
          <w:szCs w:val="22"/>
        </w:rPr>
        <w:t>%, p=0,0220). Nustatyta vidutinė anksčiau negydytų ir anksčiau gydytų pacientų išgyvenamumo trukmė buvo atitinkamai 7,7</w:t>
      </w:r>
      <w:r w:rsidR="00CD46B9" w:rsidRPr="00776407">
        <w:rPr>
          <w:rFonts w:eastAsia="Calibri"/>
          <w:sz w:val="22"/>
          <w:szCs w:val="22"/>
        </w:rPr>
        <w:t> </w:t>
      </w:r>
      <w:r w:rsidRPr="00776407">
        <w:rPr>
          <w:rFonts w:eastAsia="Calibri"/>
          <w:sz w:val="22"/>
          <w:szCs w:val="22"/>
        </w:rPr>
        <w:t>mėn. ir 4,7</w:t>
      </w:r>
      <w:r w:rsidR="00CD46B9" w:rsidRPr="00776407">
        <w:rPr>
          <w:rFonts w:eastAsia="Calibri"/>
          <w:sz w:val="22"/>
          <w:szCs w:val="22"/>
        </w:rPr>
        <w:t> </w:t>
      </w:r>
      <w:r w:rsidRPr="00776407">
        <w:rPr>
          <w:rFonts w:eastAsia="Calibri"/>
          <w:sz w:val="22"/>
          <w:szCs w:val="22"/>
        </w:rPr>
        <w:t xml:space="preserve">mėn. </w:t>
      </w:r>
    </w:p>
    <w:p w14:paraId="2B382596" w14:textId="77777777" w:rsidR="00CD46B9" w:rsidRPr="00776407" w:rsidRDefault="00CD46B9" w:rsidP="00861F83">
      <w:pPr>
        <w:autoSpaceDE w:val="0"/>
        <w:autoSpaceDN w:val="0"/>
        <w:adjustRightInd w:val="0"/>
        <w:rPr>
          <w:rFonts w:eastAsia="Calibri"/>
          <w:sz w:val="22"/>
          <w:szCs w:val="22"/>
        </w:rPr>
      </w:pPr>
    </w:p>
    <w:p w14:paraId="2406BED1" w14:textId="77777777" w:rsidR="00861F83" w:rsidRPr="00776407" w:rsidRDefault="00861F83" w:rsidP="00861F83">
      <w:pPr>
        <w:rPr>
          <w:rFonts w:eastAsia="Calibri"/>
          <w:sz w:val="22"/>
          <w:szCs w:val="22"/>
        </w:rPr>
      </w:pPr>
      <w:r w:rsidRPr="00776407">
        <w:rPr>
          <w:rFonts w:eastAsia="Calibri"/>
          <w:i/>
          <w:iCs/>
          <w:sz w:val="22"/>
          <w:szCs w:val="22"/>
        </w:rPr>
        <w:t>Limfoblastinė krizė</w:t>
      </w:r>
      <w:r w:rsidRPr="00776407">
        <w:rPr>
          <w:rFonts w:eastAsia="Calibri"/>
          <w:sz w:val="22"/>
          <w:szCs w:val="22"/>
        </w:rPr>
        <w:t>. Nedaug (n=10) pacientų buvo įtraukta į I fazės tyrimą. Hematologinio atsako dažnis buvo 70</w:t>
      </w:r>
      <w:r w:rsidR="00CD46B9" w:rsidRPr="00776407">
        <w:rPr>
          <w:rFonts w:eastAsia="Calibri"/>
          <w:sz w:val="22"/>
          <w:szCs w:val="22"/>
        </w:rPr>
        <w:t> </w:t>
      </w:r>
      <w:r w:rsidRPr="00776407">
        <w:rPr>
          <w:rFonts w:eastAsia="Calibri"/>
          <w:sz w:val="22"/>
          <w:szCs w:val="22"/>
        </w:rPr>
        <w:t>%, jo trukmė – 2–3</w:t>
      </w:r>
      <w:r w:rsidR="00CD46B9" w:rsidRPr="00776407">
        <w:rPr>
          <w:rFonts w:eastAsia="Calibri"/>
          <w:sz w:val="22"/>
          <w:szCs w:val="22"/>
        </w:rPr>
        <w:t> </w:t>
      </w:r>
      <w:r w:rsidRPr="00776407">
        <w:rPr>
          <w:rFonts w:eastAsia="Calibri"/>
          <w:sz w:val="22"/>
          <w:szCs w:val="22"/>
        </w:rPr>
        <w:t>mėnesiai.</w:t>
      </w:r>
    </w:p>
    <w:p w14:paraId="31D30ACE" w14:textId="77777777" w:rsidR="00585580" w:rsidRPr="00776407" w:rsidRDefault="00585580" w:rsidP="00861F83">
      <w:pPr>
        <w:rPr>
          <w:rFonts w:eastAsia="Calibri"/>
          <w:sz w:val="22"/>
          <w:szCs w:val="22"/>
        </w:rPr>
      </w:pPr>
    </w:p>
    <w:p w14:paraId="08524121" w14:textId="77777777" w:rsidR="00585580" w:rsidRPr="00776407" w:rsidRDefault="00054762" w:rsidP="00585580">
      <w:pPr>
        <w:autoSpaceDE w:val="0"/>
        <w:autoSpaceDN w:val="0"/>
        <w:adjustRightInd w:val="0"/>
        <w:rPr>
          <w:b/>
          <w:bCs/>
          <w:sz w:val="22"/>
          <w:szCs w:val="22"/>
        </w:rPr>
      </w:pPr>
      <w:r w:rsidRPr="00776407">
        <w:rPr>
          <w:b/>
          <w:bCs/>
          <w:sz w:val="22"/>
          <w:szCs w:val="22"/>
        </w:rPr>
        <w:t>2</w:t>
      </w:r>
      <w:r w:rsidR="00585580" w:rsidRPr="00776407">
        <w:rPr>
          <w:b/>
          <w:bCs/>
          <w:sz w:val="22"/>
          <w:szCs w:val="22"/>
        </w:rPr>
        <w:t> </w:t>
      </w:r>
      <w:r w:rsidR="003B0365" w:rsidRPr="00776407">
        <w:rPr>
          <w:b/>
          <w:bCs/>
          <w:sz w:val="22"/>
          <w:szCs w:val="22"/>
        </w:rPr>
        <w:t>lentelė</w:t>
      </w:r>
      <w:r w:rsidR="003B0365" w:rsidRPr="00776407">
        <w:rPr>
          <w:b/>
          <w:bCs/>
          <w:sz w:val="22"/>
          <w:szCs w:val="22"/>
        </w:rPr>
        <w:tab/>
      </w:r>
      <w:r w:rsidR="00585580" w:rsidRPr="00776407">
        <w:rPr>
          <w:b/>
          <w:bCs/>
          <w:sz w:val="22"/>
          <w:szCs w:val="22"/>
        </w:rPr>
        <w:t>LML tyrimų suaugusiųjų tarpe atsakas</w:t>
      </w:r>
    </w:p>
    <w:p w14:paraId="56993C9E" w14:textId="77777777" w:rsidR="00A32AAA" w:rsidRPr="00776407" w:rsidRDefault="00A32AAA" w:rsidP="00585580">
      <w:pPr>
        <w:autoSpaceDE w:val="0"/>
        <w:autoSpaceDN w:val="0"/>
        <w:adjustRightInd w:val="0"/>
        <w:rPr>
          <w:sz w:val="22"/>
          <w:szCs w:val="22"/>
        </w:rPr>
      </w:pPr>
    </w:p>
    <w:tbl>
      <w:tblPr>
        <w:tblW w:w="9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5103"/>
        <w:gridCol w:w="83"/>
      </w:tblGrid>
      <w:tr w:rsidR="00767C3D" w:rsidRPr="00776407" w14:paraId="024BA9D3" w14:textId="77777777" w:rsidTr="00E93356">
        <w:trPr>
          <w:gridAfter w:val="1"/>
          <w:wAfter w:w="83" w:type="dxa"/>
        </w:trPr>
        <w:tc>
          <w:tcPr>
            <w:tcW w:w="4361" w:type="dxa"/>
          </w:tcPr>
          <w:p w14:paraId="4FB76AFD" w14:textId="77777777" w:rsidR="00767C3D" w:rsidRPr="00776407" w:rsidRDefault="00767C3D" w:rsidP="00585580">
            <w:pPr>
              <w:autoSpaceDE w:val="0"/>
              <w:autoSpaceDN w:val="0"/>
              <w:adjustRightInd w:val="0"/>
            </w:pPr>
          </w:p>
        </w:tc>
        <w:tc>
          <w:tcPr>
            <w:tcW w:w="5103" w:type="dxa"/>
          </w:tcPr>
          <w:p w14:paraId="4A9053D6" w14:textId="77777777" w:rsidR="00767C3D" w:rsidRPr="00776407" w:rsidRDefault="00767C3D" w:rsidP="00E93356">
            <w:pPr>
              <w:autoSpaceDE w:val="0"/>
              <w:autoSpaceDN w:val="0"/>
              <w:adjustRightInd w:val="0"/>
              <w:jc w:val="center"/>
            </w:pPr>
            <w:r w:rsidRPr="00776407">
              <w:rPr>
                <w:sz w:val="22"/>
                <w:szCs w:val="22"/>
              </w:rPr>
              <w:t>Tyrimas 0102</w:t>
            </w:r>
          </w:p>
          <w:p w14:paraId="1DED101C" w14:textId="77777777" w:rsidR="00767C3D" w:rsidRPr="00776407" w:rsidRDefault="00767C3D" w:rsidP="00E93356">
            <w:pPr>
              <w:autoSpaceDE w:val="0"/>
              <w:autoSpaceDN w:val="0"/>
              <w:adjustRightInd w:val="0"/>
              <w:jc w:val="center"/>
            </w:pPr>
            <w:r w:rsidRPr="00776407">
              <w:rPr>
                <w:sz w:val="22"/>
                <w:szCs w:val="22"/>
              </w:rPr>
              <w:t>38 mėnesių duomenys</w:t>
            </w:r>
          </w:p>
          <w:p w14:paraId="2A8FD412" w14:textId="77777777" w:rsidR="00767C3D" w:rsidRPr="00776407" w:rsidRDefault="00767C3D" w:rsidP="00E93356">
            <w:pPr>
              <w:autoSpaceDE w:val="0"/>
              <w:autoSpaceDN w:val="0"/>
              <w:adjustRightInd w:val="0"/>
              <w:jc w:val="center"/>
            </w:pPr>
            <w:r w:rsidRPr="00776407">
              <w:rPr>
                <w:sz w:val="22"/>
                <w:szCs w:val="22"/>
              </w:rPr>
              <w:t>Mieloblastinė krizė</w:t>
            </w:r>
          </w:p>
          <w:p w14:paraId="6AC77E78" w14:textId="77777777" w:rsidR="00767C3D" w:rsidRPr="00776407" w:rsidRDefault="00767C3D" w:rsidP="00E93356">
            <w:pPr>
              <w:autoSpaceDE w:val="0"/>
              <w:autoSpaceDN w:val="0"/>
              <w:adjustRightInd w:val="0"/>
              <w:jc w:val="center"/>
            </w:pPr>
            <w:r w:rsidRPr="00776407">
              <w:rPr>
                <w:sz w:val="22"/>
                <w:szCs w:val="22"/>
              </w:rPr>
              <w:t>(n=260)</w:t>
            </w:r>
          </w:p>
        </w:tc>
      </w:tr>
      <w:tr w:rsidR="00767C3D" w:rsidRPr="00776407" w14:paraId="2B15A498" w14:textId="77777777" w:rsidTr="00E93356">
        <w:trPr>
          <w:gridAfter w:val="1"/>
          <w:wAfter w:w="83" w:type="dxa"/>
        </w:trPr>
        <w:tc>
          <w:tcPr>
            <w:tcW w:w="4361" w:type="dxa"/>
          </w:tcPr>
          <w:p w14:paraId="2BBEAA3E" w14:textId="77777777" w:rsidR="00767C3D" w:rsidRPr="00776407" w:rsidRDefault="00767C3D" w:rsidP="00585580">
            <w:pPr>
              <w:autoSpaceDE w:val="0"/>
              <w:autoSpaceDN w:val="0"/>
              <w:adjustRightInd w:val="0"/>
            </w:pPr>
          </w:p>
        </w:tc>
        <w:tc>
          <w:tcPr>
            <w:tcW w:w="5103" w:type="dxa"/>
          </w:tcPr>
          <w:p w14:paraId="4C95D4E8" w14:textId="77777777" w:rsidR="00767C3D" w:rsidRPr="00776407" w:rsidRDefault="00767C3D" w:rsidP="00E93356">
            <w:pPr>
              <w:autoSpaceDE w:val="0"/>
              <w:autoSpaceDN w:val="0"/>
              <w:adjustRightInd w:val="0"/>
              <w:jc w:val="center"/>
              <w:rPr>
                <w:sz w:val="22"/>
                <w:szCs w:val="22"/>
              </w:rPr>
            </w:pPr>
            <w:r w:rsidRPr="00776407">
              <w:rPr>
                <w:sz w:val="22"/>
                <w:szCs w:val="22"/>
              </w:rPr>
              <w:t>% pacientų (PI</w:t>
            </w:r>
            <w:r w:rsidRPr="00776407">
              <w:rPr>
                <w:sz w:val="22"/>
                <w:szCs w:val="22"/>
                <w:vertAlign w:val="subscript"/>
              </w:rPr>
              <w:t>95%</w:t>
            </w:r>
            <w:r w:rsidRPr="00776407">
              <w:rPr>
                <w:sz w:val="22"/>
                <w:szCs w:val="22"/>
              </w:rPr>
              <w:t>)</w:t>
            </w:r>
          </w:p>
        </w:tc>
      </w:tr>
      <w:tr w:rsidR="00767C3D" w:rsidRPr="00776407" w14:paraId="5F03AC7F" w14:textId="77777777" w:rsidTr="00E93356">
        <w:trPr>
          <w:gridAfter w:val="1"/>
          <w:wAfter w:w="83" w:type="dxa"/>
        </w:trPr>
        <w:tc>
          <w:tcPr>
            <w:tcW w:w="4361" w:type="dxa"/>
          </w:tcPr>
          <w:p w14:paraId="78582CAA" w14:textId="77777777" w:rsidR="00767C3D" w:rsidRPr="00776407" w:rsidRDefault="00767C3D" w:rsidP="00585580">
            <w:pPr>
              <w:autoSpaceDE w:val="0"/>
              <w:autoSpaceDN w:val="0"/>
              <w:adjustRightInd w:val="0"/>
            </w:pPr>
            <w:r w:rsidRPr="00776407">
              <w:rPr>
                <w:sz w:val="22"/>
                <w:szCs w:val="22"/>
              </w:rPr>
              <w:t>Hematologinis atsakas</w:t>
            </w:r>
            <w:r w:rsidRPr="00776407">
              <w:rPr>
                <w:sz w:val="22"/>
                <w:szCs w:val="22"/>
                <w:vertAlign w:val="superscript"/>
              </w:rPr>
              <w:t>1</w:t>
            </w:r>
          </w:p>
          <w:p w14:paraId="69B6609A" w14:textId="77777777" w:rsidR="00767C3D" w:rsidRPr="00776407" w:rsidRDefault="00767C3D" w:rsidP="00585580">
            <w:pPr>
              <w:autoSpaceDE w:val="0"/>
              <w:autoSpaceDN w:val="0"/>
              <w:adjustRightInd w:val="0"/>
              <w:ind w:left="567" w:hanging="567"/>
              <w:rPr>
                <w:sz w:val="22"/>
                <w:szCs w:val="22"/>
              </w:rPr>
            </w:pPr>
            <w:r w:rsidRPr="00776407">
              <w:rPr>
                <w:sz w:val="22"/>
                <w:szCs w:val="22"/>
              </w:rPr>
              <w:tab/>
              <w:t>Visiškas hematologinis atsakas (VHA)</w:t>
            </w:r>
          </w:p>
          <w:p w14:paraId="14A4F50D" w14:textId="77777777" w:rsidR="007C0307" w:rsidRPr="00776407" w:rsidRDefault="007C0307" w:rsidP="00585580">
            <w:pPr>
              <w:autoSpaceDE w:val="0"/>
              <w:autoSpaceDN w:val="0"/>
              <w:adjustRightInd w:val="0"/>
              <w:ind w:left="567" w:hanging="567"/>
            </w:pPr>
          </w:p>
          <w:p w14:paraId="1759A5ED" w14:textId="77777777" w:rsidR="00767C3D" w:rsidRPr="00776407" w:rsidRDefault="00767C3D" w:rsidP="00585580">
            <w:pPr>
              <w:autoSpaceDE w:val="0"/>
              <w:autoSpaceDN w:val="0"/>
              <w:adjustRightInd w:val="0"/>
              <w:ind w:left="567" w:hanging="567"/>
              <w:rPr>
                <w:sz w:val="22"/>
                <w:szCs w:val="22"/>
              </w:rPr>
            </w:pPr>
            <w:r w:rsidRPr="00776407">
              <w:rPr>
                <w:sz w:val="22"/>
                <w:szCs w:val="22"/>
              </w:rPr>
              <w:tab/>
              <w:t>Išnykusi leukemija (NEL)</w:t>
            </w:r>
          </w:p>
          <w:p w14:paraId="653F4365" w14:textId="77777777" w:rsidR="007C0307" w:rsidRPr="00776407" w:rsidRDefault="007C0307" w:rsidP="00585580">
            <w:pPr>
              <w:autoSpaceDE w:val="0"/>
              <w:autoSpaceDN w:val="0"/>
              <w:adjustRightInd w:val="0"/>
              <w:ind w:left="567" w:hanging="567"/>
            </w:pPr>
          </w:p>
          <w:p w14:paraId="470972C7" w14:textId="77777777" w:rsidR="00767C3D" w:rsidRPr="00776407" w:rsidRDefault="00767C3D" w:rsidP="009156D1">
            <w:pPr>
              <w:autoSpaceDE w:val="0"/>
              <w:autoSpaceDN w:val="0"/>
              <w:adjustRightInd w:val="0"/>
              <w:ind w:left="567" w:hanging="567"/>
            </w:pPr>
            <w:r w:rsidRPr="00776407">
              <w:rPr>
                <w:sz w:val="22"/>
                <w:szCs w:val="22"/>
              </w:rPr>
              <w:tab/>
              <w:t>Grįžimas į lėtinę fazę (GLF)</w:t>
            </w:r>
          </w:p>
        </w:tc>
        <w:tc>
          <w:tcPr>
            <w:tcW w:w="5103" w:type="dxa"/>
          </w:tcPr>
          <w:p w14:paraId="50850426" w14:textId="77777777" w:rsidR="00767C3D" w:rsidRPr="00776407" w:rsidRDefault="00767C3D" w:rsidP="00E93356">
            <w:pPr>
              <w:autoSpaceDE w:val="0"/>
              <w:autoSpaceDN w:val="0"/>
              <w:adjustRightInd w:val="0"/>
              <w:jc w:val="center"/>
            </w:pPr>
            <w:r w:rsidRPr="00776407">
              <w:rPr>
                <w:sz w:val="22"/>
                <w:szCs w:val="22"/>
              </w:rPr>
              <w:t>31 %(25,2–36,8)</w:t>
            </w:r>
          </w:p>
          <w:p w14:paraId="19FD0710" w14:textId="77777777" w:rsidR="00767C3D" w:rsidRPr="00776407" w:rsidRDefault="00767C3D" w:rsidP="00E93356">
            <w:pPr>
              <w:autoSpaceDE w:val="0"/>
              <w:autoSpaceDN w:val="0"/>
              <w:adjustRightInd w:val="0"/>
              <w:jc w:val="center"/>
            </w:pPr>
            <w:r w:rsidRPr="00776407">
              <w:rPr>
                <w:sz w:val="22"/>
                <w:szCs w:val="22"/>
              </w:rPr>
              <w:t>8 %</w:t>
            </w:r>
          </w:p>
          <w:p w14:paraId="1B04C1D0" w14:textId="77777777" w:rsidR="00767C3D" w:rsidRPr="00776407" w:rsidRDefault="00767C3D" w:rsidP="00E93356">
            <w:pPr>
              <w:autoSpaceDE w:val="0"/>
              <w:autoSpaceDN w:val="0"/>
              <w:adjustRightInd w:val="0"/>
              <w:jc w:val="center"/>
            </w:pPr>
          </w:p>
          <w:p w14:paraId="208C099A" w14:textId="77777777" w:rsidR="00767C3D" w:rsidRPr="00776407" w:rsidRDefault="00767C3D" w:rsidP="00E93356">
            <w:pPr>
              <w:autoSpaceDE w:val="0"/>
              <w:autoSpaceDN w:val="0"/>
              <w:adjustRightInd w:val="0"/>
              <w:jc w:val="center"/>
            </w:pPr>
            <w:r w:rsidRPr="00776407">
              <w:rPr>
                <w:sz w:val="22"/>
                <w:szCs w:val="22"/>
              </w:rPr>
              <w:t>5 %</w:t>
            </w:r>
          </w:p>
          <w:p w14:paraId="375925E6" w14:textId="77777777" w:rsidR="00767C3D" w:rsidRPr="00776407" w:rsidRDefault="00767C3D" w:rsidP="00E93356">
            <w:pPr>
              <w:autoSpaceDE w:val="0"/>
              <w:autoSpaceDN w:val="0"/>
              <w:adjustRightInd w:val="0"/>
              <w:jc w:val="center"/>
            </w:pPr>
          </w:p>
          <w:p w14:paraId="720FB0EF" w14:textId="77777777" w:rsidR="00767C3D" w:rsidRPr="00776407" w:rsidRDefault="00767C3D" w:rsidP="00E93356">
            <w:pPr>
              <w:autoSpaceDE w:val="0"/>
              <w:autoSpaceDN w:val="0"/>
              <w:adjustRightInd w:val="0"/>
              <w:jc w:val="center"/>
            </w:pPr>
            <w:r w:rsidRPr="00776407">
              <w:rPr>
                <w:sz w:val="22"/>
                <w:szCs w:val="22"/>
              </w:rPr>
              <w:t>18 %</w:t>
            </w:r>
          </w:p>
        </w:tc>
      </w:tr>
      <w:tr w:rsidR="00767C3D" w:rsidRPr="00776407" w14:paraId="34C6C7A5" w14:textId="77777777" w:rsidTr="00E93356">
        <w:trPr>
          <w:gridAfter w:val="1"/>
          <w:wAfter w:w="83" w:type="dxa"/>
        </w:trPr>
        <w:tc>
          <w:tcPr>
            <w:tcW w:w="4361" w:type="dxa"/>
          </w:tcPr>
          <w:p w14:paraId="2AFD5EBA" w14:textId="77777777" w:rsidR="00767C3D" w:rsidRPr="00776407" w:rsidRDefault="00767C3D" w:rsidP="00585580">
            <w:pPr>
              <w:autoSpaceDE w:val="0"/>
              <w:autoSpaceDN w:val="0"/>
              <w:adjustRightInd w:val="0"/>
            </w:pPr>
            <w:r w:rsidRPr="00776407">
              <w:rPr>
                <w:sz w:val="22"/>
                <w:szCs w:val="22"/>
              </w:rPr>
              <w:t>Didysis citogeninis atsakas</w:t>
            </w:r>
            <w:r w:rsidRPr="00776407">
              <w:rPr>
                <w:sz w:val="22"/>
                <w:szCs w:val="22"/>
                <w:vertAlign w:val="superscript"/>
              </w:rPr>
              <w:t>2</w:t>
            </w:r>
          </w:p>
          <w:p w14:paraId="5527D033" w14:textId="77777777" w:rsidR="00767C3D" w:rsidRPr="00776407" w:rsidRDefault="00767C3D" w:rsidP="00585580">
            <w:pPr>
              <w:autoSpaceDE w:val="0"/>
              <w:autoSpaceDN w:val="0"/>
              <w:adjustRightInd w:val="0"/>
            </w:pPr>
            <w:r w:rsidRPr="00776407">
              <w:rPr>
                <w:sz w:val="22"/>
                <w:szCs w:val="22"/>
              </w:rPr>
              <w:tab/>
              <w:t>Visiškas</w:t>
            </w:r>
          </w:p>
          <w:p w14:paraId="736B0B11" w14:textId="77777777" w:rsidR="00767C3D" w:rsidRPr="00776407" w:rsidRDefault="00767C3D" w:rsidP="00585580">
            <w:pPr>
              <w:autoSpaceDE w:val="0"/>
              <w:autoSpaceDN w:val="0"/>
              <w:adjustRightInd w:val="0"/>
            </w:pPr>
            <w:r w:rsidRPr="00776407">
              <w:rPr>
                <w:sz w:val="22"/>
                <w:szCs w:val="22"/>
              </w:rPr>
              <w:tab/>
              <w:t>(Patvirtintas</w:t>
            </w:r>
            <w:r w:rsidRPr="00776407">
              <w:rPr>
                <w:sz w:val="22"/>
                <w:szCs w:val="22"/>
                <w:vertAlign w:val="superscript"/>
              </w:rPr>
              <w:t>3</w:t>
            </w:r>
            <w:r w:rsidRPr="00776407">
              <w:rPr>
                <w:sz w:val="22"/>
                <w:szCs w:val="22"/>
              </w:rPr>
              <w:t>) [95</w:t>
            </w:r>
            <w:r w:rsidR="002B117F" w:rsidRPr="00776407">
              <w:rPr>
                <w:sz w:val="22"/>
                <w:szCs w:val="22"/>
              </w:rPr>
              <w:t> </w:t>
            </w:r>
            <w:r w:rsidRPr="00776407">
              <w:rPr>
                <w:sz w:val="22"/>
                <w:szCs w:val="22"/>
              </w:rPr>
              <w:t>% CI]</w:t>
            </w:r>
          </w:p>
          <w:p w14:paraId="6C948382" w14:textId="77777777" w:rsidR="00767C3D" w:rsidRPr="00776407" w:rsidRDefault="00767C3D" w:rsidP="009156D1">
            <w:pPr>
              <w:autoSpaceDE w:val="0"/>
              <w:autoSpaceDN w:val="0"/>
              <w:adjustRightInd w:val="0"/>
            </w:pPr>
            <w:r w:rsidRPr="00776407">
              <w:rPr>
                <w:sz w:val="22"/>
                <w:szCs w:val="22"/>
              </w:rPr>
              <w:tab/>
              <w:t>Dalinis</w:t>
            </w:r>
          </w:p>
        </w:tc>
        <w:tc>
          <w:tcPr>
            <w:tcW w:w="5103" w:type="dxa"/>
          </w:tcPr>
          <w:p w14:paraId="188607A4" w14:textId="77777777" w:rsidR="00767C3D" w:rsidRPr="00776407" w:rsidRDefault="00767C3D" w:rsidP="00E93356">
            <w:pPr>
              <w:autoSpaceDE w:val="0"/>
              <w:autoSpaceDN w:val="0"/>
              <w:adjustRightInd w:val="0"/>
              <w:jc w:val="center"/>
            </w:pPr>
            <w:r w:rsidRPr="00776407">
              <w:rPr>
                <w:sz w:val="22"/>
                <w:szCs w:val="22"/>
              </w:rPr>
              <w:t>15 % (11,2–20,4)</w:t>
            </w:r>
          </w:p>
          <w:p w14:paraId="68DFEA54" w14:textId="77777777" w:rsidR="00767C3D" w:rsidRPr="00776407" w:rsidRDefault="00767C3D" w:rsidP="00E93356">
            <w:pPr>
              <w:autoSpaceDE w:val="0"/>
              <w:autoSpaceDN w:val="0"/>
              <w:adjustRightInd w:val="0"/>
              <w:jc w:val="center"/>
            </w:pPr>
            <w:r w:rsidRPr="00776407">
              <w:rPr>
                <w:sz w:val="22"/>
                <w:szCs w:val="22"/>
              </w:rPr>
              <w:t>7%</w:t>
            </w:r>
          </w:p>
          <w:p w14:paraId="712D8ADB" w14:textId="77777777" w:rsidR="00767C3D" w:rsidRPr="00776407" w:rsidRDefault="00767C3D" w:rsidP="00E93356">
            <w:pPr>
              <w:autoSpaceDE w:val="0"/>
              <w:autoSpaceDN w:val="0"/>
              <w:adjustRightInd w:val="0"/>
              <w:jc w:val="center"/>
            </w:pPr>
            <w:r w:rsidRPr="00776407">
              <w:rPr>
                <w:sz w:val="22"/>
                <w:szCs w:val="22"/>
              </w:rPr>
              <w:t>(2 %) [0,6–4,4]</w:t>
            </w:r>
          </w:p>
          <w:p w14:paraId="7B34D470" w14:textId="77777777" w:rsidR="00767C3D" w:rsidRPr="00776407" w:rsidRDefault="00767C3D" w:rsidP="00E93356">
            <w:pPr>
              <w:autoSpaceDE w:val="0"/>
              <w:autoSpaceDN w:val="0"/>
              <w:adjustRightInd w:val="0"/>
              <w:jc w:val="center"/>
            </w:pPr>
            <w:r w:rsidRPr="00776407">
              <w:rPr>
                <w:sz w:val="22"/>
                <w:szCs w:val="22"/>
              </w:rPr>
              <w:t>8 %</w:t>
            </w:r>
          </w:p>
        </w:tc>
      </w:tr>
      <w:tr w:rsidR="00585580" w:rsidRPr="00776407" w14:paraId="45E0F624" w14:textId="77777777" w:rsidTr="00E93356">
        <w:tc>
          <w:tcPr>
            <w:tcW w:w="9547" w:type="dxa"/>
            <w:gridSpan w:val="3"/>
          </w:tcPr>
          <w:p w14:paraId="48E5E1A1" w14:textId="77777777" w:rsidR="009156D1" w:rsidRPr="00776407" w:rsidRDefault="00585580" w:rsidP="009156D1">
            <w:pPr>
              <w:autoSpaceDE w:val="0"/>
              <w:autoSpaceDN w:val="0"/>
              <w:adjustRightInd w:val="0"/>
            </w:pPr>
            <w:r w:rsidRPr="00776407">
              <w:rPr>
                <w:b/>
                <w:bCs/>
                <w:sz w:val="22"/>
                <w:szCs w:val="22"/>
                <w:vertAlign w:val="superscript"/>
              </w:rPr>
              <w:t>1</w:t>
            </w:r>
            <w:r w:rsidRPr="00776407">
              <w:rPr>
                <w:b/>
                <w:bCs/>
                <w:sz w:val="22"/>
                <w:szCs w:val="22"/>
              </w:rPr>
              <w:t xml:space="preserve"> </w:t>
            </w:r>
            <w:r w:rsidR="009156D1" w:rsidRPr="00776407">
              <w:rPr>
                <w:b/>
                <w:bCs/>
                <w:sz w:val="22"/>
                <w:szCs w:val="22"/>
              </w:rPr>
              <w:t xml:space="preserve">Hematologinio atsako kriterijai (visi atsakai turi būti patvirtinti po </w:t>
            </w:r>
            <w:r w:rsidR="009156D1" w:rsidRPr="00776407">
              <w:t>≥</w:t>
            </w:r>
            <w:r w:rsidR="005B6181" w:rsidRPr="00776407">
              <w:rPr>
                <w:sz w:val="22"/>
                <w:szCs w:val="22"/>
              </w:rPr>
              <w:t> </w:t>
            </w:r>
            <w:r w:rsidR="009156D1" w:rsidRPr="00776407">
              <w:rPr>
                <w:b/>
                <w:bCs/>
                <w:sz w:val="22"/>
                <w:szCs w:val="22"/>
              </w:rPr>
              <w:t xml:space="preserve">4 savaičių): </w:t>
            </w:r>
          </w:p>
          <w:p w14:paraId="360DAB6A" w14:textId="77777777" w:rsidR="009156D1" w:rsidRPr="00776407" w:rsidRDefault="009156D1" w:rsidP="009156D1">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VHA: </w:t>
            </w:r>
            <w:r w:rsidR="00A176FE" w:rsidRPr="00776407">
              <w:rPr>
                <w:rFonts w:ascii="Times New Roman" w:hAnsi="Times New Roman" w:cs="Times New Roman"/>
                <w:sz w:val="22"/>
                <w:szCs w:val="22"/>
                <w:lang w:val="lt-LT"/>
              </w:rPr>
              <w:t>T</w:t>
            </w:r>
            <w:r w:rsidRPr="00776407">
              <w:rPr>
                <w:rFonts w:ascii="Times New Roman" w:hAnsi="Times New Roman" w:cs="Times New Roman"/>
                <w:sz w:val="22"/>
                <w:szCs w:val="22"/>
                <w:lang w:val="lt-LT"/>
              </w:rPr>
              <w:t>yrime 0102 [</w:t>
            </w:r>
            <w:r w:rsidRPr="00776407">
              <w:rPr>
                <w:rFonts w:ascii="Times New Roman" w:hAnsi="Times New Roman"/>
                <w:sz w:val="22"/>
                <w:szCs w:val="22"/>
                <w:lang w:val="lt-LT"/>
              </w:rPr>
              <w:t>AN</w:t>
            </w:r>
            <w:r w:rsidR="005B6181" w:rsidRPr="00776407">
              <w:rPr>
                <w:rFonts w:ascii="Times New Roman" w:hAnsi="Times New Roman"/>
                <w:sz w:val="22"/>
                <w:szCs w:val="22"/>
                <w:lang w:val="lt-LT"/>
              </w:rPr>
              <w:t>S</w:t>
            </w:r>
            <w:r w:rsidRPr="00776407">
              <w:rPr>
                <w:rFonts w:ascii="Times New Roman" w:hAnsi="Times New Roman"/>
                <w:sz w:val="22"/>
                <w:szCs w:val="22"/>
                <w:lang w:val="lt-LT"/>
              </w:rPr>
              <w:t> ≥ 1</w:t>
            </w:r>
            <w:r w:rsidR="002B117F" w:rsidRPr="00776407">
              <w:rPr>
                <w:rFonts w:ascii="Times New Roman" w:hAnsi="Times New Roman"/>
                <w:sz w:val="22"/>
                <w:szCs w:val="22"/>
                <w:lang w:val="lt-LT"/>
              </w:rPr>
              <w:t>,</w:t>
            </w:r>
            <w:r w:rsidRPr="00776407">
              <w:rPr>
                <w:rFonts w:ascii="Times New Roman" w:hAnsi="Times New Roman"/>
                <w:sz w:val="22"/>
                <w:szCs w:val="22"/>
                <w:lang w:val="lt-LT"/>
              </w:rPr>
              <w:t>5 x 10</w:t>
            </w:r>
            <w:r w:rsidRPr="00776407">
              <w:rPr>
                <w:rFonts w:ascii="Times New Roman" w:hAnsi="Times New Roman"/>
                <w:sz w:val="22"/>
                <w:szCs w:val="22"/>
                <w:vertAlign w:val="superscript"/>
                <w:lang w:val="lt-LT"/>
              </w:rPr>
              <w:t>9</w:t>
            </w:r>
            <w:r w:rsidRPr="00776407">
              <w:rPr>
                <w:rFonts w:ascii="Times New Roman" w:hAnsi="Times New Roman" w:cs="Times New Roman"/>
                <w:sz w:val="22"/>
                <w:szCs w:val="22"/>
                <w:lang w:val="lt-LT"/>
              </w:rPr>
              <w:t xml:space="preserve">/l, trombocitų </w:t>
            </w:r>
            <w:r w:rsidR="00D154BB" w:rsidRPr="00776407">
              <w:rPr>
                <w:rFonts w:ascii="Times New Roman" w:hAnsi="Times New Roman"/>
                <w:sz w:val="22"/>
                <w:szCs w:val="22"/>
                <w:lang w:val="lt-LT"/>
              </w:rPr>
              <w:t>≥ 100 x 10</w:t>
            </w:r>
            <w:r w:rsidR="00D154BB" w:rsidRPr="00776407">
              <w:rPr>
                <w:rFonts w:ascii="Times New Roman" w:hAnsi="Times New Roman"/>
                <w:sz w:val="22"/>
                <w:szCs w:val="22"/>
                <w:vertAlign w:val="superscript"/>
                <w:lang w:val="lt-LT"/>
              </w:rPr>
              <w:t>9</w:t>
            </w:r>
            <w:r w:rsidRPr="00776407">
              <w:rPr>
                <w:rFonts w:ascii="Times New Roman" w:hAnsi="Times New Roman" w:cs="Times New Roman"/>
                <w:sz w:val="22"/>
                <w:szCs w:val="22"/>
                <w:lang w:val="lt-LT"/>
              </w:rPr>
              <w:t>/l, nėra blastų kraujyje, blastų &lt;</w:t>
            </w:r>
            <w:r w:rsidR="00D154BB" w:rsidRPr="00776407">
              <w:rPr>
                <w:rFonts w:ascii="Times New Roman" w:hAnsi="Times New Roman" w:cs="Times New Roman"/>
                <w:sz w:val="22"/>
                <w:szCs w:val="22"/>
                <w:lang w:val="lt-LT"/>
              </w:rPr>
              <w:t> </w:t>
            </w:r>
            <w:r w:rsidRPr="00776407">
              <w:rPr>
                <w:rFonts w:ascii="Times New Roman" w:hAnsi="Times New Roman" w:cs="Times New Roman"/>
                <w:sz w:val="22"/>
                <w:szCs w:val="22"/>
                <w:lang w:val="lt-LT"/>
              </w:rPr>
              <w:t>5</w:t>
            </w:r>
            <w:r w:rsidR="00D154BB" w:rsidRPr="00776407">
              <w:rPr>
                <w:rFonts w:ascii="Times New Roman" w:hAnsi="Times New Roman" w:cs="Times New Roman"/>
                <w:sz w:val="22"/>
                <w:szCs w:val="22"/>
                <w:lang w:val="lt-LT"/>
              </w:rPr>
              <w:t> </w:t>
            </w:r>
            <w:r w:rsidRPr="00776407">
              <w:rPr>
                <w:rFonts w:ascii="Times New Roman" w:hAnsi="Times New Roman" w:cs="Times New Roman"/>
                <w:sz w:val="22"/>
                <w:szCs w:val="22"/>
                <w:lang w:val="lt-LT"/>
              </w:rPr>
              <w:t>% kaulų čiulpuose, nėra ekstramedulinės ligos]</w:t>
            </w:r>
            <w:r w:rsidR="002B117F" w:rsidRPr="00776407">
              <w:rPr>
                <w:rFonts w:ascii="Times New Roman" w:hAnsi="Times New Roman" w:cs="Times New Roman"/>
                <w:sz w:val="22"/>
                <w:szCs w:val="22"/>
                <w:lang w:val="lt-LT"/>
              </w:rPr>
              <w:t>.</w:t>
            </w:r>
            <w:r w:rsidRPr="00776407">
              <w:rPr>
                <w:rFonts w:ascii="Times New Roman" w:hAnsi="Times New Roman" w:cs="Times New Roman"/>
                <w:sz w:val="22"/>
                <w:szCs w:val="22"/>
                <w:lang w:val="lt-LT"/>
              </w:rPr>
              <w:t xml:space="preserve"> </w:t>
            </w:r>
          </w:p>
          <w:p w14:paraId="4575D7C0" w14:textId="77777777" w:rsidR="009156D1" w:rsidRPr="00776407" w:rsidRDefault="00D154BB" w:rsidP="009156D1">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NEL </w:t>
            </w:r>
            <w:r w:rsidR="009156D1" w:rsidRPr="00776407">
              <w:rPr>
                <w:rFonts w:ascii="Times New Roman" w:hAnsi="Times New Roman" w:cs="Times New Roman"/>
                <w:sz w:val="22"/>
                <w:szCs w:val="22"/>
                <w:lang w:val="lt-LT"/>
              </w:rPr>
              <w:t xml:space="preserve">Tokie pat kriterijai kaip VHA bet </w:t>
            </w:r>
            <w:r w:rsidRPr="00776407">
              <w:rPr>
                <w:rFonts w:ascii="Times New Roman" w:hAnsi="Times New Roman"/>
                <w:sz w:val="22"/>
                <w:szCs w:val="22"/>
                <w:lang w:val="lt-LT"/>
              </w:rPr>
              <w:t>AN</w:t>
            </w:r>
            <w:r w:rsidR="005B6181" w:rsidRPr="00776407">
              <w:rPr>
                <w:rFonts w:ascii="Times New Roman" w:hAnsi="Times New Roman"/>
                <w:sz w:val="22"/>
                <w:szCs w:val="22"/>
                <w:lang w:val="lt-LT"/>
              </w:rPr>
              <w:t>S</w:t>
            </w:r>
            <w:r w:rsidRPr="00776407">
              <w:rPr>
                <w:rFonts w:ascii="Times New Roman" w:hAnsi="Times New Roman"/>
                <w:sz w:val="22"/>
                <w:szCs w:val="22"/>
                <w:lang w:val="lt-LT"/>
              </w:rPr>
              <w:t> ≥ 1 x 10</w:t>
            </w:r>
            <w:r w:rsidRPr="00776407">
              <w:rPr>
                <w:rFonts w:ascii="Times New Roman" w:hAnsi="Times New Roman"/>
                <w:sz w:val="22"/>
                <w:szCs w:val="22"/>
                <w:vertAlign w:val="superscript"/>
                <w:lang w:val="lt-LT"/>
              </w:rPr>
              <w:t>9</w:t>
            </w:r>
            <w:r w:rsidR="009156D1" w:rsidRPr="00776407">
              <w:rPr>
                <w:rFonts w:ascii="Times New Roman" w:hAnsi="Times New Roman" w:cs="Times New Roman"/>
                <w:sz w:val="22"/>
                <w:szCs w:val="22"/>
                <w:lang w:val="lt-LT"/>
              </w:rPr>
              <w:t xml:space="preserve">/l ir trombocitų </w:t>
            </w:r>
            <w:r w:rsidRPr="00776407">
              <w:rPr>
                <w:rFonts w:ascii="Times New Roman" w:hAnsi="Times New Roman"/>
                <w:sz w:val="22"/>
                <w:szCs w:val="22"/>
                <w:lang w:val="lt-LT"/>
              </w:rPr>
              <w:t>≥ 20 x 10</w:t>
            </w:r>
            <w:r w:rsidRPr="00776407">
              <w:rPr>
                <w:rFonts w:ascii="Times New Roman" w:hAnsi="Times New Roman"/>
                <w:sz w:val="22"/>
                <w:szCs w:val="22"/>
                <w:vertAlign w:val="superscript"/>
                <w:lang w:val="lt-LT"/>
              </w:rPr>
              <w:t>9</w:t>
            </w:r>
            <w:r w:rsidR="009156D1" w:rsidRPr="00776407">
              <w:rPr>
                <w:rFonts w:ascii="Times New Roman" w:hAnsi="Times New Roman" w:cs="Times New Roman"/>
                <w:sz w:val="22"/>
                <w:szCs w:val="22"/>
                <w:lang w:val="lt-LT"/>
              </w:rPr>
              <w:t xml:space="preserve">/l (tik 0102 ir 0109) </w:t>
            </w:r>
          </w:p>
          <w:p w14:paraId="54E2BD36" w14:textId="77777777" w:rsidR="009156D1" w:rsidRPr="00776407" w:rsidRDefault="009156D1" w:rsidP="009156D1">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GLF &lt;</w:t>
            </w:r>
            <w:r w:rsidR="00D154BB" w:rsidRPr="00776407">
              <w:rPr>
                <w:rFonts w:ascii="Times New Roman" w:hAnsi="Times New Roman" w:cs="Times New Roman"/>
                <w:sz w:val="22"/>
                <w:szCs w:val="22"/>
                <w:lang w:val="lt-LT"/>
              </w:rPr>
              <w:t> </w:t>
            </w:r>
            <w:r w:rsidRPr="00776407">
              <w:rPr>
                <w:rFonts w:ascii="Times New Roman" w:hAnsi="Times New Roman" w:cs="Times New Roman"/>
                <w:sz w:val="22"/>
                <w:szCs w:val="22"/>
                <w:lang w:val="lt-LT"/>
              </w:rPr>
              <w:t>15</w:t>
            </w:r>
            <w:r w:rsidR="00D154BB" w:rsidRPr="00776407">
              <w:rPr>
                <w:rFonts w:ascii="Times New Roman" w:hAnsi="Times New Roman" w:cs="Times New Roman"/>
                <w:sz w:val="22"/>
                <w:szCs w:val="22"/>
                <w:lang w:val="lt-LT"/>
              </w:rPr>
              <w:t> % blastų KČ ir PK, &lt; </w:t>
            </w:r>
            <w:r w:rsidRPr="00776407">
              <w:rPr>
                <w:rFonts w:ascii="Times New Roman" w:hAnsi="Times New Roman" w:cs="Times New Roman"/>
                <w:sz w:val="22"/>
                <w:szCs w:val="22"/>
                <w:lang w:val="lt-LT"/>
              </w:rPr>
              <w:t>30</w:t>
            </w:r>
            <w:r w:rsidR="00D154BB" w:rsidRPr="00776407">
              <w:rPr>
                <w:rFonts w:ascii="Times New Roman" w:hAnsi="Times New Roman" w:cs="Times New Roman"/>
                <w:sz w:val="22"/>
                <w:szCs w:val="22"/>
                <w:lang w:val="lt-LT"/>
              </w:rPr>
              <w:t> </w:t>
            </w:r>
            <w:r w:rsidRPr="00776407">
              <w:rPr>
                <w:rFonts w:ascii="Times New Roman" w:hAnsi="Times New Roman" w:cs="Times New Roman"/>
                <w:sz w:val="22"/>
                <w:szCs w:val="22"/>
                <w:lang w:val="lt-LT"/>
              </w:rPr>
              <w:t>% blastų+promielocitų KČ ir PK, &lt;</w:t>
            </w:r>
            <w:r w:rsidR="00D154BB" w:rsidRPr="00776407">
              <w:rPr>
                <w:rFonts w:ascii="Times New Roman" w:hAnsi="Times New Roman" w:cs="Times New Roman"/>
                <w:sz w:val="22"/>
                <w:szCs w:val="22"/>
                <w:lang w:val="lt-LT"/>
              </w:rPr>
              <w:t> </w:t>
            </w:r>
            <w:r w:rsidRPr="00776407">
              <w:rPr>
                <w:rFonts w:ascii="Times New Roman" w:hAnsi="Times New Roman" w:cs="Times New Roman"/>
                <w:sz w:val="22"/>
                <w:szCs w:val="22"/>
                <w:lang w:val="lt-LT"/>
              </w:rPr>
              <w:t>20</w:t>
            </w:r>
            <w:r w:rsidR="00D154BB" w:rsidRPr="00776407">
              <w:rPr>
                <w:rFonts w:ascii="Times New Roman" w:hAnsi="Times New Roman" w:cs="Times New Roman"/>
                <w:sz w:val="22"/>
                <w:szCs w:val="22"/>
                <w:lang w:val="lt-LT"/>
              </w:rPr>
              <w:t> </w:t>
            </w:r>
            <w:r w:rsidRPr="00776407">
              <w:rPr>
                <w:rFonts w:ascii="Times New Roman" w:hAnsi="Times New Roman" w:cs="Times New Roman"/>
                <w:sz w:val="22"/>
                <w:szCs w:val="22"/>
                <w:lang w:val="lt-LT"/>
              </w:rPr>
              <w:t xml:space="preserve">% bazofilų PK, nėra kitos, išskyrus blužnies ir kepenų, ekstramedulinės ligos (tik 0102 ir 0109). </w:t>
            </w:r>
          </w:p>
          <w:p w14:paraId="1981A001" w14:textId="77777777" w:rsidR="009156D1" w:rsidRPr="00776407" w:rsidRDefault="009156D1" w:rsidP="009156D1">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KČ = kaulų čiulpai, PK = periferinis kraujas</w:t>
            </w:r>
            <w:r w:rsidR="002B117F" w:rsidRPr="00776407">
              <w:rPr>
                <w:rFonts w:ascii="Times New Roman" w:hAnsi="Times New Roman" w:cs="Times New Roman"/>
                <w:sz w:val="22"/>
                <w:szCs w:val="22"/>
                <w:lang w:val="lt-LT"/>
              </w:rPr>
              <w:t>.</w:t>
            </w:r>
          </w:p>
          <w:p w14:paraId="1CE4029C" w14:textId="77777777" w:rsidR="009156D1" w:rsidRPr="00776407" w:rsidRDefault="009156D1" w:rsidP="009156D1">
            <w:pPr>
              <w:pStyle w:val="Default"/>
              <w:rPr>
                <w:rFonts w:ascii="Times New Roman" w:hAnsi="Times New Roman" w:cs="Times New Roman"/>
                <w:sz w:val="22"/>
                <w:szCs w:val="22"/>
                <w:lang w:val="lt-LT"/>
              </w:rPr>
            </w:pPr>
            <w:r w:rsidRPr="00776407">
              <w:rPr>
                <w:rFonts w:ascii="Times New Roman" w:hAnsi="Times New Roman" w:cs="Times New Roman"/>
                <w:b/>
                <w:bCs/>
                <w:sz w:val="22"/>
                <w:szCs w:val="22"/>
                <w:vertAlign w:val="superscript"/>
                <w:lang w:val="lt-LT"/>
              </w:rPr>
              <w:t>2</w:t>
            </w:r>
            <w:r w:rsidRPr="00776407">
              <w:rPr>
                <w:rFonts w:ascii="Times New Roman" w:hAnsi="Times New Roman" w:cs="Times New Roman"/>
                <w:b/>
                <w:bCs/>
                <w:sz w:val="22"/>
                <w:szCs w:val="22"/>
                <w:lang w:val="lt-LT"/>
              </w:rPr>
              <w:t xml:space="preserve"> Citogenetinio atsako kriterijai: </w:t>
            </w:r>
          </w:p>
          <w:p w14:paraId="7244CFA5" w14:textId="77777777" w:rsidR="009156D1" w:rsidRPr="00776407" w:rsidRDefault="009156D1" w:rsidP="009156D1">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Didįjį atsaką sudaro visiškas ir dalinis atsakas: visiškas (0</w:t>
            </w:r>
            <w:r w:rsidR="00D154BB" w:rsidRPr="00776407">
              <w:rPr>
                <w:rFonts w:ascii="Times New Roman" w:hAnsi="Times New Roman" w:cs="Times New Roman"/>
                <w:sz w:val="22"/>
                <w:szCs w:val="22"/>
                <w:lang w:val="lt-LT"/>
              </w:rPr>
              <w:t> </w:t>
            </w:r>
            <w:r w:rsidRPr="00776407">
              <w:rPr>
                <w:rFonts w:ascii="Times New Roman" w:hAnsi="Times New Roman" w:cs="Times New Roman"/>
                <w:sz w:val="22"/>
                <w:szCs w:val="22"/>
                <w:lang w:val="lt-LT"/>
              </w:rPr>
              <w:t>% Ph+</w:t>
            </w:r>
            <w:r w:rsidR="00D154BB" w:rsidRPr="00776407">
              <w:rPr>
                <w:rFonts w:ascii="Times New Roman" w:hAnsi="Times New Roman" w:cs="Times New Roman"/>
                <w:sz w:val="22"/>
                <w:szCs w:val="22"/>
                <w:lang w:val="lt-LT"/>
              </w:rPr>
              <w:t> </w:t>
            </w:r>
            <w:r w:rsidRPr="00776407">
              <w:rPr>
                <w:rFonts w:ascii="Times New Roman" w:hAnsi="Times New Roman" w:cs="Times New Roman"/>
                <w:sz w:val="22"/>
                <w:szCs w:val="22"/>
                <w:lang w:val="lt-LT"/>
              </w:rPr>
              <w:t>metafazių), dalinis (1–35</w:t>
            </w:r>
            <w:r w:rsidR="00D154BB" w:rsidRPr="00776407">
              <w:rPr>
                <w:rFonts w:ascii="Times New Roman" w:hAnsi="Times New Roman" w:cs="Times New Roman"/>
                <w:sz w:val="22"/>
                <w:szCs w:val="22"/>
                <w:lang w:val="lt-LT"/>
              </w:rPr>
              <w:t> </w:t>
            </w:r>
            <w:r w:rsidRPr="00776407">
              <w:rPr>
                <w:rFonts w:ascii="Times New Roman" w:hAnsi="Times New Roman" w:cs="Times New Roman"/>
                <w:sz w:val="22"/>
                <w:szCs w:val="22"/>
                <w:lang w:val="lt-LT"/>
              </w:rPr>
              <w:t>%)</w:t>
            </w:r>
            <w:r w:rsidR="002B117F" w:rsidRPr="00776407">
              <w:rPr>
                <w:rFonts w:ascii="Times New Roman" w:hAnsi="Times New Roman" w:cs="Times New Roman"/>
                <w:sz w:val="22"/>
                <w:szCs w:val="22"/>
                <w:lang w:val="lt-LT"/>
              </w:rPr>
              <w:t>.</w:t>
            </w:r>
          </w:p>
          <w:p w14:paraId="54DED6E4" w14:textId="77777777" w:rsidR="00585580" w:rsidRPr="00776407" w:rsidRDefault="009156D1" w:rsidP="00E31147">
            <w:pPr>
              <w:autoSpaceDE w:val="0"/>
              <w:autoSpaceDN w:val="0"/>
              <w:adjustRightInd w:val="0"/>
            </w:pPr>
            <w:r w:rsidRPr="00776407">
              <w:rPr>
                <w:sz w:val="22"/>
                <w:szCs w:val="22"/>
                <w:vertAlign w:val="superscript"/>
              </w:rPr>
              <w:t>3</w:t>
            </w:r>
            <w:r w:rsidRPr="00776407">
              <w:rPr>
                <w:sz w:val="22"/>
                <w:szCs w:val="22"/>
              </w:rPr>
              <w:t xml:space="preserve"> Visiškas citogenetinis atsakas patvirtinamas antrą kartą citogenetiškai vertinant kaulų čiulpus praėjus mažiausiai vienam mėnesiui po pirminio kaulų čiulpų tyrimo</w:t>
            </w:r>
            <w:r w:rsidR="00953E23" w:rsidRPr="00776407">
              <w:rPr>
                <w:sz w:val="22"/>
                <w:szCs w:val="22"/>
              </w:rPr>
              <w:t>.</w:t>
            </w:r>
            <w:r w:rsidR="00D154BB" w:rsidRPr="00776407">
              <w:rPr>
                <w:sz w:val="22"/>
                <w:szCs w:val="22"/>
              </w:rPr>
              <w:t xml:space="preserve"> </w:t>
            </w:r>
          </w:p>
          <w:p w14:paraId="03E6BCAD" w14:textId="77777777" w:rsidR="00585580" w:rsidRPr="00776407" w:rsidRDefault="00585580" w:rsidP="00E31147">
            <w:pPr>
              <w:autoSpaceDE w:val="0"/>
              <w:autoSpaceDN w:val="0"/>
              <w:adjustRightInd w:val="0"/>
            </w:pPr>
          </w:p>
        </w:tc>
      </w:tr>
    </w:tbl>
    <w:p w14:paraId="624F8CE1" w14:textId="77777777" w:rsidR="00585580" w:rsidRPr="00776407" w:rsidRDefault="00585580" w:rsidP="00861F83">
      <w:pPr>
        <w:rPr>
          <w:sz w:val="22"/>
          <w:szCs w:val="22"/>
        </w:rPr>
      </w:pPr>
    </w:p>
    <w:p w14:paraId="20DC90B9" w14:textId="77777777" w:rsidR="00D154BB" w:rsidRPr="00776407" w:rsidRDefault="00D154BB" w:rsidP="00D154BB">
      <w:pPr>
        <w:autoSpaceDE w:val="0"/>
        <w:autoSpaceDN w:val="0"/>
        <w:adjustRightInd w:val="0"/>
        <w:rPr>
          <w:rFonts w:eastAsia="Calibri"/>
          <w:color w:val="000000"/>
          <w:sz w:val="22"/>
          <w:szCs w:val="22"/>
        </w:rPr>
      </w:pPr>
      <w:r w:rsidRPr="00776407">
        <w:rPr>
          <w:rFonts w:eastAsia="Calibri"/>
          <w:i/>
          <w:iCs/>
          <w:color w:val="000000"/>
          <w:sz w:val="22"/>
          <w:szCs w:val="22"/>
        </w:rPr>
        <w:t>Vaikai ir paaugliai</w:t>
      </w:r>
      <w:r w:rsidRPr="00776407">
        <w:rPr>
          <w:rFonts w:eastAsia="Calibri"/>
          <w:color w:val="000000"/>
          <w:sz w:val="22"/>
          <w:szCs w:val="22"/>
        </w:rPr>
        <w:t xml:space="preserve">. Iš viso 26 jaunesni kaip 18 metų vaikai, kuriems buvo lėtinė LML fazė (n=11) ar LML blastinė krizė, ar Ph+ ūminė leukemiija (n=15), buvo įtraukti į dozės didinimo I fazės tyrimą. Tai buvo intensyviai gydyti vaikai: 46 % buvo transplantuoti kaulų čiulpai, 73 % – buvo gavę kelių </w:t>
      </w:r>
      <w:r w:rsidR="00BA110E" w:rsidRPr="00776407">
        <w:rPr>
          <w:color w:val="000000"/>
          <w:sz w:val="22"/>
          <w:szCs w:val="22"/>
        </w:rPr>
        <w:t xml:space="preserve">vaistinių preparatų </w:t>
      </w:r>
      <w:r w:rsidRPr="00776407">
        <w:rPr>
          <w:rFonts w:eastAsia="Calibri"/>
          <w:color w:val="000000"/>
          <w:sz w:val="22"/>
          <w:szCs w:val="22"/>
        </w:rPr>
        <w:t>chemoterapiją. Pacientams buvo skirta imatinibo po 260 mg/m</w:t>
      </w:r>
      <w:r w:rsidRPr="00776407">
        <w:rPr>
          <w:rFonts w:eastAsia="Calibri"/>
          <w:color w:val="000000"/>
          <w:sz w:val="22"/>
          <w:szCs w:val="22"/>
          <w:vertAlign w:val="superscript"/>
        </w:rPr>
        <w:t>2</w:t>
      </w:r>
      <w:r w:rsidRPr="00776407">
        <w:rPr>
          <w:rFonts w:eastAsia="Calibri"/>
          <w:color w:val="000000"/>
          <w:sz w:val="22"/>
          <w:szCs w:val="22"/>
        </w:rPr>
        <w:t xml:space="preserve"> per parą (n=5), 340 mg/m</w:t>
      </w:r>
      <w:r w:rsidRPr="00776407">
        <w:rPr>
          <w:rFonts w:eastAsia="Calibri"/>
          <w:color w:val="000000"/>
          <w:sz w:val="22"/>
          <w:szCs w:val="22"/>
          <w:vertAlign w:val="superscript"/>
        </w:rPr>
        <w:t>2</w:t>
      </w:r>
      <w:r w:rsidRPr="00776407">
        <w:rPr>
          <w:rFonts w:eastAsia="Calibri"/>
          <w:color w:val="000000"/>
          <w:sz w:val="14"/>
          <w:szCs w:val="14"/>
        </w:rPr>
        <w:t xml:space="preserve"> </w:t>
      </w:r>
      <w:r w:rsidRPr="00776407">
        <w:rPr>
          <w:rFonts w:eastAsia="Calibri"/>
          <w:color w:val="000000"/>
          <w:sz w:val="22"/>
          <w:szCs w:val="22"/>
        </w:rPr>
        <w:t>per parą (n=9), 440 mg/m</w:t>
      </w:r>
      <w:r w:rsidRPr="00776407">
        <w:rPr>
          <w:rFonts w:eastAsia="Calibri"/>
          <w:color w:val="000000"/>
          <w:sz w:val="22"/>
          <w:szCs w:val="22"/>
          <w:vertAlign w:val="superscript"/>
        </w:rPr>
        <w:t xml:space="preserve">2 </w:t>
      </w:r>
      <w:r w:rsidRPr="00776407">
        <w:rPr>
          <w:rFonts w:eastAsia="Calibri"/>
          <w:color w:val="000000"/>
          <w:sz w:val="22"/>
          <w:szCs w:val="22"/>
        </w:rPr>
        <w:t>per parą (n=7), 570 mg/m</w:t>
      </w:r>
      <w:r w:rsidRPr="00776407">
        <w:rPr>
          <w:rFonts w:eastAsia="Calibri"/>
          <w:color w:val="000000"/>
          <w:sz w:val="22"/>
          <w:szCs w:val="22"/>
          <w:vertAlign w:val="superscript"/>
        </w:rPr>
        <w:t>2</w:t>
      </w:r>
      <w:r w:rsidRPr="00776407">
        <w:rPr>
          <w:rFonts w:eastAsia="Calibri"/>
          <w:color w:val="000000"/>
          <w:sz w:val="14"/>
          <w:szCs w:val="14"/>
        </w:rPr>
        <w:t xml:space="preserve"> </w:t>
      </w:r>
      <w:r w:rsidRPr="00776407">
        <w:rPr>
          <w:rFonts w:eastAsia="Calibri"/>
          <w:color w:val="000000"/>
          <w:sz w:val="22"/>
          <w:szCs w:val="22"/>
        </w:rPr>
        <w:t xml:space="preserve">per parą (n=5). Iš 9 pacientų, kuriems buvo lėtinė LML fazė ir prieinami citogenetiniai rodikliai, 4 (44 %) ir 3 (33 %) buvo gautas atitinkamai visiškas ir dalinis citogenetinis atsakas, MCyR dažnis – 77 %. </w:t>
      </w:r>
    </w:p>
    <w:p w14:paraId="48A8BBC9" w14:textId="77777777" w:rsidR="00D154BB" w:rsidRPr="00776407" w:rsidRDefault="00D154BB" w:rsidP="00D154BB">
      <w:pPr>
        <w:autoSpaceDE w:val="0"/>
        <w:autoSpaceDN w:val="0"/>
        <w:adjustRightInd w:val="0"/>
        <w:rPr>
          <w:rFonts w:eastAsia="Calibri"/>
          <w:color w:val="000000"/>
          <w:sz w:val="22"/>
          <w:szCs w:val="22"/>
        </w:rPr>
      </w:pPr>
    </w:p>
    <w:p w14:paraId="0C38D8CD" w14:textId="77777777" w:rsidR="007A7094" w:rsidRPr="00776407" w:rsidRDefault="00D154BB" w:rsidP="00D154BB">
      <w:pPr>
        <w:autoSpaceDE w:val="0"/>
        <w:autoSpaceDN w:val="0"/>
        <w:adjustRightInd w:val="0"/>
        <w:rPr>
          <w:rFonts w:eastAsia="Calibri"/>
          <w:color w:val="000000"/>
          <w:sz w:val="22"/>
          <w:szCs w:val="22"/>
        </w:rPr>
      </w:pPr>
      <w:r w:rsidRPr="00776407">
        <w:rPr>
          <w:rFonts w:eastAsia="Calibri"/>
          <w:color w:val="000000"/>
          <w:sz w:val="22"/>
          <w:szCs w:val="22"/>
        </w:rPr>
        <w:t>II</w:t>
      </w:r>
      <w:r w:rsidR="007A7094" w:rsidRPr="00776407">
        <w:rPr>
          <w:rFonts w:eastAsia="Calibri"/>
          <w:color w:val="000000"/>
          <w:sz w:val="22"/>
          <w:szCs w:val="22"/>
        </w:rPr>
        <w:t> </w:t>
      </w:r>
      <w:r w:rsidRPr="00776407">
        <w:rPr>
          <w:rFonts w:eastAsia="Calibri"/>
          <w:color w:val="000000"/>
          <w:sz w:val="22"/>
          <w:szCs w:val="22"/>
        </w:rPr>
        <w:t>fazės atvirame, daugiacentriame, vienos grupės tyrime dalyvavo 51</w:t>
      </w:r>
      <w:r w:rsidR="007A7094" w:rsidRPr="00776407">
        <w:rPr>
          <w:rFonts w:eastAsia="Calibri"/>
          <w:color w:val="000000"/>
          <w:sz w:val="22"/>
          <w:szCs w:val="22"/>
        </w:rPr>
        <w:t> </w:t>
      </w:r>
      <w:r w:rsidRPr="00776407">
        <w:rPr>
          <w:rFonts w:eastAsia="Calibri"/>
          <w:color w:val="000000"/>
          <w:sz w:val="22"/>
          <w:szCs w:val="22"/>
        </w:rPr>
        <w:t xml:space="preserve">vaikas, sergantis naujai diagnozuota ir negydyta lėtinės fazės LML. Pacientai buvo gydomi </w:t>
      </w:r>
      <w:r w:rsidR="007A7094" w:rsidRPr="00776407">
        <w:rPr>
          <w:rFonts w:eastAsia="Calibri"/>
          <w:color w:val="000000"/>
          <w:sz w:val="22"/>
          <w:szCs w:val="22"/>
        </w:rPr>
        <w:t>imatinibu</w:t>
      </w:r>
      <w:r w:rsidRPr="00776407">
        <w:rPr>
          <w:rFonts w:eastAsia="Calibri"/>
          <w:color w:val="000000"/>
          <w:sz w:val="22"/>
          <w:szCs w:val="22"/>
        </w:rPr>
        <w:t xml:space="preserve"> 340</w:t>
      </w:r>
      <w:r w:rsidR="007A7094" w:rsidRPr="00776407">
        <w:rPr>
          <w:rFonts w:eastAsia="Calibri"/>
          <w:color w:val="000000"/>
          <w:sz w:val="22"/>
          <w:szCs w:val="22"/>
        </w:rPr>
        <w:t> </w:t>
      </w:r>
      <w:r w:rsidRPr="00776407">
        <w:rPr>
          <w:rFonts w:eastAsia="Calibri"/>
          <w:color w:val="000000"/>
          <w:sz w:val="22"/>
          <w:szCs w:val="22"/>
        </w:rPr>
        <w:t>mg/m</w:t>
      </w:r>
      <w:r w:rsidRPr="00776407">
        <w:rPr>
          <w:rFonts w:eastAsia="Calibri"/>
          <w:color w:val="000000"/>
          <w:sz w:val="22"/>
          <w:szCs w:val="22"/>
          <w:vertAlign w:val="superscript"/>
        </w:rPr>
        <w:t xml:space="preserve">2 </w:t>
      </w:r>
      <w:r w:rsidRPr="00776407">
        <w:rPr>
          <w:rFonts w:eastAsia="Calibri"/>
          <w:color w:val="000000"/>
          <w:sz w:val="22"/>
          <w:szCs w:val="22"/>
        </w:rPr>
        <w:t xml:space="preserve">doze be pertraukų, nes nebuvo dozės ribojančio nepageidaujamo poveikio. Gydymas </w:t>
      </w:r>
      <w:r w:rsidR="007A7094" w:rsidRPr="00776407">
        <w:rPr>
          <w:rFonts w:eastAsia="Calibri"/>
          <w:color w:val="000000"/>
          <w:sz w:val="22"/>
          <w:szCs w:val="22"/>
        </w:rPr>
        <w:t>imatinibu</w:t>
      </w:r>
      <w:r w:rsidRPr="00776407">
        <w:rPr>
          <w:rFonts w:eastAsia="Calibri"/>
          <w:color w:val="000000"/>
          <w:sz w:val="22"/>
          <w:szCs w:val="22"/>
        </w:rPr>
        <w:t xml:space="preserve"> sukėlė greitą atsaką vaikų, sergančių naujai diagnozuota LML su 78</w:t>
      </w:r>
      <w:r w:rsidR="007A7094" w:rsidRPr="00776407">
        <w:rPr>
          <w:rFonts w:eastAsia="Calibri"/>
          <w:color w:val="000000"/>
          <w:sz w:val="22"/>
          <w:szCs w:val="22"/>
        </w:rPr>
        <w:t> </w:t>
      </w:r>
      <w:r w:rsidRPr="00776407">
        <w:rPr>
          <w:rFonts w:eastAsia="Calibri"/>
          <w:color w:val="000000"/>
          <w:sz w:val="22"/>
          <w:szCs w:val="22"/>
        </w:rPr>
        <w:t>% VHA, tarpe po 8</w:t>
      </w:r>
      <w:r w:rsidR="007A7094" w:rsidRPr="00776407">
        <w:rPr>
          <w:rFonts w:eastAsia="Calibri"/>
          <w:color w:val="000000"/>
          <w:sz w:val="22"/>
          <w:szCs w:val="22"/>
        </w:rPr>
        <w:t> </w:t>
      </w:r>
      <w:r w:rsidRPr="00776407">
        <w:rPr>
          <w:rFonts w:eastAsia="Calibri"/>
          <w:color w:val="000000"/>
          <w:sz w:val="22"/>
          <w:szCs w:val="22"/>
        </w:rPr>
        <w:t>gydymo savaičių. Aukštas VHA lygis yra susijęs su išsivysčiusiu 65</w:t>
      </w:r>
      <w:r w:rsidR="007A7094" w:rsidRPr="00776407">
        <w:rPr>
          <w:rFonts w:eastAsia="Calibri"/>
          <w:color w:val="000000"/>
          <w:sz w:val="22"/>
          <w:szCs w:val="22"/>
        </w:rPr>
        <w:t> </w:t>
      </w:r>
      <w:r w:rsidRPr="00776407">
        <w:rPr>
          <w:rFonts w:eastAsia="Calibri"/>
          <w:color w:val="000000"/>
          <w:sz w:val="22"/>
          <w:szCs w:val="22"/>
        </w:rPr>
        <w:t>% visišku citogenetiniu atsaku (CCyR), kuris lygintinas su duomenimis suagusiųjų tarpe. Be to, buvo stebimas 16</w:t>
      </w:r>
      <w:r w:rsidR="007A7094" w:rsidRPr="00776407">
        <w:rPr>
          <w:rFonts w:eastAsia="Calibri"/>
          <w:color w:val="000000"/>
          <w:sz w:val="22"/>
          <w:szCs w:val="22"/>
        </w:rPr>
        <w:t> </w:t>
      </w:r>
      <w:r w:rsidRPr="00776407">
        <w:rPr>
          <w:rFonts w:eastAsia="Calibri"/>
          <w:color w:val="000000"/>
          <w:sz w:val="22"/>
          <w:szCs w:val="22"/>
        </w:rPr>
        <w:t>% dalinis citogenetinis atsakas (PCyR), kai MCyR dažnis – 81</w:t>
      </w:r>
      <w:r w:rsidR="007A7094" w:rsidRPr="00776407">
        <w:rPr>
          <w:rFonts w:eastAsia="Calibri"/>
          <w:color w:val="000000"/>
          <w:sz w:val="22"/>
          <w:szCs w:val="22"/>
        </w:rPr>
        <w:t> </w:t>
      </w:r>
      <w:r w:rsidRPr="00776407">
        <w:rPr>
          <w:rFonts w:eastAsia="Calibri"/>
          <w:color w:val="000000"/>
          <w:sz w:val="22"/>
          <w:szCs w:val="22"/>
        </w:rPr>
        <w:t>%. Daugumai pacientų, pasiekusių CCyR, tarp 3</w:t>
      </w:r>
      <w:r w:rsidR="00A32AAA" w:rsidRPr="00776407">
        <w:rPr>
          <w:rFonts w:eastAsia="Calibri"/>
          <w:color w:val="000000"/>
          <w:sz w:val="22"/>
          <w:szCs w:val="22"/>
        </w:rPr>
        <w:t> </w:t>
      </w:r>
      <w:r w:rsidRPr="00776407">
        <w:rPr>
          <w:rFonts w:eastAsia="Calibri"/>
          <w:color w:val="000000"/>
          <w:sz w:val="22"/>
          <w:szCs w:val="22"/>
        </w:rPr>
        <w:t>ir 10</w:t>
      </w:r>
      <w:r w:rsidR="007A7094" w:rsidRPr="00776407">
        <w:rPr>
          <w:rFonts w:eastAsia="Calibri"/>
          <w:color w:val="000000"/>
          <w:sz w:val="22"/>
          <w:szCs w:val="22"/>
        </w:rPr>
        <w:t> </w:t>
      </w:r>
      <w:r w:rsidRPr="00776407">
        <w:rPr>
          <w:rFonts w:eastAsia="Calibri"/>
          <w:color w:val="000000"/>
          <w:sz w:val="22"/>
          <w:szCs w:val="22"/>
        </w:rPr>
        <w:t>mėnesių išsivystė CCyR su atsako trukmės mediana, remiantis Kaplan-Meier 5,6</w:t>
      </w:r>
      <w:r w:rsidR="007A7094" w:rsidRPr="00776407">
        <w:rPr>
          <w:rFonts w:eastAsia="Calibri"/>
          <w:color w:val="000000"/>
          <w:sz w:val="22"/>
          <w:szCs w:val="22"/>
        </w:rPr>
        <w:t> </w:t>
      </w:r>
      <w:r w:rsidRPr="00776407">
        <w:rPr>
          <w:rFonts w:eastAsia="Calibri"/>
          <w:color w:val="000000"/>
          <w:sz w:val="22"/>
          <w:szCs w:val="22"/>
        </w:rPr>
        <w:t xml:space="preserve">mėnesių išgyvenamumo rodikliu. </w:t>
      </w:r>
    </w:p>
    <w:p w14:paraId="7BE1EE96" w14:textId="77777777" w:rsidR="00A176FE" w:rsidRPr="00776407" w:rsidRDefault="00A176FE" w:rsidP="00D154BB">
      <w:pPr>
        <w:autoSpaceDE w:val="0"/>
        <w:autoSpaceDN w:val="0"/>
        <w:adjustRightInd w:val="0"/>
        <w:rPr>
          <w:rFonts w:eastAsia="Calibri"/>
          <w:color w:val="000000"/>
          <w:sz w:val="22"/>
          <w:szCs w:val="22"/>
        </w:rPr>
      </w:pPr>
    </w:p>
    <w:p w14:paraId="258AE096" w14:textId="77777777" w:rsidR="00A176FE" w:rsidRPr="00776407" w:rsidRDefault="00374878" w:rsidP="00A176FE">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Europos vaistų agentūra atleido nuo įsipareigojimo pateikti imatinibo tyrimų su visais vaikų populiacijos pogrupiais duomenis, sergantiesiems </w:t>
      </w:r>
      <w:r w:rsidRPr="00776407">
        <w:rPr>
          <w:rFonts w:ascii="Times New Roman" w:hAnsi="Times New Roman" w:cs="Times New Roman"/>
          <w:i/>
          <w:iCs/>
          <w:sz w:val="22"/>
          <w:szCs w:val="22"/>
          <w:lang w:val="lt-LT"/>
        </w:rPr>
        <w:t xml:space="preserve">Philadelphia </w:t>
      </w:r>
      <w:r w:rsidRPr="00776407">
        <w:rPr>
          <w:rFonts w:ascii="Times New Roman" w:hAnsi="Times New Roman" w:cs="Times New Roman"/>
          <w:sz w:val="22"/>
          <w:szCs w:val="22"/>
          <w:lang w:val="lt-LT"/>
        </w:rPr>
        <w:t xml:space="preserve">chromosomai (bcr-abl translokacija) teigiama lėtine mieloleukemija (vartojimo vaikams informacija pateikiama 4.2 skyriuje). </w:t>
      </w:r>
    </w:p>
    <w:p w14:paraId="5BD6AA24" w14:textId="77777777" w:rsidR="006741F3" w:rsidRPr="00776407" w:rsidRDefault="006741F3" w:rsidP="006741F3">
      <w:pPr>
        <w:autoSpaceDE w:val="0"/>
        <w:autoSpaceDN w:val="0"/>
        <w:adjustRightInd w:val="0"/>
        <w:rPr>
          <w:rFonts w:eastAsia="Calibri"/>
          <w:color w:val="000000"/>
          <w:sz w:val="22"/>
          <w:szCs w:val="22"/>
        </w:rPr>
      </w:pPr>
    </w:p>
    <w:p w14:paraId="554A0423" w14:textId="77777777" w:rsidR="006741F3" w:rsidRPr="00776407" w:rsidRDefault="006741F3" w:rsidP="006741F3">
      <w:pPr>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Klinikiniai Ph+ ŪLL tyrimai </w:t>
      </w:r>
    </w:p>
    <w:p w14:paraId="138DA37C" w14:textId="77777777" w:rsidR="00A176FE" w:rsidRPr="00776407" w:rsidRDefault="006741F3" w:rsidP="006741F3">
      <w:pPr>
        <w:autoSpaceDE w:val="0"/>
        <w:autoSpaceDN w:val="0"/>
        <w:adjustRightInd w:val="0"/>
        <w:rPr>
          <w:rFonts w:eastAsia="Calibri"/>
          <w:color w:val="000000"/>
          <w:sz w:val="22"/>
          <w:szCs w:val="22"/>
        </w:rPr>
      </w:pPr>
      <w:r w:rsidRPr="00776407">
        <w:rPr>
          <w:rFonts w:eastAsia="Calibri"/>
          <w:i/>
          <w:iCs/>
          <w:color w:val="000000"/>
          <w:sz w:val="22"/>
          <w:szCs w:val="22"/>
        </w:rPr>
        <w:t>Pirmą kartą diagnozuota Ph+ ŪLL</w:t>
      </w:r>
      <w:r w:rsidRPr="00776407">
        <w:rPr>
          <w:rFonts w:eastAsia="Calibri"/>
          <w:color w:val="000000"/>
          <w:sz w:val="22"/>
          <w:szCs w:val="22"/>
        </w:rPr>
        <w:t xml:space="preserve">: Kontroliuojamo (ADE10) tyrimo metu, kuriame imatinibas buvo lygintas su pradine chemoterapija penkiasdešimt penkiems 55 metų ir vyresniems pacientams, kuriems diagnozė nustatyta pirmą kartą, vartojant vieną imatinibą buvo gautas reikšmingai didesnis pilno hematologinio atsako dažnis lyginant su chemoterapiją gavusiaisias (96,3 % lyginant su 50 %; p=0,0001). Kai pacientams, kuriems nebuvo gautas atsakas ar gautas silpnas atsakas, buvo paskirtas pagalbinis gydymas imatinibu, pilnas hematologinis atsakas buvo gautas 9 pacientams (81,8 %) iš 11. Šis klinikinis efektas buvo susijęs su didesniu bcr-abl transkriptų sumažėjimu po 2 gydymo savaičių imatinibą vartojusių pacientų grupėje (p=0,02) lyginant su chemoterapiją gavusiaisias. Po pradinio gydymo visi pacientai gavo imatinibą bei papildomą chemoterapiją (žr. </w:t>
      </w:r>
      <w:r w:rsidR="00054762" w:rsidRPr="00776407">
        <w:rPr>
          <w:rFonts w:eastAsia="Calibri"/>
          <w:color w:val="000000"/>
          <w:sz w:val="22"/>
          <w:szCs w:val="22"/>
        </w:rPr>
        <w:t>3</w:t>
      </w:r>
      <w:r w:rsidRPr="00776407">
        <w:rPr>
          <w:rFonts w:eastAsia="Calibri"/>
          <w:color w:val="000000"/>
          <w:sz w:val="22"/>
          <w:szCs w:val="22"/>
        </w:rPr>
        <w:t> lentelę), po 8 savaičių bcr-abl transkriptų kiekis buvo vienodas abiejose grupėse. Kaip ir tikėtasi planuojant tyrimą, skirtumo tarp remisijos trukmės, laiko be ligos ir gyvenimo trukmės nebuvo, nors pacientų, kuriems buvo pasiektas pilnas molekulinis atsakas ir išliko minimali liekamoji liga, buvo geresni ir remisijos trukmės (p=0,01) ir laiko be ligos (p=0,02) rezultatai.</w:t>
      </w:r>
    </w:p>
    <w:p w14:paraId="3BC58DAF" w14:textId="77777777" w:rsidR="006741F3" w:rsidRPr="00776407" w:rsidRDefault="006741F3" w:rsidP="006741F3">
      <w:pPr>
        <w:autoSpaceDE w:val="0"/>
        <w:autoSpaceDN w:val="0"/>
        <w:adjustRightInd w:val="0"/>
        <w:rPr>
          <w:rFonts w:eastAsia="Calibri"/>
          <w:color w:val="000000"/>
          <w:sz w:val="22"/>
          <w:szCs w:val="22"/>
        </w:rPr>
      </w:pPr>
    </w:p>
    <w:p w14:paraId="24D950E9" w14:textId="77777777" w:rsidR="006741F3" w:rsidRPr="00776407" w:rsidRDefault="006741F3" w:rsidP="006741F3">
      <w:pPr>
        <w:autoSpaceDE w:val="0"/>
        <w:autoSpaceDN w:val="0"/>
        <w:adjustRightInd w:val="0"/>
        <w:rPr>
          <w:sz w:val="22"/>
          <w:szCs w:val="22"/>
        </w:rPr>
      </w:pPr>
      <w:r w:rsidRPr="00776407">
        <w:rPr>
          <w:sz w:val="22"/>
          <w:szCs w:val="22"/>
        </w:rPr>
        <w:t xml:space="preserve">Keturių nekontroliuojamų tyrimų (AAU02, ADE04, AJP01 ir AUS01), kuriuose dalyvavo 211 pacientų, kuriems pirmą kartą diagnozuota Ph+ ŪLL, rezultatai atitinka aukščiau paminėto tyrimo rezultatus. Skiriant imatinibą kartu su pradine chemoterapija (žr. </w:t>
      </w:r>
      <w:r w:rsidR="00054762" w:rsidRPr="00776407">
        <w:rPr>
          <w:sz w:val="22"/>
          <w:szCs w:val="22"/>
        </w:rPr>
        <w:t>3</w:t>
      </w:r>
      <w:r w:rsidRPr="00776407">
        <w:rPr>
          <w:sz w:val="22"/>
          <w:szCs w:val="22"/>
        </w:rPr>
        <w:t> lentelę) pilno hematologinio atsako dažnis buvo 93 % (147 iš 158 pacientų, kuriuos buvo galima vertinti), o didžiojo citogenetinio atsako dažnis buvo 90 % (19 iš 21 paciento, kuriuos buvo galima įvertinti). Pilno molekulinio atsako dažnis buvo 48 % (49 iš 102 pacientų, kuriuos buvo galima vertinti). Laikas be ligos (DSF) ir gyvenimo trukmė (OS) pastoviai viršijo 1 metus ir buvo aukštesni kaip anksčiau nustatyti (DFS p&lt;0,001; OS p&lt;0,0001) dvejuose tyrimuose (AJP01 ir AUS01).</w:t>
      </w:r>
    </w:p>
    <w:p w14:paraId="4001C86C" w14:textId="77777777" w:rsidR="00B93D33" w:rsidRPr="00776407" w:rsidRDefault="00B93D33" w:rsidP="006741F3">
      <w:pPr>
        <w:autoSpaceDE w:val="0"/>
        <w:autoSpaceDN w:val="0"/>
        <w:adjustRightInd w:val="0"/>
        <w:rPr>
          <w:rFonts w:eastAsia="Calibri"/>
          <w:color w:val="000000"/>
          <w:sz w:val="22"/>
          <w:szCs w:val="22"/>
        </w:rPr>
      </w:pPr>
    </w:p>
    <w:p w14:paraId="1F729F8B" w14:textId="77777777" w:rsidR="00FF4D7F" w:rsidRPr="00776407" w:rsidRDefault="00054762" w:rsidP="00FF4D7F">
      <w:pPr>
        <w:keepNext/>
        <w:autoSpaceDE w:val="0"/>
        <w:autoSpaceDN w:val="0"/>
        <w:adjustRightInd w:val="0"/>
        <w:rPr>
          <w:sz w:val="22"/>
          <w:szCs w:val="22"/>
        </w:rPr>
      </w:pPr>
      <w:r w:rsidRPr="00776407">
        <w:rPr>
          <w:b/>
          <w:bCs/>
          <w:sz w:val="22"/>
          <w:szCs w:val="22"/>
        </w:rPr>
        <w:t>3</w:t>
      </w:r>
      <w:r w:rsidR="00B93D33" w:rsidRPr="00776407">
        <w:rPr>
          <w:b/>
          <w:bCs/>
          <w:sz w:val="22"/>
          <w:szCs w:val="22"/>
        </w:rPr>
        <w:t> lentelė</w:t>
      </w:r>
      <w:r w:rsidR="00FF4D7F" w:rsidRPr="00776407">
        <w:rPr>
          <w:b/>
          <w:bCs/>
          <w:sz w:val="22"/>
          <w:szCs w:val="22"/>
        </w:rPr>
        <w:tab/>
        <w:t xml:space="preserve"> Chemoterapijos gydymas, taikomas kartu su imatinibu</w:t>
      </w:r>
    </w:p>
    <w:p w14:paraId="0B5F55D7" w14:textId="77777777" w:rsidR="00FF4D7F" w:rsidRPr="00776407" w:rsidRDefault="00FF4D7F" w:rsidP="00FF4D7F">
      <w:pPr>
        <w:keepNext/>
        <w:autoSpaceDE w:val="0"/>
        <w:autoSpaceDN w:val="0"/>
        <w:adjustRightInd w:val="0"/>
        <w:rPr>
          <w:sz w:val="22"/>
          <w:szCs w:val="22"/>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FF4D7F" w:rsidRPr="00776407" w14:paraId="60A93986" w14:textId="77777777" w:rsidTr="000F784B">
        <w:trPr>
          <w:trHeight w:hRule="exact" w:val="329"/>
        </w:trPr>
        <w:tc>
          <w:tcPr>
            <w:tcW w:w="8931" w:type="dxa"/>
            <w:gridSpan w:val="2"/>
            <w:shd w:val="clear" w:color="auto" w:fill="auto"/>
            <w:tcMar>
              <w:top w:w="57" w:type="dxa"/>
              <w:bottom w:w="57" w:type="dxa"/>
            </w:tcMar>
          </w:tcPr>
          <w:p w14:paraId="636CD160" w14:textId="77777777" w:rsidR="00FF4D7F" w:rsidRPr="00776407" w:rsidRDefault="00FF4D7F" w:rsidP="000F784B">
            <w:pPr>
              <w:keepNext/>
              <w:ind w:right="-23"/>
              <w:rPr>
                <w:sz w:val="22"/>
                <w:szCs w:val="22"/>
              </w:rPr>
            </w:pPr>
            <w:r w:rsidRPr="00776407">
              <w:rPr>
                <w:b/>
                <w:bCs/>
                <w:sz w:val="22"/>
                <w:szCs w:val="22"/>
              </w:rPr>
              <w:t>ADE10 tyrimas</w:t>
            </w:r>
          </w:p>
        </w:tc>
      </w:tr>
      <w:tr w:rsidR="00FF4D7F" w:rsidRPr="00776407" w14:paraId="0FCD1EF6" w14:textId="77777777" w:rsidTr="000F784B">
        <w:trPr>
          <w:trHeight w:hRule="exact" w:val="567"/>
        </w:trPr>
        <w:tc>
          <w:tcPr>
            <w:tcW w:w="2133" w:type="dxa"/>
            <w:tcBorders>
              <w:right w:val="nil"/>
            </w:tcBorders>
            <w:shd w:val="clear" w:color="auto" w:fill="auto"/>
            <w:tcMar>
              <w:top w:w="57" w:type="dxa"/>
              <w:bottom w:w="57" w:type="dxa"/>
            </w:tcMar>
          </w:tcPr>
          <w:p w14:paraId="5710A7DD" w14:textId="77777777" w:rsidR="00FF4D7F" w:rsidRPr="00776407" w:rsidRDefault="00FF4D7F" w:rsidP="000F784B">
            <w:pPr>
              <w:ind w:right="-20"/>
              <w:rPr>
                <w:sz w:val="22"/>
                <w:szCs w:val="22"/>
              </w:rPr>
            </w:pPr>
            <w:r w:rsidRPr="00776407">
              <w:rPr>
                <w:sz w:val="22"/>
                <w:szCs w:val="22"/>
              </w:rPr>
              <w:t>Prefazė</w:t>
            </w:r>
          </w:p>
        </w:tc>
        <w:tc>
          <w:tcPr>
            <w:tcW w:w="6798" w:type="dxa"/>
            <w:tcBorders>
              <w:left w:val="nil"/>
            </w:tcBorders>
            <w:shd w:val="clear" w:color="auto" w:fill="auto"/>
            <w:tcMar>
              <w:top w:w="57" w:type="dxa"/>
              <w:bottom w:w="57" w:type="dxa"/>
            </w:tcMar>
          </w:tcPr>
          <w:p w14:paraId="3504AF7D" w14:textId="77777777" w:rsidR="00FF4D7F" w:rsidRPr="00776407" w:rsidRDefault="00FF4D7F" w:rsidP="00FF4D7F">
            <w:pPr>
              <w:ind w:right="-20"/>
              <w:rPr>
                <w:sz w:val="22"/>
                <w:szCs w:val="22"/>
              </w:rPr>
            </w:pPr>
            <w:r w:rsidRPr="00776407">
              <w:rPr>
                <w:sz w:val="22"/>
                <w:szCs w:val="22"/>
              </w:rPr>
              <w:t>Gerti DEX 10 mg/m</w:t>
            </w:r>
            <w:r w:rsidRPr="00776407">
              <w:rPr>
                <w:sz w:val="22"/>
                <w:szCs w:val="22"/>
                <w:vertAlign w:val="superscript"/>
              </w:rPr>
              <w:t>2 </w:t>
            </w:r>
            <w:r w:rsidRPr="00776407">
              <w:rPr>
                <w:sz w:val="22"/>
                <w:szCs w:val="22"/>
              </w:rPr>
              <w:t>, 1-5 dienas; CP 200 mg/m</w:t>
            </w:r>
            <w:r w:rsidRPr="00776407">
              <w:rPr>
                <w:sz w:val="22"/>
                <w:szCs w:val="22"/>
                <w:vertAlign w:val="superscript"/>
              </w:rPr>
              <w:t>2</w:t>
            </w:r>
            <w:r w:rsidRPr="00776407">
              <w:rPr>
                <w:sz w:val="22"/>
                <w:szCs w:val="22"/>
              </w:rPr>
              <w:t xml:space="preserve"> i.v., 3, 4, 5 dieną; MTX 12 mg intratekaliai, 1 dieną.</w:t>
            </w:r>
          </w:p>
        </w:tc>
      </w:tr>
      <w:tr w:rsidR="00FF4D7F" w:rsidRPr="00776407" w14:paraId="006A2BB6" w14:textId="77777777" w:rsidTr="00E93356">
        <w:trPr>
          <w:trHeight w:hRule="exact" w:val="1049"/>
        </w:trPr>
        <w:tc>
          <w:tcPr>
            <w:tcW w:w="2133" w:type="dxa"/>
            <w:tcBorders>
              <w:right w:val="nil"/>
            </w:tcBorders>
            <w:shd w:val="clear" w:color="auto" w:fill="auto"/>
            <w:tcMar>
              <w:top w:w="57" w:type="dxa"/>
              <w:bottom w:w="57" w:type="dxa"/>
            </w:tcMar>
          </w:tcPr>
          <w:p w14:paraId="4B2980F5" w14:textId="77777777" w:rsidR="00FF4D7F" w:rsidRPr="00776407" w:rsidRDefault="00FF4D7F" w:rsidP="00FF4D7F">
            <w:pPr>
              <w:ind w:right="-20"/>
              <w:rPr>
                <w:sz w:val="22"/>
                <w:szCs w:val="22"/>
              </w:rPr>
            </w:pPr>
            <w:r w:rsidRPr="00776407">
              <w:rPr>
                <w:sz w:val="22"/>
                <w:szCs w:val="22"/>
              </w:rPr>
              <w:t>Remisijos sukėlimas</w:t>
            </w:r>
          </w:p>
        </w:tc>
        <w:tc>
          <w:tcPr>
            <w:tcW w:w="6798" w:type="dxa"/>
            <w:tcBorders>
              <w:left w:val="nil"/>
            </w:tcBorders>
            <w:shd w:val="clear" w:color="auto" w:fill="auto"/>
            <w:tcMar>
              <w:top w:w="57" w:type="dxa"/>
              <w:bottom w:w="57" w:type="dxa"/>
            </w:tcMar>
          </w:tcPr>
          <w:p w14:paraId="12451CAF" w14:textId="77777777" w:rsidR="00FF4D7F" w:rsidRPr="00776407" w:rsidRDefault="00FF4D7F" w:rsidP="00FF4D7F">
            <w:pPr>
              <w:ind w:right="-20"/>
              <w:rPr>
                <w:sz w:val="22"/>
                <w:szCs w:val="22"/>
              </w:rPr>
            </w:pPr>
            <w:r w:rsidRPr="00776407">
              <w:rPr>
                <w:sz w:val="22"/>
                <w:szCs w:val="22"/>
              </w:rPr>
              <w:t>Gerti DEX 10 mg/m</w:t>
            </w:r>
            <w:r w:rsidRPr="00776407">
              <w:rPr>
                <w:sz w:val="22"/>
                <w:szCs w:val="22"/>
                <w:vertAlign w:val="superscript"/>
              </w:rPr>
              <w:t>2 </w:t>
            </w:r>
            <w:r w:rsidRPr="00776407">
              <w:rPr>
                <w:sz w:val="22"/>
                <w:szCs w:val="22"/>
              </w:rPr>
              <w:t>, 6-7 dieną, 13-16 dieną; VCR 1 mg i.v., 7, 14 dieną; IDA 8 mg/m</w:t>
            </w:r>
            <w:r w:rsidRPr="00776407">
              <w:rPr>
                <w:sz w:val="22"/>
                <w:szCs w:val="22"/>
                <w:vertAlign w:val="superscript"/>
              </w:rPr>
              <w:t>2 </w:t>
            </w:r>
            <w:r w:rsidRPr="00776407">
              <w:rPr>
                <w:sz w:val="22"/>
                <w:szCs w:val="22"/>
              </w:rPr>
              <w:t>i.v. (0</w:t>
            </w:r>
            <w:r w:rsidR="002B117F" w:rsidRPr="00776407">
              <w:rPr>
                <w:sz w:val="22"/>
                <w:szCs w:val="22"/>
              </w:rPr>
              <w:t>,</w:t>
            </w:r>
            <w:r w:rsidRPr="00776407">
              <w:rPr>
                <w:sz w:val="22"/>
                <w:szCs w:val="22"/>
              </w:rPr>
              <w:t>5 valandos), 7 8, 14, 15 dieną; CP 500 mg/m</w:t>
            </w:r>
            <w:r w:rsidRPr="00776407">
              <w:rPr>
                <w:sz w:val="22"/>
                <w:szCs w:val="22"/>
                <w:vertAlign w:val="superscript"/>
              </w:rPr>
              <w:t>2 </w:t>
            </w:r>
            <w:r w:rsidRPr="00776407">
              <w:rPr>
                <w:sz w:val="22"/>
                <w:szCs w:val="22"/>
              </w:rPr>
              <w:t>i.v.</w:t>
            </w:r>
            <w:r w:rsidR="00B93D33" w:rsidRPr="00776407">
              <w:rPr>
                <w:sz w:val="22"/>
                <w:szCs w:val="22"/>
              </w:rPr>
              <w:t xml:space="preserve"> </w:t>
            </w:r>
            <w:r w:rsidRPr="00776407">
              <w:rPr>
                <w:sz w:val="22"/>
                <w:szCs w:val="22"/>
              </w:rPr>
              <w:t>(1 valanda) 1 dieną; Ara- C 60 mg/m</w:t>
            </w:r>
            <w:r w:rsidRPr="00776407">
              <w:rPr>
                <w:sz w:val="22"/>
                <w:szCs w:val="22"/>
                <w:vertAlign w:val="superscript"/>
              </w:rPr>
              <w:t>2 </w:t>
            </w:r>
            <w:r w:rsidRPr="00776407">
              <w:rPr>
                <w:sz w:val="22"/>
                <w:szCs w:val="22"/>
              </w:rPr>
              <w:t>i.v., 22-25, 29-32 dienas.</w:t>
            </w:r>
          </w:p>
        </w:tc>
      </w:tr>
      <w:tr w:rsidR="00FF4D7F" w:rsidRPr="00776407" w14:paraId="32C2EED7" w14:textId="77777777" w:rsidTr="000F784B">
        <w:trPr>
          <w:trHeight w:hRule="exact" w:val="567"/>
        </w:trPr>
        <w:tc>
          <w:tcPr>
            <w:tcW w:w="2133" w:type="dxa"/>
            <w:tcBorders>
              <w:right w:val="nil"/>
            </w:tcBorders>
            <w:shd w:val="clear" w:color="auto" w:fill="auto"/>
            <w:tcMar>
              <w:top w:w="57" w:type="dxa"/>
              <w:bottom w:w="57" w:type="dxa"/>
            </w:tcMar>
          </w:tcPr>
          <w:p w14:paraId="041B9932" w14:textId="77777777" w:rsidR="00FF4D7F" w:rsidRPr="00776407" w:rsidRDefault="00FF4D7F" w:rsidP="000F784B">
            <w:pPr>
              <w:rPr>
                <w:sz w:val="22"/>
                <w:szCs w:val="22"/>
              </w:rPr>
            </w:pPr>
            <w:r w:rsidRPr="00776407">
              <w:rPr>
                <w:sz w:val="22"/>
                <w:szCs w:val="22"/>
              </w:rPr>
              <w:t>Konsoliduojantis gydymas I, III, V</w:t>
            </w:r>
          </w:p>
        </w:tc>
        <w:tc>
          <w:tcPr>
            <w:tcW w:w="6798" w:type="dxa"/>
            <w:tcBorders>
              <w:left w:val="nil"/>
            </w:tcBorders>
            <w:shd w:val="clear" w:color="auto" w:fill="auto"/>
            <w:tcMar>
              <w:top w:w="57" w:type="dxa"/>
              <w:bottom w:w="57" w:type="dxa"/>
            </w:tcMar>
          </w:tcPr>
          <w:p w14:paraId="31D0CFDC" w14:textId="77777777" w:rsidR="00FF4D7F" w:rsidRPr="00776407" w:rsidRDefault="00FF4D7F" w:rsidP="000F784B">
            <w:pPr>
              <w:ind w:right="-20"/>
              <w:rPr>
                <w:sz w:val="22"/>
                <w:szCs w:val="22"/>
              </w:rPr>
            </w:pPr>
            <w:r w:rsidRPr="00776407">
              <w:rPr>
                <w:sz w:val="22"/>
                <w:szCs w:val="22"/>
              </w:rPr>
              <w:t>MTX 500 mg/m</w:t>
            </w:r>
            <w:r w:rsidRPr="00776407">
              <w:rPr>
                <w:sz w:val="22"/>
                <w:szCs w:val="22"/>
                <w:vertAlign w:val="superscript"/>
              </w:rPr>
              <w:t>2 </w:t>
            </w:r>
            <w:r w:rsidRPr="00776407">
              <w:rPr>
                <w:sz w:val="22"/>
                <w:szCs w:val="22"/>
              </w:rPr>
              <w:t>i.v. (24 valandos), 1, 15 dieną; gerti 6-MP 25 mg/m</w:t>
            </w:r>
            <w:r w:rsidRPr="00776407">
              <w:rPr>
                <w:sz w:val="22"/>
                <w:szCs w:val="22"/>
                <w:vertAlign w:val="superscript"/>
              </w:rPr>
              <w:t>2 </w:t>
            </w:r>
            <w:r w:rsidRPr="00776407">
              <w:rPr>
                <w:sz w:val="22"/>
                <w:szCs w:val="22"/>
              </w:rPr>
              <w:t>, 1-20 dieną</w:t>
            </w:r>
          </w:p>
        </w:tc>
      </w:tr>
      <w:tr w:rsidR="00FF4D7F" w:rsidRPr="00776407" w14:paraId="3EDA0F58" w14:textId="77777777" w:rsidTr="000F784B">
        <w:trPr>
          <w:trHeight w:hRule="exact" w:val="567"/>
        </w:trPr>
        <w:tc>
          <w:tcPr>
            <w:tcW w:w="2133" w:type="dxa"/>
            <w:tcBorders>
              <w:right w:val="nil"/>
            </w:tcBorders>
            <w:shd w:val="clear" w:color="auto" w:fill="auto"/>
            <w:tcMar>
              <w:top w:w="57" w:type="dxa"/>
              <w:bottom w:w="57" w:type="dxa"/>
            </w:tcMar>
          </w:tcPr>
          <w:p w14:paraId="7B518655" w14:textId="77777777" w:rsidR="00FF4D7F" w:rsidRPr="00776407" w:rsidRDefault="00FF4D7F" w:rsidP="000F784B">
            <w:pPr>
              <w:rPr>
                <w:sz w:val="22"/>
                <w:szCs w:val="22"/>
              </w:rPr>
            </w:pPr>
            <w:r w:rsidRPr="00776407">
              <w:rPr>
                <w:sz w:val="22"/>
                <w:szCs w:val="22"/>
              </w:rPr>
              <w:t>Konsoliduojantis gydymas II, IV</w:t>
            </w:r>
          </w:p>
        </w:tc>
        <w:tc>
          <w:tcPr>
            <w:tcW w:w="6798" w:type="dxa"/>
            <w:tcBorders>
              <w:left w:val="nil"/>
            </w:tcBorders>
            <w:shd w:val="clear" w:color="auto" w:fill="auto"/>
            <w:tcMar>
              <w:top w:w="57" w:type="dxa"/>
              <w:bottom w:w="57" w:type="dxa"/>
            </w:tcMar>
          </w:tcPr>
          <w:p w14:paraId="019B535F" w14:textId="77777777" w:rsidR="00FF4D7F" w:rsidRPr="00776407" w:rsidRDefault="00FF4D7F" w:rsidP="000F784B">
            <w:pPr>
              <w:ind w:right="-20"/>
              <w:rPr>
                <w:sz w:val="22"/>
                <w:szCs w:val="22"/>
              </w:rPr>
            </w:pPr>
            <w:r w:rsidRPr="00776407">
              <w:rPr>
                <w:sz w:val="22"/>
                <w:szCs w:val="22"/>
              </w:rPr>
              <w:t>Ara-C 75 mg/m</w:t>
            </w:r>
            <w:r w:rsidRPr="00776407">
              <w:rPr>
                <w:sz w:val="22"/>
                <w:szCs w:val="22"/>
                <w:vertAlign w:val="superscript"/>
              </w:rPr>
              <w:t>2 </w:t>
            </w:r>
            <w:r w:rsidRPr="00776407">
              <w:rPr>
                <w:sz w:val="22"/>
                <w:szCs w:val="22"/>
              </w:rPr>
              <w:t>i.v. (1 valanda), 1-5dienas; VM26 60 mg/m</w:t>
            </w:r>
            <w:r w:rsidRPr="00776407">
              <w:rPr>
                <w:sz w:val="22"/>
                <w:szCs w:val="22"/>
                <w:vertAlign w:val="superscript"/>
              </w:rPr>
              <w:t>2 </w:t>
            </w:r>
            <w:r w:rsidRPr="00776407">
              <w:rPr>
                <w:sz w:val="22"/>
                <w:szCs w:val="22"/>
              </w:rPr>
              <w:t>i.v. (1 valanda), 1-5 dienas.</w:t>
            </w:r>
          </w:p>
        </w:tc>
      </w:tr>
      <w:tr w:rsidR="00CA4D0A" w:rsidRPr="00776407" w14:paraId="59BE3D22" w14:textId="77777777" w:rsidTr="000F784B">
        <w:trPr>
          <w:trHeight w:hRule="exact" w:val="329"/>
        </w:trPr>
        <w:tc>
          <w:tcPr>
            <w:tcW w:w="8931" w:type="dxa"/>
            <w:gridSpan w:val="2"/>
            <w:shd w:val="clear" w:color="auto" w:fill="auto"/>
            <w:tcMar>
              <w:top w:w="57" w:type="dxa"/>
              <w:bottom w:w="57" w:type="dxa"/>
            </w:tcMar>
          </w:tcPr>
          <w:p w14:paraId="4E8B86C6" w14:textId="77777777" w:rsidR="00CA4D0A" w:rsidRPr="00776407" w:rsidRDefault="00CA4D0A" w:rsidP="000F784B">
            <w:pPr>
              <w:keepNext/>
              <w:ind w:right="-23"/>
              <w:rPr>
                <w:sz w:val="22"/>
                <w:szCs w:val="22"/>
              </w:rPr>
            </w:pPr>
            <w:r w:rsidRPr="00776407">
              <w:rPr>
                <w:b/>
                <w:bCs/>
                <w:sz w:val="22"/>
                <w:szCs w:val="22"/>
              </w:rPr>
              <w:t>AAU02 tyrimas</w:t>
            </w:r>
          </w:p>
        </w:tc>
      </w:tr>
      <w:tr w:rsidR="00CA4D0A" w:rsidRPr="00776407" w14:paraId="32F84FF2" w14:textId="77777777" w:rsidTr="000F784B">
        <w:trPr>
          <w:trHeight w:hRule="exact" w:val="1704"/>
        </w:trPr>
        <w:tc>
          <w:tcPr>
            <w:tcW w:w="2133" w:type="dxa"/>
            <w:tcBorders>
              <w:right w:val="nil"/>
            </w:tcBorders>
            <w:shd w:val="clear" w:color="auto" w:fill="auto"/>
            <w:tcMar>
              <w:top w:w="57" w:type="dxa"/>
              <w:bottom w:w="57" w:type="dxa"/>
            </w:tcMar>
          </w:tcPr>
          <w:p w14:paraId="723C2E12" w14:textId="77777777" w:rsidR="00CA4D0A" w:rsidRPr="00776407" w:rsidRDefault="000F784B" w:rsidP="000F784B">
            <w:pPr>
              <w:ind w:right="66"/>
              <w:rPr>
                <w:sz w:val="22"/>
                <w:szCs w:val="22"/>
              </w:rPr>
            </w:pPr>
            <w:r w:rsidRPr="00776407">
              <w:rPr>
                <w:sz w:val="22"/>
                <w:szCs w:val="22"/>
              </w:rPr>
              <w:t>Pradinis gydymas</w:t>
            </w:r>
            <w:r w:rsidR="00CA4D0A" w:rsidRPr="00776407">
              <w:rPr>
                <w:sz w:val="22"/>
                <w:szCs w:val="22"/>
              </w:rPr>
              <w:t xml:space="preserve"> (</w:t>
            </w:r>
            <w:r w:rsidR="00CA4D0A" w:rsidRPr="00776407">
              <w:rPr>
                <w:i/>
                <w:sz w:val="22"/>
                <w:szCs w:val="22"/>
              </w:rPr>
              <w:t xml:space="preserve">de novo </w:t>
            </w:r>
            <w:r w:rsidR="00CA4D0A" w:rsidRPr="00776407">
              <w:rPr>
                <w:sz w:val="22"/>
                <w:szCs w:val="22"/>
              </w:rPr>
              <w:t>Ph+ ALL)</w:t>
            </w:r>
          </w:p>
        </w:tc>
        <w:tc>
          <w:tcPr>
            <w:tcW w:w="6798" w:type="dxa"/>
            <w:tcBorders>
              <w:left w:val="nil"/>
            </w:tcBorders>
            <w:shd w:val="clear" w:color="auto" w:fill="auto"/>
            <w:tcMar>
              <w:top w:w="57" w:type="dxa"/>
              <w:bottom w:w="57" w:type="dxa"/>
            </w:tcMar>
          </w:tcPr>
          <w:p w14:paraId="09C057E3" w14:textId="77777777" w:rsidR="00CA4D0A" w:rsidRPr="00776407" w:rsidRDefault="00CA4D0A" w:rsidP="00B93D33">
            <w:pPr>
              <w:ind w:right="173"/>
              <w:rPr>
                <w:sz w:val="22"/>
                <w:szCs w:val="22"/>
              </w:rPr>
            </w:pPr>
            <w:r w:rsidRPr="00776407">
              <w:rPr>
                <w:sz w:val="22"/>
                <w:szCs w:val="22"/>
              </w:rPr>
              <w:t>Daunorubicin</w:t>
            </w:r>
            <w:r w:rsidR="000F784B" w:rsidRPr="00776407">
              <w:rPr>
                <w:sz w:val="22"/>
                <w:szCs w:val="22"/>
              </w:rPr>
              <w:t>as</w:t>
            </w:r>
            <w:r w:rsidRPr="00776407">
              <w:rPr>
                <w:sz w:val="22"/>
                <w:szCs w:val="22"/>
              </w:rPr>
              <w:t xml:space="preserve"> 30 mg/m</w:t>
            </w:r>
            <w:r w:rsidRPr="00776407">
              <w:rPr>
                <w:sz w:val="22"/>
                <w:szCs w:val="22"/>
                <w:vertAlign w:val="superscript"/>
              </w:rPr>
              <w:t>2 </w:t>
            </w:r>
            <w:r w:rsidRPr="00776407">
              <w:rPr>
                <w:sz w:val="22"/>
                <w:szCs w:val="22"/>
              </w:rPr>
              <w:t>i.v.</w:t>
            </w:r>
            <w:r w:rsidR="000F784B" w:rsidRPr="00776407">
              <w:rPr>
                <w:sz w:val="22"/>
                <w:szCs w:val="22"/>
              </w:rPr>
              <w:t xml:space="preserve">, </w:t>
            </w:r>
            <w:r w:rsidRPr="00776407">
              <w:rPr>
                <w:sz w:val="22"/>
                <w:szCs w:val="22"/>
              </w:rPr>
              <w:t>1-3</w:t>
            </w:r>
            <w:r w:rsidR="000F784B" w:rsidRPr="00776407">
              <w:rPr>
                <w:sz w:val="22"/>
                <w:szCs w:val="22"/>
              </w:rPr>
              <w:t> dienas</w:t>
            </w:r>
            <w:r w:rsidRPr="00776407">
              <w:rPr>
                <w:sz w:val="22"/>
                <w:szCs w:val="22"/>
              </w:rPr>
              <w:t>, 15-16</w:t>
            </w:r>
            <w:r w:rsidR="000F784B" w:rsidRPr="00776407">
              <w:rPr>
                <w:sz w:val="22"/>
                <w:szCs w:val="22"/>
              </w:rPr>
              <w:t xml:space="preserve"> dienas</w:t>
            </w:r>
            <w:r w:rsidRPr="00776407">
              <w:rPr>
                <w:sz w:val="22"/>
                <w:szCs w:val="22"/>
              </w:rPr>
              <w:t xml:space="preserve">; VCR 2 mg </w:t>
            </w:r>
            <w:r w:rsidR="000F784B" w:rsidRPr="00776407">
              <w:rPr>
                <w:sz w:val="22"/>
                <w:szCs w:val="22"/>
              </w:rPr>
              <w:t>bendra</w:t>
            </w:r>
            <w:r w:rsidRPr="00776407">
              <w:rPr>
                <w:sz w:val="22"/>
                <w:szCs w:val="22"/>
              </w:rPr>
              <w:t xml:space="preserve"> </w:t>
            </w:r>
            <w:r w:rsidR="000F784B" w:rsidRPr="00776407">
              <w:rPr>
                <w:sz w:val="22"/>
                <w:szCs w:val="22"/>
              </w:rPr>
              <w:t>dozė</w:t>
            </w:r>
            <w:r w:rsidRPr="00776407">
              <w:rPr>
                <w:sz w:val="22"/>
                <w:szCs w:val="22"/>
              </w:rPr>
              <w:t xml:space="preserve"> i.v., 1, 8, 15, 22</w:t>
            </w:r>
            <w:r w:rsidR="000F784B" w:rsidRPr="00776407">
              <w:rPr>
                <w:sz w:val="22"/>
                <w:szCs w:val="22"/>
              </w:rPr>
              <w:t> dieną</w:t>
            </w:r>
            <w:r w:rsidRPr="00776407">
              <w:rPr>
                <w:sz w:val="22"/>
                <w:szCs w:val="22"/>
              </w:rPr>
              <w:t>; CP 750 mg/m</w:t>
            </w:r>
            <w:r w:rsidRPr="00776407">
              <w:rPr>
                <w:sz w:val="22"/>
                <w:szCs w:val="22"/>
                <w:vertAlign w:val="superscript"/>
              </w:rPr>
              <w:t>2 </w:t>
            </w:r>
            <w:r w:rsidRPr="00776407">
              <w:rPr>
                <w:sz w:val="22"/>
                <w:szCs w:val="22"/>
              </w:rPr>
              <w:t>i.v., 1, 8</w:t>
            </w:r>
            <w:r w:rsidR="000F784B" w:rsidRPr="00776407">
              <w:rPr>
                <w:sz w:val="22"/>
                <w:szCs w:val="22"/>
              </w:rPr>
              <w:t> dieną</w:t>
            </w:r>
            <w:r w:rsidRPr="00776407">
              <w:rPr>
                <w:sz w:val="22"/>
                <w:szCs w:val="22"/>
              </w:rPr>
              <w:t xml:space="preserve">; </w:t>
            </w:r>
            <w:r w:rsidR="000F784B" w:rsidRPr="00776407">
              <w:rPr>
                <w:sz w:val="22"/>
                <w:szCs w:val="22"/>
              </w:rPr>
              <w:t xml:space="preserve">gerti </w:t>
            </w:r>
            <w:r w:rsidRPr="00776407">
              <w:rPr>
                <w:sz w:val="22"/>
                <w:szCs w:val="22"/>
              </w:rPr>
              <w:t>predni</w:t>
            </w:r>
            <w:r w:rsidR="000F784B" w:rsidRPr="00776407">
              <w:rPr>
                <w:sz w:val="22"/>
                <w:szCs w:val="22"/>
              </w:rPr>
              <w:t>z</w:t>
            </w:r>
            <w:r w:rsidRPr="00776407">
              <w:rPr>
                <w:sz w:val="22"/>
                <w:szCs w:val="22"/>
              </w:rPr>
              <w:t>o</w:t>
            </w:r>
            <w:r w:rsidR="000F784B" w:rsidRPr="00776407">
              <w:rPr>
                <w:sz w:val="22"/>
                <w:szCs w:val="22"/>
              </w:rPr>
              <w:t>loną</w:t>
            </w:r>
            <w:r w:rsidRPr="00776407">
              <w:rPr>
                <w:sz w:val="22"/>
                <w:szCs w:val="22"/>
              </w:rPr>
              <w:t xml:space="preserve"> 60 mg/m</w:t>
            </w:r>
            <w:r w:rsidRPr="00776407">
              <w:rPr>
                <w:sz w:val="22"/>
                <w:szCs w:val="22"/>
                <w:vertAlign w:val="superscript"/>
              </w:rPr>
              <w:t>2 </w:t>
            </w:r>
            <w:r w:rsidRPr="00776407">
              <w:rPr>
                <w:sz w:val="22"/>
                <w:szCs w:val="22"/>
              </w:rPr>
              <w:t>, 1-7, 15-21</w:t>
            </w:r>
            <w:r w:rsidR="000F784B" w:rsidRPr="00776407">
              <w:rPr>
                <w:sz w:val="22"/>
                <w:szCs w:val="22"/>
              </w:rPr>
              <w:t> dienas</w:t>
            </w:r>
            <w:r w:rsidRPr="00776407">
              <w:rPr>
                <w:sz w:val="22"/>
                <w:szCs w:val="22"/>
              </w:rPr>
              <w:t xml:space="preserve">; </w:t>
            </w:r>
            <w:r w:rsidR="000F784B" w:rsidRPr="00776407">
              <w:rPr>
                <w:sz w:val="22"/>
                <w:szCs w:val="22"/>
              </w:rPr>
              <w:t xml:space="preserve">gerti </w:t>
            </w:r>
            <w:r w:rsidRPr="00776407">
              <w:rPr>
                <w:sz w:val="22"/>
                <w:szCs w:val="22"/>
              </w:rPr>
              <w:t>IDA 9 mg/m</w:t>
            </w:r>
            <w:r w:rsidRPr="00776407">
              <w:rPr>
                <w:sz w:val="22"/>
                <w:szCs w:val="22"/>
                <w:vertAlign w:val="superscript"/>
              </w:rPr>
              <w:t>2 </w:t>
            </w:r>
            <w:r w:rsidR="00FC39B6" w:rsidRPr="00776407">
              <w:rPr>
                <w:sz w:val="22"/>
                <w:szCs w:val="22"/>
              </w:rPr>
              <w:t xml:space="preserve">, </w:t>
            </w:r>
            <w:r w:rsidRPr="00776407">
              <w:rPr>
                <w:sz w:val="22"/>
                <w:szCs w:val="22"/>
              </w:rPr>
              <w:t>1</w:t>
            </w:r>
            <w:r w:rsidR="00B93D33" w:rsidRPr="00776407">
              <w:rPr>
                <w:sz w:val="22"/>
                <w:szCs w:val="22"/>
              </w:rPr>
              <w:noBreakHyphen/>
            </w:r>
            <w:r w:rsidRPr="00776407">
              <w:rPr>
                <w:sz w:val="22"/>
                <w:szCs w:val="22"/>
              </w:rPr>
              <w:t>28</w:t>
            </w:r>
            <w:r w:rsidR="000F784B" w:rsidRPr="00776407">
              <w:rPr>
                <w:sz w:val="22"/>
                <w:szCs w:val="22"/>
              </w:rPr>
              <w:t> dienas</w:t>
            </w:r>
            <w:r w:rsidRPr="00776407">
              <w:rPr>
                <w:sz w:val="22"/>
                <w:szCs w:val="22"/>
              </w:rPr>
              <w:t>; MTX 15 mg intra</w:t>
            </w:r>
            <w:r w:rsidR="000F784B" w:rsidRPr="00776407">
              <w:rPr>
                <w:sz w:val="22"/>
                <w:szCs w:val="22"/>
              </w:rPr>
              <w:t>tekaliai</w:t>
            </w:r>
            <w:r w:rsidRPr="00776407">
              <w:rPr>
                <w:sz w:val="22"/>
                <w:szCs w:val="22"/>
              </w:rPr>
              <w:t>, 1, 8, 15, 22</w:t>
            </w:r>
            <w:r w:rsidR="000F784B" w:rsidRPr="00776407">
              <w:rPr>
                <w:sz w:val="22"/>
                <w:szCs w:val="22"/>
              </w:rPr>
              <w:t> dieną</w:t>
            </w:r>
            <w:r w:rsidRPr="00776407">
              <w:rPr>
                <w:sz w:val="22"/>
                <w:szCs w:val="22"/>
              </w:rPr>
              <w:t>; Ara-C 40 mg intrat</w:t>
            </w:r>
            <w:r w:rsidR="000F784B" w:rsidRPr="00776407">
              <w:rPr>
                <w:sz w:val="22"/>
                <w:szCs w:val="22"/>
              </w:rPr>
              <w:t xml:space="preserve">ekaliai, </w:t>
            </w:r>
            <w:r w:rsidRPr="00776407">
              <w:rPr>
                <w:sz w:val="22"/>
                <w:szCs w:val="22"/>
              </w:rPr>
              <w:t>1, 8, 15, 22</w:t>
            </w:r>
            <w:r w:rsidR="000F784B" w:rsidRPr="00776407">
              <w:rPr>
                <w:sz w:val="22"/>
                <w:szCs w:val="22"/>
              </w:rPr>
              <w:t xml:space="preserve"> dieną</w:t>
            </w:r>
            <w:r w:rsidRPr="00776407">
              <w:rPr>
                <w:sz w:val="22"/>
                <w:szCs w:val="22"/>
              </w:rPr>
              <w:t>; met</w:t>
            </w:r>
            <w:r w:rsidR="000F784B" w:rsidRPr="00776407">
              <w:rPr>
                <w:sz w:val="22"/>
                <w:szCs w:val="22"/>
              </w:rPr>
              <w:t>ilprednizolonas</w:t>
            </w:r>
            <w:r w:rsidRPr="00776407">
              <w:rPr>
                <w:sz w:val="22"/>
                <w:szCs w:val="22"/>
              </w:rPr>
              <w:t xml:space="preserve"> 40 mg intrate</w:t>
            </w:r>
            <w:r w:rsidR="000F784B" w:rsidRPr="00776407">
              <w:rPr>
                <w:sz w:val="22"/>
                <w:szCs w:val="22"/>
              </w:rPr>
              <w:t xml:space="preserve">kaliai </w:t>
            </w:r>
            <w:r w:rsidRPr="00776407">
              <w:rPr>
                <w:sz w:val="22"/>
                <w:szCs w:val="22"/>
              </w:rPr>
              <w:t>1, 8, 15, 22</w:t>
            </w:r>
            <w:r w:rsidR="000F784B" w:rsidRPr="00776407">
              <w:rPr>
                <w:sz w:val="22"/>
                <w:szCs w:val="22"/>
              </w:rPr>
              <w:t> dieną.</w:t>
            </w:r>
          </w:p>
        </w:tc>
      </w:tr>
      <w:tr w:rsidR="00CA4D0A" w:rsidRPr="00776407" w14:paraId="7A899A45" w14:textId="77777777" w:rsidTr="00E93356">
        <w:trPr>
          <w:trHeight w:hRule="exact" w:val="943"/>
        </w:trPr>
        <w:tc>
          <w:tcPr>
            <w:tcW w:w="2133" w:type="dxa"/>
            <w:tcBorders>
              <w:right w:val="nil"/>
            </w:tcBorders>
            <w:shd w:val="clear" w:color="auto" w:fill="auto"/>
            <w:tcMar>
              <w:top w:w="57" w:type="dxa"/>
              <w:bottom w:w="57" w:type="dxa"/>
            </w:tcMar>
          </w:tcPr>
          <w:p w14:paraId="7B1FBE64" w14:textId="77777777" w:rsidR="00CA4D0A" w:rsidRPr="00776407" w:rsidRDefault="000F784B" w:rsidP="000F784B">
            <w:pPr>
              <w:ind w:right="-68"/>
              <w:rPr>
                <w:sz w:val="22"/>
                <w:szCs w:val="22"/>
              </w:rPr>
            </w:pPr>
            <w:r w:rsidRPr="00776407">
              <w:rPr>
                <w:sz w:val="22"/>
                <w:szCs w:val="22"/>
              </w:rPr>
              <w:t>Konsoliduojantis gydymas</w:t>
            </w:r>
            <w:r w:rsidR="00CA4D0A" w:rsidRPr="00776407">
              <w:rPr>
                <w:sz w:val="22"/>
                <w:szCs w:val="22"/>
              </w:rPr>
              <w:t xml:space="preserve"> (</w:t>
            </w:r>
            <w:r w:rsidR="00CA4D0A" w:rsidRPr="00776407">
              <w:rPr>
                <w:i/>
                <w:sz w:val="22"/>
                <w:szCs w:val="22"/>
              </w:rPr>
              <w:t xml:space="preserve">de novo </w:t>
            </w:r>
            <w:r w:rsidR="00CA4D0A" w:rsidRPr="00776407">
              <w:rPr>
                <w:sz w:val="22"/>
                <w:szCs w:val="22"/>
              </w:rPr>
              <w:t>Ph+ ALL)</w:t>
            </w:r>
          </w:p>
        </w:tc>
        <w:tc>
          <w:tcPr>
            <w:tcW w:w="6798" w:type="dxa"/>
            <w:tcBorders>
              <w:left w:val="nil"/>
            </w:tcBorders>
            <w:shd w:val="clear" w:color="auto" w:fill="auto"/>
            <w:tcMar>
              <w:top w:w="57" w:type="dxa"/>
              <w:bottom w:w="57" w:type="dxa"/>
            </w:tcMar>
          </w:tcPr>
          <w:p w14:paraId="0BD80D79" w14:textId="77777777" w:rsidR="00CA4D0A" w:rsidRPr="00776407" w:rsidRDefault="00CA4D0A" w:rsidP="000F784B">
            <w:pPr>
              <w:ind w:right="227"/>
              <w:rPr>
                <w:sz w:val="22"/>
                <w:szCs w:val="22"/>
              </w:rPr>
            </w:pPr>
            <w:r w:rsidRPr="00776407">
              <w:rPr>
                <w:sz w:val="22"/>
                <w:szCs w:val="22"/>
              </w:rPr>
              <w:t>Ara-C 1,000 mg/m</w:t>
            </w:r>
            <w:r w:rsidRPr="00776407">
              <w:rPr>
                <w:sz w:val="22"/>
                <w:szCs w:val="22"/>
                <w:vertAlign w:val="superscript"/>
              </w:rPr>
              <w:t>2 </w:t>
            </w:r>
            <w:r w:rsidRPr="00776407">
              <w:rPr>
                <w:sz w:val="22"/>
                <w:szCs w:val="22"/>
              </w:rPr>
              <w:t>/12 h i.v.</w:t>
            </w:r>
            <w:r w:rsidR="00B93D33" w:rsidRPr="00776407">
              <w:rPr>
                <w:sz w:val="22"/>
                <w:szCs w:val="22"/>
              </w:rPr>
              <w:t xml:space="preserve"> </w:t>
            </w:r>
            <w:r w:rsidRPr="00776407">
              <w:rPr>
                <w:sz w:val="22"/>
                <w:szCs w:val="22"/>
              </w:rPr>
              <w:t>(</w:t>
            </w:r>
            <w:r w:rsidR="000F784B" w:rsidRPr="00776407">
              <w:rPr>
                <w:sz w:val="22"/>
                <w:szCs w:val="22"/>
              </w:rPr>
              <w:t>3 valandos</w:t>
            </w:r>
            <w:r w:rsidRPr="00776407">
              <w:rPr>
                <w:sz w:val="22"/>
                <w:szCs w:val="22"/>
              </w:rPr>
              <w:t>)</w:t>
            </w:r>
            <w:r w:rsidR="000F784B" w:rsidRPr="00776407">
              <w:rPr>
                <w:sz w:val="22"/>
                <w:szCs w:val="22"/>
              </w:rPr>
              <w:t xml:space="preserve">, </w:t>
            </w:r>
            <w:r w:rsidRPr="00776407">
              <w:rPr>
                <w:sz w:val="22"/>
                <w:szCs w:val="22"/>
              </w:rPr>
              <w:t>1-4</w:t>
            </w:r>
            <w:r w:rsidR="000F784B" w:rsidRPr="00776407">
              <w:rPr>
                <w:sz w:val="22"/>
                <w:szCs w:val="22"/>
              </w:rPr>
              <w:t> dienas</w:t>
            </w:r>
            <w:r w:rsidRPr="00776407">
              <w:rPr>
                <w:sz w:val="22"/>
                <w:szCs w:val="22"/>
              </w:rPr>
              <w:t>; mito</w:t>
            </w:r>
            <w:r w:rsidR="000F784B" w:rsidRPr="00776407">
              <w:rPr>
                <w:sz w:val="22"/>
                <w:szCs w:val="22"/>
              </w:rPr>
              <w:t>ksantronas</w:t>
            </w:r>
            <w:r w:rsidRPr="00776407">
              <w:rPr>
                <w:sz w:val="22"/>
                <w:szCs w:val="22"/>
              </w:rPr>
              <w:t xml:space="preserve"> 10 mg/m</w:t>
            </w:r>
            <w:r w:rsidRPr="00776407">
              <w:rPr>
                <w:sz w:val="22"/>
                <w:szCs w:val="22"/>
                <w:vertAlign w:val="superscript"/>
              </w:rPr>
              <w:t>2 </w:t>
            </w:r>
            <w:r w:rsidRPr="00776407">
              <w:rPr>
                <w:sz w:val="22"/>
                <w:szCs w:val="22"/>
              </w:rPr>
              <w:t>i.v</w:t>
            </w:r>
            <w:r w:rsidR="000F784B" w:rsidRPr="00776407">
              <w:rPr>
                <w:sz w:val="22"/>
                <w:szCs w:val="22"/>
              </w:rPr>
              <w:t xml:space="preserve">. </w:t>
            </w:r>
            <w:r w:rsidRPr="00776407">
              <w:rPr>
                <w:sz w:val="22"/>
                <w:szCs w:val="22"/>
              </w:rPr>
              <w:t>3-5</w:t>
            </w:r>
            <w:r w:rsidR="000F784B" w:rsidRPr="00776407">
              <w:rPr>
                <w:sz w:val="22"/>
                <w:szCs w:val="22"/>
              </w:rPr>
              <w:t> dienas</w:t>
            </w:r>
            <w:r w:rsidRPr="00776407">
              <w:rPr>
                <w:sz w:val="22"/>
                <w:szCs w:val="22"/>
              </w:rPr>
              <w:t>; MTX 15 mg intrat</w:t>
            </w:r>
            <w:r w:rsidR="000F784B" w:rsidRPr="00776407">
              <w:rPr>
                <w:sz w:val="22"/>
                <w:szCs w:val="22"/>
              </w:rPr>
              <w:t xml:space="preserve">ekaliai, </w:t>
            </w:r>
            <w:r w:rsidRPr="00776407">
              <w:rPr>
                <w:sz w:val="22"/>
                <w:szCs w:val="22"/>
              </w:rPr>
              <w:t>1</w:t>
            </w:r>
            <w:r w:rsidR="000F784B" w:rsidRPr="00776407">
              <w:rPr>
                <w:sz w:val="22"/>
                <w:szCs w:val="22"/>
              </w:rPr>
              <w:t> dieną</w:t>
            </w:r>
            <w:r w:rsidRPr="00776407">
              <w:rPr>
                <w:sz w:val="22"/>
                <w:szCs w:val="22"/>
              </w:rPr>
              <w:t>; met</w:t>
            </w:r>
            <w:r w:rsidR="000F784B" w:rsidRPr="00776407">
              <w:rPr>
                <w:sz w:val="22"/>
                <w:szCs w:val="22"/>
              </w:rPr>
              <w:t>ilprednizolonas</w:t>
            </w:r>
            <w:r w:rsidRPr="00776407">
              <w:rPr>
                <w:sz w:val="22"/>
                <w:szCs w:val="22"/>
              </w:rPr>
              <w:t xml:space="preserve"> 40 mg intrat</w:t>
            </w:r>
            <w:r w:rsidR="000F784B" w:rsidRPr="00776407">
              <w:rPr>
                <w:sz w:val="22"/>
                <w:szCs w:val="22"/>
              </w:rPr>
              <w:t>ekaliai</w:t>
            </w:r>
            <w:r w:rsidRPr="00776407">
              <w:rPr>
                <w:sz w:val="22"/>
                <w:szCs w:val="22"/>
              </w:rPr>
              <w:t>, 1</w:t>
            </w:r>
            <w:r w:rsidR="000F784B" w:rsidRPr="00776407">
              <w:rPr>
                <w:sz w:val="22"/>
                <w:szCs w:val="22"/>
              </w:rPr>
              <w:t> dieną.</w:t>
            </w:r>
          </w:p>
        </w:tc>
      </w:tr>
      <w:tr w:rsidR="00CA4D0A" w:rsidRPr="00776407" w14:paraId="1943AFC1" w14:textId="77777777" w:rsidTr="000F784B">
        <w:trPr>
          <w:trHeight w:hRule="exact" w:val="329"/>
        </w:trPr>
        <w:tc>
          <w:tcPr>
            <w:tcW w:w="8931" w:type="dxa"/>
            <w:gridSpan w:val="2"/>
            <w:tcBorders>
              <w:bottom w:val="single" w:sz="4" w:space="0" w:color="auto"/>
            </w:tcBorders>
            <w:shd w:val="clear" w:color="auto" w:fill="auto"/>
            <w:tcMar>
              <w:top w:w="57" w:type="dxa"/>
              <w:bottom w:w="57" w:type="dxa"/>
            </w:tcMar>
          </w:tcPr>
          <w:p w14:paraId="0BF03591" w14:textId="77777777" w:rsidR="00CA4D0A" w:rsidRPr="00776407" w:rsidRDefault="000F784B" w:rsidP="000F784B">
            <w:pPr>
              <w:keepNext/>
              <w:ind w:right="-23"/>
              <w:rPr>
                <w:sz w:val="22"/>
                <w:szCs w:val="22"/>
              </w:rPr>
            </w:pPr>
            <w:r w:rsidRPr="00776407">
              <w:rPr>
                <w:b/>
                <w:bCs/>
                <w:sz w:val="22"/>
                <w:szCs w:val="22"/>
              </w:rPr>
              <w:t>S</w:t>
            </w:r>
            <w:r w:rsidR="00CA4D0A" w:rsidRPr="00776407">
              <w:rPr>
                <w:b/>
                <w:bCs/>
                <w:sz w:val="22"/>
                <w:szCs w:val="22"/>
              </w:rPr>
              <w:t>ADE04</w:t>
            </w:r>
            <w:r w:rsidRPr="00776407">
              <w:rPr>
                <w:b/>
                <w:bCs/>
                <w:sz w:val="22"/>
                <w:szCs w:val="22"/>
              </w:rPr>
              <w:t xml:space="preserve"> tyrimas</w:t>
            </w:r>
          </w:p>
        </w:tc>
      </w:tr>
      <w:tr w:rsidR="00CA4D0A" w:rsidRPr="00776407" w14:paraId="00DDA0FD" w14:textId="77777777" w:rsidTr="000F784B">
        <w:trPr>
          <w:trHeight w:hRule="exact" w:val="567"/>
        </w:trPr>
        <w:tc>
          <w:tcPr>
            <w:tcW w:w="2133" w:type="dxa"/>
            <w:tcBorders>
              <w:right w:val="nil"/>
            </w:tcBorders>
            <w:shd w:val="clear" w:color="auto" w:fill="auto"/>
            <w:tcMar>
              <w:top w:w="57" w:type="dxa"/>
              <w:bottom w:w="57" w:type="dxa"/>
            </w:tcMar>
          </w:tcPr>
          <w:p w14:paraId="54BA3BCE" w14:textId="77777777" w:rsidR="00CA4D0A" w:rsidRPr="00776407" w:rsidRDefault="00CA4D0A" w:rsidP="000F784B">
            <w:pPr>
              <w:ind w:right="-20"/>
              <w:rPr>
                <w:sz w:val="22"/>
                <w:szCs w:val="22"/>
              </w:rPr>
            </w:pPr>
            <w:r w:rsidRPr="00776407">
              <w:rPr>
                <w:sz w:val="22"/>
                <w:szCs w:val="22"/>
              </w:rPr>
              <w:t>Pre</w:t>
            </w:r>
            <w:r w:rsidR="000F784B" w:rsidRPr="00776407">
              <w:rPr>
                <w:sz w:val="22"/>
                <w:szCs w:val="22"/>
              </w:rPr>
              <w:t>f</w:t>
            </w:r>
            <w:r w:rsidRPr="00776407">
              <w:rPr>
                <w:sz w:val="22"/>
                <w:szCs w:val="22"/>
              </w:rPr>
              <w:t>a</w:t>
            </w:r>
            <w:r w:rsidR="000F784B" w:rsidRPr="00776407">
              <w:rPr>
                <w:sz w:val="22"/>
                <w:szCs w:val="22"/>
              </w:rPr>
              <w:t>zė</w:t>
            </w:r>
          </w:p>
        </w:tc>
        <w:tc>
          <w:tcPr>
            <w:tcW w:w="6798" w:type="dxa"/>
            <w:tcBorders>
              <w:left w:val="nil"/>
            </w:tcBorders>
            <w:shd w:val="clear" w:color="auto" w:fill="auto"/>
            <w:tcMar>
              <w:top w:w="57" w:type="dxa"/>
              <w:bottom w:w="57" w:type="dxa"/>
            </w:tcMar>
          </w:tcPr>
          <w:p w14:paraId="07952CA0" w14:textId="77777777" w:rsidR="00CA4D0A" w:rsidRPr="00776407" w:rsidRDefault="000F784B" w:rsidP="000F784B">
            <w:pPr>
              <w:ind w:right="124"/>
              <w:rPr>
                <w:sz w:val="22"/>
                <w:szCs w:val="22"/>
              </w:rPr>
            </w:pPr>
            <w:r w:rsidRPr="00776407">
              <w:rPr>
                <w:sz w:val="22"/>
                <w:szCs w:val="22"/>
              </w:rPr>
              <w:t xml:space="preserve">Gerti </w:t>
            </w:r>
            <w:r w:rsidR="00CA4D0A" w:rsidRPr="00776407">
              <w:rPr>
                <w:sz w:val="22"/>
                <w:szCs w:val="22"/>
              </w:rPr>
              <w:t>DEX 10 mg/m</w:t>
            </w:r>
            <w:r w:rsidR="00CA4D0A" w:rsidRPr="00776407">
              <w:rPr>
                <w:sz w:val="22"/>
                <w:szCs w:val="22"/>
                <w:vertAlign w:val="superscript"/>
              </w:rPr>
              <w:t>2 </w:t>
            </w:r>
            <w:r w:rsidRPr="00776407">
              <w:rPr>
                <w:sz w:val="22"/>
                <w:szCs w:val="22"/>
              </w:rPr>
              <w:t xml:space="preserve">, </w:t>
            </w:r>
            <w:r w:rsidR="00CA4D0A" w:rsidRPr="00776407">
              <w:rPr>
                <w:sz w:val="22"/>
                <w:szCs w:val="22"/>
              </w:rPr>
              <w:t>1-5</w:t>
            </w:r>
            <w:r w:rsidRPr="00776407">
              <w:rPr>
                <w:sz w:val="22"/>
                <w:szCs w:val="22"/>
              </w:rPr>
              <w:t> dienas</w:t>
            </w:r>
            <w:r w:rsidR="00CA4D0A" w:rsidRPr="00776407">
              <w:rPr>
                <w:sz w:val="22"/>
                <w:szCs w:val="22"/>
              </w:rPr>
              <w:t>; CP 200 mg/m</w:t>
            </w:r>
            <w:r w:rsidR="00CA4D0A" w:rsidRPr="00776407">
              <w:rPr>
                <w:sz w:val="22"/>
                <w:szCs w:val="22"/>
                <w:vertAlign w:val="superscript"/>
              </w:rPr>
              <w:t>2 </w:t>
            </w:r>
            <w:r w:rsidR="00CA4D0A" w:rsidRPr="00776407">
              <w:rPr>
                <w:sz w:val="22"/>
                <w:szCs w:val="22"/>
              </w:rPr>
              <w:t>i.v</w:t>
            </w:r>
            <w:r w:rsidRPr="00776407">
              <w:rPr>
                <w:sz w:val="22"/>
                <w:szCs w:val="22"/>
              </w:rPr>
              <w:t xml:space="preserve">., </w:t>
            </w:r>
            <w:r w:rsidR="00CA4D0A" w:rsidRPr="00776407">
              <w:rPr>
                <w:sz w:val="22"/>
                <w:szCs w:val="22"/>
              </w:rPr>
              <w:t>3-5</w:t>
            </w:r>
            <w:r w:rsidRPr="00776407">
              <w:rPr>
                <w:sz w:val="22"/>
                <w:szCs w:val="22"/>
              </w:rPr>
              <w:t> dienas</w:t>
            </w:r>
            <w:r w:rsidR="00CA4D0A" w:rsidRPr="00776407">
              <w:rPr>
                <w:sz w:val="22"/>
                <w:szCs w:val="22"/>
              </w:rPr>
              <w:t>; MTX 15 mg intrat</w:t>
            </w:r>
            <w:r w:rsidRPr="00776407">
              <w:rPr>
                <w:sz w:val="22"/>
                <w:szCs w:val="22"/>
              </w:rPr>
              <w:t xml:space="preserve">ekaliai, </w:t>
            </w:r>
            <w:r w:rsidR="00CA4D0A" w:rsidRPr="00776407">
              <w:rPr>
                <w:sz w:val="22"/>
                <w:szCs w:val="22"/>
              </w:rPr>
              <w:t>1</w:t>
            </w:r>
            <w:r w:rsidRPr="00776407">
              <w:rPr>
                <w:sz w:val="22"/>
                <w:szCs w:val="22"/>
              </w:rPr>
              <w:t> dieną.</w:t>
            </w:r>
          </w:p>
        </w:tc>
      </w:tr>
      <w:tr w:rsidR="00CA4D0A" w:rsidRPr="00776407" w14:paraId="0DA7DFC2" w14:textId="77777777" w:rsidTr="000F784B">
        <w:trPr>
          <w:trHeight w:hRule="exact" w:val="624"/>
        </w:trPr>
        <w:tc>
          <w:tcPr>
            <w:tcW w:w="2133" w:type="dxa"/>
            <w:tcBorders>
              <w:right w:val="nil"/>
            </w:tcBorders>
            <w:shd w:val="clear" w:color="auto" w:fill="auto"/>
            <w:tcMar>
              <w:top w:w="57" w:type="dxa"/>
              <w:bottom w:w="57" w:type="dxa"/>
            </w:tcMar>
          </w:tcPr>
          <w:p w14:paraId="5175B97D" w14:textId="77777777" w:rsidR="00CA4D0A" w:rsidRPr="00776407" w:rsidRDefault="000F784B" w:rsidP="000F784B">
            <w:pPr>
              <w:ind w:right="-20"/>
              <w:rPr>
                <w:sz w:val="22"/>
                <w:szCs w:val="22"/>
              </w:rPr>
            </w:pPr>
            <w:r w:rsidRPr="00776407">
              <w:rPr>
                <w:sz w:val="22"/>
                <w:szCs w:val="22"/>
              </w:rPr>
              <w:t>Pradinis gydymas</w:t>
            </w:r>
            <w:r w:rsidR="00CA4D0A" w:rsidRPr="00776407">
              <w:rPr>
                <w:sz w:val="22"/>
                <w:szCs w:val="22"/>
              </w:rPr>
              <w:t xml:space="preserve"> I</w:t>
            </w:r>
          </w:p>
        </w:tc>
        <w:tc>
          <w:tcPr>
            <w:tcW w:w="6798" w:type="dxa"/>
            <w:tcBorders>
              <w:left w:val="nil"/>
            </w:tcBorders>
            <w:shd w:val="clear" w:color="auto" w:fill="auto"/>
            <w:tcMar>
              <w:top w:w="57" w:type="dxa"/>
              <w:bottom w:w="57" w:type="dxa"/>
            </w:tcMar>
          </w:tcPr>
          <w:p w14:paraId="2C59D75D" w14:textId="77777777" w:rsidR="00CA4D0A" w:rsidRPr="00776407" w:rsidRDefault="000F784B" w:rsidP="000F784B">
            <w:pPr>
              <w:ind w:right="-20"/>
              <w:rPr>
                <w:sz w:val="22"/>
                <w:szCs w:val="22"/>
              </w:rPr>
            </w:pPr>
            <w:r w:rsidRPr="00776407">
              <w:rPr>
                <w:sz w:val="22"/>
                <w:szCs w:val="22"/>
              </w:rPr>
              <w:t xml:space="preserve">Gerti </w:t>
            </w:r>
            <w:r w:rsidR="00CA4D0A" w:rsidRPr="00776407">
              <w:rPr>
                <w:sz w:val="22"/>
                <w:szCs w:val="22"/>
              </w:rPr>
              <w:t>DEX 10 mg/m</w:t>
            </w:r>
            <w:r w:rsidR="00CA4D0A" w:rsidRPr="00776407">
              <w:rPr>
                <w:sz w:val="22"/>
                <w:szCs w:val="22"/>
                <w:vertAlign w:val="superscript"/>
              </w:rPr>
              <w:t>2 </w:t>
            </w:r>
            <w:r w:rsidRPr="00776407">
              <w:rPr>
                <w:sz w:val="22"/>
                <w:szCs w:val="22"/>
              </w:rPr>
              <w:t xml:space="preserve">, </w:t>
            </w:r>
            <w:r w:rsidR="00CA4D0A" w:rsidRPr="00776407">
              <w:rPr>
                <w:sz w:val="22"/>
                <w:szCs w:val="22"/>
              </w:rPr>
              <w:t>1-5</w:t>
            </w:r>
            <w:r w:rsidRPr="00776407">
              <w:rPr>
                <w:sz w:val="22"/>
                <w:szCs w:val="22"/>
              </w:rPr>
              <w:t> dienas</w:t>
            </w:r>
            <w:r w:rsidR="00CA4D0A" w:rsidRPr="00776407">
              <w:rPr>
                <w:sz w:val="22"/>
                <w:szCs w:val="22"/>
              </w:rPr>
              <w:t>; VCR 2 mg i.v</w:t>
            </w:r>
            <w:r w:rsidRPr="00776407">
              <w:rPr>
                <w:sz w:val="22"/>
                <w:szCs w:val="22"/>
              </w:rPr>
              <w:t xml:space="preserve">., </w:t>
            </w:r>
            <w:r w:rsidR="00CA4D0A" w:rsidRPr="00776407">
              <w:rPr>
                <w:sz w:val="22"/>
                <w:szCs w:val="22"/>
              </w:rPr>
              <w:t>6, 13, 20</w:t>
            </w:r>
            <w:r w:rsidRPr="00776407">
              <w:rPr>
                <w:sz w:val="22"/>
                <w:szCs w:val="22"/>
              </w:rPr>
              <w:t> dienas</w:t>
            </w:r>
            <w:r w:rsidR="00CA4D0A" w:rsidRPr="00776407">
              <w:rPr>
                <w:sz w:val="22"/>
                <w:szCs w:val="22"/>
              </w:rPr>
              <w:t>; daunorubicin</w:t>
            </w:r>
            <w:r w:rsidRPr="00776407">
              <w:rPr>
                <w:sz w:val="22"/>
                <w:szCs w:val="22"/>
              </w:rPr>
              <w:t>as</w:t>
            </w:r>
            <w:r w:rsidR="00CA4D0A" w:rsidRPr="00776407">
              <w:rPr>
                <w:sz w:val="22"/>
                <w:szCs w:val="22"/>
              </w:rPr>
              <w:t xml:space="preserve"> 45 mg/m</w:t>
            </w:r>
            <w:r w:rsidR="00CA4D0A" w:rsidRPr="00776407">
              <w:rPr>
                <w:sz w:val="22"/>
                <w:szCs w:val="22"/>
                <w:vertAlign w:val="superscript"/>
              </w:rPr>
              <w:t>2 </w:t>
            </w:r>
            <w:r w:rsidR="00CA4D0A" w:rsidRPr="00776407">
              <w:rPr>
                <w:sz w:val="22"/>
                <w:szCs w:val="22"/>
              </w:rPr>
              <w:t>i.v</w:t>
            </w:r>
            <w:r w:rsidRPr="00776407">
              <w:rPr>
                <w:sz w:val="22"/>
                <w:szCs w:val="22"/>
              </w:rPr>
              <w:t xml:space="preserve">., </w:t>
            </w:r>
            <w:r w:rsidR="00CA4D0A" w:rsidRPr="00776407">
              <w:rPr>
                <w:sz w:val="22"/>
                <w:szCs w:val="22"/>
              </w:rPr>
              <w:t>6-7, 13-14</w:t>
            </w:r>
            <w:r w:rsidRPr="00776407">
              <w:rPr>
                <w:sz w:val="22"/>
                <w:szCs w:val="22"/>
              </w:rPr>
              <w:t> dieną</w:t>
            </w:r>
            <w:r w:rsidR="002B117F" w:rsidRPr="00776407">
              <w:rPr>
                <w:sz w:val="22"/>
                <w:szCs w:val="22"/>
              </w:rPr>
              <w:t>.</w:t>
            </w:r>
          </w:p>
        </w:tc>
      </w:tr>
      <w:tr w:rsidR="00CA4D0A" w:rsidRPr="00776407" w14:paraId="5E91558B" w14:textId="77777777" w:rsidTr="000F784B">
        <w:trPr>
          <w:trHeight w:hRule="exact" w:val="567"/>
        </w:trPr>
        <w:tc>
          <w:tcPr>
            <w:tcW w:w="2133" w:type="dxa"/>
            <w:tcBorders>
              <w:right w:val="nil"/>
            </w:tcBorders>
            <w:shd w:val="clear" w:color="auto" w:fill="auto"/>
            <w:tcMar>
              <w:top w:w="57" w:type="dxa"/>
              <w:bottom w:w="57" w:type="dxa"/>
            </w:tcMar>
          </w:tcPr>
          <w:p w14:paraId="7C3FC833" w14:textId="77777777" w:rsidR="00CA4D0A" w:rsidRPr="00776407" w:rsidRDefault="000F784B" w:rsidP="000F784B">
            <w:pPr>
              <w:ind w:right="-20"/>
              <w:rPr>
                <w:sz w:val="22"/>
                <w:szCs w:val="22"/>
              </w:rPr>
            </w:pPr>
            <w:r w:rsidRPr="00776407">
              <w:rPr>
                <w:sz w:val="22"/>
                <w:szCs w:val="22"/>
              </w:rPr>
              <w:t xml:space="preserve">Pradinis gydymas </w:t>
            </w:r>
            <w:r w:rsidR="00CA4D0A" w:rsidRPr="00776407">
              <w:rPr>
                <w:sz w:val="22"/>
                <w:szCs w:val="22"/>
              </w:rPr>
              <w:t>II</w:t>
            </w:r>
          </w:p>
        </w:tc>
        <w:tc>
          <w:tcPr>
            <w:tcW w:w="6798" w:type="dxa"/>
            <w:tcBorders>
              <w:left w:val="nil"/>
            </w:tcBorders>
            <w:shd w:val="clear" w:color="auto" w:fill="auto"/>
            <w:tcMar>
              <w:top w:w="57" w:type="dxa"/>
              <w:bottom w:w="57" w:type="dxa"/>
            </w:tcMar>
          </w:tcPr>
          <w:p w14:paraId="35F04B9B" w14:textId="77777777" w:rsidR="00CA4D0A" w:rsidRPr="00776407" w:rsidRDefault="00CA4D0A" w:rsidP="000F784B">
            <w:pPr>
              <w:ind w:right="-20"/>
              <w:rPr>
                <w:sz w:val="22"/>
                <w:szCs w:val="22"/>
              </w:rPr>
            </w:pPr>
            <w:r w:rsidRPr="00776407">
              <w:rPr>
                <w:sz w:val="22"/>
                <w:szCs w:val="22"/>
              </w:rPr>
              <w:t>CP 1 g/m</w:t>
            </w:r>
            <w:r w:rsidRPr="00776407">
              <w:rPr>
                <w:sz w:val="22"/>
                <w:szCs w:val="22"/>
                <w:vertAlign w:val="superscript"/>
              </w:rPr>
              <w:t>2 </w:t>
            </w:r>
            <w:r w:rsidRPr="00776407">
              <w:rPr>
                <w:sz w:val="22"/>
                <w:szCs w:val="22"/>
              </w:rPr>
              <w:t>i.v. (</w:t>
            </w:r>
            <w:r w:rsidR="000F784B" w:rsidRPr="00776407">
              <w:rPr>
                <w:sz w:val="22"/>
                <w:szCs w:val="22"/>
              </w:rPr>
              <w:t>1 valanda</w:t>
            </w:r>
            <w:r w:rsidRPr="00776407">
              <w:rPr>
                <w:sz w:val="22"/>
                <w:szCs w:val="22"/>
              </w:rPr>
              <w:t>)</w:t>
            </w:r>
            <w:r w:rsidR="000F784B" w:rsidRPr="00776407">
              <w:rPr>
                <w:sz w:val="22"/>
                <w:szCs w:val="22"/>
              </w:rPr>
              <w:t xml:space="preserve">, </w:t>
            </w:r>
            <w:r w:rsidRPr="00776407">
              <w:rPr>
                <w:sz w:val="22"/>
                <w:szCs w:val="22"/>
              </w:rPr>
              <w:t>26, 46</w:t>
            </w:r>
            <w:r w:rsidR="000F784B" w:rsidRPr="00776407">
              <w:rPr>
                <w:sz w:val="22"/>
                <w:szCs w:val="22"/>
              </w:rPr>
              <w:t xml:space="preserve"> dieną</w:t>
            </w:r>
            <w:r w:rsidRPr="00776407">
              <w:rPr>
                <w:sz w:val="22"/>
                <w:szCs w:val="22"/>
              </w:rPr>
              <w:t>; Ara-C 75 mg/m</w:t>
            </w:r>
            <w:r w:rsidRPr="00776407">
              <w:rPr>
                <w:sz w:val="22"/>
                <w:szCs w:val="22"/>
                <w:vertAlign w:val="superscript"/>
              </w:rPr>
              <w:t>2 </w:t>
            </w:r>
            <w:r w:rsidRPr="00776407">
              <w:rPr>
                <w:sz w:val="22"/>
                <w:szCs w:val="22"/>
              </w:rPr>
              <w:t>i.v. (</w:t>
            </w:r>
            <w:r w:rsidR="000F784B" w:rsidRPr="00776407">
              <w:rPr>
                <w:sz w:val="22"/>
                <w:szCs w:val="22"/>
              </w:rPr>
              <w:t>1 valanda</w:t>
            </w:r>
            <w:r w:rsidRPr="00776407">
              <w:rPr>
                <w:sz w:val="22"/>
                <w:szCs w:val="22"/>
              </w:rPr>
              <w:t>)</w:t>
            </w:r>
            <w:r w:rsidR="000F784B" w:rsidRPr="00776407">
              <w:rPr>
                <w:sz w:val="22"/>
                <w:szCs w:val="22"/>
              </w:rPr>
              <w:t xml:space="preserve">, </w:t>
            </w:r>
            <w:r w:rsidRPr="00776407">
              <w:rPr>
                <w:sz w:val="22"/>
                <w:szCs w:val="22"/>
              </w:rPr>
              <w:t>28-31, 35-38, 42-45</w:t>
            </w:r>
            <w:r w:rsidR="000F784B" w:rsidRPr="00776407">
              <w:rPr>
                <w:sz w:val="22"/>
                <w:szCs w:val="22"/>
              </w:rPr>
              <w:t> dienas</w:t>
            </w:r>
            <w:r w:rsidRPr="00776407">
              <w:rPr>
                <w:sz w:val="22"/>
                <w:szCs w:val="22"/>
              </w:rPr>
              <w:t xml:space="preserve">; </w:t>
            </w:r>
            <w:r w:rsidR="000F784B" w:rsidRPr="00776407">
              <w:rPr>
                <w:sz w:val="22"/>
                <w:szCs w:val="22"/>
              </w:rPr>
              <w:t xml:space="preserve">gerti </w:t>
            </w:r>
            <w:r w:rsidRPr="00776407">
              <w:rPr>
                <w:sz w:val="22"/>
                <w:szCs w:val="22"/>
              </w:rPr>
              <w:t>6-MP 60 mg/m</w:t>
            </w:r>
            <w:r w:rsidRPr="00776407">
              <w:rPr>
                <w:sz w:val="22"/>
                <w:szCs w:val="22"/>
                <w:vertAlign w:val="superscript"/>
              </w:rPr>
              <w:t>2 </w:t>
            </w:r>
            <w:r w:rsidR="000F784B" w:rsidRPr="00776407">
              <w:rPr>
                <w:sz w:val="22"/>
                <w:szCs w:val="22"/>
              </w:rPr>
              <w:t xml:space="preserve">, </w:t>
            </w:r>
            <w:r w:rsidRPr="00776407">
              <w:rPr>
                <w:sz w:val="22"/>
                <w:szCs w:val="22"/>
              </w:rPr>
              <w:t>26-46</w:t>
            </w:r>
            <w:r w:rsidR="000F784B" w:rsidRPr="00776407">
              <w:rPr>
                <w:sz w:val="22"/>
                <w:szCs w:val="22"/>
              </w:rPr>
              <w:t> dienas</w:t>
            </w:r>
            <w:r w:rsidR="002B117F" w:rsidRPr="00776407">
              <w:rPr>
                <w:sz w:val="22"/>
                <w:szCs w:val="22"/>
              </w:rPr>
              <w:t>.</w:t>
            </w:r>
          </w:p>
        </w:tc>
      </w:tr>
      <w:tr w:rsidR="00CA4D0A" w:rsidRPr="00776407" w14:paraId="71D591D4" w14:textId="77777777" w:rsidTr="000F784B">
        <w:trPr>
          <w:trHeight w:hRule="exact" w:val="850"/>
        </w:trPr>
        <w:tc>
          <w:tcPr>
            <w:tcW w:w="2133" w:type="dxa"/>
            <w:tcBorders>
              <w:right w:val="nil"/>
            </w:tcBorders>
            <w:shd w:val="clear" w:color="auto" w:fill="auto"/>
            <w:tcMar>
              <w:top w:w="57" w:type="dxa"/>
              <w:bottom w:w="57" w:type="dxa"/>
            </w:tcMar>
          </w:tcPr>
          <w:p w14:paraId="088BA658" w14:textId="77777777" w:rsidR="00CA4D0A" w:rsidRPr="00776407" w:rsidRDefault="000F784B" w:rsidP="000F784B">
            <w:pPr>
              <w:rPr>
                <w:sz w:val="22"/>
                <w:szCs w:val="22"/>
              </w:rPr>
            </w:pPr>
            <w:r w:rsidRPr="00776407">
              <w:rPr>
                <w:sz w:val="22"/>
                <w:szCs w:val="22"/>
              </w:rPr>
              <w:t>Konsoliduojantis gydymas</w:t>
            </w:r>
          </w:p>
        </w:tc>
        <w:tc>
          <w:tcPr>
            <w:tcW w:w="6798" w:type="dxa"/>
            <w:tcBorders>
              <w:left w:val="nil"/>
            </w:tcBorders>
            <w:shd w:val="clear" w:color="auto" w:fill="auto"/>
            <w:tcMar>
              <w:top w:w="57" w:type="dxa"/>
              <w:bottom w:w="57" w:type="dxa"/>
            </w:tcMar>
          </w:tcPr>
          <w:p w14:paraId="70792035" w14:textId="77777777" w:rsidR="00CA4D0A" w:rsidRPr="00776407" w:rsidRDefault="000F784B" w:rsidP="000F784B">
            <w:pPr>
              <w:ind w:right="-20"/>
              <w:rPr>
                <w:sz w:val="22"/>
                <w:szCs w:val="22"/>
              </w:rPr>
            </w:pPr>
            <w:r w:rsidRPr="00776407">
              <w:rPr>
                <w:sz w:val="22"/>
                <w:szCs w:val="22"/>
              </w:rPr>
              <w:t xml:space="preserve">Gerti </w:t>
            </w:r>
            <w:r w:rsidR="00CA4D0A" w:rsidRPr="00776407">
              <w:rPr>
                <w:sz w:val="22"/>
                <w:szCs w:val="22"/>
              </w:rPr>
              <w:t>DEX 10 mg/m</w:t>
            </w:r>
            <w:r w:rsidR="00CA4D0A" w:rsidRPr="00776407">
              <w:rPr>
                <w:sz w:val="22"/>
                <w:szCs w:val="22"/>
                <w:vertAlign w:val="superscript"/>
              </w:rPr>
              <w:t>2 </w:t>
            </w:r>
            <w:r w:rsidRPr="00776407">
              <w:rPr>
                <w:sz w:val="22"/>
                <w:szCs w:val="22"/>
              </w:rPr>
              <w:t>,</w:t>
            </w:r>
            <w:r w:rsidR="00B93D33" w:rsidRPr="00776407">
              <w:rPr>
                <w:sz w:val="22"/>
                <w:szCs w:val="22"/>
              </w:rPr>
              <w:t xml:space="preserve"> </w:t>
            </w:r>
            <w:r w:rsidR="00CA4D0A" w:rsidRPr="00776407">
              <w:rPr>
                <w:sz w:val="22"/>
                <w:szCs w:val="22"/>
              </w:rPr>
              <w:t>1-5</w:t>
            </w:r>
            <w:r w:rsidRPr="00776407">
              <w:rPr>
                <w:sz w:val="22"/>
                <w:szCs w:val="22"/>
              </w:rPr>
              <w:t> dienas</w:t>
            </w:r>
            <w:r w:rsidR="00CA4D0A" w:rsidRPr="00776407">
              <w:rPr>
                <w:sz w:val="22"/>
                <w:szCs w:val="22"/>
              </w:rPr>
              <w:t>; vinde</w:t>
            </w:r>
            <w:r w:rsidRPr="00776407">
              <w:rPr>
                <w:sz w:val="22"/>
                <w:szCs w:val="22"/>
              </w:rPr>
              <w:t>zinas</w:t>
            </w:r>
            <w:r w:rsidR="00CA4D0A" w:rsidRPr="00776407">
              <w:rPr>
                <w:sz w:val="22"/>
                <w:szCs w:val="22"/>
              </w:rPr>
              <w:t xml:space="preserve"> 3 mg/m</w:t>
            </w:r>
            <w:r w:rsidR="00CA4D0A" w:rsidRPr="00776407">
              <w:rPr>
                <w:sz w:val="22"/>
                <w:szCs w:val="22"/>
                <w:vertAlign w:val="superscript"/>
              </w:rPr>
              <w:t>2 </w:t>
            </w:r>
            <w:r w:rsidR="00CA4D0A" w:rsidRPr="00776407">
              <w:rPr>
                <w:sz w:val="22"/>
                <w:szCs w:val="22"/>
              </w:rPr>
              <w:t>i.v</w:t>
            </w:r>
            <w:r w:rsidRPr="00776407">
              <w:rPr>
                <w:sz w:val="22"/>
                <w:szCs w:val="22"/>
              </w:rPr>
              <w:t xml:space="preserve">., </w:t>
            </w:r>
            <w:r w:rsidR="00CA4D0A" w:rsidRPr="00776407">
              <w:rPr>
                <w:sz w:val="22"/>
                <w:szCs w:val="22"/>
              </w:rPr>
              <w:t>1</w:t>
            </w:r>
            <w:r w:rsidRPr="00776407">
              <w:rPr>
                <w:sz w:val="22"/>
                <w:szCs w:val="22"/>
              </w:rPr>
              <w:t> dieną</w:t>
            </w:r>
            <w:r w:rsidR="00CA4D0A" w:rsidRPr="00776407">
              <w:rPr>
                <w:sz w:val="22"/>
                <w:szCs w:val="22"/>
              </w:rPr>
              <w:t>; MTX 1</w:t>
            </w:r>
            <w:r w:rsidR="002B117F" w:rsidRPr="00776407">
              <w:rPr>
                <w:sz w:val="22"/>
                <w:szCs w:val="22"/>
              </w:rPr>
              <w:t>,</w:t>
            </w:r>
            <w:r w:rsidR="00CA4D0A" w:rsidRPr="00776407">
              <w:rPr>
                <w:sz w:val="22"/>
                <w:szCs w:val="22"/>
              </w:rPr>
              <w:t>5 g/m</w:t>
            </w:r>
            <w:r w:rsidR="00CA4D0A" w:rsidRPr="00776407">
              <w:rPr>
                <w:sz w:val="22"/>
                <w:szCs w:val="22"/>
                <w:vertAlign w:val="superscript"/>
              </w:rPr>
              <w:t>2 </w:t>
            </w:r>
            <w:r w:rsidR="00CA4D0A" w:rsidRPr="00776407">
              <w:rPr>
                <w:sz w:val="22"/>
                <w:szCs w:val="22"/>
              </w:rPr>
              <w:t>i.v. (</w:t>
            </w:r>
            <w:r w:rsidRPr="00776407">
              <w:rPr>
                <w:sz w:val="22"/>
                <w:szCs w:val="22"/>
              </w:rPr>
              <w:t>24 valandos</w:t>
            </w:r>
            <w:r w:rsidR="00CA4D0A" w:rsidRPr="00776407">
              <w:rPr>
                <w:sz w:val="22"/>
                <w:szCs w:val="22"/>
              </w:rPr>
              <w:t>)</w:t>
            </w:r>
            <w:r w:rsidRPr="00776407">
              <w:rPr>
                <w:sz w:val="22"/>
                <w:szCs w:val="22"/>
              </w:rPr>
              <w:t xml:space="preserve">, </w:t>
            </w:r>
            <w:r w:rsidR="00CA4D0A" w:rsidRPr="00776407">
              <w:rPr>
                <w:sz w:val="22"/>
                <w:szCs w:val="22"/>
              </w:rPr>
              <w:t>1</w:t>
            </w:r>
            <w:r w:rsidRPr="00776407">
              <w:rPr>
                <w:sz w:val="22"/>
                <w:szCs w:val="22"/>
              </w:rPr>
              <w:t> diena</w:t>
            </w:r>
            <w:r w:rsidR="00CA4D0A" w:rsidRPr="00776407">
              <w:rPr>
                <w:sz w:val="22"/>
                <w:szCs w:val="22"/>
              </w:rPr>
              <w:t>; et</w:t>
            </w:r>
            <w:r w:rsidRPr="00776407">
              <w:rPr>
                <w:sz w:val="22"/>
                <w:szCs w:val="22"/>
              </w:rPr>
              <w:t>opozidas</w:t>
            </w:r>
            <w:r w:rsidR="00CA4D0A" w:rsidRPr="00776407">
              <w:rPr>
                <w:sz w:val="22"/>
                <w:szCs w:val="22"/>
              </w:rPr>
              <w:t xml:space="preserve"> 250 mg/m</w:t>
            </w:r>
            <w:r w:rsidR="00CA4D0A" w:rsidRPr="00776407">
              <w:rPr>
                <w:sz w:val="22"/>
                <w:szCs w:val="22"/>
                <w:vertAlign w:val="superscript"/>
              </w:rPr>
              <w:t>2 </w:t>
            </w:r>
            <w:r w:rsidR="00CA4D0A" w:rsidRPr="00776407">
              <w:rPr>
                <w:sz w:val="22"/>
                <w:szCs w:val="22"/>
              </w:rPr>
              <w:t>i.v. (</w:t>
            </w:r>
            <w:r w:rsidRPr="00776407">
              <w:rPr>
                <w:sz w:val="22"/>
                <w:szCs w:val="22"/>
              </w:rPr>
              <w:t>1 valanda</w:t>
            </w:r>
            <w:r w:rsidR="00CA4D0A" w:rsidRPr="00776407">
              <w:rPr>
                <w:sz w:val="22"/>
                <w:szCs w:val="22"/>
              </w:rPr>
              <w:t>) 4-5</w:t>
            </w:r>
            <w:r w:rsidRPr="00776407">
              <w:rPr>
                <w:sz w:val="22"/>
                <w:szCs w:val="22"/>
              </w:rPr>
              <w:t> diena</w:t>
            </w:r>
            <w:r w:rsidR="00CA4D0A" w:rsidRPr="00776407">
              <w:rPr>
                <w:sz w:val="22"/>
                <w:szCs w:val="22"/>
              </w:rPr>
              <w:t>; Ara- C 2</w:t>
            </w:r>
            <w:r w:rsidR="002B117F" w:rsidRPr="00776407">
              <w:rPr>
                <w:sz w:val="22"/>
                <w:szCs w:val="22"/>
              </w:rPr>
              <w:t> </w:t>
            </w:r>
            <w:r w:rsidR="00CA4D0A" w:rsidRPr="00776407">
              <w:rPr>
                <w:sz w:val="22"/>
                <w:szCs w:val="22"/>
              </w:rPr>
              <w:t>x 2 g/m</w:t>
            </w:r>
            <w:r w:rsidR="00CA4D0A" w:rsidRPr="00776407">
              <w:rPr>
                <w:sz w:val="22"/>
                <w:szCs w:val="22"/>
                <w:vertAlign w:val="superscript"/>
              </w:rPr>
              <w:t>2 </w:t>
            </w:r>
            <w:r w:rsidR="00CA4D0A" w:rsidRPr="00776407">
              <w:rPr>
                <w:sz w:val="22"/>
                <w:szCs w:val="22"/>
              </w:rPr>
              <w:t>i.v. (</w:t>
            </w:r>
            <w:r w:rsidRPr="00776407">
              <w:rPr>
                <w:sz w:val="22"/>
                <w:szCs w:val="22"/>
              </w:rPr>
              <w:t>3 valandos, 12 valandų</w:t>
            </w:r>
            <w:r w:rsidR="00CA4D0A" w:rsidRPr="00776407">
              <w:rPr>
                <w:sz w:val="22"/>
                <w:szCs w:val="22"/>
              </w:rPr>
              <w:t>)</w:t>
            </w:r>
            <w:r w:rsidRPr="00776407">
              <w:rPr>
                <w:sz w:val="22"/>
                <w:szCs w:val="22"/>
              </w:rPr>
              <w:t xml:space="preserve">, </w:t>
            </w:r>
            <w:r w:rsidR="00CA4D0A" w:rsidRPr="00776407">
              <w:rPr>
                <w:sz w:val="22"/>
                <w:szCs w:val="22"/>
              </w:rPr>
              <w:t>5</w:t>
            </w:r>
            <w:r w:rsidRPr="00776407">
              <w:rPr>
                <w:sz w:val="22"/>
                <w:szCs w:val="22"/>
              </w:rPr>
              <w:t> dieną.</w:t>
            </w:r>
          </w:p>
        </w:tc>
      </w:tr>
      <w:tr w:rsidR="00CA4D0A" w:rsidRPr="00776407" w14:paraId="59923444" w14:textId="77777777" w:rsidTr="000F784B">
        <w:trPr>
          <w:trHeight w:hRule="exact" w:val="329"/>
        </w:trPr>
        <w:tc>
          <w:tcPr>
            <w:tcW w:w="8931" w:type="dxa"/>
            <w:gridSpan w:val="2"/>
            <w:shd w:val="clear" w:color="auto" w:fill="auto"/>
            <w:tcMar>
              <w:top w:w="57" w:type="dxa"/>
              <w:bottom w:w="57" w:type="dxa"/>
            </w:tcMar>
          </w:tcPr>
          <w:p w14:paraId="29486688" w14:textId="77777777" w:rsidR="00CA4D0A" w:rsidRPr="00776407" w:rsidRDefault="00CA4D0A" w:rsidP="000F784B">
            <w:pPr>
              <w:keepNext/>
              <w:ind w:right="-23"/>
              <w:rPr>
                <w:sz w:val="22"/>
                <w:szCs w:val="22"/>
              </w:rPr>
            </w:pPr>
            <w:r w:rsidRPr="00776407">
              <w:rPr>
                <w:b/>
                <w:bCs/>
                <w:sz w:val="22"/>
                <w:szCs w:val="22"/>
              </w:rPr>
              <w:t>AJP01</w:t>
            </w:r>
            <w:r w:rsidR="000F784B" w:rsidRPr="00776407">
              <w:rPr>
                <w:b/>
                <w:bCs/>
                <w:sz w:val="22"/>
                <w:szCs w:val="22"/>
              </w:rPr>
              <w:t xml:space="preserve"> tyrimas</w:t>
            </w:r>
          </w:p>
        </w:tc>
      </w:tr>
      <w:tr w:rsidR="00CA4D0A" w:rsidRPr="00776407" w14:paraId="16B7290F" w14:textId="77777777" w:rsidTr="00E93356">
        <w:trPr>
          <w:trHeight w:hRule="exact" w:val="1009"/>
        </w:trPr>
        <w:tc>
          <w:tcPr>
            <w:tcW w:w="2133" w:type="dxa"/>
            <w:tcBorders>
              <w:right w:val="nil"/>
            </w:tcBorders>
            <w:shd w:val="clear" w:color="auto" w:fill="auto"/>
            <w:tcMar>
              <w:top w:w="57" w:type="dxa"/>
              <w:bottom w:w="57" w:type="dxa"/>
            </w:tcMar>
          </w:tcPr>
          <w:p w14:paraId="58EBEBC5" w14:textId="77777777" w:rsidR="00CA4D0A" w:rsidRPr="00776407" w:rsidRDefault="00AD537D" w:rsidP="000F784B">
            <w:pPr>
              <w:ind w:right="-20"/>
              <w:rPr>
                <w:sz w:val="22"/>
                <w:szCs w:val="22"/>
              </w:rPr>
            </w:pPr>
            <w:r w:rsidRPr="00776407">
              <w:rPr>
                <w:sz w:val="22"/>
                <w:szCs w:val="22"/>
              </w:rPr>
              <w:t>Pradinis gydymas</w:t>
            </w:r>
          </w:p>
        </w:tc>
        <w:tc>
          <w:tcPr>
            <w:tcW w:w="6798" w:type="dxa"/>
            <w:tcBorders>
              <w:left w:val="nil"/>
            </w:tcBorders>
            <w:shd w:val="clear" w:color="auto" w:fill="auto"/>
            <w:tcMar>
              <w:top w:w="57" w:type="dxa"/>
              <w:bottom w:w="57" w:type="dxa"/>
            </w:tcMar>
          </w:tcPr>
          <w:p w14:paraId="6DC0C0F3" w14:textId="77777777" w:rsidR="00CA4D0A" w:rsidRPr="00776407" w:rsidRDefault="00CA4D0A" w:rsidP="00AD537D">
            <w:pPr>
              <w:ind w:right="160"/>
              <w:jc w:val="both"/>
              <w:rPr>
                <w:sz w:val="22"/>
                <w:szCs w:val="22"/>
              </w:rPr>
            </w:pPr>
            <w:r w:rsidRPr="00776407">
              <w:rPr>
                <w:sz w:val="22"/>
                <w:szCs w:val="22"/>
              </w:rPr>
              <w:t>CP 1.2 g/m</w:t>
            </w:r>
            <w:r w:rsidRPr="00776407">
              <w:rPr>
                <w:sz w:val="22"/>
                <w:szCs w:val="22"/>
                <w:vertAlign w:val="superscript"/>
              </w:rPr>
              <w:t>2 </w:t>
            </w:r>
            <w:r w:rsidR="00AD537D" w:rsidRPr="00776407">
              <w:rPr>
                <w:sz w:val="22"/>
                <w:szCs w:val="22"/>
              </w:rPr>
              <w:t xml:space="preserve">i.v. (3 valandos), </w:t>
            </w:r>
            <w:r w:rsidRPr="00776407">
              <w:rPr>
                <w:sz w:val="22"/>
                <w:szCs w:val="22"/>
              </w:rPr>
              <w:t>1</w:t>
            </w:r>
            <w:r w:rsidR="00AD537D" w:rsidRPr="00776407">
              <w:rPr>
                <w:sz w:val="22"/>
                <w:szCs w:val="22"/>
              </w:rPr>
              <w:t> dieną</w:t>
            </w:r>
            <w:r w:rsidRPr="00776407">
              <w:rPr>
                <w:sz w:val="22"/>
                <w:szCs w:val="22"/>
              </w:rPr>
              <w:t>; daunorubicin</w:t>
            </w:r>
            <w:r w:rsidR="00AD537D" w:rsidRPr="00776407">
              <w:rPr>
                <w:sz w:val="22"/>
                <w:szCs w:val="22"/>
              </w:rPr>
              <w:t>as</w:t>
            </w:r>
            <w:r w:rsidRPr="00776407">
              <w:rPr>
                <w:sz w:val="22"/>
                <w:szCs w:val="22"/>
              </w:rPr>
              <w:t xml:space="preserve"> 60 mg/m</w:t>
            </w:r>
            <w:r w:rsidRPr="00776407">
              <w:rPr>
                <w:sz w:val="22"/>
                <w:szCs w:val="22"/>
                <w:vertAlign w:val="superscript"/>
              </w:rPr>
              <w:t>2 </w:t>
            </w:r>
            <w:r w:rsidR="00AD537D" w:rsidRPr="00776407">
              <w:rPr>
                <w:sz w:val="22"/>
                <w:szCs w:val="22"/>
              </w:rPr>
              <w:t xml:space="preserve">i.v. (1 valanda), </w:t>
            </w:r>
            <w:r w:rsidRPr="00776407">
              <w:rPr>
                <w:sz w:val="22"/>
                <w:szCs w:val="22"/>
              </w:rPr>
              <w:t>1-3</w:t>
            </w:r>
            <w:r w:rsidR="00AD537D" w:rsidRPr="00776407">
              <w:rPr>
                <w:sz w:val="22"/>
                <w:szCs w:val="22"/>
              </w:rPr>
              <w:t> dienos; vinkristinas 1,</w:t>
            </w:r>
            <w:r w:rsidRPr="00776407">
              <w:rPr>
                <w:sz w:val="22"/>
                <w:szCs w:val="22"/>
              </w:rPr>
              <w:t>3 mg/m</w:t>
            </w:r>
            <w:r w:rsidRPr="00776407">
              <w:rPr>
                <w:sz w:val="22"/>
                <w:szCs w:val="22"/>
                <w:vertAlign w:val="superscript"/>
              </w:rPr>
              <w:t>2 </w:t>
            </w:r>
            <w:r w:rsidR="00AD537D" w:rsidRPr="00776407">
              <w:rPr>
                <w:sz w:val="22"/>
                <w:szCs w:val="22"/>
              </w:rPr>
              <w:t xml:space="preserve">i.v., </w:t>
            </w:r>
            <w:r w:rsidRPr="00776407">
              <w:rPr>
                <w:sz w:val="22"/>
                <w:szCs w:val="22"/>
              </w:rPr>
              <w:t>1, 8, 15, 21</w:t>
            </w:r>
            <w:r w:rsidR="00AD537D" w:rsidRPr="00776407">
              <w:rPr>
                <w:sz w:val="22"/>
                <w:szCs w:val="22"/>
              </w:rPr>
              <w:t> dieną; gerti prednizoloną</w:t>
            </w:r>
            <w:r w:rsidRPr="00776407">
              <w:rPr>
                <w:sz w:val="22"/>
                <w:szCs w:val="22"/>
              </w:rPr>
              <w:t xml:space="preserve"> 60 mg/m</w:t>
            </w:r>
            <w:r w:rsidRPr="00776407">
              <w:rPr>
                <w:sz w:val="22"/>
                <w:szCs w:val="22"/>
                <w:vertAlign w:val="superscript"/>
              </w:rPr>
              <w:t>2</w:t>
            </w:r>
            <w:r w:rsidRPr="00776407">
              <w:rPr>
                <w:sz w:val="22"/>
                <w:szCs w:val="22"/>
              </w:rPr>
              <w:t>/</w:t>
            </w:r>
            <w:r w:rsidR="00AD537D" w:rsidRPr="00776407">
              <w:rPr>
                <w:sz w:val="22"/>
                <w:szCs w:val="22"/>
              </w:rPr>
              <w:t>per parą.</w:t>
            </w:r>
          </w:p>
        </w:tc>
      </w:tr>
      <w:tr w:rsidR="00CA4D0A" w:rsidRPr="00776407" w14:paraId="69A83426" w14:textId="77777777" w:rsidTr="000F784B">
        <w:trPr>
          <w:trHeight w:hRule="exact" w:val="850"/>
        </w:trPr>
        <w:tc>
          <w:tcPr>
            <w:tcW w:w="2133" w:type="dxa"/>
            <w:tcBorders>
              <w:right w:val="nil"/>
            </w:tcBorders>
            <w:shd w:val="clear" w:color="auto" w:fill="auto"/>
            <w:tcMar>
              <w:top w:w="57" w:type="dxa"/>
              <w:bottom w:w="57" w:type="dxa"/>
            </w:tcMar>
          </w:tcPr>
          <w:p w14:paraId="0BAEE4D1" w14:textId="77777777" w:rsidR="00CA4D0A" w:rsidRPr="00776407" w:rsidRDefault="00AD537D" w:rsidP="000F784B">
            <w:pPr>
              <w:rPr>
                <w:sz w:val="22"/>
                <w:szCs w:val="22"/>
              </w:rPr>
            </w:pPr>
            <w:r w:rsidRPr="00776407">
              <w:rPr>
                <w:sz w:val="22"/>
                <w:szCs w:val="22"/>
              </w:rPr>
              <w:t>Konsoliduojantis gydymas</w:t>
            </w:r>
          </w:p>
        </w:tc>
        <w:tc>
          <w:tcPr>
            <w:tcW w:w="6798" w:type="dxa"/>
            <w:tcBorders>
              <w:left w:val="nil"/>
            </w:tcBorders>
            <w:shd w:val="clear" w:color="auto" w:fill="auto"/>
            <w:tcMar>
              <w:top w:w="57" w:type="dxa"/>
              <w:bottom w:w="57" w:type="dxa"/>
            </w:tcMar>
          </w:tcPr>
          <w:p w14:paraId="4F8CDA86" w14:textId="77777777" w:rsidR="00CA4D0A" w:rsidRPr="00776407" w:rsidRDefault="00AD537D" w:rsidP="00B93D33">
            <w:pPr>
              <w:ind w:right="-20"/>
              <w:rPr>
                <w:sz w:val="22"/>
                <w:szCs w:val="22"/>
              </w:rPr>
            </w:pPr>
            <w:r w:rsidRPr="00776407">
              <w:rPr>
                <w:sz w:val="22"/>
                <w:szCs w:val="22"/>
              </w:rPr>
              <w:t>Pakaitinis chemoterapijos kursas</w:t>
            </w:r>
            <w:r w:rsidR="00CA4D0A" w:rsidRPr="00776407">
              <w:rPr>
                <w:sz w:val="22"/>
                <w:szCs w:val="22"/>
              </w:rPr>
              <w:t xml:space="preserve">: </w:t>
            </w:r>
            <w:r w:rsidRPr="00776407">
              <w:rPr>
                <w:sz w:val="22"/>
                <w:szCs w:val="22"/>
              </w:rPr>
              <w:t>aukštos dozės chemoterapija su</w:t>
            </w:r>
            <w:r w:rsidR="00CA4D0A" w:rsidRPr="00776407">
              <w:rPr>
                <w:sz w:val="22"/>
                <w:szCs w:val="22"/>
              </w:rPr>
              <w:t xml:space="preserve"> MTX 1 g/m</w:t>
            </w:r>
            <w:r w:rsidR="00CA4D0A" w:rsidRPr="00776407">
              <w:rPr>
                <w:sz w:val="22"/>
                <w:szCs w:val="22"/>
                <w:vertAlign w:val="superscript"/>
              </w:rPr>
              <w:t>2 </w:t>
            </w:r>
            <w:r w:rsidRPr="00776407">
              <w:rPr>
                <w:sz w:val="22"/>
                <w:szCs w:val="22"/>
              </w:rPr>
              <w:t xml:space="preserve">i.v. (24  valandos), </w:t>
            </w:r>
            <w:r w:rsidR="00CA4D0A" w:rsidRPr="00776407">
              <w:rPr>
                <w:sz w:val="22"/>
                <w:szCs w:val="22"/>
              </w:rPr>
              <w:t>1</w:t>
            </w:r>
            <w:r w:rsidRPr="00776407">
              <w:rPr>
                <w:sz w:val="22"/>
                <w:szCs w:val="22"/>
              </w:rPr>
              <w:t> dieną, ir</w:t>
            </w:r>
            <w:r w:rsidR="00CA4D0A" w:rsidRPr="00776407">
              <w:rPr>
                <w:sz w:val="22"/>
                <w:szCs w:val="22"/>
              </w:rPr>
              <w:t xml:space="preserve"> Ara-C 2 g/m</w:t>
            </w:r>
            <w:r w:rsidR="00CA4D0A" w:rsidRPr="00776407">
              <w:rPr>
                <w:sz w:val="22"/>
                <w:szCs w:val="22"/>
                <w:vertAlign w:val="superscript"/>
              </w:rPr>
              <w:t>2 </w:t>
            </w:r>
            <w:r w:rsidRPr="00776407">
              <w:rPr>
                <w:sz w:val="22"/>
                <w:szCs w:val="22"/>
              </w:rPr>
              <w:t xml:space="preserve">i.v. (12 valandų), </w:t>
            </w:r>
            <w:r w:rsidR="00CA4D0A" w:rsidRPr="00776407">
              <w:rPr>
                <w:sz w:val="22"/>
                <w:szCs w:val="22"/>
              </w:rPr>
              <w:t>2</w:t>
            </w:r>
            <w:r w:rsidR="00B93D33" w:rsidRPr="00776407">
              <w:rPr>
                <w:sz w:val="22"/>
                <w:szCs w:val="22"/>
              </w:rPr>
              <w:noBreakHyphen/>
            </w:r>
            <w:r w:rsidR="00CA4D0A" w:rsidRPr="00776407">
              <w:rPr>
                <w:sz w:val="22"/>
                <w:szCs w:val="22"/>
              </w:rPr>
              <w:t>3</w:t>
            </w:r>
            <w:r w:rsidRPr="00776407">
              <w:rPr>
                <w:sz w:val="22"/>
                <w:szCs w:val="22"/>
              </w:rPr>
              <w:t xml:space="preserve"> dieną, </w:t>
            </w:r>
            <w:r w:rsidR="00CA4D0A" w:rsidRPr="00776407">
              <w:rPr>
                <w:sz w:val="22"/>
                <w:szCs w:val="22"/>
              </w:rPr>
              <w:t>4 </w:t>
            </w:r>
            <w:r w:rsidRPr="00776407">
              <w:rPr>
                <w:sz w:val="22"/>
                <w:szCs w:val="22"/>
              </w:rPr>
              <w:t>kursus</w:t>
            </w:r>
            <w:r w:rsidR="002B117F" w:rsidRPr="00776407">
              <w:rPr>
                <w:sz w:val="22"/>
                <w:szCs w:val="22"/>
              </w:rPr>
              <w:t>.</w:t>
            </w:r>
          </w:p>
        </w:tc>
      </w:tr>
      <w:tr w:rsidR="00CA4D0A" w:rsidRPr="00776407" w14:paraId="2996DB66" w14:textId="77777777" w:rsidTr="00AD537D">
        <w:trPr>
          <w:trHeight w:hRule="exact" w:val="634"/>
        </w:trPr>
        <w:tc>
          <w:tcPr>
            <w:tcW w:w="2133" w:type="dxa"/>
            <w:tcBorders>
              <w:right w:val="nil"/>
            </w:tcBorders>
            <w:shd w:val="clear" w:color="auto" w:fill="auto"/>
            <w:tcMar>
              <w:top w:w="57" w:type="dxa"/>
              <w:bottom w:w="57" w:type="dxa"/>
            </w:tcMar>
          </w:tcPr>
          <w:p w14:paraId="74E57E1A" w14:textId="77777777" w:rsidR="00CA4D0A" w:rsidRPr="00776407" w:rsidRDefault="00AD537D" w:rsidP="000F784B">
            <w:pPr>
              <w:ind w:right="-20"/>
              <w:rPr>
                <w:sz w:val="22"/>
                <w:szCs w:val="22"/>
              </w:rPr>
            </w:pPr>
            <w:r w:rsidRPr="00776407">
              <w:rPr>
                <w:sz w:val="22"/>
                <w:szCs w:val="22"/>
              </w:rPr>
              <w:t>Palaikomasis gydymas</w:t>
            </w:r>
          </w:p>
        </w:tc>
        <w:tc>
          <w:tcPr>
            <w:tcW w:w="6798" w:type="dxa"/>
            <w:tcBorders>
              <w:left w:val="nil"/>
            </w:tcBorders>
            <w:shd w:val="clear" w:color="auto" w:fill="auto"/>
            <w:tcMar>
              <w:top w:w="57" w:type="dxa"/>
              <w:bottom w:w="57" w:type="dxa"/>
            </w:tcMar>
          </w:tcPr>
          <w:p w14:paraId="2323A5A8" w14:textId="77777777" w:rsidR="00CA4D0A" w:rsidRPr="00776407" w:rsidRDefault="00AD537D" w:rsidP="00B93D33">
            <w:pPr>
              <w:ind w:right="-20"/>
              <w:rPr>
                <w:sz w:val="22"/>
                <w:szCs w:val="22"/>
              </w:rPr>
            </w:pPr>
            <w:r w:rsidRPr="00776407">
              <w:rPr>
                <w:sz w:val="22"/>
                <w:szCs w:val="22"/>
              </w:rPr>
              <w:t>VCR 1,</w:t>
            </w:r>
            <w:r w:rsidR="00CA4D0A" w:rsidRPr="00776407">
              <w:rPr>
                <w:sz w:val="22"/>
                <w:szCs w:val="22"/>
              </w:rPr>
              <w:t>3 g/m</w:t>
            </w:r>
            <w:r w:rsidR="00CA4D0A" w:rsidRPr="00776407">
              <w:rPr>
                <w:sz w:val="22"/>
                <w:szCs w:val="22"/>
                <w:vertAlign w:val="superscript"/>
              </w:rPr>
              <w:t>2 </w:t>
            </w:r>
            <w:r w:rsidRPr="00776407">
              <w:rPr>
                <w:sz w:val="22"/>
                <w:szCs w:val="22"/>
              </w:rPr>
              <w:t xml:space="preserve">i.v., </w:t>
            </w:r>
            <w:r w:rsidR="00CA4D0A" w:rsidRPr="00776407">
              <w:rPr>
                <w:sz w:val="22"/>
                <w:szCs w:val="22"/>
              </w:rPr>
              <w:t>1</w:t>
            </w:r>
            <w:r w:rsidRPr="00776407">
              <w:rPr>
                <w:sz w:val="22"/>
                <w:szCs w:val="22"/>
              </w:rPr>
              <w:t> dieną; gerti prednizoloną</w:t>
            </w:r>
            <w:r w:rsidR="00CA4D0A" w:rsidRPr="00776407">
              <w:rPr>
                <w:sz w:val="22"/>
                <w:szCs w:val="22"/>
              </w:rPr>
              <w:t xml:space="preserve"> 60 mg/m</w:t>
            </w:r>
            <w:r w:rsidR="00CA4D0A" w:rsidRPr="00776407">
              <w:rPr>
                <w:sz w:val="22"/>
                <w:szCs w:val="22"/>
                <w:vertAlign w:val="superscript"/>
              </w:rPr>
              <w:t>2 </w:t>
            </w:r>
            <w:r w:rsidRPr="00776407">
              <w:rPr>
                <w:sz w:val="22"/>
                <w:szCs w:val="22"/>
              </w:rPr>
              <w:t>,</w:t>
            </w:r>
            <w:r w:rsidR="00B93D33" w:rsidRPr="00776407">
              <w:rPr>
                <w:sz w:val="22"/>
                <w:szCs w:val="22"/>
              </w:rPr>
              <w:t xml:space="preserve"> </w:t>
            </w:r>
            <w:r w:rsidR="00CA4D0A" w:rsidRPr="00776407">
              <w:rPr>
                <w:sz w:val="22"/>
                <w:szCs w:val="22"/>
              </w:rPr>
              <w:t>1</w:t>
            </w:r>
            <w:r w:rsidR="00B93D33" w:rsidRPr="00776407">
              <w:rPr>
                <w:sz w:val="22"/>
                <w:szCs w:val="22"/>
              </w:rPr>
              <w:noBreakHyphen/>
            </w:r>
            <w:r w:rsidR="00CA4D0A" w:rsidRPr="00776407">
              <w:rPr>
                <w:sz w:val="22"/>
                <w:szCs w:val="22"/>
              </w:rPr>
              <w:t>5</w:t>
            </w:r>
            <w:r w:rsidRPr="00776407">
              <w:rPr>
                <w:sz w:val="22"/>
                <w:szCs w:val="22"/>
              </w:rPr>
              <w:t> dienas.</w:t>
            </w:r>
          </w:p>
        </w:tc>
      </w:tr>
      <w:tr w:rsidR="00CA4D0A" w:rsidRPr="00776407" w14:paraId="0C389F84" w14:textId="77777777" w:rsidTr="000F784B">
        <w:trPr>
          <w:trHeight w:hRule="exact" w:val="340"/>
        </w:trPr>
        <w:tc>
          <w:tcPr>
            <w:tcW w:w="8931" w:type="dxa"/>
            <w:gridSpan w:val="2"/>
            <w:shd w:val="clear" w:color="auto" w:fill="auto"/>
            <w:tcMar>
              <w:top w:w="57" w:type="dxa"/>
              <w:bottom w:w="57" w:type="dxa"/>
            </w:tcMar>
          </w:tcPr>
          <w:p w14:paraId="1B6BA8D4" w14:textId="77777777" w:rsidR="00CA4D0A" w:rsidRPr="00776407" w:rsidRDefault="00CA4D0A" w:rsidP="000F784B">
            <w:pPr>
              <w:keepNext/>
              <w:ind w:right="-23"/>
              <w:rPr>
                <w:sz w:val="22"/>
                <w:szCs w:val="22"/>
              </w:rPr>
            </w:pPr>
            <w:r w:rsidRPr="00776407">
              <w:rPr>
                <w:b/>
                <w:bCs/>
                <w:sz w:val="22"/>
                <w:szCs w:val="22"/>
              </w:rPr>
              <w:t>AUS01</w:t>
            </w:r>
            <w:r w:rsidR="00AD537D" w:rsidRPr="00776407">
              <w:rPr>
                <w:b/>
                <w:bCs/>
                <w:sz w:val="22"/>
                <w:szCs w:val="22"/>
              </w:rPr>
              <w:t xml:space="preserve"> tyrimas</w:t>
            </w:r>
          </w:p>
        </w:tc>
      </w:tr>
      <w:tr w:rsidR="00CA4D0A" w:rsidRPr="00776407" w14:paraId="5CEDE214" w14:textId="77777777" w:rsidTr="00FC39B6">
        <w:trPr>
          <w:trHeight w:hRule="exact" w:val="1529"/>
        </w:trPr>
        <w:tc>
          <w:tcPr>
            <w:tcW w:w="2133" w:type="dxa"/>
            <w:tcBorders>
              <w:right w:val="nil"/>
            </w:tcBorders>
            <w:shd w:val="clear" w:color="auto" w:fill="auto"/>
            <w:tcMar>
              <w:top w:w="57" w:type="dxa"/>
              <w:bottom w:w="57" w:type="dxa"/>
            </w:tcMar>
          </w:tcPr>
          <w:p w14:paraId="734C3DE7" w14:textId="77777777" w:rsidR="00CA4D0A" w:rsidRPr="00776407" w:rsidRDefault="00AD537D" w:rsidP="000F784B">
            <w:pPr>
              <w:ind w:right="-20"/>
              <w:rPr>
                <w:sz w:val="22"/>
                <w:szCs w:val="22"/>
              </w:rPr>
            </w:pPr>
            <w:r w:rsidRPr="00776407">
              <w:rPr>
                <w:sz w:val="22"/>
                <w:szCs w:val="22"/>
              </w:rPr>
              <w:t>Pradinis-konsoliduojantis gydymas</w:t>
            </w:r>
          </w:p>
        </w:tc>
        <w:tc>
          <w:tcPr>
            <w:tcW w:w="6798" w:type="dxa"/>
            <w:tcBorders>
              <w:left w:val="nil"/>
            </w:tcBorders>
            <w:shd w:val="clear" w:color="auto" w:fill="auto"/>
            <w:tcMar>
              <w:top w:w="57" w:type="dxa"/>
              <w:bottom w:w="57" w:type="dxa"/>
            </w:tcMar>
          </w:tcPr>
          <w:p w14:paraId="4EEFB48A" w14:textId="77777777" w:rsidR="00CA4D0A" w:rsidRPr="00776407" w:rsidRDefault="00AD537D" w:rsidP="00B93D33">
            <w:pPr>
              <w:ind w:left="49" w:hanging="49"/>
              <w:rPr>
                <w:sz w:val="22"/>
                <w:szCs w:val="22"/>
              </w:rPr>
            </w:pPr>
            <w:r w:rsidRPr="00776407">
              <w:rPr>
                <w:sz w:val="22"/>
                <w:szCs w:val="22"/>
              </w:rPr>
              <w:t>Hiper-CVAD gydymas</w:t>
            </w:r>
            <w:r w:rsidR="00CA4D0A" w:rsidRPr="00776407">
              <w:rPr>
                <w:sz w:val="22"/>
                <w:szCs w:val="22"/>
              </w:rPr>
              <w:t>: CP 300 mg/m</w:t>
            </w:r>
            <w:r w:rsidR="00CA4D0A" w:rsidRPr="00776407">
              <w:rPr>
                <w:sz w:val="22"/>
                <w:szCs w:val="22"/>
                <w:vertAlign w:val="superscript"/>
              </w:rPr>
              <w:t>2 </w:t>
            </w:r>
            <w:r w:rsidRPr="00776407">
              <w:rPr>
                <w:sz w:val="22"/>
                <w:szCs w:val="22"/>
              </w:rPr>
              <w:t xml:space="preserve">i.v. (3 valandos 12 valandų), </w:t>
            </w:r>
            <w:r w:rsidR="00CA4D0A" w:rsidRPr="00776407">
              <w:rPr>
                <w:sz w:val="22"/>
                <w:szCs w:val="22"/>
              </w:rPr>
              <w:t>1</w:t>
            </w:r>
            <w:r w:rsidR="00B93D33" w:rsidRPr="00776407">
              <w:rPr>
                <w:sz w:val="22"/>
                <w:szCs w:val="22"/>
              </w:rPr>
              <w:noBreakHyphen/>
            </w:r>
            <w:r w:rsidR="00CA4D0A" w:rsidRPr="00776407">
              <w:rPr>
                <w:sz w:val="22"/>
                <w:szCs w:val="22"/>
              </w:rPr>
              <w:t>3</w:t>
            </w:r>
            <w:r w:rsidRPr="00776407">
              <w:rPr>
                <w:sz w:val="22"/>
                <w:szCs w:val="22"/>
              </w:rPr>
              <w:t xml:space="preserve"> dienas; vinkristinas 2 mg i.v., </w:t>
            </w:r>
            <w:r w:rsidR="00CA4D0A" w:rsidRPr="00776407">
              <w:rPr>
                <w:sz w:val="22"/>
                <w:szCs w:val="22"/>
              </w:rPr>
              <w:t>4, 11</w:t>
            </w:r>
            <w:r w:rsidRPr="00776407">
              <w:rPr>
                <w:sz w:val="22"/>
                <w:szCs w:val="22"/>
              </w:rPr>
              <w:t xml:space="preserve"> dieną; doksorubicinas </w:t>
            </w:r>
            <w:r w:rsidR="00CA4D0A" w:rsidRPr="00776407">
              <w:rPr>
                <w:sz w:val="22"/>
                <w:szCs w:val="22"/>
              </w:rPr>
              <w:t>50 mg/m</w:t>
            </w:r>
            <w:r w:rsidR="00CA4D0A" w:rsidRPr="00776407">
              <w:rPr>
                <w:sz w:val="22"/>
                <w:szCs w:val="22"/>
                <w:vertAlign w:val="superscript"/>
              </w:rPr>
              <w:t>2 </w:t>
            </w:r>
            <w:r w:rsidRPr="00776407">
              <w:rPr>
                <w:sz w:val="22"/>
                <w:szCs w:val="22"/>
              </w:rPr>
              <w:t xml:space="preserve">i.v. (24 valandos), </w:t>
            </w:r>
            <w:r w:rsidR="00CA4D0A" w:rsidRPr="00776407">
              <w:rPr>
                <w:sz w:val="22"/>
                <w:szCs w:val="22"/>
              </w:rPr>
              <w:t>4</w:t>
            </w:r>
            <w:r w:rsidRPr="00776407">
              <w:rPr>
                <w:sz w:val="22"/>
                <w:szCs w:val="22"/>
              </w:rPr>
              <w:t> dieną</w:t>
            </w:r>
            <w:r w:rsidR="00FC39B6" w:rsidRPr="00776407">
              <w:rPr>
                <w:sz w:val="22"/>
                <w:szCs w:val="22"/>
              </w:rPr>
              <w:t xml:space="preserve">; DEX 40 mg/per parą </w:t>
            </w:r>
            <w:r w:rsidR="00CA4D0A" w:rsidRPr="00776407">
              <w:rPr>
                <w:sz w:val="22"/>
                <w:szCs w:val="22"/>
              </w:rPr>
              <w:t>1-4 </w:t>
            </w:r>
            <w:r w:rsidR="00FC39B6" w:rsidRPr="00776407">
              <w:rPr>
                <w:sz w:val="22"/>
                <w:szCs w:val="22"/>
              </w:rPr>
              <w:t>dienas ir</w:t>
            </w:r>
            <w:r w:rsidR="00CA4D0A" w:rsidRPr="00776407">
              <w:rPr>
                <w:sz w:val="22"/>
                <w:szCs w:val="22"/>
              </w:rPr>
              <w:t xml:space="preserve"> 11-14</w:t>
            </w:r>
            <w:r w:rsidR="00FC39B6" w:rsidRPr="00776407">
              <w:rPr>
                <w:sz w:val="22"/>
                <w:szCs w:val="22"/>
              </w:rPr>
              <w:t> dienas</w:t>
            </w:r>
            <w:r w:rsidR="00CA4D0A" w:rsidRPr="00776407">
              <w:rPr>
                <w:sz w:val="22"/>
                <w:szCs w:val="22"/>
              </w:rPr>
              <w:t xml:space="preserve">, </w:t>
            </w:r>
            <w:r w:rsidR="00FC39B6" w:rsidRPr="00776407">
              <w:rPr>
                <w:sz w:val="22"/>
                <w:szCs w:val="22"/>
              </w:rPr>
              <w:t>keičiamas</w:t>
            </w:r>
            <w:r w:rsidR="00CA4D0A" w:rsidRPr="00776407">
              <w:rPr>
                <w:sz w:val="22"/>
                <w:szCs w:val="22"/>
              </w:rPr>
              <w:t xml:space="preserve"> MTX 1 g/m</w:t>
            </w:r>
            <w:r w:rsidR="00CA4D0A" w:rsidRPr="00776407">
              <w:rPr>
                <w:sz w:val="22"/>
                <w:szCs w:val="22"/>
                <w:vertAlign w:val="superscript"/>
              </w:rPr>
              <w:t>2</w:t>
            </w:r>
            <w:r w:rsidR="00FC39B6" w:rsidRPr="00776407">
              <w:rPr>
                <w:sz w:val="22"/>
                <w:szCs w:val="22"/>
              </w:rPr>
              <w:t xml:space="preserve"> i.v. (24 valandos), </w:t>
            </w:r>
            <w:r w:rsidR="00CA4D0A" w:rsidRPr="00776407">
              <w:rPr>
                <w:sz w:val="22"/>
                <w:szCs w:val="22"/>
              </w:rPr>
              <w:t>1</w:t>
            </w:r>
            <w:r w:rsidR="00FC39B6" w:rsidRPr="00776407">
              <w:rPr>
                <w:sz w:val="22"/>
                <w:szCs w:val="22"/>
              </w:rPr>
              <w:t> diena</w:t>
            </w:r>
            <w:r w:rsidR="00CA4D0A" w:rsidRPr="00776407">
              <w:rPr>
                <w:sz w:val="22"/>
                <w:szCs w:val="22"/>
              </w:rPr>
              <w:t>, Ara-C 1 g/m</w:t>
            </w:r>
            <w:r w:rsidR="00CA4D0A" w:rsidRPr="00776407">
              <w:rPr>
                <w:sz w:val="22"/>
                <w:szCs w:val="22"/>
                <w:vertAlign w:val="superscript"/>
              </w:rPr>
              <w:t>2</w:t>
            </w:r>
            <w:r w:rsidR="00FC39B6" w:rsidRPr="00776407">
              <w:rPr>
                <w:sz w:val="22"/>
                <w:szCs w:val="22"/>
              </w:rPr>
              <w:t xml:space="preserve"> i.v. (2 valandos, 12 valandų), 2-3 dieną (iš viso 8 kursai</w:t>
            </w:r>
            <w:r w:rsidR="00CA4D0A" w:rsidRPr="00776407">
              <w:rPr>
                <w:sz w:val="22"/>
                <w:szCs w:val="22"/>
              </w:rPr>
              <w:t>)</w:t>
            </w:r>
            <w:r w:rsidR="00FC39B6" w:rsidRPr="00776407">
              <w:rPr>
                <w:sz w:val="22"/>
                <w:szCs w:val="22"/>
              </w:rPr>
              <w:t>.</w:t>
            </w:r>
          </w:p>
        </w:tc>
      </w:tr>
      <w:tr w:rsidR="00CA4D0A" w:rsidRPr="00776407" w14:paraId="7E0F04B2" w14:textId="77777777" w:rsidTr="000F784B">
        <w:trPr>
          <w:trHeight w:hRule="exact" w:val="624"/>
        </w:trPr>
        <w:tc>
          <w:tcPr>
            <w:tcW w:w="2133" w:type="dxa"/>
            <w:tcBorders>
              <w:right w:val="nil"/>
            </w:tcBorders>
            <w:shd w:val="clear" w:color="auto" w:fill="auto"/>
            <w:tcMar>
              <w:top w:w="57" w:type="dxa"/>
              <w:bottom w:w="57" w:type="dxa"/>
            </w:tcMar>
          </w:tcPr>
          <w:p w14:paraId="2D071234" w14:textId="77777777" w:rsidR="00CA4D0A" w:rsidRPr="00776407" w:rsidRDefault="00FC39B6" w:rsidP="000F784B">
            <w:pPr>
              <w:ind w:right="-20"/>
              <w:rPr>
                <w:sz w:val="22"/>
                <w:szCs w:val="22"/>
              </w:rPr>
            </w:pPr>
            <w:r w:rsidRPr="00776407">
              <w:rPr>
                <w:sz w:val="22"/>
                <w:szCs w:val="22"/>
              </w:rPr>
              <w:t>Palaikomasis gydymas</w:t>
            </w:r>
          </w:p>
        </w:tc>
        <w:tc>
          <w:tcPr>
            <w:tcW w:w="6798" w:type="dxa"/>
            <w:tcBorders>
              <w:left w:val="nil"/>
            </w:tcBorders>
            <w:shd w:val="clear" w:color="auto" w:fill="auto"/>
            <w:tcMar>
              <w:top w:w="57" w:type="dxa"/>
              <w:bottom w:w="57" w:type="dxa"/>
            </w:tcMar>
          </w:tcPr>
          <w:p w14:paraId="03520ED0" w14:textId="77777777" w:rsidR="00CA4D0A" w:rsidRPr="00776407" w:rsidRDefault="00CA4D0A" w:rsidP="00FC39B6">
            <w:pPr>
              <w:ind w:right="-20"/>
              <w:rPr>
                <w:sz w:val="22"/>
                <w:szCs w:val="22"/>
              </w:rPr>
            </w:pPr>
            <w:r w:rsidRPr="00776407">
              <w:rPr>
                <w:sz w:val="22"/>
                <w:szCs w:val="22"/>
              </w:rPr>
              <w:t xml:space="preserve">VCR 2 mg i.v. </w:t>
            </w:r>
            <w:r w:rsidR="00FC39B6" w:rsidRPr="00776407">
              <w:rPr>
                <w:sz w:val="22"/>
                <w:szCs w:val="22"/>
              </w:rPr>
              <w:t>kas mėnesį 13 mėnesių; gerti prednizoloną</w:t>
            </w:r>
            <w:r w:rsidRPr="00776407">
              <w:rPr>
                <w:sz w:val="22"/>
                <w:szCs w:val="22"/>
              </w:rPr>
              <w:t xml:space="preserve"> </w:t>
            </w:r>
            <w:r w:rsidR="00FC39B6" w:rsidRPr="00776407">
              <w:rPr>
                <w:sz w:val="22"/>
                <w:szCs w:val="22"/>
              </w:rPr>
              <w:t>po 200 mg</w:t>
            </w:r>
            <w:r w:rsidRPr="00776407">
              <w:rPr>
                <w:sz w:val="22"/>
                <w:szCs w:val="22"/>
              </w:rPr>
              <w:t>, 5 d</w:t>
            </w:r>
            <w:r w:rsidR="00FC39B6" w:rsidRPr="00776407">
              <w:rPr>
                <w:sz w:val="22"/>
                <w:szCs w:val="22"/>
              </w:rPr>
              <w:t xml:space="preserve">ienas per mėnesį </w:t>
            </w:r>
            <w:r w:rsidRPr="00776407">
              <w:rPr>
                <w:sz w:val="22"/>
                <w:szCs w:val="22"/>
              </w:rPr>
              <w:t>13 m</w:t>
            </w:r>
            <w:r w:rsidR="00FC39B6" w:rsidRPr="00776407">
              <w:rPr>
                <w:sz w:val="22"/>
                <w:szCs w:val="22"/>
              </w:rPr>
              <w:t>ėnesių.</w:t>
            </w:r>
          </w:p>
        </w:tc>
      </w:tr>
      <w:tr w:rsidR="00CA4D0A" w:rsidRPr="00776407" w14:paraId="1FE5C779" w14:textId="77777777" w:rsidTr="000F784B">
        <w:trPr>
          <w:trHeight w:hRule="exact" w:val="340"/>
        </w:trPr>
        <w:tc>
          <w:tcPr>
            <w:tcW w:w="8931" w:type="dxa"/>
            <w:gridSpan w:val="2"/>
            <w:shd w:val="clear" w:color="auto" w:fill="auto"/>
            <w:tcMar>
              <w:top w:w="57" w:type="dxa"/>
              <w:bottom w:w="57" w:type="dxa"/>
            </w:tcMar>
          </w:tcPr>
          <w:p w14:paraId="21341748" w14:textId="77777777" w:rsidR="00FC39B6" w:rsidRPr="00776407" w:rsidRDefault="00FC39B6" w:rsidP="00FC39B6">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Visi gydymo režimai taikomi vartojant steroidų CNS ligų profilaktikai. </w:t>
            </w:r>
          </w:p>
          <w:p w14:paraId="666DDDE0" w14:textId="77777777" w:rsidR="00CA4D0A" w:rsidRPr="00776407" w:rsidRDefault="00CA4D0A" w:rsidP="000F784B">
            <w:pPr>
              <w:ind w:right="-20"/>
              <w:rPr>
                <w:sz w:val="22"/>
                <w:szCs w:val="22"/>
              </w:rPr>
            </w:pPr>
          </w:p>
        </w:tc>
      </w:tr>
      <w:tr w:rsidR="00CA4D0A" w:rsidRPr="00776407" w14:paraId="57663CC9" w14:textId="77777777" w:rsidTr="000F784B">
        <w:trPr>
          <w:trHeight w:hRule="exact" w:val="885"/>
        </w:trPr>
        <w:tc>
          <w:tcPr>
            <w:tcW w:w="8931" w:type="dxa"/>
            <w:gridSpan w:val="2"/>
            <w:shd w:val="clear" w:color="auto" w:fill="auto"/>
            <w:tcMar>
              <w:top w:w="57" w:type="dxa"/>
              <w:bottom w:w="57" w:type="dxa"/>
            </w:tcMar>
          </w:tcPr>
          <w:p w14:paraId="4D22326A" w14:textId="77777777" w:rsidR="00FC39B6" w:rsidRPr="00776407" w:rsidRDefault="00FC39B6" w:rsidP="00FC39B6">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Ara-C: citozino arabinozidas; CP: ciklofosfamidas; DEX: deksametazonas; MTX: metotreksatas; 6-MP: 6-merkaptopurinas; VM26: tenipozidas; VCR: vinkristinas; IDA: idarubicinas; i.v.: vartoti į veną. </w:t>
            </w:r>
          </w:p>
          <w:p w14:paraId="33F4F4F5" w14:textId="77777777" w:rsidR="00CA4D0A" w:rsidRPr="00776407" w:rsidRDefault="00CA4D0A" w:rsidP="000F784B">
            <w:pPr>
              <w:ind w:left="49" w:right="-20" w:hanging="49"/>
              <w:rPr>
                <w:sz w:val="22"/>
                <w:szCs w:val="22"/>
              </w:rPr>
            </w:pPr>
          </w:p>
        </w:tc>
      </w:tr>
    </w:tbl>
    <w:p w14:paraId="0836C670" w14:textId="77777777" w:rsidR="0019774C" w:rsidRPr="00776407" w:rsidRDefault="0019774C" w:rsidP="0019774C">
      <w:pPr>
        <w:autoSpaceDE w:val="0"/>
        <w:autoSpaceDN w:val="0"/>
        <w:adjustRightInd w:val="0"/>
        <w:rPr>
          <w:rFonts w:eastAsia="Calibri"/>
          <w:color w:val="000000"/>
          <w:sz w:val="22"/>
          <w:szCs w:val="22"/>
        </w:rPr>
      </w:pPr>
    </w:p>
    <w:p w14:paraId="38675AE1"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i/>
          <w:color w:val="000000"/>
          <w:sz w:val="22"/>
          <w:szCs w:val="22"/>
        </w:rPr>
        <w:t>Vaikai ir paaugliai:</w:t>
      </w:r>
      <w:r w:rsidRPr="00776407">
        <w:rPr>
          <w:rFonts w:eastAsia="Calibri"/>
          <w:color w:val="000000"/>
          <w:sz w:val="22"/>
          <w:szCs w:val="22"/>
        </w:rPr>
        <w:t xml:space="preserve"> Į atvirąjį, daugiacentrį, nuoseklių kohortų, ne atsitiktinių imčių, III fazės klinikinį tyrimą I2301 buvo įtraukta iš viso 93 vaikai, paaugliai ir jauni suaugę pacientai (nuo 1 iki 22 metų), kurie sirgo Ph+ ŪLL. Šio tyrimo metu pacientams po indukcinio gydymo buvo skiriamas imatinibas (po 340 mg/m</w:t>
      </w:r>
      <w:r w:rsidRPr="00776407">
        <w:rPr>
          <w:rFonts w:eastAsia="Calibri"/>
          <w:color w:val="000000"/>
          <w:sz w:val="22"/>
          <w:szCs w:val="22"/>
          <w:vertAlign w:val="superscript"/>
        </w:rPr>
        <w:t>2</w:t>
      </w:r>
      <w:r w:rsidRPr="00776407">
        <w:rPr>
          <w:rFonts w:eastAsia="Calibri"/>
          <w:color w:val="000000"/>
          <w:sz w:val="22"/>
          <w:szCs w:val="22"/>
        </w:rPr>
        <w:t xml:space="preserve"> per parą) kartu su intensyvia chemoterapija. 1</w:t>
      </w:r>
      <w:r w:rsidRPr="00776407">
        <w:rPr>
          <w:rFonts w:eastAsia="Calibri"/>
          <w:color w:val="000000"/>
          <w:sz w:val="22"/>
          <w:szCs w:val="22"/>
        </w:rPr>
        <w:noBreakHyphen/>
        <w:t>5 kohortų pacientams imatinibas buvo skiriamas netolygiai, skirtingose kohortose vaistinio preparato buvo skiriama didėjančia trukme ir gydymas buvo pradedamas anksčiau arba vėliau; 1</w:t>
      </w:r>
      <w:r w:rsidRPr="00776407">
        <w:rPr>
          <w:rFonts w:eastAsia="Calibri"/>
          <w:color w:val="000000"/>
          <w:sz w:val="22"/>
          <w:szCs w:val="22"/>
        </w:rPr>
        <w:noBreakHyphen/>
        <w:t>osios kohortos pacientams buvo skiriamas mažiausio intensyvumo gydymas, o 5</w:t>
      </w:r>
      <w:r w:rsidRPr="00776407">
        <w:rPr>
          <w:rFonts w:eastAsia="Calibri"/>
          <w:color w:val="000000"/>
          <w:sz w:val="22"/>
          <w:szCs w:val="22"/>
        </w:rPr>
        <w:noBreakHyphen/>
        <w:t>osios kohortos pacientams buvo skiriamas intensyviausias gydymas imatinibu (ilgiausia vartojimo trukmė dienomis ir tęstinis imatinibo dozavimas kasdien pirmųjų chemoterapijos kursų metu). Skiriant tęstinį gydymą imatinibu kasdien nuo pat chemoterapijos kursų pradžios, 5</w:t>
      </w:r>
      <w:r w:rsidRPr="00776407">
        <w:rPr>
          <w:rFonts w:eastAsia="Calibri"/>
          <w:color w:val="000000"/>
          <w:sz w:val="22"/>
          <w:szCs w:val="22"/>
        </w:rPr>
        <w:noBreakHyphen/>
        <w:t xml:space="preserve">osios kohortos pacientų (n=50) 4 metų trukmės išgyvenamumo be recidyvų (angl. </w:t>
      </w:r>
      <w:r w:rsidRPr="00776407">
        <w:rPr>
          <w:rFonts w:eastAsia="Calibri"/>
          <w:i/>
          <w:color w:val="000000"/>
          <w:sz w:val="22"/>
          <w:szCs w:val="22"/>
        </w:rPr>
        <w:t>event-free survival – EFS</w:t>
      </w:r>
      <w:r w:rsidRPr="00776407">
        <w:rPr>
          <w:rFonts w:eastAsia="Calibri"/>
          <w:color w:val="000000"/>
          <w:sz w:val="22"/>
          <w:szCs w:val="22"/>
        </w:rPr>
        <w:t>) rodiklis pagerėjo, lyginant su istoriniais duomenimis (n=120), kai pastaruoju atveju pacientams buvo skiriama standartinė chemoterapija be imatinibo (atitinkamai 69,6 %, lyginant su 31,6 %). Tikėtinas 4 metų trukmės bendrojo išgyvenamumo rodiklis 5</w:t>
      </w:r>
      <w:r w:rsidRPr="00776407">
        <w:rPr>
          <w:rFonts w:eastAsia="Calibri"/>
          <w:color w:val="000000"/>
          <w:sz w:val="22"/>
          <w:szCs w:val="22"/>
        </w:rPr>
        <w:noBreakHyphen/>
        <w:t>osios kohortos pacientams buvo 83,6 %, lyginant su 44,8 % istoriniais duomenimis. 20 iš 50 (40 %) 5</w:t>
      </w:r>
      <w:r w:rsidRPr="00776407">
        <w:rPr>
          <w:rFonts w:eastAsia="Calibri"/>
          <w:color w:val="000000"/>
          <w:sz w:val="22"/>
          <w:szCs w:val="22"/>
        </w:rPr>
        <w:noBreakHyphen/>
        <w:t>osios kohortos pacientų buvo atlikta hematopoetinių kamieninių ląstelių transplantacija.</w:t>
      </w:r>
    </w:p>
    <w:p w14:paraId="7016394F" w14:textId="77777777" w:rsidR="0019774C" w:rsidRPr="00776407" w:rsidRDefault="0019774C" w:rsidP="0019774C">
      <w:pPr>
        <w:autoSpaceDE w:val="0"/>
        <w:autoSpaceDN w:val="0"/>
        <w:adjustRightInd w:val="0"/>
        <w:rPr>
          <w:rFonts w:eastAsia="Calibri"/>
          <w:color w:val="000000"/>
          <w:sz w:val="22"/>
          <w:szCs w:val="22"/>
        </w:rPr>
      </w:pPr>
    </w:p>
    <w:p w14:paraId="1FA18828" w14:textId="77777777" w:rsidR="0019774C" w:rsidRPr="00776407" w:rsidRDefault="0090427D" w:rsidP="0019774C">
      <w:pPr>
        <w:autoSpaceDE w:val="0"/>
        <w:autoSpaceDN w:val="0"/>
        <w:adjustRightInd w:val="0"/>
        <w:rPr>
          <w:rFonts w:eastAsia="Calibri"/>
          <w:b/>
          <w:color w:val="000000"/>
          <w:sz w:val="22"/>
          <w:szCs w:val="22"/>
        </w:rPr>
      </w:pPr>
      <w:r w:rsidRPr="00776407">
        <w:rPr>
          <w:rFonts w:eastAsia="Calibri"/>
          <w:b/>
          <w:color w:val="000000"/>
          <w:sz w:val="22"/>
          <w:szCs w:val="22"/>
        </w:rPr>
        <w:t>4</w:t>
      </w:r>
      <w:r w:rsidR="0019774C" w:rsidRPr="00776407">
        <w:rPr>
          <w:rFonts w:eastAsia="Calibri"/>
          <w:b/>
          <w:color w:val="000000"/>
          <w:sz w:val="22"/>
          <w:szCs w:val="22"/>
        </w:rPr>
        <w:t> lentelė</w:t>
      </w:r>
      <w:r w:rsidR="0019774C" w:rsidRPr="00776407">
        <w:rPr>
          <w:rFonts w:eastAsia="Calibri"/>
          <w:b/>
          <w:color w:val="000000"/>
          <w:sz w:val="22"/>
          <w:szCs w:val="22"/>
        </w:rPr>
        <w:tab/>
        <w:t>Chemoterapijos gydymas, skirtas kartu su imatinibu I2301 tyrimo metu</w:t>
      </w:r>
    </w:p>
    <w:p w14:paraId="12F13522" w14:textId="77777777" w:rsidR="0019774C" w:rsidRPr="00776407" w:rsidRDefault="0019774C" w:rsidP="0019774C">
      <w:pPr>
        <w:autoSpaceDE w:val="0"/>
        <w:autoSpaceDN w:val="0"/>
        <w:adjustRightInd w:val="0"/>
        <w:rPr>
          <w:rFonts w:eastAsia="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19774C" w:rsidRPr="00776407" w14:paraId="5BAE5BC0" w14:textId="77777777" w:rsidTr="0019774C">
        <w:tc>
          <w:tcPr>
            <w:tcW w:w="2358" w:type="dxa"/>
            <w:shd w:val="clear" w:color="auto" w:fill="auto"/>
          </w:tcPr>
          <w:p w14:paraId="4A902195"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Konsoliduojančio gydymo blokas 1</w:t>
            </w:r>
          </w:p>
          <w:p w14:paraId="16652EDE"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(3 savaitės)</w:t>
            </w:r>
          </w:p>
        </w:tc>
        <w:tc>
          <w:tcPr>
            <w:tcW w:w="6929" w:type="dxa"/>
            <w:shd w:val="clear" w:color="auto" w:fill="auto"/>
          </w:tcPr>
          <w:p w14:paraId="42C3B70A"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VP-16 (100 mg/m</w:t>
            </w:r>
            <w:r w:rsidRPr="00776407">
              <w:rPr>
                <w:rFonts w:eastAsia="Calibri"/>
                <w:color w:val="000000"/>
                <w:sz w:val="22"/>
                <w:szCs w:val="22"/>
                <w:vertAlign w:val="superscript"/>
              </w:rPr>
              <w:t>2</w:t>
            </w:r>
            <w:r w:rsidRPr="00776407">
              <w:rPr>
                <w:rFonts w:eastAsia="Calibri"/>
                <w:color w:val="000000"/>
                <w:sz w:val="22"/>
                <w:szCs w:val="22"/>
              </w:rPr>
              <w:t xml:space="preserve"> per parą, IV): 1</w:t>
            </w:r>
            <w:r w:rsidRPr="00776407">
              <w:rPr>
                <w:rFonts w:eastAsia="Calibri"/>
                <w:color w:val="000000"/>
                <w:sz w:val="22"/>
                <w:szCs w:val="22"/>
              </w:rPr>
              <w:noBreakHyphen/>
              <w:t>5 dienos</w:t>
            </w:r>
          </w:p>
          <w:p w14:paraId="6951E3E8"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Ifosfamidas (1,8 g/m</w:t>
            </w:r>
            <w:r w:rsidRPr="00776407">
              <w:rPr>
                <w:rFonts w:eastAsia="Calibri"/>
                <w:color w:val="000000"/>
                <w:sz w:val="22"/>
                <w:szCs w:val="22"/>
                <w:vertAlign w:val="superscript"/>
              </w:rPr>
              <w:t>2</w:t>
            </w:r>
            <w:r w:rsidRPr="00776407">
              <w:rPr>
                <w:rFonts w:eastAsia="Calibri"/>
                <w:color w:val="000000"/>
                <w:sz w:val="22"/>
                <w:szCs w:val="22"/>
              </w:rPr>
              <w:t xml:space="preserve"> per parą, IV): 1</w:t>
            </w:r>
            <w:r w:rsidRPr="00776407">
              <w:rPr>
                <w:rFonts w:eastAsia="Calibri"/>
                <w:color w:val="000000"/>
                <w:sz w:val="22"/>
                <w:szCs w:val="22"/>
              </w:rPr>
              <w:noBreakHyphen/>
              <w:t>5 dienos</w:t>
            </w:r>
          </w:p>
          <w:p w14:paraId="05A11CFE"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MESNA (po 360 mg/m</w:t>
            </w:r>
            <w:r w:rsidRPr="00776407">
              <w:rPr>
                <w:rFonts w:eastAsia="Calibri"/>
                <w:color w:val="000000"/>
                <w:sz w:val="22"/>
                <w:szCs w:val="22"/>
                <w:vertAlign w:val="superscript"/>
              </w:rPr>
              <w:t>2</w:t>
            </w:r>
            <w:r w:rsidRPr="00776407">
              <w:rPr>
                <w:rFonts w:eastAsia="Calibri"/>
                <w:color w:val="000000"/>
                <w:sz w:val="22"/>
                <w:szCs w:val="22"/>
              </w:rPr>
              <w:t xml:space="preserve"> dozę q3h, 8 dozės per parą, IV): 1</w:t>
            </w:r>
            <w:r w:rsidRPr="00776407">
              <w:rPr>
                <w:rFonts w:eastAsia="Calibri"/>
                <w:color w:val="000000"/>
                <w:sz w:val="22"/>
                <w:szCs w:val="22"/>
              </w:rPr>
              <w:noBreakHyphen/>
              <w:t>5 dienos</w:t>
            </w:r>
          </w:p>
          <w:p w14:paraId="10E1EA5C"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G-CSF (5 μg/kg, SC): 6</w:t>
            </w:r>
            <w:r w:rsidRPr="00776407">
              <w:rPr>
                <w:rFonts w:eastAsia="Calibri"/>
                <w:color w:val="000000"/>
                <w:sz w:val="22"/>
                <w:szCs w:val="22"/>
              </w:rPr>
              <w:noBreakHyphen/>
              <w:t>15 dienos arba kol ANS bus &gt; 1500 nuo žemiausios reikšmės</w:t>
            </w:r>
          </w:p>
          <w:p w14:paraId="45E873BC"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IT Metotreksatas (dozė priklausomai nuo amžiaus): TIK 1-ąją dieną</w:t>
            </w:r>
          </w:p>
          <w:p w14:paraId="01ACC280"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Trigubas IT gydymas (dozė priklausomai nuo amžiaus): 8, 15 dienos</w:t>
            </w:r>
          </w:p>
        </w:tc>
      </w:tr>
      <w:tr w:rsidR="0019774C" w:rsidRPr="00776407" w14:paraId="45034AAD" w14:textId="77777777" w:rsidTr="0019774C">
        <w:tc>
          <w:tcPr>
            <w:tcW w:w="2358" w:type="dxa"/>
            <w:shd w:val="clear" w:color="auto" w:fill="auto"/>
          </w:tcPr>
          <w:p w14:paraId="4B02B7E2"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Konsoliduojančio gydymo blokas 2</w:t>
            </w:r>
          </w:p>
          <w:p w14:paraId="42552F7E"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(3 savaitės)</w:t>
            </w:r>
          </w:p>
        </w:tc>
        <w:tc>
          <w:tcPr>
            <w:tcW w:w="6929" w:type="dxa"/>
            <w:shd w:val="clear" w:color="auto" w:fill="auto"/>
          </w:tcPr>
          <w:p w14:paraId="590BDF2C"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Metotreksatas (5 g/m</w:t>
            </w:r>
            <w:r w:rsidRPr="00776407">
              <w:rPr>
                <w:rFonts w:eastAsia="Calibri"/>
                <w:color w:val="000000"/>
                <w:sz w:val="22"/>
                <w:szCs w:val="22"/>
                <w:vertAlign w:val="superscript"/>
              </w:rPr>
              <w:t>2</w:t>
            </w:r>
            <w:r w:rsidRPr="00776407">
              <w:rPr>
                <w:rFonts w:eastAsia="Calibri"/>
                <w:color w:val="000000"/>
                <w:sz w:val="22"/>
                <w:szCs w:val="22"/>
              </w:rPr>
              <w:t xml:space="preserve"> per 24 valandas, IV): 1-ąją dieną</w:t>
            </w:r>
          </w:p>
          <w:p w14:paraId="377D7220"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Leukovorinas (75 mg/m</w:t>
            </w:r>
            <w:r w:rsidRPr="00776407">
              <w:rPr>
                <w:rFonts w:eastAsia="Calibri"/>
                <w:color w:val="000000"/>
                <w:sz w:val="22"/>
                <w:szCs w:val="22"/>
                <w:vertAlign w:val="superscript"/>
              </w:rPr>
              <w:t>2</w:t>
            </w:r>
            <w:r w:rsidRPr="00776407">
              <w:rPr>
                <w:rFonts w:eastAsia="Calibri"/>
                <w:color w:val="000000"/>
                <w:sz w:val="22"/>
                <w:szCs w:val="22"/>
              </w:rPr>
              <w:t xml:space="preserve"> po 36 valandų, IV; 15 mg/m</w:t>
            </w:r>
            <w:r w:rsidRPr="00776407">
              <w:rPr>
                <w:rFonts w:eastAsia="Calibri"/>
                <w:color w:val="000000"/>
                <w:sz w:val="22"/>
                <w:szCs w:val="22"/>
                <w:vertAlign w:val="superscript"/>
              </w:rPr>
              <w:t>2</w:t>
            </w:r>
            <w:r w:rsidRPr="00776407">
              <w:rPr>
                <w:rFonts w:eastAsia="Calibri"/>
                <w:color w:val="000000"/>
                <w:sz w:val="22"/>
                <w:szCs w:val="22"/>
              </w:rPr>
              <w:t xml:space="preserve"> IV ar PO q6h x 6 dozės) iii: 2-ąją ir 3-iąją dienomis</w:t>
            </w:r>
          </w:p>
          <w:p w14:paraId="629018FA"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Trigubas IT gydymas (dozė priklausomai nuo amžiaus): 1-ąją dieną</w:t>
            </w:r>
          </w:p>
          <w:p w14:paraId="4D1B297A"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ARA-C (3 g/m</w:t>
            </w:r>
            <w:r w:rsidRPr="00776407">
              <w:rPr>
                <w:rFonts w:eastAsia="Calibri"/>
                <w:color w:val="000000"/>
                <w:sz w:val="22"/>
                <w:szCs w:val="22"/>
                <w:vertAlign w:val="superscript"/>
              </w:rPr>
              <w:t>2</w:t>
            </w:r>
            <w:r w:rsidRPr="00776407">
              <w:rPr>
                <w:rFonts w:eastAsia="Calibri"/>
                <w:color w:val="000000"/>
                <w:sz w:val="22"/>
                <w:szCs w:val="22"/>
              </w:rPr>
              <w:t xml:space="preserve"> dozė q12h x 4, IV): 2-ąją ir 3-iąją dienomis</w:t>
            </w:r>
          </w:p>
          <w:p w14:paraId="2613146C"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G-CSF (5 μg/kg, SC): 4</w:t>
            </w:r>
            <w:r w:rsidRPr="00776407">
              <w:rPr>
                <w:rFonts w:eastAsia="Calibri"/>
                <w:color w:val="000000"/>
                <w:sz w:val="22"/>
                <w:szCs w:val="22"/>
              </w:rPr>
              <w:noBreakHyphen/>
              <w:t>13 dienos arba kol ANS bus &gt; 1500 nuo žemiausios reikšmės</w:t>
            </w:r>
          </w:p>
        </w:tc>
      </w:tr>
      <w:tr w:rsidR="0019774C" w:rsidRPr="00776407" w14:paraId="4C457F2C" w14:textId="77777777" w:rsidTr="0019774C">
        <w:tc>
          <w:tcPr>
            <w:tcW w:w="2358" w:type="dxa"/>
            <w:shd w:val="clear" w:color="auto" w:fill="auto"/>
          </w:tcPr>
          <w:p w14:paraId="2A54A7B7"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Reindukcinio gydymo blokas 1</w:t>
            </w:r>
          </w:p>
          <w:p w14:paraId="0CB2DB4B"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(3 savaitės)</w:t>
            </w:r>
          </w:p>
        </w:tc>
        <w:tc>
          <w:tcPr>
            <w:tcW w:w="6929" w:type="dxa"/>
            <w:shd w:val="clear" w:color="auto" w:fill="auto"/>
          </w:tcPr>
          <w:p w14:paraId="44938E7C"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VCR (1,5 mg/m</w:t>
            </w:r>
            <w:r w:rsidRPr="00776407">
              <w:rPr>
                <w:rFonts w:eastAsia="Calibri"/>
                <w:color w:val="000000"/>
                <w:sz w:val="22"/>
                <w:szCs w:val="22"/>
                <w:vertAlign w:val="superscript"/>
              </w:rPr>
              <w:t>2</w:t>
            </w:r>
            <w:r w:rsidRPr="00776407">
              <w:rPr>
                <w:rFonts w:eastAsia="Calibri"/>
                <w:color w:val="000000"/>
                <w:sz w:val="22"/>
                <w:szCs w:val="22"/>
              </w:rPr>
              <w:t xml:space="preserve"> per parą, IV): 1, 8 ir 15 dienos</w:t>
            </w:r>
          </w:p>
          <w:p w14:paraId="6BCDF466"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DAUN (45 mg/m</w:t>
            </w:r>
            <w:r w:rsidRPr="00776407">
              <w:rPr>
                <w:rFonts w:eastAsia="Calibri"/>
                <w:color w:val="000000"/>
                <w:sz w:val="22"/>
                <w:szCs w:val="22"/>
                <w:vertAlign w:val="superscript"/>
              </w:rPr>
              <w:t>2</w:t>
            </w:r>
            <w:r w:rsidRPr="00776407">
              <w:rPr>
                <w:rFonts w:eastAsia="Calibri"/>
                <w:color w:val="000000"/>
                <w:sz w:val="22"/>
                <w:szCs w:val="22"/>
              </w:rPr>
              <w:t xml:space="preserve"> per parą boliusu, IV): 1-ąją ir 2-ąją dienomis</w:t>
            </w:r>
          </w:p>
          <w:p w14:paraId="5725E696"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CPM (250 mg/m</w:t>
            </w:r>
            <w:r w:rsidRPr="00776407">
              <w:rPr>
                <w:rFonts w:eastAsia="Calibri"/>
                <w:color w:val="000000"/>
                <w:sz w:val="22"/>
                <w:szCs w:val="22"/>
                <w:vertAlign w:val="superscript"/>
              </w:rPr>
              <w:t>2</w:t>
            </w:r>
            <w:r w:rsidRPr="00776407">
              <w:rPr>
                <w:rFonts w:eastAsia="Calibri"/>
                <w:color w:val="000000"/>
                <w:sz w:val="22"/>
                <w:szCs w:val="22"/>
              </w:rPr>
              <w:t xml:space="preserve"> dozė q12h x 4 dozės, IV): 3-iąją ir 4-ąją dienomis</w:t>
            </w:r>
          </w:p>
          <w:p w14:paraId="640BFA4E"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PEG-ASP (2500 TV/m</w:t>
            </w:r>
            <w:r w:rsidRPr="00776407">
              <w:rPr>
                <w:rFonts w:eastAsia="Calibri"/>
                <w:color w:val="000000"/>
                <w:sz w:val="22"/>
                <w:szCs w:val="22"/>
                <w:vertAlign w:val="superscript"/>
              </w:rPr>
              <w:t>2</w:t>
            </w:r>
            <w:r w:rsidRPr="00776407">
              <w:rPr>
                <w:rFonts w:eastAsia="Calibri"/>
                <w:color w:val="000000"/>
                <w:sz w:val="22"/>
                <w:szCs w:val="22"/>
              </w:rPr>
              <w:t>, IM): 4-ąją dieną</w:t>
            </w:r>
          </w:p>
          <w:p w14:paraId="3A8E7F2B"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G-CSF (5 μg/kg, SC): 5</w:t>
            </w:r>
            <w:r w:rsidRPr="00776407">
              <w:rPr>
                <w:rFonts w:eastAsia="Calibri"/>
                <w:color w:val="000000"/>
                <w:sz w:val="22"/>
                <w:szCs w:val="22"/>
              </w:rPr>
              <w:noBreakHyphen/>
              <w:t>14 dienos arba kol ANS bus &gt; 1500 nuo žemiausios reikšmės</w:t>
            </w:r>
          </w:p>
          <w:p w14:paraId="07B15FA1"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Trigubas IT gydymas (dozė priklausomai nuo amžiaus): 1-ąją ir 15-ąją dienomis</w:t>
            </w:r>
          </w:p>
          <w:p w14:paraId="3AAE5025"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DEX (6 mg/m</w:t>
            </w:r>
            <w:r w:rsidRPr="00776407">
              <w:rPr>
                <w:rFonts w:eastAsia="Calibri"/>
                <w:color w:val="000000"/>
                <w:sz w:val="22"/>
                <w:szCs w:val="22"/>
                <w:vertAlign w:val="superscript"/>
              </w:rPr>
              <w:t>2</w:t>
            </w:r>
            <w:r w:rsidRPr="00776407">
              <w:rPr>
                <w:rFonts w:eastAsia="Calibri"/>
                <w:color w:val="000000"/>
                <w:sz w:val="22"/>
                <w:szCs w:val="22"/>
              </w:rPr>
              <w:t xml:space="preserve"> per parą, PO): 1</w:t>
            </w:r>
            <w:r w:rsidRPr="00776407">
              <w:rPr>
                <w:rFonts w:eastAsia="Calibri"/>
                <w:color w:val="000000"/>
                <w:sz w:val="22"/>
                <w:szCs w:val="22"/>
              </w:rPr>
              <w:noBreakHyphen/>
              <w:t>7 dienos ir 15</w:t>
            </w:r>
            <w:r w:rsidRPr="00776407">
              <w:rPr>
                <w:rFonts w:eastAsia="Calibri"/>
                <w:color w:val="000000"/>
                <w:sz w:val="22"/>
                <w:szCs w:val="22"/>
              </w:rPr>
              <w:noBreakHyphen/>
              <w:t>21 dienos</w:t>
            </w:r>
          </w:p>
        </w:tc>
      </w:tr>
      <w:tr w:rsidR="0019774C" w:rsidRPr="00776407" w14:paraId="7BF36FA8" w14:textId="77777777" w:rsidTr="0019774C">
        <w:tc>
          <w:tcPr>
            <w:tcW w:w="2358" w:type="dxa"/>
            <w:shd w:val="clear" w:color="auto" w:fill="auto"/>
          </w:tcPr>
          <w:p w14:paraId="212C8BC2"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Intensyvinimo blokas 1</w:t>
            </w:r>
          </w:p>
          <w:p w14:paraId="44FA63F9"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(9 savaitės)</w:t>
            </w:r>
          </w:p>
        </w:tc>
        <w:tc>
          <w:tcPr>
            <w:tcW w:w="6929" w:type="dxa"/>
            <w:shd w:val="clear" w:color="auto" w:fill="auto"/>
          </w:tcPr>
          <w:p w14:paraId="54DA20C5"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Metotreksatas (5 g/m</w:t>
            </w:r>
            <w:r w:rsidRPr="00776407">
              <w:rPr>
                <w:rFonts w:eastAsia="Calibri"/>
                <w:color w:val="000000"/>
                <w:sz w:val="22"/>
                <w:szCs w:val="22"/>
                <w:vertAlign w:val="superscript"/>
              </w:rPr>
              <w:t>2</w:t>
            </w:r>
            <w:r w:rsidRPr="00776407">
              <w:rPr>
                <w:rFonts w:eastAsia="Calibri"/>
                <w:color w:val="000000"/>
                <w:sz w:val="22"/>
                <w:szCs w:val="22"/>
              </w:rPr>
              <w:t xml:space="preserve"> per 24 valandas, IV): 1-ąją ir 15-ąją dienomis</w:t>
            </w:r>
          </w:p>
          <w:p w14:paraId="4F281330"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Leukovorinas (75 mg/m</w:t>
            </w:r>
            <w:r w:rsidRPr="00776407">
              <w:rPr>
                <w:rFonts w:eastAsia="Calibri"/>
                <w:color w:val="000000"/>
                <w:sz w:val="22"/>
                <w:szCs w:val="22"/>
                <w:vertAlign w:val="superscript"/>
              </w:rPr>
              <w:t>2</w:t>
            </w:r>
            <w:r w:rsidRPr="00776407">
              <w:rPr>
                <w:rFonts w:eastAsia="Calibri"/>
                <w:color w:val="000000"/>
                <w:sz w:val="22"/>
                <w:szCs w:val="22"/>
              </w:rPr>
              <w:t xml:space="preserve"> po 36 valandų, IV; 15 mg/m</w:t>
            </w:r>
            <w:r w:rsidRPr="00776407">
              <w:rPr>
                <w:rFonts w:eastAsia="Calibri"/>
                <w:color w:val="000000"/>
                <w:sz w:val="22"/>
                <w:szCs w:val="22"/>
                <w:vertAlign w:val="superscript"/>
              </w:rPr>
              <w:t>2</w:t>
            </w:r>
            <w:r w:rsidRPr="00776407">
              <w:rPr>
                <w:rFonts w:eastAsia="Calibri"/>
                <w:color w:val="000000"/>
                <w:sz w:val="22"/>
                <w:szCs w:val="22"/>
              </w:rPr>
              <w:t xml:space="preserve"> IV ar PO q6h x 6 dozės) iii: 2, 3, 16 ir 17 dienomis</w:t>
            </w:r>
          </w:p>
          <w:p w14:paraId="4F74E84F"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Trigubas IT gydymas (dozė priklausomai nuo amžiaus): 1-ąją ir 22-ąją dienomis</w:t>
            </w:r>
          </w:p>
          <w:p w14:paraId="530110AA"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VP-16 (100 mg/m</w:t>
            </w:r>
            <w:r w:rsidRPr="00776407">
              <w:rPr>
                <w:rFonts w:eastAsia="Calibri"/>
                <w:color w:val="000000"/>
                <w:sz w:val="22"/>
                <w:szCs w:val="22"/>
                <w:vertAlign w:val="superscript"/>
              </w:rPr>
              <w:t>2</w:t>
            </w:r>
            <w:r w:rsidRPr="00776407">
              <w:rPr>
                <w:rFonts w:eastAsia="Calibri"/>
                <w:color w:val="000000"/>
                <w:sz w:val="22"/>
                <w:szCs w:val="22"/>
              </w:rPr>
              <w:t xml:space="preserve"> per parą, IV): 22</w:t>
            </w:r>
            <w:r w:rsidRPr="00776407">
              <w:rPr>
                <w:rFonts w:eastAsia="Calibri"/>
                <w:color w:val="000000"/>
                <w:sz w:val="22"/>
                <w:szCs w:val="22"/>
              </w:rPr>
              <w:noBreakHyphen/>
              <w:t>26 dienos</w:t>
            </w:r>
          </w:p>
          <w:p w14:paraId="6AE92E29"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CPM (300 mg/m</w:t>
            </w:r>
            <w:r w:rsidRPr="00776407">
              <w:rPr>
                <w:rFonts w:eastAsia="Calibri"/>
                <w:color w:val="000000"/>
                <w:sz w:val="22"/>
                <w:szCs w:val="22"/>
                <w:vertAlign w:val="superscript"/>
              </w:rPr>
              <w:t>2</w:t>
            </w:r>
            <w:r w:rsidRPr="00776407">
              <w:rPr>
                <w:rFonts w:eastAsia="Calibri"/>
                <w:color w:val="000000"/>
                <w:sz w:val="22"/>
                <w:szCs w:val="22"/>
              </w:rPr>
              <w:t xml:space="preserve"> per parą, IV): 22</w:t>
            </w:r>
            <w:r w:rsidRPr="00776407">
              <w:rPr>
                <w:rFonts w:eastAsia="Calibri"/>
                <w:color w:val="000000"/>
                <w:sz w:val="22"/>
                <w:szCs w:val="22"/>
              </w:rPr>
              <w:noBreakHyphen/>
              <w:t>26 dienos</w:t>
            </w:r>
          </w:p>
          <w:p w14:paraId="0E9CC406"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MESNA (150 mg/m</w:t>
            </w:r>
            <w:r w:rsidRPr="00776407">
              <w:rPr>
                <w:rFonts w:eastAsia="Calibri"/>
                <w:color w:val="000000"/>
                <w:sz w:val="22"/>
                <w:szCs w:val="22"/>
                <w:vertAlign w:val="superscript"/>
              </w:rPr>
              <w:t>2</w:t>
            </w:r>
            <w:r w:rsidRPr="00776407">
              <w:rPr>
                <w:rFonts w:eastAsia="Calibri"/>
                <w:color w:val="000000"/>
                <w:sz w:val="22"/>
                <w:szCs w:val="22"/>
              </w:rPr>
              <w:t xml:space="preserve"> per parą, IV): 22</w:t>
            </w:r>
            <w:r w:rsidRPr="00776407">
              <w:rPr>
                <w:rFonts w:eastAsia="Calibri"/>
                <w:color w:val="000000"/>
                <w:sz w:val="22"/>
                <w:szCs w:val="22"/>
              </w:rPr>
              <w:noBreakHyphen/>
              <w:t>26 dienos</w:t>
            </w:r>
          </w:p>
          <w:p w14:paraId="2F18C7AA"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G-CSF (5 μg/kg, SC): 27</w:t>
            </w:r>
            <w:r w:rsidRPr="00776407">
              <w:rPr>
                <w:rFonts w:eastAsia="Calibri"/>
                <w:color w:val="000000"/>
                <w:sz w:val="22"/>
                <w:szCs w:val="22"/>
              </w:rPr>
              <w:noBreakHyphen/>
              <w:t>36 dienos arba kol ANS bus &gt; 1500 nuo žemiausios reikšmės</w:t>
            </w:r>
          </w:p>
          <w:p w14:paraId="64B0820C"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ARA-C (3 g/m</w:t>
            </w:r>
            <w:r w:rsidRPr="00776407">
              <w:rPr>
                <w:rFonts w:eastAsia="Calibri"/>
                <w:color w:val="000000"/>
                <w:sz w:val="22"/>
                <w:szCs w:val="22"/>
                <w:vertAlign w:val="superscript"/>
              </w:rPr>
              <w:t>2</w:t>
            </w:r>
            <w:r w:rsidRPr="00776407">
              <w:rPr>
                <w:rFonts w:eastAsia="Calibri"/>
                <w:color w:val="000000"/>
                <w:sz w:val="22"/>
                <w:szCs w:val="22"/>
              </w:rPr>
              <w:t>, q12h, IV): 43, 44 dienomis</w:t>
            </w:r>
          </w:p>
          <w:p w14:paraId="6279F686"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L-ASP (6000 TV/m</w:t>
            </w:r>
            <w:r w:rsidRPr="00776407">
              <w:rPr>
                <w:rFonts w:eastAsia="Calibri"/>
                <w:color w:val="000000"/>
                <w:sz w:val="22"/>
                <w:szCs w:val="22"/>
                <w:vertAlign w:val="superscript"/>
              </w:rPr>
              <w:t>2</w:t>
            </w:r>
            <w:r w:rsidRPr="00776407">
              <w:rPr>
                <w:rFonts w:eastAsia="Calibri"/>
                <w:color w:val="000000"/>
                <w:sz w:val="22"/>
                <w:szCs w:val="22"/>
              </w:rPr>
              <w:t>, IM): 44-ąją dieną</w:t>
            </w:r>
          </w:p>
        </w:tc>
      </w:tr>
      <w:tr w:rsidR="0019774C" w:rsidRPr="00776407" w14:paraId="06A34240" w14:textId="77777777" w:rsidTr="0019774C">
        <w:tc>
          <w:tcPr>
            <w:tcW w:w="2358" w:type="dxa"/>
            <w:shd w:val="clear" w:color="auto" w:fill="auto"/>
          </w:tcPr>
          <w:p w14:paraId="450F7F56"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Reindukcinio gydymo blokas 2</w:t>
            </w:r>
          </w:p>
          <w:p w14:paraId="7E94D118"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(3 savaitės)</w:t>
            </w:r>
          </w:p>
        </w:tc>
        <w:tc>
          <w:tcPr>
            <w:tcW w:w="6929" w:type="dxa"/>
            <w:shd w:val="clear" w:color="auto" w:fill="auto"/>
          </w:tcPr>
          <w:p w14:paraId="2E26712B"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VCR (1,5 mg/m</w:t>
            </w:r>
            <w:r w:rsidRPr="00776407">
              <w:rPr>
                <w:rFonts w:eastAsia="Calibri"/>
                <w:color w:val="000000"/>
                <w:sz w:val="22"/>
                <w:szCs w:val="22"/>
                <w:vertAlign w:val="superscript"/>
              </w:rPr>
              <w:t>2</w:t>
            </w:r>
            <w:r w:rsidRPr="00776407">
              <w:rPr>
                <w:rFonts w:eastAsia="Calibri"/>
                <w:color w:val="000000"/>
                <w:sz w:val="22"/>
                <w:szCs w:val="22"/>
              </w:rPr>
              <w:t xml:space="preserve"> per parą, IV): 1, 8 ir 15 dienomis</w:t>
            </w:r>
          </w:p>
          <w:p w14:paraId="13D04462"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DAUN (45 mg/m</w:t>
            </w:r>
            <w:r w:rsidRPr="00776407">
              <w:rPr>
                <w:rFonts w:eastAsia="Calibri"/>
                <w:color w:val="000000"/>
                <w:sz w:val="22"/>
                <w:szCs w:val="22"/>
                <w:vertAlign w:val="superscript"/>
              </w:rPr>
              <w:t>2</w:t>
            </w:r>
            <w:r w:rsidRPr="00776407">
              <w:rPr>
                <w:rFonts w:eastAsia="Calibri"/>
                <w:color w:val="000000"/>
                <w:sz w:val="22"/>
                <w:szCs w:val="22"/>
              </w:rPr>
              <w:t xml:space="preserve"> per parą boliusu, IV): 1-ąją ir 2-ąją dienomis</w:t>
            </w:r>
          </w:p>
          <w:p w14:paraId="37DC1B33"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CPM (250 mg/m</w:t>
            </w:r>
            <w:r w:rsidRPr="00776407">
              <w:rPr>
                <w:rFonts w:eastAsia="Calibri"/>
                <w:color w:val="000000"/>
                <w:sz w:val="22"/>
                <w:szCs w:val="22"/>
                <w:vertAlign w:val="superscript"/>
              </w:rPr>
              <w:t>2</w:t>
            </w:r>
            <w:r w:rsidRPr="00776407">
              <w:rPr>
                <w:rFonts w:eastAsia="Calibri"/>
                <w:color w:val="000000"/>
                <w:sz w:val="22"/>
                <w:szCs w:val="22"/>
              </w:rPr>
              <w:t xml:space="preserve"> dozė q12h x 4 dozės, IV): 3-iąją ir 4-ąją dienomis</w:t>
            </w:r>
          </w:p>
          <w:p w14:paraId="120C44D4"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PEG-ASP (2500 TV/m</w:t>
            </w:r>
            <w:r w:rsidRPr="00776407">
              <w:rPr>
                <w:rFonts w:eastAsia="Calibri"/>
                <w:color w:val="000000"/>
                <w:sz w:val="22"/>
                <w:szCs w:val="22"/>
                <w:vertAlign w:val="superscript"/>
              </w:rPr>
              <w:t>2</w:t>
            </w:r>
            <w:r w:rsidRPr="00776407">
              <w:rPr>
                <w:rFonts w:eastAsia="Calibri"/>
                <w:color w:val="000000"/>
                <w:sz w:val="22"/>
                <w:szCs w:val="22"/>
              </w:rPr>
              <w:t>, IM): 4-ąją dieną</w:t>
            </w:r>
          </w:p>
          <w:p w14:paraId="7BB92F8F"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G-CSF (5 μg/kg, SC): 5</w:t>
            </w:r>
            <w:r w:rsidRPr="00776407">
              <w:rPr>
                <w:rFonts w:eastAsia="Calibri"/>
                <w:color w:val="000000"/>
                <w:sz w:val="22"/>
                <w:szCs w:val="22"/>
              </w:rPr>
              <w:noBreakHyphen/>
              <w:t>14 dienos arba kol ANS bus &gt; 1500 nuo žemiausios reikšmės</w:t>
            </w:r>
          </w:p>
          <w:p w14:paraId="0A628A26"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Trigubas IT gydymas (dozė priklausomai nuo amžiaus): 1-ąją ir 15-ąją dienomis</w:t>
            </w:r>
          </w:p>
          <w:p w14:paraId="015A7766"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DEX (6 mg/m</w:t>
            </w:r>
            <w:r w:rsidRPr="00776407">
              <w:rPr>
                <w:rFonts w:eastAsia="Calibri"/>
                <w:color w:val="000000"/>
                <w:sz w:val="22"/>
                <w:szCs w:val="22"/>
                <w:vertAlign w:val="superscript"/>
              </w:rPr>
              <w:t>2</w:t>
            </w:r>
            <w:r w:rsidRPr="00776407">
              <w:rPr>
                <w:rFonts w:eastAsia="Calibri"/>
                <w:color w:val="000000"/>
                <w:sz w:val="22"/>
                <w:szCs w:val="22"/>
              </w:rPr>
              <w:t xml:space="preserve"> per parą, PO): 1</w:t>
            </w:r>
            <w:r w:rsidRPr="00776407">
              <w:rPr>
                <w:rFonts w:eastAsia="Calibri"/>
                <w:color w:val="000000"/>
                <w:sz w:val="22"/>
                <w:szCs w:val="22"/>
              </w:rPr>
              <w:noBreakHyphen/>
              <w:t>7 dienos ir 15</w:t>
            </w:r>
            <w:r w:rsidRPr="00776407">
              <w:rPr>
                <w:rFonts w:eastAsia="Calibri"/>
                <w:color w:val="000000"/>
                <w:sz w:val="22"/>
                <w:szCs w:val="22"/>
              </w:rPr>
              <w:noBreakHyphen/>
              <w:t>21 dienos</w:t>
            </w:r>
          </w:p>
        </w:tc>
      </w:tr>
      <w:tr w:rsidR="0019774C" w:rsidRPr="00776407" w14:paraId="4B47A854" w14:textId="77777777" w:rsidTr="0019774C">
        <w:tc>
          <w:tcPr>
            <w:tcW w:w="2358" w:type="dxa"/>
            <w:shd w:val="clear" w:color="auto" w:fill="auto"/>
          </w:tcPr>
          <w:p w14:paraId="40313B96"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Intensyvinimo blokas 2</w:t>
            </w:r>
          </w:p>
          <w:p w14:paraId="3BC7C084"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(9 savaitės)</w:t>
            </w:r>
          </w:p>
        </w:tc>
        <w:tc>
          <w:tcPr>
            <w:tcW w:w="6929" w:type="dxa"/>
            <w:shd w:val="clear" w:color="auto" w:fill="auto"/>
          </w:tcPr>
          <w:p w14:paraId="79316C6E"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Metotreksatas (5 g/m</w:t>
            </w:r>
            <w:r w:rsidRPr="00776407">
              <w:rPr>
                <w:rFonts w:eastAsia="Calibri"/>
                <w:color w:val="000000"/>
                <w:sz w:val="22"/>
                <w:szCs w:val="22"/>
                <w:vertAlign w:val="superscript"/>
              </w:rPr>
              <w:t>2</w:t>
            </w:r>
            <w:r w:rsidRPr="00776407">
              <w:rPr>
                <w:rFonts w:eastAsia="Calibri"/>
                <w:color w:val="000000"/>
                <w:sz w:val="22"/>
                <w:szCs w:val="22"/>
              </w:rPr>
              <w:t xml:space="preserve"> per 24 valandas, IV): 1-ąją ir 15-ąją dienomis</w:t>
            </w:r>
          </w:p>
          <w:p w14:paraId="7819A80D"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Leukovorinas (75 mg/m</w:t>
            </w:r>
            <w:r w:rsidRPr="00776407">
              <w:rPr>
                <w:rFonts w:eastAsia="Calibri"/>
                <w:color w:val="000000"/>
                <w:sz w:val="22"/>
                <w:szCs w:val="22"/>
                <w:vertAlign w:val="superscript"/>
              </w:rPr>
              <w:t>2</w:t>
            </w:r>
            <w:r w:rsidRPr="00776407">
              <w:rPr>
                <w:rFonts w:eastAsia="Calibri"/>
                <w:color w:val="000000"/>
                <w:sz w:val="22"/>
                <w:szCs w:val="22"/>
              </w:rPr>
              <w:t xml:space="preserve"> po 36 valandų, IV; 15 mg/m</w:t>
            </w:r>
            <w:r w:rsidRPr="00776407">
              <w:rPr>
                <w:rFonts w:eastAsia="Calibri"/>
                <w:color w:val="000000"/>
                <w:sz w:val="22"/>
                <w:szCs w:val="22"/>
                <w:vertAlign w:val="superscript"/>
              </w:rPr>
              <w:t>2</w:t>
            </w:r>
            <w:r w:rsidRPr="00776407">
              <w:rPr>
                <w:rFonts w:eastAsia="Calibri"/>
                <w:color w:val="000000"/>
                <w:sz w:val="22"/>
                <w:szCs w:val="22"/>
              </w:rPr>
              <w:t xml:space="preserve"> IV ar PO q6h x 6 dozės) iii: 2, 3, 16 ir 17 dienomis</w:t>
            </w:r>
          </w:p>
          <w:p w14:paraId="0B50F0BD"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Trigubas IT gydymas (dozė priklausomai nuo amžiaus): 1-ąją ir 22-ąją dienomis</w:t>
            </w:r>
          </w:p>
          <w:p w14:paraId="3B30396F"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VP-16 (100 mg/m</w:t>
            </w:r>
            <w:r w:rsidRPr="00776407">
              <w:rPr>
                <w:rFonts w:eastAsia="Calibri"/>
                <w:color w:val="000000"/>
                <w:sz w:val="22"/>
                <w:szCs w:val="22"/>
                <w:vertAlign w:val="superscript"/>
              </w:rPr>
              <w:t>2</w:t>
            </w:r>
            <w:r w:rsidRPr="00776407">
              <w:rPr>
                <w:rFonts w:eastAsia="Calibri"/>
                <w:color w:val="000000"/>
                <w:sz w:val="22"/>
                <w:szCs w:val="22"/>
              </w:rPr>
              <w:t xml:space="preserve"> per parą, IV): 22</w:t>
            </w:r>
            <w:r w:rsidRPr="00776407">
              <w:rPr>
                <w:rFonts w:eastAsia="Calibri"/>
                <w:color w:val="000000"/>
                <w:sz w:val="22"/>
                <w:szCs w:val="22"/>
              </w:rPr>
              <w:noBreakHyphen/>
              <w:t>26 dienos</w:t>
            </w:r>
          </w:p>
          <w:p w14:paraId="441828B2"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CPM (300 mg/m</w:t>
            </w:r>
            <w:r w:rsidRPr="00776407">
              <w:rPr>
                <w:rFonts w:eastAsia="Calibri"/>
                <w:color w:val="000000"/>
                <w:sz w:val="22"/>
                <w:szCs w:val="22"/>
                <w:vertAlign w:val="superscript"/>
              </w:rPr>
              <w:t>2</w:t>
            </w:r>
            <w:r w:rsidRPr="00776407">
              <w:rPr>
                <w:rFonts w:eastAsia="Calibri"/>
                <w:color w:val="000000"/>
                <w:sz w:val="22"/>
                <w:szCs w:val="22"/>
              </w:rPr>
              <w:t xml:space="preserve"> per parą, IV): 22</w:t>
            </w:r>
            <w:r w:rsidRPr="00776407">
              <w:rPr>
                <w:rFonts w:eastAsia="Calibri"/>
                <w:color w:val="000000"/>
                <w:sz w:val="22"/>
                <w:szCs w:val="22"/>
              </w:rPr>
              <w:noBreakHyphen/>
              <w:t>26 dienos</w:t>
            </w:r>
          </w:p>
          <w:p w14:paraId="6DDE188A"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MESNA (150 mg/m</w:t>
            </w:r>
            <w:r w:rsidRPr="00776407">
              <w:rPr>
                <w:rFonts w:eastAsia="Calibri"/>
                <w:color w:val="000000"/>
                <w:sz w:val="22"/>
                <w:szCs w:val="22"/>
                <w:vertAlign w:val="superscript"/>
              </w:rPr>
              <w:t>2</w:t>
            </w:r>
            <w:r w:rsidRPr="00776407">
              <w:rPr>
                <w:rFonts w:eastAsia="Calibri"/>
                <w:color w:val="000000"/>
                <w:sz w:val="22"/>
                <w:szCs w:val="22"/>
              </w:rPr>
              <w:t xml:space="preserve"> per parą, IV): 22</w:t>
            </w:r>
            <w:r w:rsidRPr="00776407">
              <w:rPr>
                <w:rFonts w:eastAsia="Calibri"/>
                <w:color w:val="000000"/>
                <w:sz w:val="22"/>
                <w:szCs w:val="22"/>
              </w:rPr>
              <w:noBreakHyphen/>
              <w:t>26 dienos</w:t>
            </w:r>
          </w:p>
          <w:p w14:paraId="7C606B34"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G-CSF (5 μg/kg, SC): 27</w:t>
            </w:r>
            <w:r w:rsidRPr="00776407">
              <w:rPr>
                <w:rFonts w:eastAsia="Calibri"/>
                <w:color w:val="000000"/>
                <w:sz w:val="22"/>
                <w:szCs w:val="22"/>
              </w:rPr>
              <w:noBreakHyphen/>
              <w:t>36 dienos arba kol ANS bus &gt; 1500 nuo žemiausios reikšmės</w:t>
            </w:r>
          </w:p>
          <w:p w14:paraId="19FD9A83"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ARA-C (3 g/m</w:t>
            </w:r>
            <w:r w:rsidRPr="00776407">
              <w:rPr>
                <w:rFonts w:eastAsia="Calibri"/>
                <w:color w:val="000000"/>
                <w:sz w:val="22"/>
                <w:szCs w:val="22"/>
                <w:vertAlign w:val="superscript"/>
              </w:rPr>
              <w:t>2</w:t>
            </w:r>
            <w:r w:rsidRPr="00776407">
              <w:rPr>
                <w:rFonts w:eastAsia="Calibri"/>
                <w:color w:val="000000"/>
                <w:sz w:val="22"/>
                <w:szCs w:val="22"/>
              </w:rPr>
              <w:t>, q12h, IV): 43, 44 dienomis</w:t>
            </w:r>
          </w:p>
          <w:p w14:paraId="311D475E"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L-ASP (6000 TV/m</w:t>
            </w:r>
            <w:r w:rsidRPr="00776407">
              <w:rPr>
                <w:rFonts w:eastAsia="Calibri"/>
                <w:color w:val="000000"/>
                <w:sz w:val="22"/>
                <w:szCs w:val="22"/>
                <w:vertAlign w:val="superscript"/>
              </w:rPr>
              <w:t>2</w:t>
            </w:r>
            <w:r w:rsidRPr="00776407">
              <w:rPr>
                <w:rFonts w:eastAsia="Calibri"/>
                <w:color w:val="000000"/>
                <w:sz w:val="22"/>
                <w:szCs w:val="22"/>
              </w:rPr>
              <w:t>, IM): 44-ąją dieną</w:t>
            </w:r>
          </w:p>
        </w:tc>
      </w:tr>
      <w:tr w:rsidR="0019774C" w:rsidRPr="00776407" w14:paraId="0A4396CD" w14:textId="77777777" w:rsidTr="0019774C">
        <w:tc>
          <w:tcPr>
            <w:tcW w:w="2358" w:type="dxa"/>
            <w:shd w:val="clear" w:color="auto" w:fill="auto"/>
          </w:tcPr>
          <w:p w14:paraId="17118DC9"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Palaikomasis gydymas</w:t>
            </w:r>
          </w:p>
          <w:p w14:paraId="177927BF"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(8 savaičių trukmės ciklai)</w:t>
            </w:r>
          </w:p>
          <w:p w14:paraId="1DF6880E"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1–4 ciklai</w:t>
            </w:r>
          </w:p>
        </w:tc>
        <w:tc>
          <w:tcPr>
            <w:tcW w:w="6929" w:type="dxa"/>
            <w:shd w:val="clear" w:color="auto" w:fill="auto"/>
          </w:tcPr>
          <w:p w14:paraId="15CE475F"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MTX (5 g/m</w:t>
            </w:r>
            <w:r w:rsidRPr="00776407">
              <w:rPr>
                <w:rFonts w:eastAsia="Calibri"/>
                <w:color w:val="000000"/>
                <w:sz w:val="22"/>
                <w:szCs w:val="22"/>
                <w:vertAlign w:val="superscript"/>
              </w:rPr>
              <w:t>2</w:t>
            </w:r>
            <w:r w:rsidRPr="00776407">
              <w:rPr>
                <w:rFonts w:eastAsia="Calibri"/>
                <w:color w:val="000000"/>
                <w:sz w:val="22"/>
                <w:szCs w:val="22"/>
              </w:rPr>
              <w:t xml:space="preserve"> per 24 valandas, IV): 1-ąją dieną</w:t>
            </w:r>
          </w:p>
          <w:p w14:paraId="2594C987"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Leukovorinas (75 mg/m</w:t>
            </w:r>
            <w:r w:rsidRPr="00776407">
              <w:rPr>
                <w:rFonts w:eastAsia="Calibri"/>
                <w:color w:val="000000"/>
                <w:sz w:val="22"/>
                <w:szCs w:val="22"/>
                <w:vertAlign w:val="superscript"/>
              </w:rPr>
              <w:t>2</w:t>
            </w:r>
            <w:r w:rsidRPr="00776407">
              <w:rPr>
                <w:rFonts w:eastAsia="Calibri"/>
                <w:color w:val="000000"/>
                <w:sz w:val="22"/>
                <w:szCs w:val="22"/>
              </w:rPr>
              <w:t xml:space="preserve"> po 36 valandų, IV; 15 mg/m</w:t>
            </w:r>
            <w:r w:rsidRPr="00776407">
              <w:rPr>
                <w:rFonts w:eastAsia="Calibri"/>
                <w:color w:val="000000"/>
                <w:sz w:val="22"/>
                <w:szCs w:val="22"/>
                <w:vertAlign w:val="superscript"/>
              </w:rPr>
              <w:t>2</w:t>
            </w:r>
            <w:r w:rsidRPr="00776407">
              <w:rPr>
                <w:rFonts w:eastAsia="Calibri"/>
                <w:color w:val="000000"/>
                <w:sz w:val="22"/>
                <w:szCs w:val="22"/>
              </w:rPr>
              <w:t xml:space="preserve"> IV ar PO q6h x 6 dozės) iii: 2-ąją ir 3-iąją dienomis</w:t>
            </w:r>
          </w:p>
          <w:p w14:paraId="5803F47E"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Trigubas IT gydymas (dozė priklausomai nuo amžiaus): 1, 29 dienomis</w:t>
            </w:r>
          </w:p>
          <w:p w14:paraId="2AC7654F"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VCR (1,5 mg/m</w:t>
            </w:r>
            <w:r w:rsidRPr="00776407">
              <w:rPr>
                <w:rFonts w:eastAsia="Calibri"/>
                <w:color w:val="000000"/>
                <w:sz w:val="22"/>
                <w:szCs w:val="22"/>
                <w:vertAlign w:val="superscript"/>
              </w:rPr>
              <w:t>2</w:t>
            </w:r>
            <w:r w:rsidRPr="00776407">
              <w:rPr>
                <w:rFonts w:eastAsia="Calibri"/>
                <w:color w:val="000000"/>
                <w:sz w:val="22"/>
                <w:szCs w:val="22"/>
              </w:rPr>
              <w:t>, IV): 1, 29 dienomis</w:t>
            </w:r>
          </w:p>
          <w:p w14:paraId="3E8651E1"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DEX (6 mg/m</w:t>
            </w:r>
            <w:r w:rsidRPr="00776407">
              <w:rPr>
                <w:rFonts w:eastAsia="Calibri"/>
                <w:color w:val="000000"/>
                <w:sz w:val="22"/>
                <w:szCs w:val="22"/>
                <w:vertAlign w:val="superscript"/>
              </w:rPr>
              <w:t>2</w:t>
            </w:r>
            <w:r w:rsidRPr="00776407">
              <w:rPr>
                <w:rFonts w:eastAsia="Calibri"/>
                <w:color w:val="000000"/>
                <w:sz w:val="22"/>
                <w:szCs w:val="22"/>
              </w:rPr>
              <w:t xml:space="preserve"> per parą, PO): 1</w:t>
            </w:r>
            <w:r w:rsidRPr="00776407">
              <w:rPr>
                <w:rFonts w:eastAsia="Calibri"/>
                <w:color w:val="000000"/>
                <w:sz w:val="22"/>
                <w:szCs w:val="22"/>
              </w:rPr>
              <w:noBreakHyphen/>
              <w:t>5 dienos; 29</w:t>
            </w:r>
            <w:r w:rsidRPr="00776407">
              <w:rPr>
                <w:rFonts w:eastAsia="Calibri"/>
                <w:color w:val="000000"/>
                <w:sz w:val="22"/>
                <w:szCs w:val="22"/>
              </w:rPr>
              <w:noBreakHyphen/>
              <w:t>33 dienos</w:t>
            </w:r>
          </w:p>
          <w:p w14:paraId="41FFF7D5"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6-MP (75 mg/m</w:t>
            </w:r>
            <w:r w:rsidRPr="00776407">
              <w:rPr>
                <w:rFonts w:eastAsia="Calibri"/>
                <w:color w:val="000000"/>
                <w:sz w:val="22"/>
                <w:szCs w:val="22"/>
                <w:vertAlign w:val="superscript"/>
              </w:rPr>
              <w:t>2</w:t>
            </w:r>
            <w:r w:rsidRPr="00776407">
              <w:rPr>
                <w:rFonts w:eastAsia="Calibri"/>
                <w:color w:val="000000"/>
                <w:sz w:val="22"/>
                <w:szCs w:val="22"/>
              </w:rPr>
              <w:t xml:space="preserve"> per parą, PO): 8-28 dienos</w:t>
            </w:r>
          </w:p>
          <w:p w14:paraId="13D39114"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Metotreksatas (20 mg/m</w:t>
            </w:r>
            <w:r w:rsidRPr="00776407">
              <w:rPr>
                <w:rFonts w:eastAsia="Calibri"/>
                <w:color w:val="000000"/>
                <w:sz w:val="22"/>
                <w:szCs w:val="22"/>
                <w:vertAlign w:val="superscript"/>
              </w:rPr>
              <w:t>2</w:t>
            </w:r>
            <w:r w:rsidRPr="00776407">
              <w:rPr>
                <w:rFonts w:eastAsia="Calibri"/>
                <w:color w:val="000000"/>
                <w:sz w:val="22"/>
                <w:szCs w:val="22"/>
              </w:rPr>
              <w:t xml:space="preserve"> per savaitę, PO): 8, 15, 22 dienomis</w:t>
            </w:r>
          </w:p>
          <w:p w14:paraId="367178EB"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VP-16 (100 mg/m</w:t>
            </w:r>
            <w:r w:rsidRPr="00776407">
              <w:rPr>
                <w:rFonts w:eastAsia="Calibri"/>
                <w:color w:val="000000"/>
                <w:sz w:val="22"/>
                <w:szCs w:val="22"/>
                <w:vertAlign w:val="superscript"/>
              </w:rPr>
              <w:t>2</w:t>
            </w:r>
            <w:r w:rsidRPr="00776407">
              <w:rPr>
                <w:rFonts w:eastAsia="Calibri"/>
                <w:color w:val="000000"/>
                <w:sz w:val="22"/>
                <w:szCs w:val="22"/>
              </w:rPr>
              <w:t>, IV): 29</w:t>
            </w:r>
            <w:r w:rsidRPr="00776407">
              <w:rPr>
                <w:rFonts w:eastAsia="Calibri"/>
                <w:color w:val="000000"/>
                <w:sz w:val="22"/>
                <w:szCs w:val="22"/>
              </w:rPr>
              <w:noBreakHyphen/>
              <w:t>33 dienos</w:t>
            </w:r>
          </w:p>
          <w:p w14:paraId="3A38A23E"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CPM (300 mg/m</w:t>
            </w:r>
            <w:r w:rsidRPr="00776407">
              <w:rPr>
                <w:rFonts w:eastAsia="Calibri"/>
                <w:color w:val="000000"/>
                <w:sz w:val="22"/>
                <w:szCs w:val="22"/>
                <w:vertAlign w:val="superscript"/>
              </w:rPr>
              <w:t>2</w:t>
            </w:r>
            <w:r w:rsidRPr="00776407">
              <w:rPr>
                <w:rFonts w:eastAsia="Calibri"/>
                <w:color w:val="000000"/>
                <w:sz w:val="22"/>
                <w:szCs w:val="22"/>
              </w:rPr>
              <w:t>, IV): 29</w:t>
            </w:r>
            <w:r w:rsidRPr="00776407">
              <w:rPr>
                <w:rFonts w:eastAsia="Calibri"/>
                <w:color w:val="000000"/>
                <w:sz w:val="22"/>
                <w:szCs w:val="22"/>
              </w:rPr>
              <w:noBreakHyphen/>
              <w:t>33 dienos</w:t>
            </w:r>
          </w:p>
          <w:p w14:paraId="29B4FA51"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MESNA IV 29</w:t>
            </w:r>
            <w:r w:rsidRPr="00776407">
              <w:rPr>
                <w:rFonts w:eastAsia="Calibri"/>
                <w:color w:val="000000"/>
                <w:sz w:val="22"/>
                <w:szCs w:val="22"/>
              </w:rPr>
              <w:noBreakHyphen/>
              <w:t>33 dienos</w:t>
            </w:r>
          </w:p>
          <w:p w14:paraId="1EF3CE71"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G-CSF (5 μg/kg, SC): 34</w:t>
            </w:r>
            <w:r w:rsidRPr="00776407">
              <w:rPr>
                <w:rFonts w:eastAsia="Calibri"/>
                <w:color w:val="000000"/>
                <w:sz w:val="22"/>
                <w:szCs w:val="22"/>
              </w:rPr>
              <w:noBreakHyphen/>
              <w:t>43 dienos</w:t>
            </w:r>
          </w:p>
        </w:tc>
      </w:tr>
      <w:tr w:rsidR="0019774C" w:rsidRPr="00776407" w14:paraId="6B2C3F0A" w14:textId="77777777" w:rsidTr="0019774C">
        <w:tc>
          <w:tcPr>
            <w:tcW w:w="2358" w:type="dxa"/>
            <w:shd w:val="clear" w:color="auto" w:fill="auto"/>
          </w:tcPr>
          <w:p w14:paraId="5DFCF077"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Palaikomasis gydymas</w:t>
            </w:r>
          </w:p>
          <w:p w14:paraId="4BA1F5B3"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(8 savaičių trukmės ciklai)</w:t>
            </w:r>
          </w:p>
          <w:p w14:paraId="1F5BA028"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5-asis ciklas</w:t>
            </w:r>
          </w:p>
        </w:tc>
        <w:tc>
          <w:tcPr>
            <w:tcW w:w="6929" w:type="dxa"/>
            <w:shd w:val="clear" w:color="auto" w:fill="auto"/>
          </w:tcPr>
          <w:p w14:paraId="191BE6FD"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Kaukolės švitinimas (tik 5-asis blokas)</w:t>
            </w:r>
          </w:p>
          <w:p w14:paraId="5E794430"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12 Gy per 8 frakcijas visiems pacientams, kuriems nustatyta CNS1 ir CNS2 diagnozė</w:t>
            </w:r>
          </w:p>
          <w:p w14:paraId="6D39BBD4"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18 Gy per 10 frakcijų pacientams, kuriems nustatyta CNS3 diagnozė</w:t>
            </w:r>
          </w:p>
          <w:p w14:paraId="5AE79E6A"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VCR (1,5 mg/m</w:t>
            </w:r>
            <w:r w:rsidRPr="00776407">
              <w:rPr>
                <w:rFonts w:eastAsia="Calibri"/>
                <w:color w:val="000000"/>
                <w:sz w:val="22"/>
                <w:szCs w:val="22"/>
                <w:vertAlign w:val="superscript"/>
              </w:rPr>
              <w:t>2</w:t>
            </w:r>
            <w:r w:rsidRPr="00776407">
              <w:rPr>
                <w:rFonts w:eastAsia="Calibri"/>
                <w:color w:val="000000"/>
                <w:sz w:val="22"/>
                <w:szCs w:val="22"/>
              </w:rPr>
              <w:t xml:space="preserve"> per parą, IV): 1, 29 dienomis</w:t>
            </w:r>
          </w:p>
          <w:p w14:paraId="02B51FA7"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DEX (6 mg/m</w:t>
            </w:r>
            <w:r w:rsidRPr="00776407">
              <w:rPr>
                <w:rFonts w:eastAsia="Calibri"/>
                <w:color w:val="000000"/>
                <w:sz w:val="22"/>
                <w:szCs w:val="22"/>
                <w:vertAlign w:val="superscript"/>
              </w:rPr>
              <w:t>2</w:t>
            </w:r>
            <w:r w:rsidRPr="00776407">
              <w:rPr>
                <w:rFonts w:eastAsia="Calibri"/>
                <w:color w:val="000000"/>
                <w:sz w:val="22"/>
                <w:szCs w:val="22"/>
              </w:rPr>
              <w:t xml:space="preserve"> per parą, PO): 1</w:t>
            </w:r>
            <w:r w:rsidRPr="00776407">
              <w:rPr>
                <w:rFonts w:eastAsia="Calibri"/>
                <w:color w:val="000000"/>
                <w:sz w:val="22"/>
                <w:szCs w:val="22"/>
              </w:rPr>
              <w:noBreakHyphen/>
              <w:t>5 dienos; 29</w:t>
            </w:r>
            <w:r w:rsidRPr="00776407">
              <w:rPr>
                <w:rFonts w:eastAsia="Calibri"/>
                <w:color w:val="000000"/>
                <w:sz w:val="22"/>
                <w:szCs w:val="22"/>
              </w:rPr>
              <w:noBreakHyphen/>
              <w:t>33 dienos</w:t>
            </w:r>
          </w:p>
          <w:p w14:paraId="798C06A8"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6-MP (75 mg/m</w:t>
            </w:r>
            <w:r w:rsidRPr="00776407">
              <w:rPr>
                <w:rFonts w:eastAsia="Calibri"/>
                <w:color w:val="000000"/>
                <w:sz w:val="22"/>
                <w:szCs w:val="22"/>
                <w:vertAlign w:val="superscript"/>
              </w:rPr>
              <w:t>2</w:t>
            </w:r>
            <w:r w:rsidRPr="00776407">
              <w:rPr>
                <w:rFonts w:eastAsia="Calibri"/>
                <w:color w:val="000000"/>
                <w:sz w:val="22"/>
                <w:szCs w:val="22"/>
              </w:rPr>
              <w:t xml:space="preserve"> per parą, PO): 11</w:t>
            </w:r>
            <w:r w:rsidRPr="00776407">
              <w:rPr>
                <w:rFonts w:eastAsia="Calibri"/>
                <w:color w:val="000000"/>
                <w:sz w:val="22"/>
                <w:szCs w:val="22"/>
              </w:rPr>
              <w:noBreakHyphen/>
              <w:t>56 dienos (neskirti 6-MP 6</w:t>
            </w:r>
            <w:r w:rsidRPr="00776407">
              <w:rPr>
                <w:rFonts w:eastAsia="Calibri"/>
                <w:color w:val="000000"/>
                <w:sz w:val="22"/>
                <w:szCs w:val="22"/>
              </w:rPr>
              <w:noBreakHyphen/>
              <w:t>10-ąją dienomis, kai taikomas kaukolės švitinimas, pradedant nuo pirmosios 5-ojo ciklo dienos. Pradėti skirti 6-MP pirmąją dieną po kaukolės švitinimo pabaigos.)</w:t>
            </w:r>
          </w:p>
          <w:p w14:paraId="0BE855B2"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Metotreksatas (20 mg/m</w:t>
            </w:r>
            <w:r w:rsidRPr="00776407">
              <w:rPr>
                <w:rFonts w:eastAsia="Calibri"/>
                <w:color w:val="000000"/>
                <w:sz w:val="22"/>
                <w:szCs w:val="22"/>
                <w:vertAlign w:val="superscript"/>
              </w:rPr>
              <w:t>2</w:t>
            </w:r>
            <w:r w:rsidRPr="00776407">
              <w:rPr>
                <w:rFonts w:eastAsia="Calibri"/>
                <w:color w:val="000000"/>
                <w:sz w:val="22"/>
                <w:szCs w:val="22"/>
              </w:rPr>
              <w:t xml:space="preserve"> per savaitę, PO): 8, 15, 22, 29, 36, 43, 50 dienomis</w:t>
            </w:r>
          </w:p>
        </w:tc>
      </w:tr>
      <w:tr w:rsidR="0019774C" w:rsidRPr="00776407" w14:paraId="795A7A08" w14:textId="77777777" w:rsidTr="0019774C">
        <w:tc>
          <w:tcPr>
            <w:tcW w:w="2358" w:type="dxa"/>
            <w:shd w:val="clear" w:color="auto" w:fill="auto"/>
          </w:tcPr>
          <w:p w14:paraId="1B7B5760"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Palaikomasis gydymas</w:t>
            </w:r>
          </w:p>
          <w:p w14:paraId="65D3B159"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(8 savaičių trukmės ciklai)</w:t>
            </w:r>
          </w:p>
          <w:p w14:paraId="05479B5F"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6</w:t>
            </w:r>
            <w:r w:rsidRPr="00776407">
              <w:rPr>
                <w:rFonts w:eastAsia="Calibri"/>
                <w:color w:val="000000"/>
                <w:sz w:val="22"/>
                <w:szCs w:val="22"/>
              </w:rPr>
              <w:noBreakHyphen/>
              <w:t>12 ciklai</w:t>
            </w:r>
          </w:p>
        </w:tc>
        <w:tc>
          <w:tcPr>
            <w:tcW w:w="6929" w:type="dxa"/>
            <w:shd w:val="clear" w:color="auto" w:fill="auto"/>
          </w:tcPr>
          <w:p w14:paraId="27203E8A"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VCR (1,5 mg/m</w:t>
            </w:r>
            <w:r w:rsidRPr="00776407">
              <w:rPr>
                <w:rFonts w:eastAsia="Calibri"/>
                <w:color w:val="000000"/>
                <w:sz w:val="22"/>
                <w:szCs w:val="22"/>
                <w:vertAlign w:val="superscript"/>
              </w:rPr>
              <w:t>2</w:t>
            </w:r>
            <w:r w:rsidRPr="00776407">
              <w:rPr>
                <w:rFonts w:eastAsia="Calibri"/>
                <w:color w:val="000000"/>
                <w:sz w:val="22"/>
                <w:szCs w:val="22"/>
              </w:rPr>
              <w:t xml:space="preserve"> per parą, IV): 1, 29 dienomis</w:t>
            </w:r>
          </w:p>
          <w:p w14:paraId="1B0C025C"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DEX (6 mg/m</w:t>
            </w:r>
            <w:r w:rsidRPr="00776407">
              <w:rPr>
                <w:rFonts w:eastAsia="Calibri"/>
                <w:color w:val="000000"/>
                <w:sz w:val="22"/>
                <w:szCs w:val="22"/>
                <w:vertAlign w:val="superscript"/>
              </w:rPr>
              <w:t>2</w:t>
            </w:r>
            <w:r w:rsidRPr="00776407">
              <w:rPr>
                <w:rFonts w:eastAsia="Calibri"/>
                <w:color w:val="000000"/>
                <w:sz w:val="22"/>
                <w:szCs w:val="22"/>
              </w:rPr>
              <w:t xml:space="preserve"> per parą, PO): 1</w:t>
            </w:r>
            <w:r w:rsidRPr="00776407">
              <w:rPr>
                <w:rFonts w:eastAsia="Calibri"/>
                <w:color w:val="000000"/>
                <w:sz w:val="22"/>
                <w:szCs w:val="22"/>
              </w:rPr>
              <w:noBreakHyphen/>
              <w:t>5 dienos; 29</w:t>
            </w:r>
            <w:r w:rsidRPr="00776407">
              <w:rPr>
                <w:rFonts w:eastAsia="Calibri"/>
                <w:color w:val="000000"/>
                <w:sz w:val="22"/>
                <w:szCs w:val="22"/>
              </w:rPr>
              <w:noBreakHyphen/>
              <w:t>33 dienos</w:t>
            </w:r>
          </w:p>
          <w:p w14:paraId="36C34F2D"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6-MP (75 mg/m</w:t>
            </w:r>
            <w:r w:rsidRPr="00776407">
              <w:rPr>
                <w:rFonts w:eastAsia="Calibri"/>
                <w:color w:val="000000"/>
                <w:sz w:val="22"/>
                <w:szCs w:val="22"/>
                <w:vertAlign w:val="superscript"/>
              </w:rPr>
              <w:t>2</w:t>
            </w:r>
            <w:r w:rsidRPr="00776407">
              <w:rPr>
                <w:rFonts w:eastAsia="Calibri"/>
                <w:color w:val="000000"/>
                <w:sz w:val="22"/>
                <w:szCs w:val="22"/>
              </w:rPr>
              <w:t xml:space="preserve"> per parą, PO): 1</w:t>
            </w:r>
            <w:r w:rsidRPr="00776407">
              <w:rPr>
                <w:rFonts w:eastAsia="Calibri"/>
                <w:color w:val="000000"/>
                <w:sz w:val="22"/>
                <w:szCs w:val="22"/>
              </w:rPr>
              <w:noBreakHyphen/>
              <w:t>56 dienos</w:t>
            </w:r>
          </w:p>
          <w:p w14:paraId="7DC13D52"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Metotreksatas (20 mg/m</w:t>
            </w:r>
            <w:r w:rsidRPr="00776407">
              <w:rPr>
                <w:rFonts w:eastAsia="Calibri"/>
                <w:color w:val="000000"/>
                <w:sz w:val="22"/>
                <w:szCs w:val="22"/>
                <w:vertAlign w:val="superscript"/>
              </w:rPr>
              <w:t>2</w:t>
            </w:r>
            <w:r w:rsidRPr="00776407">
              <w:rPr>
                <w:rFonts w:eastAsia="Calibri"/>
                <w:color w:val="000000"/>
                <w:sz w:val="22"/>
                <w:szCs w:val="22"/>
              </w:rPr>
              <w:t xml:space="preserve"> per savaitę, PO): 1, 8, 15, 22, 29, 36, 43, 50 dienomis</w:t>
            </w:r>
          </w:p>
        </w:tc>
      </w:tr>
    </w:tbl>
    <w:p w14:paraId="7FBF081A" w14:textId="10FE286C" w:rsidR="003050FE" w:rsidRPr="00776407" w:rsidRDefault="003050FE" w:rsidP="003050FE">
      <w:pPr>
        <w:autoSpaceDE w:val="0"/>
        <w:autoSpaceDN w:val="0"/>
        <w:adjustRightInd w:val="0"/>
        <w:rPr>
          <w:rFonts w:eastAsia="Calibri"/>
          <w:color w:val="000000"/>
          <w:sz w:val="22"/>
          <w:szCs w:val="22"/>
        </w:rPr>
      </w:pPr>
      <w:r w:rsidRPr="00776407">
        <w:rPr>
          <w:rFonts w:eastAsia="Calibri"/>
          <w:color w:val="000000"/>
          <w:sz w:val="22"/>
          <w:szCs w:val="22"/>
        </w:rPr>
        <w:t>G-CSF = granuliocitų kolonijas stimuliuojantis faktorius, VP-16 = etoposidas, MTX = metotreksatas, IV = į veną, SC = po oda, IT = intratekaliai (į povoratinklinę ertmę), PO = per burną, IM = į raumenis, ARA</w:t>
      </w:r>
      <w:r w:rsidRPr="00776407">
        <w:rPr>
          <w:rFonts w:eastAsia="Calibri"/>
          <w:color w:val="000000"/>
          <w:sz w:val="22"/>
          <w:szCs w:val="22"/>
        </w:rPr>
        <w:noBreakHyphen/>
        <w:t>C = citarabinas, CPM = ciklofosfamidas, VCR = vinkristinas, DEX = deksametazonas, DAUN = daunorubicinas, 6-MP = 6</w:t>
      </w:r>
      <w:r w:rsidRPr="00776407">
        <w:rPr>
          <w:rFonts w:eastAsia="Calibri"/>
          <w:color w:val="000000"/>
          <w:sz w:val="22"/>
          <w:szCs w:val="22"/>
        </w:rPr>
        <w:noBreakHyphen/>
        <w:t>merkaptopurinas, E.Coli L</w:t>
      </w:r>
      <w:r w:rsidRPr="00776407">
        <w:rPr>
          <w:rFonts w:eastAsia="Calibri"/>
          <w:color w:val="000000"/>
          <w:sz w:val="22"/>
          <w:szCs w:val="22"/>
        </w:rPr>
        <w:noBreakHyphen/>
        <w:t>ASP = L</w:t>
      </w:r>
      <w:r w:rsidRPr="00776407">
        <w:rPr>
          <w:rFonts w:eastAsia="Calibri"/>
          <w:color w:val="000000"/>
          <w:sz w:val="22"/>
          <w:szCs w:val="22"/>
        </w:rPr>
        <w:noBreakHyphen/>
        <w:t>asparaginazė, PEG</w:t>
      </w:r>
      <w:r w:rsidRPr="00776407">
        <w:rPr>
          <w:rFonts w:eastAsia="Calibri"/>
          <w:color w:val="000000"/>
          <w:sz w:val="22"/>
          <w:szCs w:val="22"/>
        </w:rPr>
        <w:noBreakHyphen/>
        <w:t>ASP = PEG asparaginazė, MESNA = 2</w:t>
      </w:r>
      <w:r w:rsidRPr="00776407">
        <w:rPr>
          <w:rFonts w:eastAsia="Calibri"/>
          <w:color w:val="000000"/>
          <w:sz w:val="22"/>
          <w:szCs w:val="22"/>
        </w:rPr>
        <w:noBreakHyphen/>
        <w:t>merkaptoetano natrio sulfonatas, iii = arba kol MTX koncentracija bus &lt; 0,1 µM, q6h = kas 6 valandas, Gy = Grėjus.</w:t>
      </w:r>
    </w:p>
    <w:p w14:paraId="241E1DF9" w14:textId="77777777" w:rsidR="0019774C" w:rsidRPr="00776407" w:rsidRDefault="0019774C" w:rsidP="0019774C">
      <w:pPr>
        <w:autoSpaceDE w:val="0"/>
        <w:autoSpaceDN w:val="0"/>
        <w:adjustRightInd w:val="0"/>
        <w:rPr>
          <w:rFonts w:eastAsia="Calibri"/>
          <w:color w:val="000000"/>
          <w:sz w:val="22"/>
          <w:szCs w:val="22"/>
        </w:rPr>
      </w:pPr>
    </w:p>
    <w:p w14:paraId="3270A762" w14:textId="77777777" w:rsidR="0019774C" w:rsidRPr="00776407" w:rsidRDefault="0019774C" w:rsidP="0019774C">
      <w:pPr>
        <w:autoSpaceDE w:val="0"/>
        <w:autoSpaceDN w:val="0"/>
        <w:adjustRightInd w:val="0"/>
        <w:rPr>
          <w:rFonts w:eastAsia="Calibri"/>
          <w:color w:val="000000"/>
          <w:sz w:val="22"/>
          <w:szCs w:val="22"/>
        </w:rPr>
      </w:pPr>
      <w:r w:rsidRPr="00776407">
        <w:rPr>
          <w:rFonts w:eastAsia="Calibri"/>
          <w:color w:val="000000"/>
          <w:sz w:val="22"/>
          <w:szCs w:val="22"/>
        </w:rPr>
        <w:t>Atliktas AIT07 tyrimas – daugiacentris, atviras, atsitiktinių imčių, II/III fazės tyrimas, į kurį buvo įtraukti 128 pacientai (nuo 1 iki &lt; 18 metų); pacientams buvo skiriamas gydymas imatinibu kartu su chemoterapija. Šio tyrimo metu gauti saugumo duomenys, atrodo, atitinka imatinibo saugumo savybes skiriant Ph+ ŪLL sergantiems pacientams.</w:t>
      </w:r>
    </w:p>
    <w:p w14:paraId="26D230D9" w14:textId="77777777" w:rsidR="006741F3" w:rsidRPr="00776407" w:rsidRDefault="006741F3" w:rsidP="006741F3">
      <w:pPr>
        <w:autoSpaceDE w:val="0"/>
        <w:autoSpaceDN w:val="0"/>
        <w:adjustRightInd w:val="0"/>
        <w:rPr>
          <w:rFonts w:eastAsia="Calibri"/>
          <w:color w:val="000000"/>
          <w:sz w:val="22"/>
          <w:szCs w:val="22"/>
        </w:rPr>
      </w:pPr>
    </w:p>
    <w:p w14:paraId="68A8AAEE" w14:textId="77777777" w:rsidR="00FC39B6" w:rsidRPr="00776407" w:rsidRDefault="00FC39B6" w:rsidP="006741F3">
      <w:pPr>
        <w:autoSpaceDE w:val="0"/>
        <w:autoSpaceDN w:val="0"/>
        <w:adjustRightInd w:val="0"/>
        <w:rPr>
          <w:rFonts w:eastAsia="Calibri"/>
          <w:color w:val="000000"/>
          <w:sz w:val="22"/>
          <w:szCs w:val="22"/>
        </w:rPr>
      </w:pPr>
      <w:r w:rsidRPr="00776407">
        <w:rPr>
          <w:i/>
          <w:iCs/>
          <w:sz w:val="22"/>
          <w:szCs w:val="22"/>
        </w:rPr>
        <w:t xml:space="preserve">Recidyvavusi ar refrakterinė Ph+ ŪLL: </w:t>
      </w:r>
      <w:r w:rsidRPr="00776407">
        <w:rPr>
          <w:sz w:val="22"/>
          <w:szCs w:val="22"/>
        </w:rPr>
        <w:t>53</w:t>
      </w:r>
      <w:r w:rsidR="004709C1" w:rsidRPr="00776407">
        <w:rPr>
          <w:sz w:val="22"/>
          <w:szCs w:val="22"/>
        </w:rPr>
        <w:t> </w:t>
      </w:r>
      <w:r w:rsidRPr="00776407">
        <w:rPr>
          <w:sz w:val="22"/>
          <w:szCs w:val="22"/>
        </w:rPr>
        <w:t>pacientams iš 411, kuriuos buvo galima vertinti dėl atsako, sergantiems recidyvuojančia ar refrakterine Ph+ ŪLL, vartojusiems vien tik imatinibą, hematologinio atsako dažnis buvo 30</w:t>
      </w:r>
      <w:r w:rsidR="004709C1" w:rsidRPr="00776407">
        <w:rPr>
          <w:sz w:val="22"/>
          <w:szCs w:val="22"/>
        </w:rPr>
        <w:t> </w:t>
      </w:r>
      <w:r w:rsidRPr="00776407">
        <w:rPr>
          <w:sz w:val="22"/>
          <w:szCs w:val="22"/>
        </w:rPr>
        <w:t>% (pilno – 9</w:t>
      </w:r>
      <w:r w:rsidR="004709C1" w:rsidRPr="00776407">
        <w:rPr>
          <w:sz w:val="22"/>
          <w:szCs w:val="22"/>
        </w:rPr>
        <w:t> </w:t>
      </w:r>
      <w:r w:rsidRPr="00776407">
        <w:rPr>
          <w:sz w:val="22"/>
          <w:szCs w:val="22"/>
        </w:rPr>
        <w:t>%), o didžiojo citogenetinio atsako dažnis buvo 23</w:t>
      </w:r>
      <w:r w:rsidR="004709C1" w:rsidRPr="00776407">
        <w:rPr>
          <w:sz w:val="22"/>
          <w:szCs w:val="22"/>
        </w:rPr>
        <w:t> </w:t>
      </w:r>
      <w:r w:rsidRPr="00776407">
        <w:rPr>
          <w:sz w:val="22"/>
          <w:szCs w:val="22"/>
        </w:rPr>
        <w:t>%. (Reikia pažymėti, kad 353</w:t>
      </w:r>
      <w:r w:rsidR="004709C1" w:rsidRPr="00776407">
        <w:rPr>
          <w:sz w:val="22"/>
          <w:szCs w:val="22"/>
        </w:rPr>
        <w:t> </w:t>
      </w:r>
      <w:r w:rsidRPr="00776407">
        <w:rPr>
          <w:sz w:val="22"/>
          <w:szCs w:val="22"/>
        </w:rPr>
        <w:t>pacientai iš 411, dalyvavo išplėstinėje gydymo programoje ir nebuvo renka</w:t>
      </w:r>
      <w:r w:rsidR="00B93D33" w:rsidRPr="00776407">
        <w:rPr>
          <w:sz w:val="22"/>
          <w:szCs w:val="22"/>
        </w:rPr>
        <w:t>mi pirminiai jų atsako duomenys</w:t>
      </w:r>
      <w:r w:rsidRPr="00776407">
        <w:rPr>
          <w:sz w:val="22"/>
          <w:szCs w:val="22"/>
        </w:rPr>
        <w:t>)</w:t>
      </w:r>
      <w:r w:rsidR="00B93D33" w:rsidRPr="00776407">
        <w:rPr>
          <w:sz w:val="22"/>
          <w:szCs w:val="22"/>
        </w:rPr>
        <w:t>.</w:t>
      </w:r>
      <w:r w:rsidRPr="00776407">
        <w:rPr>
          <w:sz w:val="22"/>
          <w:szCs w:val="22"/>
        </w:rPr>
        <w:t xml:space="preserve"> Laiko iki progresavimo mediana bendrojoje 411</w:t>
      </w:r>
      <w:r w:rsidR="004709C1" w:rsidRPr="00776407">
        <w:rPr>
          <w:sz w:val="22"/>
          <w:szCs w:val="22"/>
        </w:rPr>
        <w:t> </w:t>
      </w:r>
      <w:r w:rsidRPr="00776407">
        <w:rPr>
          <w:sz w:val="22"/>
          <w:szCs w:val="22"/>
        </w:rPr>
        <w:t xml:space="preserve"> pacientų, kuriems buvo recidyvavusi ar refrakterinė Ph+ ŪLL, populiacijoje buvo nuo 2,6 iki 3,1</w:t>
      </w:r>
      <w:r w:rsidR="004709C1" w:rsidRPr="00776407">
        <w:rPr>
          <w:sz w:val="22"/>
          <w:szCs w:val="22"/>
        </w:rPr>
        <w:t> </w:t>
      </w:r>
      <w:r w:rsidRPr="00776407">
        <w:rPr>
          <w:sz w:val="22"/>
          <w:szCs w:val="22"/>
        </w:rPr>
        <w:t>mėnesių, o 401</w:t>
      </w:r>
      <w:r w:rsidR="004709C1" w:rsidRPr="00776407">
        <w:rPr>
          <w:sz w:val="22"/>
          <w:szCs w:val="22"/>
        </w:rPr>
        <w:t> </w:t>
      </w:r>
      <w:r w:rsidRPr="00776407">
        <w:rPr>
          <w:sz w:val="22"/>
          <w:szCs w:val="22"/>
        </w:rPr>
        <w:t>paciento, kuriuos buvo galima įvertinti, gyvenimo trukmės mediana buvo nuo 4,9 iki 9</w:t>
      </w:r>
      <w:r w:rsidR="004709C1" w:rsidRPr="00776407">
        <w:rPr>
          <w:sz w:val="22"/>
          <w:szCs w:val="22"/>
        </w:rPr>
        <w:t> </w:t>
      </w:r>
      <w:r w:rsidRPr="00776407">
        <w:rPr>
          <w:sz w:val="22"/>
          <w:szCs w:val="22"/>
        </w:rPr>
        <w:t>mėnesių. Duomenys buvo panašūs, kai analizė buvo pakartota įtraukiant tik 55</w:t>
      </w:r>
      <w:r w:rsidR="004709C1" w:rsidRPr="00776407">
        <w:rPr>
          <w:sz w:val="22"/>
          <w:szCs w:val="22"/>
        </w:rPr>
        <w:t> </w:t>
      </w:r>
      <w:r w:rsidRPr="00776407">
        <w:rPr>
          <w:sz w:val="22"/>
          <w:szCs w:val="22"/>
        </w:rPr>
        <w:t>metų amžiaus ar vyresnius pacientus</w:t>
      </w:r>
      <w:r w:rsidR="002B117F" w:rsidRPr="00776407">
        <w:rPr>
          <w:sz w:val="22"/>
          <w:szCs w:val="22"/>
        </w:rPr>
        <w:t>.</w:t>
      </w:r>
    </w:p>
    <w:p w14:paraId="29B24BD9" w14:textId="77777777" w:rsidR="00FC39B6" w:rsidRPr="00776407" w:rsidRDefault="00FC39B6" w:rsidP="006741F3">
      <w:pPr>
        <w:autoSpaceDE w:val="0"/>
        <w:autoSpaceDN w:val="0"/>
        <w:adjustRightInd w:val="0"/>
        <w:rPr>
          <w:rFonts w:eastAsia="Calibri"/>
          <w:color w:val="000000"/>
          <w:sz w:val="22"/>
          <w:szCs w:val="22"/>
        </w:rPr>
      </w:pPr>
    </w:p>
    <w:p w14:paraId="38148013" w14:textId="77777777" w:rsidR="004709C1" w:rsidRPr="00776407" w:rsidRDefault="004709C1" w:rsidP="004709C1">
      <w:pPr>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Klinikiniai MDS ir MPL tyrimai </w:t>
      </w:r>
    </w:p>
    <w:p w14:paraId="0582343E" w14:textId="77777777" w:rsidR="00A90A07" w:rsidRPr="00776407" w:rsidRDefault="004709C1" w:rsidP="004709C1">
      <w:pPr>
        <w:autoSpaceDE w:val="0"/>
        <w:autoSpaceDN w:val="0"/>
        <w:adjustRightInd w:val="0"/>
        <w:rPr>
          <w:rFonts w:eastAsia="Calibri"/>
          <w:color w:val="000000"/>
          <w:sz w:val="22"/>
          <w:szCs w:val="22"/>
        </w:rPr>
      </w:pPr>
      <w:r w:rsidRPr="00776407">
        <w:rPr>
          <w:rFonts w:eastAsia="Calibri"/>
          <w:color w:val="000000"/>
          <w:sz w:val="22"/>
          <w:szCs w:val="22"/>
        </w:rPr>
        <w:t xml:space="preserve">Šių ligų gydymo imatinibu patirtis yra labai ribota ir remiasi hematologinio ir citogenetinio atsako dažniais. Kontroliuotų klinikinių tyrimų, rodančių klinikinį pranašumą arba padidėjusį išgyvenamumą, neatlikta. Viename atvirame, daugiacentriame, II fazės klinikiniame tyrime (tyrimas B2225) buvo tiriamas imatinibo efektyvumas įvairioms pacientų, sergančių gyvybei pavojingomis ligomis, susijusiomis su Abl, Kit ar PDGFR baltymų tirozinkinazėmis, grupėms. Tyrime dalyvavo 7 pacientai, sergantys MDS/MPL, kurie buvo gydomi imatinibo 400 mg per parą doze. Trys pacientai pasiekė visišką hematologinį atsaką (VHA) ir vienas – dalinį hematologinį atsaką (DHA). Pradinio tyrimo metu trims iš keturių pacientų su nustatytais PDGFR genų pakitimais pasireiškė hematologinis atsakas (2 VHA ir 1 DHA). Šių pacientų amžius svyravo nuo 20 iki 72 metų. </w:t>
      </w:r>
    </w:p>
    <w:p w14:paraId="6F1AF21B" w14:textId="77777777" w:rsidR="00A90A07" w:rsidRPr="00776407" w:rsidRDefault="00A90A07" w:rsidP="004709C1">
      <w:pPr>
        <w:autoSpaceDE w:val="0"/>
        <w:autoSpaceDN w:val="0"/>
        <w:adjustRightInd w:val="0"/>
        <w:rPr>
          <w:rFonts w:eastAsia="Calibri"/>
          <w:color w:val="000000"/>
          <w:sz w:val="22"/>
          <w:szCs w:val="22"/>
        </w:rPr>
      </w:pPr>
    </w:p>
    <w:p w14:paraId="77C6EFDD" w14:textId="77777777" w:rsidR="00A90A07" w:rsidRPr="00776407" w:rsidRDefault="00217A90" w:rsidP="00A90A07">
      <w:pPr>
        <w:autoSpaceDE w:val="0"/>
        <w:autoSpaceDN w:val="0"/>
        <w:adjustRightInd w:val="0"/>
        <w:rPr>
          <w:rFonts w:eastAsia="Calibri"/>
          <w:color w:val="000000"/>
          <w:sz w:val="22"/>
          <w:szCs w:val="22"/>
        </w:rPr>
      </w:pPr>
      <w:r w:rsidRPr="00776407">
        <w:rPr>
          <w:rFonts w:eastAsia="Calibri"/>
          <w:color w:val="000000"/>
          <w:sz w:val="22"/>
          <w:szCs w:val="22"/>
        </w:rPr>
        <w:t>Duomenų stebėjimo registro (L2401 tyrimo) pildymo metu buvo renkami ilgalaikio saugumo ir veiksmingumo duomenys pacientams, kuriems nustatyta mieloproliferacinių navikų ir PDGFR- β geno pakitimų bei kuriems buvo skiriamas gydymas imatinibu. Į šį registrą buvo įtraukti 23 pacientai, ir jiems skirtos imatinibo paros dozės mediana buvo 264 mg (svyravo nuo 100 mg iki 400 mg), o gydymo trukmės mediana buvo 7,2 metų (svyravo nuo 0,1 metų iki 12,7 metų). Kadangi tai buvo duomenų stebėjimo pobūdžio registras, hematologinio, citogenetinio ir molekulinio vertinimo duomenys buvo žinomi, atitinkamai, 22, 9 ir 17 iš 23 įtrauktų pacientų. Atsargiai tariant, kad tiems pacientams, kurių duomenų neturima, gydymo atsako nebuvo gauta, atitinkamai, VHA buvo pasiektas 20 iš 23 (87 %) pacientų, CCyR atsakas pasiektas 9 iš 23 (39,1 %) pacientų, o molekulinis atsakas – 11 iš 23 (47,8 %) pacientų. Kai atsako dažnis buvo apskaičiuotas tiems pacientams, kuriems buvo žinomas bent vienas pagrįstas įvertinimas, VHA, CCyR ir molekulinio atsakų dažniai, atitinkamai, buvo</w:t>
      </w:r>
      <w:r w:rsidRPr="00776407" w:rsidDel="00897244">
        <w:rPr>
          <w:rFonts w:eastAsia="Calibri"/>
          <w:color w:val="000000"/>
          <w:sz w:val="22"/>
          <w:szCs w:val="22"/>
        </w:rPr>
        <w:t xml:space="preserve"> </w:t>
      </w:r>
      <w:r w:rsidRPr="00776407">
        <w:rPr>
          <w:rFonts w:eastAsia="Calibri"/>
          <w:color w:val="000000"/>
          <w:sz w:val="22"/>
          <w:szCs w:val="22"/>
        </w:rPr>
        <w:t>20 iš 22 (90,9 %), 9 iš 9 (100 %) ir 11 iš 17 (64,7 %).</w:t>
      </w:r>
    </w:p>
    <w:p w14:paraId="25ECED71" w14:textId="77777777" w:rsidR="00A90A07" w:rsidRPr="00776407" w:rsidRDefault="00A90A07" w:rsidP="004709C1">
      <w:pPr>
        <w:autoSpaceDE w:val="0"/>
        <w:autoSpaceDN w:val="0"/>
        <w:adjustRightInd w:val="0"/>
        <w:rPr>
          <w:rFonts w:eastAsia="Calibri"/>
          <w:color w:val="000000"/>
          <w:sz w:val="22"/>
          <w:szCs w:val="22"/>
        </w:rPr>
      </w:pPr>
    </w:p>
    <w:p w14:paraId="0D5DE125" w14:textId="01616ECC" w:rsidR="004709C1" w:rsidRPr="00776407" w:rsidRDefault="004709C1" w:rsidP="004709C1">
      <w:pPr>
        <w:autoSpaceDE w:val="0"/>
        <w:autoSpaceDN w:val="0"/>
        <w:adjustRightInd w:val="0"/>
        <w:rPr>
          <w:rFonts w:eastAsia="Calibri"/>
          <w:sz w:val="22"/>
          <w:szCs w:val="22"/>
        </w:rPr>
      </w:pPr>
      <w:r w:rsidRPr="00776407">
        <w:rPr>
          <w:rFonts w:eastAsia="Calibri"/>
          <w:color w:val="000000"/>
          <w:sz w:val="22"/>
          <w:szCs w:val="22"/>
        </w:rPr>
        <w:t>Be to, kiti 24 pacientai, sergantys MDS/MPL, buvo aprašyti 13 straipsnių. 21</w:t>
      </w:r>
      <w:r w:rsidR="00B93D33" w:rsidRPr="00776407">
        <w:rPr>
          <w:rFonts w:eastAsia="Calibri"/>
          <w:color w:val="000000"/>
          <w:sz w:val="22"/>
          <w:szCs w:val="22"/>
        </w:rPr>
        <w:t> </w:t>
      </w:r>
      <w:r w:rsidRPr="00776407">
        <w:rPr>
          <w:rFonts w:eastAsia="Calibri"/>
          <w:color w:val="000000"/>
          <w:sz w:val="22"/>
          <w:szCs w:val="22"/>
        </w:rPr>
        <w:t>pacientas buvo gydomas imatinibo 400 mg doze, kiti 3 pacientai gavo mažesnes dozes. Vienuolikai pacientų buvo nustatyti PDGF genų pakitimai, 9 iš jų pasiekė VHA ir 1 DHA. Šių pacientų amžius svyravo nuo 2 iki 79 metų. Remiantis atnaujinta informacija apie 6 iš 11 pacientų nesename straipsnyje, paaiškėjo, jog jiems visiems citogenetinė remisija išliko (trukmė 32</w:t>
      </w:r>
      <w:r w:rsidR="00B93D33" w:rsidRPr="00776407">
        <w:rPr>
          <w:rFonts w:eastAsia="Calibri"/>
          <w:color w:val="000000"/>
          <w:sz w:val="22"/>
          <w:szCs w:val="22"/>
        </w:rPr>
        <w:noBreakHyphen/>
      </w:r>
      <w:r w:rsidRPr="00776407">
        <w:rPr>
          <w:rFonts w:eastAsia="Calibri"/>
          <w:color w:val="000000"/>
          <w:sz w:val="22"/>
          <w:szCs w:val="22"/>
        </w:rPr>
        <w:t xml:space="preserve">38 mėnesiai). Tame pačiame straipsnyje aprašomi 12 pacientų, sergančių MDS/MPL su PDGFR genų pakitimais (5 pacientai iš B2225 tyrimo) ilgalaikio stebėjimo duomenys. Šie pacientai gavo imatinibo vidutiniškai 47 mėnesius (ribos 24 dienos – 60 mėnesių). 6 iš šių pacientų </w:t>
      </w:r>
      <w:r w:rsidRPr="00776407">
        <w:rPr>
          <w:rFonts w:eastAsia="Calibri"/>
          <w:sz w:val="22"/>
          <w:szCs w:val="22"/>
        </w:rPr>
        <w:t>dabar stebimi ilgiau kaip 4 metus. Vienuolika pacientų pasiekė greitą VHA; dešimčiai visiškai išnyko citogenetiniai pokyčiai ir patikrinus RT</w:t>
      </w:r>
      <w:r w:rsidR="003050FE" w:rsidRPr="00776407">
        <w:rPr>
          <w:color w:val="000000"/>
        </w:rPr>
        <w:noBreakHyphen/>
      </w:r>
      <w:r w:rsidRPr="00776407">
        <w:rPr>
          <w:rFonts w:eastAsia="Calibri"/>
          <w:sz w:val="22"/>
          <w:szCs w:val="22"/>
        </w:rPr>
        <w:t xml:space="preserve">PGR, sumažėjo arba išnyko susijungusių transkriptų. Hematologinis ir citogenetinis atsakai buvo atitinkamai pastovūs vidutiniškai 49 mėnesius (ribos 19-60) ir 47 mėnesius (ribos 16-59). Patvirtinus diagnozę, bendras išgyvenamumas yra 65 mėnesiai (ribos 25-234). Imatinibo paskyrimas pacientams be genetinių translokacijų bendrai pagerėjimo nesukėlė. </w:t>
      </w:r>
    </w:p>
    <w:p w14:paraId="6592FACB" w14:textId="77777777" w:rsidR="00B93D33" w:rsidRPr="00776407" w:rsidRDefault="00B93D33" w:rsidP="004709C1">
      <w:pPr>
        <w:autoSpaceDE w:val="0"/>
        <w:autoSpaceDN w:val="0"/>
        <w:adjustRightInd w:val="0"/>
        <w:rPr>
          <w:rFonts w:eastAsia="Calibri"/>
          <w:sz w:val="22"/>
          <w:szCs w:val="22"/>
        </w:rPr>
      </w:pPr>
    </w:p>
    <w:p w14:paraId="52AC19FB" w14:textId="77777777" w:rsidR="004709C1" w:rsidRPr="00776407" w:rsidRDefault="004709C1" w:rsidP="004709C1">
      <w:pPr>
        <w:autoSpaceDE w:val="0"/>
        <w:autoSpaceDN w:val="0"/>
        <w:adjustRightInd w:val="0"/>
        <w:rPr>
          <w:rFonts w:eastAsia="Calibri"/>
          <w:sz w:val="22"/>
          <w:szCs w:val="22"/>
        </w:rPr>
      </w:pPr>
      <w:r w:rsidRPr="00776407">
        <w:rPr>
          <w:rFonts w:eastAsia="Calibri"/>
          <w:sz w:val="22"/>
          <w:szCs w:val="22"/>
        </w:rPr>
        <w:t>Kontroliuojamųjų klinikinių tyrimų su MDS ir MPL sergančiais vaikais neatlikta. 4 literatūros šaltiniuose aprašyti 5 pacientai, sirgę su PDGFR genų pakitimais susijusiomis MDS/MPL. Šių pacientų amžius svyravo nuo 3 mėnesių iki 4 metų, jiems buvo skiriama 50 mg per parą imatinibo dozė arba nuo 92,5 mg/m</w:t>
      </w:r>
      <w:r w:rsidRPr="00776407">
        <w:rPr>
          <w:rFonts w:eastAsia="Calibri"/>
          <w:sz w:val="22"/>
          <w:szCs w:val="22"/>
          <w:vertAlign w:val="superscript"/>
        </w:rPr>
        <w:t>2</w:t>
      </w:r>
      <w:r w:rsidRPr="00776407">
        <w:rPr>
          <w:rFonts w:eastAsia="Calibri"/>
          <w:sz w:val="14"/>
          <w:szCs w:val="14"/>
        </w:rPr>
        <w:t xml:space="preserve"> </w:t>
      </w:r>
      <w:r w:rsidRPr="00776407">
        <w:rPr>
          <w:rFonts w:eastAsia="Calibri"/>
          <w:sz w:val="22"/>
          <w:szCs w:val="22"/>
        </w:rPr>
        <w:t>iki 340 mg/m</w:t>
      </w:r>
      <w:r w:rsidRPr="00776407">
        <w:rPr>
          <w:rFonts w:eastAsia="Calibri"/>
          <w:sz w:val="22"/>
          <w:szCs w:val="22"/>
          <w:vertAlign w:val="superscript"/>
        </w:rPr>
        <w:t>2</w:t>
      </w:r>
      <w:r w:rsidRPr="00776407">
        <w:rPr>
          <w:rFonts w:eastAsia="Calibri"/>
          <w:sz w:val="14"/>
          <w:szCs w:val="14"/>
        </w:rPr>
        <w:t xml:space="preserve"> </w:t>
      </w:r>
      <w:r w:rsidRPr="00776407">
        <w:rPr>
          <w:rFonts w:eastAsia="Calibri"/>
          <w:sz w:val="22"/>
          <w:szCs w:val="22"/>
        </w:rPr>
        <w:t>kūno paviršiaus ploto per parą dozė. Visiems pacientams pasiektas visiškas hematologinis atsakas, citogenetinis atsakas ir (arba) klinikinis atsakas.</w:t>
      </w:r>
    </w:p>
    <w:p w14:paraId="2F6DA307" w14:textId="77777777" w:rsidR="004709C1" w:rsidRPr="00776407" w:rsidRDefault="004709C1" w:rsidP="004709C1">
      <w:pPr>
        <w:autoSpaceDE w:val="0"/>
        <w:autoSpaceDN w:val="0"/>
        <w:adjustRightInd w:val="0"/>
        <w:rPr>
          <w:rFonts w:eastAsia="Calibri"/>
          <w:color w:val="000000"/>
          <w:sz w:val="22"/>
          <w:szCs w:val="22"/>
        </w:rPr>
      </w:pPr>
    </w:p>
    <w:p w14:paraId="1C140C27" w14:textId="77777777" w:rsidR="004709C1" w:rsidRPr="00776407" w:rsidRDefault="004709C1" w:rsidP="004709C1">
      <w:pPr>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Klinikiniai HES/LEL tyrimai </w:t>
      </w:r>
    </w:p>
    <w:p w14:paraId="4822E805" w14:textId="68339FB4" w:rsidR="004709C1" w:rsidRPr="00776407" w:rsidRDefault="004709C1" w:rsidP="004709C1">
      <w:pPr>
        <w:autoSpaceDE w:val="0"/>
        <w:autoSpaceDN w:val="0"/>
        <w:adjustRightInd w:val="0"/>
        <w:rPr>
          <w:rFonts w:eastAsia="Calibri"/>
          <w:color w:val="000000"/>
          <w:sz w:val="22"/>
          <w:szCs w:val="22"/>
        </w:rPr>
      </w:pPr>
      <w:r w:rsidRPr="00776407">
        <w:rPr>
          <w:rFonts w:eastAsia="Calibri"/>
          <w:color w:val="000000"/>
          <w:sz w:val="22"/>
          <w:szCs w:val="22"/>
        </w:rPr>
        <w:t>Viename atvirame, daugiacentriame, II fazės klinikiniame tyrime (tyrimas B2225) buvo tiriamas imatinibo efektyvumas įvairioms pacientų, sergančių gyvybei pavojingomis ligomis, susijusiomis su Abl, Kit ar PDGFR baltymų tirozinkinazėmis, grupėms. Šio tyrimo metu 14 pacientų, sergantys HES/LEL, buvo gydomi imatinibo 100 mg – 1 000 mg dozėmis per parą. Kiti 162 pacientai, sergantys HES/LEL, aprašyti 35 atvejų pranešimuose ir atvejų serijose gavo 75 mg – 800 mg imatinibo per parą. 117 iš bendros 176 pacientų populiacijos buvo nustatyti citogenetiniai pokyčiai. 61 iš 117 šių pacientų nustatyta FIP1L1</w:t>
      </w:r>
      <w:r w:rsidR="003050FE" w:rsidRPr="00776407">
        <w:rPr>
          <w:color w:val="000000"/>
        </w:rPr>
        <w:noBreakHyphen/>
      </w:r>
      <w:r w:rsidRPr="00776407">
        <w:rPr>
          <w:rFonts w:eastAsia="Calibri"/>
          <w:color w:val="000000"/>
          <w:sz w:val="22"/>
          <w:szCs w:val="22"/>
        </w:rPr>
        <w:t>PDGFRα lydima kinazė. Be to, keturiems HES sergantiems pacientams buvo nustatyta teigiama FIP1L1</w:t>
      </w:r>
      <w:r w:rsidR="003050FE" w:rsidRPr="00776407">
        <w:rPr>
          <w:color w:val="000000"/>
        </w:rPr>
        <w:noBreakHyphen/>
      </w:r>
      <w:r w:rsidRPr="00776407">
        <w:rPr>
          <w:rFonts w:eastAsia="Calibri"/>
          <w:color w:val="000000"/>
          <w:sz w:val="22"/>
          <w:szCs w:val="22"/>
        </w:rPr>
        <w:t>PDGFRα lydima kinazė kituose 3 aprašytuose atvejuose. Visi 65 pacientai su teigiama FIP1L1</w:t>
      </w:r>
      <w:r w:rsidR="003050FE" w:rsidRPr="00776407">
        <w:rPr>
          <w:color w:val="000000"/>
        </w:rPr>
        <w:noBreakHyphen/>
      </w:r>
      <w:r w:rsidRPr="00776407">
        <w:rPr>
          <w:rFonts w:eastAsia="Calibri"/>
          <w:color w:val="000000"/>
          <w:sz w:val="22"/>
          <w:szCs w:val="22"/>
        </w:rPr>
        <w:t>PDGFRα lydima kinaze pasiekė pastovų VHA mėnesiams (nuo 1+ iki 44+ mėnesių, tikrinta pranešimo metu). Kaip pranešama naujame straipsnyje, 21 iš šių 65 pacientų taip pat pasiekė pilną molekulinę remisiją vidutiniškai stebint 28 mėnesius (13-67 mėnesius). Šių pacientų amžius svyravo nuo 25 iki 72 metų. Tyrėjų atvejų pranešimuose papildomai buvo pranešta apie simptomų ir kitus organų funkcijų sutrikimų pagerėjimus. Pagerėjimai buvo nustatyti širdies, nervų, odos/poodinio audinio, kvėpavimo/krūtinės/tarpuplaučio, griaučių/raumenų/jungiamojo audinio/kraujagyslių ir virškinimo trakto organų sistemose.</w:t>
      </w:r>
    </w:p>
    <w:p w14:paraId="7E2BD5F7" w14:textId="77777777" w:rsidR="004709C1" w:rsidRPr="00776407" w:rsidRDefault="004709C1" w:rsidP="004709C1">
      <w:pPr>
        <w:autoSpaceDE w:val="0"/>
        <w:autoSpaceDN w:val="0"/>
        <w:adjustRightInd w:val="0"/>
        <w:rPr>
          <w:rFonts w:eastAsia="Calibri"/>
          <w:color w:val="000000"/>
          <w:sz w:val="22"/>
          <w:szCs w:val="22"/>
        </w:rPr>
      </w:pPr>
    </w:p>
    <w:p w14:paraId="72BC4FE0" w14:textId="77777777" w:rsidR="004709C1" w:rsidRPr="00776407" w:rsidRDefault="004709C1" w:rsidP="004709C1">
      <w:pPr>
        <w:autoSpaceDE w:val="0"/>
        <w:autoSpaceDN w:val="0"/>
        <w:adjustRightInd w:val="0"/>
        <w:rPr>
          <w:sz w:val="22"/>
          <w:szCs w:val="22"/>
        </w:rPr>
      </w:pPr>
      <w:r w:rsidRPr="00776407">
        <w:rPr>
          <w:sz w:val="22"/>
          <w:szCs w:val="22"/>
        </w:rPr>
        <w:t>Kontroliuojamųjų klinikinių tyrimų su HES/LEL sergančiais vaikais neatlikta. 3 literatūros šaltiniuose aprašyti 3 pacientai, sirgę su PDGFR genų pakitimais susijusiais HES ir LEL. Šių pacientų amžius svyravo nuo 2 metų iki 16 metų, jiems buvo skiriama 300 mg/m</w:t>
      </w:r>
      <w:r w:rsidRPr="00776407">
        <w:rPr>
          <w:sz w:val="22"/>
          <w:szCs w:val="22"/>
          <w:vertAlign w:val="superscript"/>
        </w:rPr>
        <w:t>2</w:t>
      </w:r>
      <w:r w:rsidRPr="00776407">
        <w:rPr>
          <w:sz w:val="14"/>
          <w:szCs w:val="14"/>
        </w:rPr>
        <w:t xml:space="preserve"> </w:t>
      </w:r>
      <w:r w:rsidRPr="00776407">
        <w:rPr>
          <w:sz w:val="22"/>
          <w:szCs w:val="22"/>
        </w:rPr>
        <w:t>kūno paviršiaus ploto per parą arba nuo 200 mg iki 400 mg per parą imatinibo dozė. Visiems pacientams pasiektas visiškas hematologinis atsakas, visiškas citogenetinis atsakas ir (arba) visiškas molekulinis atsakas.</w:t>
      </w:r>
    </w:p>
    <w:p w14:paraId="3D513AFD" w14:textId="77777777" w:rsidR="00C03297" w:rsidRPr="00776407" w:rsidRDefault="00C03297" w:rsidP="004709C1">
      <w:pPr>
        <w:autoSpaceDE w:val="0"/>
        <w:autoSpaceDN w:val="0"/>
        <w:adjustRightInd w:val="0"/>
        <w:rPr>
          <w:sz w:val="22"/>
          <w:szCs w:val="22"/>
        </w:rPr>
      </w:pPr>
    </w:p>
    <w:p w14:paraId="7050C410" w14:textId="77777777" w:rsidR="00C03297" w:rsidRPr="00776407" w:rsidRDefault="00C03297" w:rsidP="00C03297">
      <w:pPr>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DFSP klinikiniai tyrimai </w:t>
      </w:r>
    </w:p>
    <w:p w14:paraId="657E96F1" w14:textId="77777777" w:rsidR="004709C1" w:rsidRPr="00776407" w:rsidRDefault="00C03297" w:rsidP="00C03297">
      <w:pPr>
        <w:autoSpaceDE w:val="0"/>
        <w:autoSpaceDN w:val="0"/>
        <w:adjustRightInd w:val="0"/>
        <w:rPr>
          <w:sz w:val="22"/>
          <w:szCs w:val="22"/>
        </w:rPr>
      </w:pPr>
      <w:r w:rsidRPr="00776407">
        <w:rPr>
          <w:rFonts w:eastAsia="Calibri"/>
          <w:color w:val="000000"/>
          <w:sz w:val="22"/>
          <w:szCs w:val="22"/>
        </w:rPr>
        <w:t>Viename II fazės, atvirame, daugiacentriniame, klinikiniame tyrime (tyrimas B2225) dalyvavo 12 DFSP sergančių pacientų, vartojusių 800 mg imatinibo per parą. DFSP sirgusių pacientų amžius buvo nuo 23 iki 75 metų; įtraukimo į tyrimą metu pacientai sirgo metastazavusia DFSP, vietiškai recidyvavusia po pirminės rezekcijos ir, kai nebuvo tikimasi, kad kartotinė rezekcija bus naudinga. Pirminiai veiksmingumo duomenys rėmėsi objektyvaus atsako dažniu. Iš 12 tirtų pacientų 9 buvo gautas atsakas, vienam – pilnas, o 8 - dalinis. Trims pacientams iš tų, kuriems buvo gautas dalinis atsakas, navikas pašalintas operacijos metu. Gydymo trukmės mediana B2225 tyrimo metu buvo 6,2 mėnesio, o didžiausia trukmė - 24,3 mėnesio. Dar 6 DFSP sirgusių ir imatinibu gydytų pacientų ligos istorijos nagrinėtos 5 paskelbtuose klinikinių atvejų aprašymuose, jų amžius svyravo nuo 18 mėnesių iki 49 metų. Iš viso dėl DFSP buvo gydyta 18 pacientų, aštuoniems iš jų buvo metastazių. Literatūroje aprašyti suaugę pacientai vartojo arba 400 mg (4 atvejai), arba 800 mg (1 atvejis) imatinibo per parą. Penkiems (5) pacientams buvo gautas atsakas, 3 – pilnas, o 2 - dalinis. Literatūroje skelbtų atvejų gydymo trukmės mediana buvo nuo 4 savaičių iki daugiau kaip 20 mėnesių. Translokacija t(17:22)[(q22:q13)] arba jos genų produktas buvo beveik visuose atsakuose į imatinibo terapiją.</w:t>
      </w:r>
    </w:p>
    <w:p w14:paraId="44718294" w14:textId="77777777" w:rsidR="004709C1" w:rsidRPr="00776407" w:rsidRDefault="004709C1" w:rsidP="004709C1">
      <w:pPr>
        <w:autoSpaceDE w:val="0"/>
        <w:autoSpaceDN w:val="0"/>
        <w:adjustRightInd w:val="0"/>
        <w:rPr>
          <w:rFonts w:eastAsia="Calibri"/>
          <w:color w:val="000000"/>
          <w:sz w:val="22"/>
          <w:szCs w:val="22"/>
        </w:rPr>
      </w:pPr>
    </w:p>
    <w:p w14:paraId="51AB383D" w14:textId="77777777" w:rsidR="00C03297" w:rsidRPr="00776407" w:rsidRDefault="00C03297" w:rsidP="004709C1">
      <w:pPr>
        <w:autoSpaceDE w:val="0"/>
        <w:autoSpaceDN w:val="0"/>
        <w:adjustRightInd w:val="0"/>
        <w:rPr>
          <w:sz w:val="22"/>
          <w:szCs w:val="22"/>
        </w:rPr>
      </w:pPr>
      <w:r w:rsidRPr="00776407">
        <w:rPr>
          <w:sz w:val="22"/>
          <w:szCs w:val="22"/>
        </w:rPr>
        <w:t>Kontroliuojamųjų klinikinių tyrimų su DFSP sergančiais vaikais neatlikta. 3 literatūros šaltiniuose aprašyti 5</w:t>
      </w:r>
      <w:r w:rsidR="00323F0E" w:rsidRPr="00776407">
        <w:rPr>
          <w:sz w:val="22"/>
          <w:szCs w:val="22"/>
        </w:rPr>
        <w:t> </w:t>
      </w:r>
      <w:r w:rsidRPr="00776407">
        <w:rPr>
          <w:sz w:val="22"/>
          <w:szCs w:val="22"/>
        </w:rPr>
        <w:t>pacientai, kurie sirgo DFSP ir kuriems buvo nustatyta PDGFR genų pakitimų. Šių pacientų amžius svyravo nuo naujagimio iki 14</w:t>
      </w:r>
      <w:r w:rsidR="00323F0E" w:rsidRPr="00776407">
        <w:rPr>
          <w:sz w:val="22"/>
          <w:szCs w:val="22"/>
        </w:rPr>
        <w:t> </w:t>
      </w:r>
      <w:r w:rsidRPr="00776407">
        <w:rPr>
          <w:sz w:val="22"/>
          <w:szCs w:val="22"/>
        </w:rPr>
        <w:t>metų, jiems buvo skiriama 50</w:t>
      </w:r>
      <w:r w:rsidR="00323F0E" w:rsidRPr="00776407">
        <w:rPr>
          <w:sz w:val="22"/>
          <w:szCs w:val="22"/>
        </w:rPr>
        <w:t> </w:t>
      </w:r>
      <w:r w:rsidRPr="00776407">
        <w:rPr>
          <w:sz w:val="22"/>
          <w:szCs w:val="22"/>
        </w:rPr>
        <w:t>mg per parą imatinibo dozė arba nuo 400 mg/m</w:t>
      </w:r>
      <w:r w:rsidRPr="00776407">
        <w:rPr>
          <w:sz w:val="22"/>
          <w:szCs w:val="22"/>
          <w:vertAlign w:val="superscript"/>
        </w:rPr>
        <w:t xml:space="preserve">2 </w:t>
      </w:r>
      <w:r w:rsidRPr="00776407">
        <w:rPr>
          <w:sz w:val="22"/>
          <w:szCs w:val="22"/>
        </w:rPr>
        <w:t>iki 520</w:t>
      </w:r>
      <w:r w:rsidR="00131D7A" w:rsidRPr="00776407">
        <w:rPr>
          <w:sz w:val="22"/>
          <w:szCs w:val="22"/>
        </w:rPr>
        <w:t> </w:t>
      </w:r>
      <w:r w:rsidRPr="00776407">
        <w:rPr>
          <w:sz w:val="22"/>
          <w:szCs w:val="22"/>
        </w:rPr>
        <w:t>mg/m</w:t>
      </w:r>
      <w:r w:rsidRPr="00776407">
        <w:rPr>
          <w:sz w:val="22"/>
          <w:szCs w:val="22"/>
          <w:vertAlign w:val="superscript"/>
        </w:rPr>
        <w:t>2</w:t>
      </w:r>
      <w:r w:rsidRPr="00776407">
        <w:rPr>
          <w:sz w:val="14"/>
          <w:szCs w:val="14"/>
        </w:rPr>
        <w:t xml:space="preserve"> </w:t>
      </w:r>
      <w:r w:rsidRPr="00776407">
        <w:rPr>
          <w:sz w:val="22"/>
          <w:szCs w:val="22"/>
        </w:rPr>
        <w:t>kūno paviršiaus ploto per parą dozė. Visiems pacientams pasiektas dalinis ir (arba) visiškas atsakas.</w:t>
      </w:r>
    </w:p>
    <w:p w14:paraId="30995926" w14:textId="77777777" w:rsidR="005921CC" w:rsidRPr="00776407" w:rsidRDefault="005921CC" w:rsidP="004709C1">
      <w:pPr>
        <w:autoSpaceDE w:val="0"/>
        <w:autoSpaceDN w:val="0"/>
        <w:adjustRightInd w:val="0"/>
        <w:rPr>
          <w:rFonts w:eastAsia="Calibri"/>
          <w:color w:val="000000"/>
          <w:sz w:val="22"/>
          <w:szCs w:val="22"/>
        </w:rPr>
      </w:pPr>
    </w:p>
    <w:p w14:paraId="05FDCA3E" w14:textId="77777777" w:rsidR="007A7094" w:rsidRPr="00776407" w:rsidRDefault="007A7094" w:rsidP="00864BE6">
      <w:pPr>
        <w:pStyle w:val="Listenabsatz"/>
        <w:keepNext/>
        <w:numPr>
          <w:ilvl w:val="1"/>
          <w:numId w:val="9"/>
        </w:numPr>
        <w:autoSpaceDE w:val="0"/>
        <w:autoSpaceDN w:val="0"/>
        <w:adjustRightInd w:val="0"/>
        <w:ind w:hanging="1077"/>
        <w:rPr>
          <w:rFonts w:eastAsia="Calibri"/>
          <w:b/>
          <w:bCs/>
          <w:color w:val="000000"/>
          <w:sz w:val="22"/>
          <w:szCs w:val="22"/>
        </w:rPr>
      </w:pPr>
      <w:r w:rsidRPr="00776407">
        <w:rPr>
          <w:rFonts w:eastAsia="Calibri"/>
          <w:b/>
          <w:bCs/>
          <w:color w:val="000000"/>
          <w:sz w:val="22"/>
          <w:szCs w:val="22"/>
        </w:rPr>
        <w:t xml:space="preserve">Farmakokinetinės savybės </w:t>
      </w:r>
    </w:p>
    <w:p w14:paraId="74447247" w14:textId="77777777" w:rsidR="007A7094" w:rsidRPr="00776407" w:rsidRDefault="007A7094" w:rsidP="008C1232">
      <w:pPr>
        <w:keepNext/>
        <w:autoSpaceDE w:val="0"/>
        <w:autoSpaceDN w:val="0"/>
        <w:adjustRightInd w:val="0"/>
        <w:ind w:left="360"/>
        <w:rPr>
          <w:rFonts w:eastAsia="Calibri"/>
          <w:color w:val="000000"/>
          <w:sz w:val="22"/>
          <w:szCs w:val="22"/>
        </w:rPr>
      </w:pPr>
    </w:p>
    <w:p w14:paraId="00E1121F" w14:textId="77777777" w:rsidR="007A7094" w:rsidRPr="00776407" w:rsidRDefault="007A7094" w:rsidP="008C1232">
      <w:pPr>
        <w:keepNext/>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Imatinibo farmakokinetika </w:t>
      </w:r>
    </w:p>
    <w:p w14:paraId="5580DA58" w14:textId="77777777" w:rsidR="007A7094" w:rsidRPr="00776407" w:rsidRDefault="007A7094" w:rsidP="007A7094">
      <w:pPr>
        <w:autoSpaceDE w:val="0"/>
        <w:autoSpaceDN w:val="0"/>
        <w:adjustRightInd w:val="0"/>
        <w:rPr>
          <w:rFonts w:eastAsia="Calibri"/>
          <w:color w:val="000000"/>
          <w:sz w:val="22"/>
          <w:szCs w:val="22"/>
        </w:rPr>
      </w:pPr>
      <w:r w:rsidRPr="00776407">
        <w:rPr>
          <w:rFonts w:eastAsia="Calibri"/>
          <w:color w:val="000000"/>
          <w:sz w:val="22"/>
          <w:szCs w:val="22"/>
        </w:rPr>
        <w:t xml:space="preserve">Imatinibo farmakokinetika tirta vartojant nuo 25 mg iki 1 000 mg dozes. Plazmos farmakokinetikos pobūdis buvo tiriamas 1-ąją dieną ir 7-ąją arba 28-ąją dieną, kai koncentracija plazmoje pasidaro pastovi. </w:t>
      </w:r>
    </w:p>
    <w:p w14:paraId="4B454CD1" w14:textId="77777777" w:rsidR="007A7094" w:rsidRPr="00776407" w:rsidRDefault="007A7094" w:rsidP="007A7094">
      <w:pPr>
        <w:autoSpaceDE w:val="0"/>
        <w:autoSpaceDN w:val="0"/>
        <w:adjustRightInd w:val="0"/>
        <w:rPr>
          <w:rFonts w:eastAsia="Calibri"/>
          <w:color w:val="000000"/>
          <w:sz w:val="22"/>
          <w:szCs w:val="22"/>
        </w:rPr>
      </w:pPr>
    </w:p>
    <w:p w14:paraId="3CA0D3FB" w14:textId="77777777" w:rsidR="007A7094" w:rsidRPr="00776407" w:rsidRDefault="007A7094" w:rsidP="008C1232">
      <w:pPr>
        <w:keepNext/>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Absorbcija </w:t>
      </w:r>
    </w:p>
    <w:p w14:paraId="00F106CD" w14:textId="77777777" w:rsidR="007A7094" w:rsidRPr="00776407" w:rsidRDefault="007A7094" w:rsidP="007A7094">
      <w:pPr>
        <w:autoSpaceDE w:val="0"/>
        <w:autoSpaceDN w:val="0"/>
        <w:adjustRightInd w:val="0"/>
        <w:rPr>
          <w:rFonts w:eastAsia="Calibri"/>
          <w:color w:val="000000"/>
          <w:sz w:val="22"/>
          <w:szCs w:val="22"/>
        </w:rPr>
      </w:pPr>
      <w:r w:rsidRPr="00776407">
        <w:rPr>
          <w:rFonts w:eastAsia="Calibri"/>
          <w:color w:val="000000"/>
          <w:sz w:val="22"/>
          <w:szCs w:val="22"/>
        </w:rPr>
        <w:t xml:space="preserve">Vidutinis absoliutus kapsulių biologinis prieinamumas yra 98 %. Nustatyta didelis skirtingų pacientų plazmos imatinibo AUC reikšmės svyravimas po išgertos dozės. Vartojamo su riebiu maistu imatinibo absorbcijos greitis labai nedaug sumažėja (Cmax sumažėja 11 % ir tmax pailgėja 1,5 val.), taip pat šiek tiek sumažėja AUC (7,4 %) lyginant su </w:t>
      </w:r>
      <w:r w:rsidR="00BA110E" w:rsidRPr="00776407">
        <w:rPr>
          <w:color w:val="000000"/>
          <w:sz w:val="22"/>
          <w:szCs w:val="22"/>
        </w:rPr>
        <w:t xml:space="preserve">vaistinio preparato </w:t>
      </w:r>
      <w:r w:rsidRPr="00776407">
        <w:rPr>
          <w:rFonts w:eastAsia="Calibri"/>
          <w:color w:val="000000"/>
          <w:sz w:val="22"/>
          <w:szCs w:val="22"/>
        </w:rPr>
        <w:t xml:space="preserve">vartojimu nevalgius. Anksčiau atliktos virškinimo trakto operacijos įtaka </w:t>
      </w:r>
      <w:r w:rsidR="00BA110E" w:rsidRPr="00776407">
        <w:rPr>
          <w:color w:val="000000"/>
          <w:sz w:val="22"/>
          <w:szCs w:val="22"/>
        </w:rPr>
        <w:t xml:space="preserve">vaistinio preparato </w:t>
      </w:r>
      <w:r w:rsidRPr="00776407">
        <w:rPr>
          <w:rFonts w:eastAsia="Calibri"/>
          <w:color w:val="000000"/>
          <w:sz w:val="22"/>
          <w:szCs w:val="22"/>
        </w:rPr>
        <w:t xml:space="preserve">absorbcijai netirta. </w:t>
      </w:r>
    </w:p>
    <w:p w14:paraId="399E85F1" w14:textId="77777777" w:rsidR="007A7094" w:rsidRPr="00776407" w:rsidRDefault="007A7094" w:rsidP="007A7094">
      <w:pPr>
        <w:autoSpaceDE w:val="0"/>
        <w:autoSpaceDN w:val="0"/>
        <w:adjustRightInd w:val="0"/>
        <w:rPr>
          <w:rFonts w:eastAsia="Calibri"/>
          <w:color w:val="000000"/>
          <w:sz w:val="22"/>
          <w:szCs w:val="22"/>
        </w:rPr>
      </w:pPr>
    </w:p>
    <w:p w14:paraId="1185537C" w14:textId="77777777" w:rsidR="007A7094" w:rsidRPr="00776407" w:rsidRDefault="007A7094" w:rsidP="008C1232">
      <w:pPr>
        <w:keepNext/>
        <w:autoSpaceDE w:val="0"/>
        <w:autoSpaceDN w:val="0"/>
        <w:adjustRightInd w:val="0"/>
        <w:rPr>
          <w:rFonts w:eastAsia="Calibri"/>
          <w:color w:val="000000"/>
          <w:sz w:val="22"/>
          <w:szCs w:val="22"/>
          <w:u w:val="single"/>
        </w:rPr>
      </w:pPr>
      <w:r w:rsidRPr="00776407">
        <w:rPr>
          <w:rFonts w:eastAsia="Calibri"/>
          <w:color w:val="000000"/>
          <w:sz w:val="22"/>
          <w:szCs w:val="22"/>
          <w:u w:val="single"/>
        </w:rPr>
        <w:t>Pasiskirstymas</w:t>
      </w:r>
    </w:p>
    <w:p w14:paraId="42E06E53" w14:textId="77777777" w:rsidR="007A7094" w:rsidRPr="00776407" w:rsidRDefault="007A7094" w:rsidP="007A7094">
      <w:pPr>
        <w:autoSpaceDE w:val="0"/>
        <w:autoSpaceDN w:val="0"/>
        <w:adjustRightInd w:val="0"/>
        <w:rPr>
          <w:rFonts w:eastAsia="Calibri"/>
          <w:color w:val="000000"/>
          <w:sz w:val="22"/>
          <w:szCs w:val="22"/>
        </w:rPr>
      </w:pPr>
      <w:r w:rsidRPr="00776407">
        <w:rPr>
          <w:rFonts w:eastAsia="Calibri"/>
          <w:color w:val="000000"/>
          <w:sz w:val="22"/>
          <w:szCs w:val="22"/>
        </w:rPr>
        <w:t xml:space="preserve">Kai susidaro kliniškai reikšminga imatinibo koncentracija, apie 95 % </w:t>
      </w:r>
      <w:r w:rsidR="00BA110E" w:rsidRPr="00776407">
        <w:rPr>
          <w:color w:val="000000"/>
          <w:sz w:val="22"/>
          <w:szCs w:val="22"/>
        </w:rPr>
        <w:t xml:space="preserve">vaistinio preparato </w:t>
      </w:r>
      <w:r w:rsidRPr="00776407">
        <w:rPr>
          <w:rFonts w:eastAsia="Calibri"/>
          <w:color w:val="000000"/>
          <w:sz w:val="22"/>
          <w:szCs w:val="22"/>
        </w:rPr>
        <w:t xml:space="preserve">jungiasi su plazmos baltymais (pagal eksperimentus </w:t>
      </w:r>
      <w:r w:rsidRPr="00776407">
        <w:rPr>
          <w:rFonts w:eastAsia="Calibri"/>
          <w:i/>
          <w:iCs/>
          <w:color w:val="000000"/>
          <w:sz w:val="22"/>
          <w:szCs w:val="22"/>
        </w:rPr>
        <w:t>in vitro</w:t>
      </w:r>
      <w:r w:rsidRPr="00776407">
        <w:rPr>
          <w:rFonts w:eastAsia="Calibri"/>
          <w:color w:val="000000"/>
          <w:sz w:val="22"/>
          <w:szCs w:val="22"/>
        </w:rPr>
        <w:t xml:space="preserve">), daugiausia su albuminu ir alfa rūgščiuoju glikoproteinu ir labai mažai su lipoproteinu. </w:t>
      </w:r>
    </w:p>
    <w:p w14:paraId="36F53B6C" w14:textId="77777777" w:rsidR="007A7094" w:rsidRPr="00776407" w:rsidRDefault="007A7094" w:rsidP="007A7094">
      <w:pPr>
        <w:autoSpaceDE w:val="0"/>
        <w:autoSpaceDN w:val="0"/>
        <w:adjustRightInd w:val="0"/>
        <w:rPr>
          <w:rFonts w:eastAsia="Calibri"/>
          <w:color w:val="000000"/>
          <w:sz w:val="22"/>
          <w:szCs w:val="22"/>
        </w:rPr>
      </w:pPr>
    </w:p>
    <w:p w14:paraId="78F56CD5" w14:textId="77777777" w:rsidR="007A7094" w:rsidRPr="00776407" w:rsidRDefault="007A7094" w:rsidP="008C1232">
      <w:pPr>
        <w:keepNext/>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Biotransformacija </w:t>
      </w:r>
    </w:p>
    <w:p w14:paraId="7A5D15F8" w14:textId="77777777" w:rsidR="007A7094" w:rsidRPr="00776407" w:rsidRDefault="007A7094" w:rsidP="007A7094">
      <w:pPr>
        <w:autoSpaceDE w:val="0"/>
        <w:autoSpaceDN w:val="0"/>
        <w:adjustRightInd w:val="0"/>
        <w:rPr>
          <w:rFonts w:eastAsia="Calibri"/>
          <w:color w:val="000000"/>
          <w:sz w:val="22"/>
          <w:szCs w:val="22"/>
        </w:rPr>
      </w:pPr>
      <w:r w:rsidRPr="00776407">
        <w:rPr>
          <w:rFonts w:eastAsia="Calibri"/>
          <w:color w:val="000000"/>
          <w:sz w:val="22"/>
          <w:szCs w:val="22"/>
        </w:rPr>
        <w:t>Pagrindinis cirkuliuojantis metabolitas žmogaus organizme yra N</w:t>
      </w:r>
      <w:r w:rsidRPr="00776407">
        <w:rPr>
          <w:rFonts w:eastAsia="Calibri"/>
          <w:color w:val="000000"/>
          <w:sz w:val="22"/>
          <w:szCs w:val="22"/>
        </w:rPr>
        <w:noBreakHyphen/>
        <w:t xml:space="preserve">demetilintas piperazino derivatas, kuris </w:t>
      </w:r>
      <w:r w:rsidRPr="00776407">
        <w:rPr>
          <w:rFonts w:eastAsia="Calibri"/>
          <w:i/>
          <w:iCs/>
          <w:color w:val="000000"/>
          <w:sz w:val="22"/>
          <w:szCs w:val="22"/>
        </w:rPr>
        <w:t xml:space="preserve">in vitro </w:t>
      </w:r>
      <w:r w:rsidRPr="00776407">
        <w:rPr>
          <w:rFonts w:eastAsia="Calibri"/>
          <w:color w:val="000000"/>
          <w:sz w:val="22"/>
          <w:szCs w:val="22"/>
        </w:rPr>
        <w:t>veikia taip pat stipriai kaip ir jo pirmtakas. Šio metabolito plazmos AUC sudaro tik 16 % imatinibo AUC. N</w:t>
      </w:r>
      <w:r w:rsidRPr="00776407">
        <w:rPr>
          <w:rFonts w:eastAsia="Calibri"/>
          <w:color w:val="000000"/>
          <w:sz w:val="22"/>
          <w:szCs w:val="22"/>
        </w:rPr>
        <w:noBreakHyphen/>
        <w:t xml:space="preserve">demetilintas metabolitas jungiasi su plazmos baltymais panašiai kaip pagrindinis junginys. </w:t>
      </w:r>
    </w:p>
    <w:p w14:paraId="6020CF31" w14:textId="77777777" w:rsidR="007A7094" w:rsidRPr="00776407" w:rsidRDefault="007A7094" w:rsidP="007A7094">
      <w:pPr>
        <w:autoSpaceDE w:val="0"/>
        <w:autoSpaceDN w:val="0"/>
        <w:adjustRightInd w:val="0"/>
        <w:rPr>
          <w:rFonts w:eastAsia="Calibri"/>
          <w:color w:val="000000"/>
          <w:sz w:val="22"/>
          <w:szCs w:val="22"/>
        </w:rPr>
      </w:pPr>
      <w:r w:rsidRPr="00776407">
        <w:rPr>
          <w:rFonts w:eastAsia="Calibri"/>
          <w:color w:val="000000"/>
          <w:sz w:val="22"/>
          <w:szCs w:val="22"/>
        </w:rPr>
        <w:t>Imatinibas ir N</w:t>
      </w:r>
      <w:r w:rsidRPr="00776407">
        <w:rPr>
          <w:rFonts w:eastAsia="Calibri"/>
          <w:color w:val="000000"/>
          <w:sz w:val="22"/>
          <w:szCs w:val="22"/>
        </w:rPr>
        <w:noBreakHyphen/>
        <w:t>demetilmetabolitas kartu sudaro 65 % cirkuliuojančio radioaktyvumo (AUC</w:t>
      </w:r>
      <w:r w:rsidRPr="00776407">
        <w:rPr>
          <w:rFonts w:eastAsia="Calibri"/>
          <w:color w:val="000000"/>
          <w:sz w:val="14"/>
          <w:szCs w:val="14"/>
        </w:rPr>
        <w:t>0-48h</w:t>
      </w:r>
      <w:r w:rsidRPr="00776407">
        <w:rPr>
          <w:rFonts w:eastAsia="Calibri"/>
          <w:color w:val="000000"/>
          <w:sz w:val="22"/>
          <w:szCs w:val="22"/>
        </w:rPr>
        <w:t xml:space="preserve">). Kitas cirkuliuojantis radioaktyvumas priklauso nuo kelių mažesnių metabolitų. </w:t>
      </w:r>
    </w:p>
    <w:p w14:paraId="65B96DA1" w14:textId="77777777" w:rsidR="007A7094" w:rsidRPr="00776407" w:rsidRDefault="007A7094" w:rsidP="007A7094">
      <w:pPr>
        <w:autoSpaceDE w:val="0"/>
        <w:autoSpaceDN w:val="0"/>
        <w:adjustRightInd w:val="0"/>
        <w:rPr>
          <w:rFonts w:eastAsia="Calibri"/>
          <w:color w:val="000000"/>
          <w:sz w:val="22"/>
          <w:szCs w:val="22"/>
        </w:rPr>
      </w:pPr>
    </w:p>
    <w:p w14:paraId="15AFA9BC" w14:textId="77777777" w:rsidR="007A7094" w:rsidRPr="00776407" w:rsidRDefault="007A7094" w:rsidP="007A7094">
      <w:pPr>
        <w:autoSpaceDE w:val="0"/>
        <w:autoSpaceDN w:val="0"/>
        <w:adjustRightInd w:val="0"/>
        <w:rPr>
          <w:rFonts w:eastAsia="Calibri"/>
          <w:color w:val="000000"/>
          <w:sz w:val="22"/>
          <w:szCs w:val="22"/>
        </w:rPr>
      </w:pPr>
      <w:r w:rsidRPr="00776407">
        <w:rPr>
          <w:rFonts w:eastAsia="Calibri"/>
          <w:color w:val="000000"/>
          <w:sz w:val="22"/>
          <w:szCs w:val="22"/>
        </w:rPr>
        <w:t xml:space="preserve">Tyrimai </w:t>
      </w:r>
      <w:r w:rsidRPr="00776407">
        <w:rPr>
          <w:rFonts w:eastAsia="Calibri"/>
          <w:i/>
          <w:iCs/>
          <w:color w:val="000000"/>
          <w:sz w:val="22"/>
          <w:szCs w:val="22"/>
        </w:rPr>
        <w:t xml:space="preserve">in vitro </w:t>
      </w:r>
      <w:r w:rsidRPr="00776407">
        <w:rPr>
          <w:rFonts w:eastAsia="Calibri"/>
          <w:color w:val="000000"/>
          <w:sz w:val="22"/>
          <w:szCs w:val="22"/>
        </w:rPr>
        <w:t xml:space="preserve">parodė, kad CYP3A4 yra pagrindinis žmogaus P450 fermentas, katalizuojantis imatinibo biotransformaciją. Iš daugelio kartu vartotų </w:t>
      </w:r>
      <w:r w:rsidR="00BA110E" w:rsidRPr="00776407">
        <w:rPr>
          <w:color w:val="000000"/>
          <w:sz w:val="22"/>
          <w:szCs w:val="22"/>
        </w:rPr>
        <w:t xml:space="preserve">vaistinių preparatų </w:t>
      </w:r>
      <w:r w:rsidRPr="00776407">
        <w:rPr>
          <w:rFonts w:eastAsia="Calibri"/>
          <w:color w:val="000000"/>
          <w:sz w:val="22"/>
          <w:szCs w:val="22"/>
        </w:rPr>
        <w:t>(acetaminofeno, acikloviro, alopurinolio, amfotericino, citarabino, eritromicino, flukonazolio, hidroksišlapalo, norfloksacino, penicilino V) tik eritromicino (IC</w:t>
      </w:r>
      <w:r w:rsidRPr="00776407">
        <w:rPr>
          <w:rFonts w:eastAsia="Calibri"/>
          <w:color w:val="000000"/>
          <w:sz w:val="14"/>
          <w:szCs w:val="14"/>
        </w:rPr>
        <w:t>50 </w:t>
      </w:r>
      <w:r w:rsidRPr="00776407">
        <w:rPr>
          <w:rFonts w:eastAsia="Calibri"/>
          <w:color w:val="000000"/>
          <w:sz w:val="22"/>
          <w:szCs w:val="22"/>
        </w:rPr>
        <w:t>50 μM) ir flukonazolio (IC</w:t>
      </w:r>
      <w:r w:rsidRPr="00776407">
        <w:rPr>
          <w:rFonts w:eastAsia="Calibri"/>
          <w:color w:val="000000"/>
          <w:sz w:val="14"/>
          <w:szCs w:val="14"/>
        </w:rPr>
        <w:t>50 </w:t>
      </w:r>
      <w:r w:rsidRPr="00776407">
        <w:rPr>
          <w:rFonts w:eastAsia="Calibri"/>
          <w:color w:val="000000"/>
          <w:sz w:val="22"/>
          <w:szCs w:val="22"/>
        </w:rPr>
        <w:t xml:space="preserve">118 μM) slopinamas imatinibo metabolizmas gali būti kliniškai reikšmingas. </w:t>
      </w:r>
    </w:p>
    <w:p w14:paraId="0F0F4886" w14:textId="77777777" w:rsidR="007A7094" w:rsidRPr="00776407" w:rsidRDefault="007A7094" w:rsidP="007A7094">
      <w:pPr>
        <w:autoSpaceDE w:val="0"/>
        <w:autoSpaceDN w:val="0"/>
        <w:adjustRightInd w:val="0"/>
        <w:rPr>
          <w:rFonts w:eastAsia="Calibri"/>
          <w:color w:val="000000"/>
          <w:sz w:val="22"/>
          <w:szCs w:val="22"/>
        </w:rPr>
      </w:pPr>
    </w:p>
    <w:p w14:paraId="585DEB22" w14:textId="77777777" w:rsidR="007A7094" w:rsidRPr="00776407" w:rsidRDefault="007A7094" w:rsidP="007A7094">
      <w:pPr>
        <w:autoSpaceDE w:val="0"/>
        <w:autoSpaceDN w:val="0"/>
        <w:adjustRightInd w:val="0"/>
        <w:rPr>
          <w:rFonts w:eastAsia="Calibri"/>
          <w:color w:val="000000"/>
          <w:sz w:val="22"/>
          <w:szCs w:val="22"/>
        </w:rPr>
      </w:pPr>
      <w:r w:rsidRPr="00776407">
        <w:rPr>
          <w:rFonts w:eastAsia="Calibri"/>
          <w:i/>
          <w:iCs/>
          <w:color w:val="000000"/>
          <w:sz w:val="22"/>
          <w:szCs w:val="22"/>
        </w:rPr>
        <w:t xml:space="preserve">In vitro </w:t>
      </w:r>
      <w:r w:rsidRPr="00776407">
        <w:rPr>
          <w:rFonts w:eastAsia="Calibri"/>
          <w:color w:val="000000"/>
          <w:sz w:val="22"/>
          <w:szCs w:val="22"/>
        </w:rPr>
        <w:t>nustatyta, kad imatinibas yra konkurencinis CYP2C9, CYP2D6 ir CYP3A4/5 substratų inhibitorius. Žmogaus kepenų mikrosomų K</w:t>
      </w:r>
      <w:r w:rsidRPr="00776407">
        <w:rPr>
          <w:rFonts w:eastAsia="Calibri"/>
          <w:color w:val="000000"/>
          <w:sz w:val="14"/>
          <w:szCs w:val="14"/>
        </w:rPr>
        <w:t xml:space="preserve">i </w:t>
      </w:r>
      <w:r w:rsidRPr="00776407">
        <w:rPr>
          <w:rFonts w:eastAsia="Calibri"/>
          <w:color w:val="000000"/>
          <w:sz w:val="22"/>
          <w:szCs w:val="22"/>
        </w:rPr>
        <w:t>rodmuo buvo atitinkamai 27, 7,5 ir 7,9</w:t>
      </w:r>
      <w:r w:rsidR="0062391E" w:rsidRPr="00776407">
        <w:rPr>
          <w:rFonts w:eastAsia="Calibri"/>
          <w:color w:val="000000"/>
          <w:sz w:val="22"/>
          <w:szCs w:val="22"/>
        </w:rPr>
        <w:t> </w:t>
      </w:r>
      <w:r w:rsidR="00A176FE" w:rsidRPr="00776407">
        <w:t>mc</w:t>
      </w:r>
      <w:r w:rsidR="00A176FE" w:rsidRPr="00776407">
        <w:rPr>
          <w:rFonts w:eastAsia="Calibri"/>
          <w:color w:val="000000"/>
          <w:sz w:val="22"/>
          <w:szCs w:val="22"/>
        </w:rPr>
        <w:t>mol</w:t>
      </w:r>
      <w:r w:rsidRPr="00776407">
        <w:rPr>
          <w:rFonts w:eastAsia="Calibri"/>
          <w:color w:val="000000"/>
          <w:sz w:val="22"/>
          <w:szCs w:val="22"/>
        </w:rPr>
        <w:t>/l. Didžiausia pacientų imatinibo koncentracija plazmoje yra 2–4</w:t>
      </w:r>
      <w:r w:rsidR="0062391E" w:rsidRPr="00776407">
        <w:rPr>
          <w:rFonts w:eastAsia="Calibri"/>
          <w:color w:val="000000"/>
          <w:sz w:val="22"/>
          <w:szCs w:val="22"/>
        </w:rPr>
        <w:t> </w:t>
      </w:r>
      <w:r w:rsidR="00A176FE" w:rsidRPr="00776407">
        <w:t>mc</w:t>
      </w:r>
      <w:r w:rsidR="00A176FE" w:rsidRPr="00776407">
        <w:rPr>
          <w:rFonts w:eastAsia="Calibri"/>
          <w:color w:val="000000"/>
          <w:sz w:val="22"/>
          <w:szCs w:val="22"/>
        </w:rPr>
        <w:t>mol</w:t>
      </w:r>
      <w:r w:rsidRPr="00776407">
        <w:rPr>
          <w:rFonts w:eastAsia="Calibri"/>
          <w:color w:val="000000"/>
          <w:sz w:val="22"/>
          <w:szCs w:val="22"/>
        </w:rPr>
        <w:t xml:space="preserve">/l, taigi galimas CYP2D6 ir (ar) CYP3A4/5 medijuojamo kartu vartojamų </w:t>
      </w:r>
      <w:r w:rsidR="00BA110E" w:rsidRPr="00776407">
        <w:rPr>
          <w:color w:val="000000"/>
          <w:sz w:val="22"/>
          <w:szCs w:val="22"/>
        </w:rPr>
        <w:t xml:space="preserve">vaistinių preparatų </w:t>
      </w:r>
      <w:r w:rsidRPr="00776407">
        <w:rPr>
          <w:rFonts w:eastAsia="Calibri"/>
          <w:color w:val="000000"/>
          <w:sz w:val="22"/>
          <w:szCs w:val="22"/>
        </w:rPr>
        <w:t>metabolizmo slopinimas. Imatinibas neturi įtakos 5-fluoruracilio biotransformacijai, tačiau slopina paklitakselio metabolizmą dėl konkurencinio CYP2C8 slopinimo (K</w:t>
      </w:r>
      <w:r w:rsidRPr="00776407">
        <w:rPr>
          <w:rFonts w:eastAsia="Calibri"/>
          <w:color w:val="000000"/>
          <w:sz w:val="14"/>
          <w:szCs w:val="14"/>
        </w:rPr>
        <w:t>i</w:t>
      </w:r>
      <w:r w:rsidR="008C1232" w:rsidRPr="00776407">
        <w:rPr>
          <w:rFonts w:eastAsia="Calibri"/>
          <w:color w:val="000000"/>
          <w:sz w:val="14"/>
          <w:szCs w:val="14"/>
        </w:rPr>
        <w:t> </w:t>
      </w:r>
      <w:r w:rsidRPr="00776407">
        <w:rPr>
          <w:rFonts w:eastAsia="Calibri"/>
          <w:color w:val="000000"/>
          <w:sz w:val="22"/>
          <w:szCs w:val="22"/>
        </w:rPr>
        <w:t>=</w:t>
      </w:r>
      <w:r w:rsidR="008C1232" w:rsidRPr="00776407">
        <w:rPr>
          <w:rFonts w:eastAsia="Calibri"/>
          <w:color w:val="000000"/>
          <w:sz w:val="22"/>
          <w:szCs w:val="22"/>
        </w:rPr>
        <w:t> </w:t>
      </w:r>
      <w:r w:rsidRPr="00776407">
        <w:rPr>
          <w:rFonts w:eastAsia="Calibri"/>
          <w:color w:val="000000"/>
          <w:sz w:val="22"/>
          <w:szCs w:val="22"/>
        </w:rPr>
        <w:t>34,7</w:t>
      </w:r>
      <w:r w:rsidR="008C1232" w:rsidRPr="00776407">
        <w:rPr>
          <w:rFonts w:eastAsia="Calibri"/>
          <w:color w:val="000000"/>
          <w:sz w:val="22"/>
          <w:szCs w:val="22"/>
        </w:rPr>
        <w:t> </w:t>
      </w:r>
      <w:r w:rsidR="008C1232" w:rsidRPr="00776407">
        <w:t>μ</w:t>
      </w:r>
      <w:r w:rsidRPr="00776407">
        <w:rPr>
          <w:rFonts w:eastAsia="Calibri"/>
          <w:color w:val="000000"/>
          <w:sz w:val="22"/>
          <w:szCs w:val="22"/>
        </w:rPr>
        <w:t>M). Šis K</w:t>
      </w:r>
      <w:r w:rsidRPr="00776407">
        <w:rPr>
          <w:rFonts w:eastAsia="Calibri"/>
          <w:color w:val="000000"/>
          <w:sz w:val="22"/>
          <w:szCs w:val="22"/>
          <w:vertAlign w:val="subscript"/>
        </w:rPr>
        <w:t>i</w:t>
      </w:r>
      <w:r w:rsidRPr="00776407">
        <w:rPr>
          <w:rFonts w:eastAsia="Calibri"/>
          <w:color w:val="000000"/>
          <w:sz w:val="14"/>
          <w:szCs w:val="14"/>
        </w:rPr>
        <w:t xml:space="preserve"> </w:t>
      </w:r>
      <w:r w:rsidRPr="00776407">
        <w:rPr>
          <w:rFonts w:eastAsia="Calibri"/>
          <w:color w:val="000000"/>
          <w:sz w:val="22"/>
          <w:szCs w:val="22"/>
        </w:rPr>
        <w:t>rodmuo yra daug didesnis negu tikėtina imatinibo koncentracija pacientų plazmoje, todėl, imatinibą vartojant kartu su 5</w:t>
      </w:r>
      <w:r w:rsidR="00E523F2" w:rsidRPr="00776407">
        <w:rPr>
          <w:rFonts w:eastAsia="Calibri"/>
          <w:color w:val="000000"/>
          <w:sz w:val="22"/>
          <w:szCs w:val="22"/>
        </w:rPr>
        <w:noBreakHyphen/>
      </w:r>
      <w:r w:rsidRPr="00776407">
        <w:rPr>
          <w:rFonts w:eastAsia="Calibri"/>
          <w:color w:val="000000"/>
          <w:sz w:val="22"/>
          <w:szCs w:val="22"/>
        </w:rPr>
        <w:t xml:space="preserve">fluoruraciliu ar paklitakseliu, sąveikos neturėtų būti. </w:t>
      </w:r>
    </w:p>
    <w:p w14:paraId="261268DF" w14:textId="77777777" w:rsidR="008C1232" w:rsidRPr="00776407" w:rsidRDefault="008C1232" w:rsidP="007A7094">
      <w:pPr>
        <w:autoSpaceDE w:val="0"/>
        <w:autoSpaceDN w:val="0"/>
        <w:adjustRightInd w:val="0"/>
        <w:rPr>
          <w:rFonts w:eastAsia="Calibri"/>
          <w:color w:val="000000"/>
          <w:sz w:val="22"/>
          <w:szCs w:val="22"/>
        </w:rPr>
      </w:pPr>
    </w:p>
    <w:p w14:paraId="2B4DED9B" w14:textId="77777777" w:rsidR="007A7094" w:rsidRPr="00776407" w:rsidRDefault="007A7094" w:rsidP="008C1232">
      <w:pPr>
        <w:keepNext/>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Eliminacija </w:t>
      </w:r>
    </w:p>
    <w:p w14:paraId="67A12ECB" w14:textId="77777777" w:rsidR="007A7094" w:rsidRPr="00776407" w:rsidRDefault="007A7094" w:rsidP="007A7094">
      <w:pPr>
        <w:autoSpaceDE w:val="0"/>
        <w:autoSpaceDN w:val="0"/>
        <w:adjustRightInd w:val="0"/>
        <w:rPr>
          <w:rFonts w:eastAsia="Calibri"/>
          <w:color w:val="000000"/>
          <w:sz w:val="22"/>
          <w:szCs w:val="22"/>
        </w:rPr>
      </w:pPr>
      <w:r w:rsidRPr="00776407">
        <w:rPr>
          <w:rFonts w:eastAsia="Calibri"/>
          <w:color w:val="000000"/>
          <w:sz w:val="22"/>
          <w:szCs w:val="22"/>
        </w:rPr>
        <w:t xml:space="preserve">Pagal junginio išsiskyrimą po išgertos </w:t>
      </w:r>
      <w:r w:rsidRPr="00776407">
        <w:rPr>
          <w:rFonts w:eastAsia="Calibri"/>
          <w:color w:val="000000"/>
          <w:sz w:val="22"/>
          <w:szCs w:val="22"/>
          <w:vertAlign w:val="superscript"/>
        </w:rPr>
        <w:t>14</w:t>
      </w:r>
      <w:r w:rsidRPr="00776407">
        <w:rPr>
          <w:rFonts w:eastAsia="Calibri"/>
          <w:color w:val="000000"/>
          <w:sz w:val="22"/>
          <w:szCs w:val="22"/>
        </w:rPr>
        <w:t>C-žymėtojo imatinibo dozės, maždaug 81</w:t>
      </w:r>
      <w:r w:rsidR="008C1232" w:rsidRPr="00776407">
        <w:rPr>
          <w:rFonts w:eastAsia="Calibri"/>
          <w:color w:val="000000"/>
          <w:sz w:val="22"/>
          <w:szCs w:val="22"/>
        </w:rPr>
        <w:t> </w:t>
      </w:r>
      <w:r w:rsidRPr="00776407">
        <w:rPr>
          <w:rFonts w:eastAsia="Calibri"/>
          <w:color w:val="000000"/>
          <w:sz w:val="22"/>
          <w:szCs w:val="22"/>
        </w:rPr>
        <w:t>% dozės per 7</w:t>
      </w:r>
      <w:r w:rsidR="008C1232" w:rsidRPr="00776407">
        <w:rPr>
          <w:rFonts w:eastAsia="Calibri"/>
          <w:color w:val="000000"/>
          <w:sz w:val="22"/>
          <w:szCs w:val="22"/>
        </w:rPr>
        <w:t> </w:t>
      </w:r>
      <w:r w:rsidRPr="00776407">
        <w:rPr>
          <w:rFonts w:eastAsia="Calibri"/>
          <w:color w:val="000000"/>
          <w:sz w:val="22"/>
          <w:szCs w:val="22"/>
        </w:rPr>
        <w:t>dienas išsiskiria su išmatomis (68</w:t>
      </w:r>
      <w:r w:rsidR="00E523F2" w:rsidRPr="00776407">
        <w:rPr>
          <w:rFonts w:eastAsia="Calibri"/>
          <w:color w:val="000000"/>
          <w:sz w:val="22"/>
          <w:szCs w:val="22"/>
        </w:rPr>
        <w:t> </w:t>
      </w:r>
      <w:r w:rsidRPr="00776407">
        <w:rPr>
          <w:rFonts w:eastAsia="Calibri"/>
          <w:color w:val="000000"/>
          <w:sz w:val="22"/>
          <w:szCs w:val="22"/>
        </w:rPr>
        <w:t>%</w:t>
      </w:r>
      <w:r w:rsidR="00E523F2" w:rsidRPr="00776407">
        <w:rPr>
          <w:rFonts w:eastAsia="Calibri"/>
          <w:color w:val="000000"/>
          <w:sz w:val="22"/>
          <w:szCs w:val="22"/>
        </w:rPr>
        <w:t xml:space="preserve"> </w:t>
      </w:r>
      <w:r w:rsidRPr="00776407">
        <w:rPr>
          <w:rFonts w:eastAsia="Calibri"/>
          <w:color w:val="000000"/>
          <w:sz w:val="22"/>
          <w:szCs w:val="22"/>
        </w:rPr>
        <w:t>dozės) ir šlapimu (13</w:t>
      </w:r>
      <w:r w:rsidR="008C1232" w:rsidRPr="00776407">
        <w:rPr>
          <w:rFonts w:eastAsia="Calibri"/>
          <w:color w:val="000000"/>
          <w:sz w:val="22"/>
          <w:szCs w:val="22"/>
        </w:rPr>
        <w:t> </w:t>
      </w:r>
      <w:r w:rsidRPr="00776407">
        <w:rPr>
          <w:rFonts w:eastAsia="Calibri"/>
          <w:color w:val="000000"/>
          <w:sz w:val="22"/>
          <w:szCs w:val="22"/>
        </w:rPr>
        <w:t>% dozės). Nepakitęs imatinibas sudaro 25</w:t>
      </w:r>
      <w:r w:rsidR="008C1232" w:rsidRPr="00776407">
        <w:rPr>
          <w:rFonts w:eastAsia="Calibri"/>
          <w:color w:val="000000"/>
          <w:sz w:val="22"/>
          <w:szCs w:val="22"/>
        </w:rPr>
        <w:t> </w:t>
      </w:r>
      <w:r w:rsidRPr="00776407">
        <w:rPr>
          <w:rFonts w:eastAsia="Calibri"/>
          <w:color w:val="000000"/>
          <w:sz w:val="22"/>
          <w:szCs w:val="22"/>
        </w:rPr>
        <w:t>% dozės (5</w:t>
      </w:r>
      <w:r w:rsidR="008C1232" w:rsidRPr="00776407">
        <w:rPr>
          <w:rFonts w:eastAsia="Calibri"/>
          <w:color w:val="000000"/>
          <w:sz w:val="22"/>
          <w:szCs w:val="22"/>
        </w:rPr>
        <w:t> </w:t>
      </w:r>
      <w:r w:rsidRPr="00776407">
        <w:rPr>
          <w:rFonts w:eastAsia="Calibri"/>
          <w:color w:val="000000"/>
          <w:sz w:val="22"/>
          <w:szCs w:val="22"/>
        </w:rPr>
        <w:t>% šlapime, 20</w:t>
      </w:r>
      <w:r w:rsidR="008C1232" w:rsidRPr="00776407">
        <w:rPr>
          <w:rFonts w:eastAsia="Calibri"/>
          <w:color w:val="000000"/>
          <w:sz w:val="22"/>
          <w:szCs w:val="22"/>
        </w:rPr>
        <w:t> </w:t>
      </w:r>
      <w:r w:rsidRPr="00776407">
        <w:rPr>
          <w:rFonts w:eastAsia="Calibri"/>
          <w:color w:val="000000"/>
          <w:sz w:val="22"/>
          <w:szCs w:val="22"/>
        </w:rPr>
        <w:t xml:space="preserve">% išmatose), kita dalis yra metabolitų pavidalu. </w:t>
      </w:r>
    </w:p>
    <w:p w14:paraId="2D8D19A2" w14:textId="77777777" w:rsidR="008C1232" w:rsidRPr="00776407" w:rsidRDefault="008C1232" w:rsidP="007A7094">
      <w:pPr>
        <w:autoSpaceDE w:val="0"/>
        <w:autoSpaceDN w:val="0"/>
        <w:adjustRightInd w:val="0"/>
        <w:rPr>
          <w:rFonts w:eastAsia="Calibri"/>
          <w:color w:val="000000"/>
          <w:sz w:val="22"/>
          <w:szCs w:val="22"/>
        </w:rPr>
      </w:pPr>
    </w:p>
    <w:p w14:paraId="191D274F" w14:textId="77777777" w:rsidR="007A7094" w:rsidRPr="00776407" w:rsidRDefault="007A7094" w:rsidP="008C1232">
      <w:pPr>
        <w:keepNext/>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Plazmos farmakokinetika </w:t>
      </w:r>
    </w:p>
    <w:p w14:paraId="0E79B1CE" w14:textId="77777777" w:rsidR="007A7094" w:rsidRPr="00776407" w:rsidRDefault="007A7094" w:rsidP="007A7094">
      <w:pPr>
        <w:autoSpaceDE w:val="0"/>
        <w:autoSpaceDN w:val="0"/>
        <w:adjustRightInd w:val="0"/>
        <w:rPr>
          <w:rFonts w:eastAsia="Calibri"/>
          <w:color w:val="000000"/>
          <w:sz w:val="22"/>
          <w:szCs w:val="22"/>
        </w:rPr>
      </w:pPr>
      <w:r w:rsidRPr="00776407">
        <w:rPr>
          <w:rFonts w:eastAsia="Calibri"/>
          <w:color w:val="000000"/>
          <w:sz w:val="22"/>
          <w:szCs w:val="22"/>
        </w:rPr>
        <w:t xml:space="preserve">Sveikų savanorių išgerto </w:t>
      </w:r>
      <w:r w:rsidR="00BA110E" w:rsidRPr="00776407">
        <w:rPr>
          <w:color w:val="000000"/>
          <w:sz w:val="22"/>
          <w:szCs w:val="22"/>
        </w:rPr>
        <w:t xml:space="preserve">vaistinio preparato </w:t>
      </w:r>
      <w:r w:rsidRPr="00776407">
        <w:rPr>
          <w:rFonts w:eastAsia="Calibri"/>
          <w:color w:val="000000"/>
          <w:sz w:val="22"/>
          <w:szCs w:val="22"/>
        </w:rPr>
        <w:t>t</w:t>
      </w:r>
      <w:r w:rsidRPr="00776407">
        <w:rPr>
          <w:rFonts w:eastAsia="Calibri"/>
          <w:color w:val="000000"/>
          <w:sz w:val="14"/>
          <w:szCs w:val="14"/>
        </w:rPr>
        <w:t xml:space="preserve">½ </w:t>
      </w:r>
      <w:r w:rsidRPr="00776407">
        <w:rPr>
          <w:rFonts w:eastAsia="Calibri"/>
          <w:color w:val="000000"/>
          <w:sz w:val="22"/>
          <w:szCs w:val="22"/>
        </w:rPr>
        <w:t>buvo maždaug 18</w:t>
      </w:r>
      <w:r w:rsidR="00364DC6" w:rsidRPr="00776407">
        <w:rPr>
          <w:rFonts w:eastAsia="Calibri"/>
          <w:color w:val="000000"/>
          <w:sz w:val="22"/>
          <w:szCs w:val="22"/>
        </w:rPr>
        <w:t> </w:t>
      </w:r>
      <w:r w:rsidRPr="00776407">
        <w:rPr>
          <w:rFonts w:eastAsia="Calibri"/>
          <w:color w:val="000000"/>
          <w:sz w:val="22"/>
          <w:szCs w:val="22"/>
        </w:rPr>
        <w:t xml:space="preserve">val., tai rodo, kad </w:t>
      </w:r>
      <w:r w:rsidR="00BA110E" w:rsidRPr="00776407">
        <w:rPr>
          <w:color w:val="000000"/>
          <w:sz w:val="22"/>
          <w:szCs w:val="22"/>
        </w:rPr>
        <w:t xml:space="preserve">vaistinį preparatą </w:t>
      </w:r>
      <w:r w:rsidRPr="00776407">
        <w:rPr>
          <w:rFonts w:eastAsia="Calibri"/>
          <w:color w:val="000000"/>
          <w:sz w:val="22"/>
          <w:szCs w:val="22"/>
        </w:rPr>
        <w:t>galima vartoti vieną kartą per parą. Geriant 25–1</w:t>
      </w:r>
      <w:r w:rsidR="00E523F2" w:rsidRPr="00776407">
        <w:rPr>
          <w:rFonts w:eastAsia="Calibri"/>
          <w:color w:val="000000"/>
          <w:sz w:val="22"/>
          <w:szCs w:val="22"/>
        </w:rPr>
        <w:t> </w:t>
      </w:r>
      <w:r w:rsidRPr="00776407">
        <w:rPr>
          <w:rFonts w:eastAsia="Calibri"/>
          <w:color w:val="000000"/>
          <w:sz w:val="22"/>
          <w:szCs w:val="22"/>
        </w:rPr>
        <w:t>000</w:t>
      </w:r>
      <w:r w:rsidR="00E523F2" w:rsidRPr="00776407">
        <w:rPr>
          <w:rFonts w:eastAsia="Calibri"/>
          <w:color w:val="000000"/>
          <w:sz w:val="22"/>
          <w:szCs w:val="22"/>
        </w:rPr>
        <w:t> </w:t>
      </w:r>
      <w:r w:rsidRPr="00776407">
        <w:rPr>
          <w:rFonts w:eastAsia="Calibri"/>
          <w:color w:val="000000"/>
          <w:sz w:val="22"/>
          <w:szCs w:val="22"/>
        </w:rPr>
        <w:t>mg imatinibo, vidutinio AUC didėjimas, didėjant dozei, buvo linijinis ir proporcingas dozei. Kartotinai vartojamo imatinibo kinetika nepakito, o akumuliacija buvo 1,5–2,5</w:t>
      </w:r>
      <w:r w:rsidR="00E523F2" w:rsidRPr="00776407">
        <w:rPr>
          <w:rFonts w:eastAsia="Calibri"/>
          <w:color w:val="000000"/>
          <w:sz w:val="22"/>
          <w:szCs w:val="22"/>
        </w:rPr>
        <w:t> </w:t>
      </w:r>
      <w:r w:rsidRPr="00776407">
        <w:rPr>
          <w:rFonts w:eastAsia="Calibri"/>
          <w:color w:val="000000"/>
          <w:sz w:val="22"/>
          <w:szCs w:val="22"/>
        </w:rPr>
        <w:t xml:space="preserve">karto didesnė, kai, </w:t>
      </w:r>
      <w:r w:rsidR="00BA110E" w:rsidRPr="00776407">
        <w:rPr>
          <w:color w:val="000000"/>
          <w:sz w:val="22"/>
          <w:szCs w:val="22"/>
        </w:rPr>
        <w:t xml:space="preserve">vaistinį preparatą </w:t>
      </w:r>
      <w:r w:rsidRPr="00776407">
        <w:rPr>
          <w:rFonts w:eastAsia="Calibri"/>
          <w:color w:val="000000"/>
          <w:sz w:val="22"/>
          <w:szCs w:val="22"/>
        </w:rPr>
        <w:t>vartojant vieną kartą per parą, buvo pasiekta pastovi koncentracija.</w:t>
      </w:r>
    </w:p>
    <w:p w14:paraId="6DA6F6D6" w14:textId="77777777" w:rsidR="008C1232" w:rsidRPr="00776407" w:rsidRDefault="008C1232" w:rsidP="008C1232">
      <w:pPr>
        <w:pStyle w:val="KeinLeerraum"/>
        <w:rPr>
          <w:rFonts w:eastAsia="Calibri"/>
        </w:rPr>
      </w:pPr>
    </w:p>
    <w:p w14:paraId="39586920" w14:textId="77777777" w:rsidR="007A7094" w:rsidRPr="00776407" w:rsidRDefault="007A7094" w:rsidP="007A7094">
      <w:pPr>
        <w:autoSpaceDE w:val="0"/>
        <w:autoSpaceDN w:val="0"/>
        <w:adjustRightInd w:val="0"/>
        <w:rPr>
          <w:rFonts w:eastAsia="Calibri"/>
          <w:sz w:val="22"/>
          <w:szCs w:val="22"/>
          <w:u w:val="single"/>
        </w:rPr>
      </w:pPr>
      <w:r w:rsidRPr="00776407">
        <w:rPr>
          <w:rFonts w:eastAsia="Calibri"/>
          <w:sz w:val="22"/>
          <w:szCs w:val="22"/>
          <w:u w:val="single"/>
        </w:rPr>
        <w:t xml:space="preserve">Populiacijos farmakokinetika </w:t>
      </w:r>
    </w:p>
    <w:p w14:paraId="0FC5D45C" w14:textId="77777777" w:rsidR="007A7094" w:rsidRPr="00776407" w:rsidRDefault="007A7094" w:rsidP="007A7094">
      <w:pPr>
        <w:autoSpaceDE w:val="0"/>
        <w:autoSpaceDN w:val="0"/>
        <w:adjustRightInd w:val="0"/>
        <w:rPr>
          <w:rFonts w:eastAsia="Calibri"/>
          <w:sz w:val="22"/>
          <w:szCs w:val="22"/>
        </w:rPr>
      </w:pPr>
      <w:r w:rsidRPr="00776407">
        <w:rPr>
          <w:rFonts w:eastAsia="Calibri"/>
          <w:sz w:val="22"/>
          <w:szCs w:val="22"/>
        </w:rPr>
        <w:t>LML pacientų populiacijos farmakokinetikos analizė rodo, kad amžius turi mažą įtaką pasiskirstymo tūriui (12</w:t>
      </w:r>
      <w:r w:rsidR="008C1232" w:rsidRPr="00776407">
        <w:rPr>
          <w:rFonts w:eastAsia="Calibri"/>
          <w:sz w:val="22"/>
          <w:szCs w:val="22"/>
        </w:rPr>
        <w:t> </w:t>
      </w:r>
      <w:r w:rsidRPr="00776407">
        <w:rPr>
          <w:rFonts w:eastAsia="Calibri"/>
          <w:sz w:val="22"/>
          <w:szCs w:val="22"/>
        </w:rPr>
        <w:t>% padidėja vyresniems kaip 65</w:t>
      </w:r>
      <w:r w:rsidR="008C1232" w:rsidRPr="00776407">
        <w:rPr>
          <w:rFonts w:eastAsia="Calibri"/>
          <w:sz w:val="22"/>
          <w:szCs w:val="22"/>
        </w:rPr>
        <w:t> </w:t>
      </w:r>
      <w:r w:rsidRPr="00776407">
        <w:rPr>
          <w:rFonts w:eastAsia="Calibri"/>
          <w:sz w:val="22"/>
          <w:szCs w:val="22"/>
        </w:rPr>
        <w:t>metų asmenims). Manoma, kad šis pokytis yra kliniškai nereikšmingas. Nustatyta kūno svorio įtaka imatinibo klirensui: pacientų, sveriančių 50</w:t>
      </w:r>
      <w:r w:rsidR="008C1232" w:rsidRPr="00776407">
        <w:rPr>
          <w:rFonts w:eastAsia="Calibri"/>
          <w:sz w:val="22"/>
          <w:szCs w:val="22"/>
        </w:rPr>
        <w:t> </w:t>
      </w:r>
      <w:r w:rsidRPr="00776407">
        <w:rPr>
          <w:rFonts w:eastAsia="Calibri"/>
          <w:sz w:val="22"/>
          <w:szCs w:val="22"/>
        </w:rPr>
        <w:t>kg, vidutinis klirensas gali būti 8,5</w:t>
      </w:r>
      <w:r w:rsidR="008C1232" w:rsidRPr="00776407">
        <w:rPr>
          <w:rFonts w:eastAsia="Calibri"/>
          <w:sz w:val="22"/>
          <w:szCs w:val="22"/>
        </w:rPr>
        <w:t> </w:t>
      </w:r>
      <w:r w:rsidRPr="00776407">
        <w:rPr>
          <w:rFonts w:eastAsia="Calibri"/>
          <w:sz w:val="22"/>
          <w:szCs w:val="22"/>
        </w:rPr>
        <w:t>l/h, o, sveriančių 100</w:t>
      </w:r>
      <w:r w:rsidR="008C1232" w:rsidRPr="00776407">
        <w:rPr>
          <w:rFonts w:eastAsia="Calibri"/>
          <w:sz w:val="22"/>
          <w:szCs w:val="22"/>
        </w:rPr>
        <w:t> </w:t>
      </w:r>
      <w:r w:rsidRPr="00776407">
        <w:rPr>
          <w:rFonts w:eastAsia="Calibri"/>
          <w:sz w:val="22"/>
          <w:szCs w:val="22"/>
        </w:rPr>
        <w:t>kg – padidėja iki 11,8</w:t>
      </w:r>
      <w:r w:rsidR="008C1232" w:rsidRPr="00776407">
        <w:rPr>
          <w:rFonts w:eastAsia="Calibri"/>
          <w:sz w:val="22"/>
          <w:szCs w:val="22"/>
        </w:rPr>
        <w:t> </w:t>
      </w:r>
      <w:r w:rsidRPr="00776407">
        <w:rPr>
          <w:rFonts w:eastAsia="Calibri"/>
          <w:sz w:val="22"/>
          <w:szCs w:val="22"/>
        </w:rPr>
        <w:t xml:space="preserve">l/h. Tačiau dėl šių pokyčių dozės pagal kūno svorį koreguoti nereikia. Imatinibo kinetikai lytis reikšmės neturi. </w:t>
      </w:r>
    </w:p>
    <w:p w14:paraId="337077D5" w14:textId="77777777" w:rsidR="008C1232" w:rsidRPr="00776407" w:rsidRDefault="008C1232" w:rsidP="007A7094">
      <w:pPr>
        <w:autoSpaceDE w:val="0"/>
        <w:autoSpaceDN w:val="0"/>
        <w:adjustRightInd w:val="0"/>
        <w:rPr>
          <w:rFonts w:eastAsia="Calibri"/>
          <w:sz w:val="22"/>
          <w:szCs w:val="22"/>
        </w:rPr>
      </w:pPr>
    </w:p>
    <w:p w14:paraId="7CB1F8DF" w14:textId="77777777" w:rsidR="007A7094" w:rsidRPr="00776407" w:rsidRDefault="002E6D97" w:rsidP="007A7094">
      <w:pPr>
        <w:autoSpaceDE w:val="0"/>
        <w:autoSpaceDN w:val="0"/>
        <w:adjustRightInd w:val="0"/>
        <w:rPr>
          <w:rFonts w:eastAsia="Calibri"/>
          <w:sz w:val="22"/>
          <w:szCs w:val="22"/>
          <w:u w:val="single"/>
        </w:rPr>
      </w:pPr>
      <w:r w:rsidRPr="00776407">
        <w:rPr>
          <w:rFonts w:eastAsia="Calibri"/>
          <w:sz w:val="22"/>
          <w:szCs w:val="22"/>
          <w:u w:val="single"/>
        </w:rPr>
        <w:t>F</w:t>
      </w:r>
      <w:r w:rsidR="007A7094" w:rsidRPr="00776407">
        <w:rPr>
          <w:rFonts w:eastAsia="Calibri"/>
          <w:sz w:val="22"/>
          <w:szCs w:val="22"/>
          <w:u w:val="single"/>
        </w:rPr>
        <w:t>armakokinetika</w:t>
      </w:r>
      <w:r w:rsidRPr="00776407">
        <w:rPr>
          <w:rFonts w:eastAsia="Calibri"/>
          <w:sz w:val="22"/>
          <w:szCs w:val="22"/>
          <w:u w:val="single"/>
        </w:rPr>
        <w:t xml:space="preserve"> vaikų populiacijoje</w:t>
      </w:r>
    </w:p>
    <w:p w14:paraId="52A582B0" w14:textId="77777777" w:rsidR="007A7094" w:rsidRPr="00776407" w:rsidRDefault="007A7094" w:rsidP="007A7094">
      <w:pPr>
        <w:autoSpaceDE w:val="0"/>
        <w:autoSpaceDN w:val="0"/>
        <w:adjustRightInd w:val="0"/>
        <w:rPr>
          <w:rFonts w:eastAsia="Calibri"/>
          <w:sz w:val="22"/>
          <w:szCs w:val="22"/>
        </w:rPr>
      </w:pPr>
      <w:r w:rsidRPr="00776407">
        <w:rPr>
          <w:rFonts w:eastAsia="Calibri"/>
          <w:sz w:val="22"/>
          <w:szCs w:val="22"/>
        </w:rPr>
        <w:t>Abiejų I ir II</w:t>
      </w:r>
      <w:r w:rsidR="008C1232" w:rsidRPr="00776407">
        <w:rPr>
          <w:rFonts w:eastAsia="Calibri"/>
          <w:sz w:val="22"/>
          <w:szCs w:val="22"/>
        </w:rPr>
        <w:t> </w:t>
      </w:r>
      <w:r w:rsidRPr="00776407">
        <w:rPr>
          <w:rFonts w:eastAsia="Calibri"/>
          <w:sz w:val="22"/>
          <w:szCs w:val="22"/>
        </w:rPr>
        <w:t>fazės tyrimų metu nustatyta, kad vaikų, kaip ir suaugusiųjų, organizme išgertas imatinibas greitai absorbuojamas. Skiriant vaikams</w:t>
      </w:r>
      <w:r w:rsidR="003B0365" w:rsidRPr="00776407">
        <w:rPr>
          <w:rFonts w:eastAsia="Calibri"/>
          <w:sz w:val="22"/>
          <w:szCs w:val="22"/>
        </w:rPr>
        <w:t xml:space="preserve"> </w:t>
      </w:r>
      <w:r w:rsidRPr="00776407">
        <w:rPr>
          <w:rFonts w:eastAsia="Calibri"/>
          <w:sz w:val="22"/>
          <w:szCs w:val="22"/>
        </w:rPr>
        <w:t>po 260</w:t>
      </w:r>
      <w:r w:rsidR="008C1232" w:rsidRPr="00776407">
        <w:rPr>
          <w:rFonts w:eastAsia="Calibri"/>
          <w:sz w:val="22"/>
          <w:szCs w:val="22"/>
        </w:rPr>
        <w:t> </w:t>
      </w:r>
      <w:r w:rsidRPr="00776407">
        <w:rPr>
          <w:rFonts w:eastAsia="Calibri"/>
          <w:sz w:val="22"/>
          <w:szCs w:val="22"/>
        </w:rPr>
        <w:t>mg/m</w:t>
      </w:r>
      <w:r w:rsidRPr="00776407">
        <w:rPr>
          <w:rFonts w:eastAsia="Calibri"/>
          <w:sz w:val="22"/>
          <w:szCs w:val="22"/>
          <w:vertAlign w:val="superscript"/>
        </w:rPr>
        <w:t xml:space="preserve">2 </w:t>
      </w:r>
      <w:r w:rsidRPr="00776407">
        <w:rPr>
          <w:rFonts w:eastAsia="Calibri"/>
          <w:sz w:val="22"/>
          <w:szCs w:val="22"/>
        </w:rPr>
        <w:t>ir po 340</w:t>
      </w:r>
      <w:r w:rsidR="008C1232" w:rsidRPr="00776407">
        <w:rPr>
          <w:rFonts w:eastAsia="Calibri"/>
          <w:sz w:val="22"/>
          <w:szCs w:val="22"/>
        </w:rPr>
        <w:t> </w:t>
      </w:r>
      <w:r w:rsidRPr="00776407">
        <w:rPr>
          <w:rFonts w:eastAsia="Calibri"/>
          <w:sz w:val="22"/>
          <w:szCs w:val="22"/>
        </w:rPr>
        <w:t>mg/m</w:t>
      </w:r>
      <w:r w:rsidRPr="00776407">
        <w:rPr>
          <w:rFonts w:eastAsia="Calibri"/>
          <w:sz w:val="22"/>
          <w:szCs w:val="22"/>
          <w:vertAlign w:val="superscript"/>
        </w:rPr>
        <w:t>2</w:t>
      </w:r>
      <w:r w:rsidRPr="00776407">
        <w:rPr>
          <w:rFonts w:eastAsia="Calibri"/>
          <w:sz w:val="14"/>
          <w:szCs w:val="14"/>
        </w:rPr>
        <w:t xml:space="preserve"> </w:t>
      </w:r>
      <w:r w:rsidRPr="00776407">
        <w:rPr>
          <w:rFonts w:eastAsia="Calibri"/>
          <w:sz w:val="22"/>
          <w:szCs w:val="22"/>
        </w:rPr>
        <w:t>per parą, gauta tokia pat ekspozicija kaip ir suaugusiesiems skiriant atitinkamai po 400</w:t>
      </w:r>
      <w:r w:rsidR="008C1232" w:rsidRPr="00776407">
        <w:rPr>
          <w:rFonts w:eastAsia="Calibri"/>
          <w:sz w:val="22"/>
          <w:szCs w:val="22"/>
        </w:rPr>
        <w:t> </w:t>
      </w:r>
      <w:r w:rsidRPr="00776407">
        <w:rPr>
          <w:rFonts w:eastAsia="Calibri"/>
          <w:sz w:val="22"/>
          <w:szCs w:val="22"/>
        </w:rPr>
        <w:t>mg ir 600</w:t>
      </w:r>
      <w:r w:rsidR="008C1232" w:rsidRPr="00776407">
        <w:rPr>
          <w:rFonts w:eastAsia="Calibri"/>
          <w:sz w:val="22"/>
          <w:szCs w:val="22"/>
        </w:rPr>
        <w:t> </w:t>
      </w:r>
      <w:r w:rsidRPr="00776407">
        <w:rPr>
          <w:rFonts w:eastAsia="Calibri"/>
          <w:sz w:val="22"/>
          <w:szCs w:val="22"/>
        </w:rPr>
        <w:t>mg per parą. Lyginant AUC</w:t>
      </w:r>
      <w:r w:rsidRPr="00776407">
        <w:rPr>
          <w:rFonts w:eastAsia="Calibri"/>
          <w:sz w:val="14"/>
          <w:szCs w:val="14"/>
        </w:rPr>
        <w:t xml:space="preserve">(0-24) </w:t>
      </w:r>
      <w:r w:rsidRPr="00776407">
        <w:rPr>
          <w:rFonts w:eastAsia="Calibri"/>
          <w:sz w:val="22"/>
          <w:szCs w:val="22"/>
        </w:rPr>
        <w:t>8-ąją ir 1-ąją dienomis, nustatyta, kad vartojant 340</w:t>
      </w:r>
      <w:r w:rsidR="008C1232" w:rsidRPr="00776407">
        <w:rPr>
          <w:rFonts w:eastAsia="Calibri"/>
          <w:sz w:val="22"/>
          <w:szCs w:val="22"/>
        </w:rPr>
        <w:t> </w:t>
      </w:r>
      <w:r w:rsidRPr="00776407">
        <w:rPr>
          <w:rFonts w:eastAsia="Calibri"/>
          <w:sz w:val="22"/>
          <w:szCs w:val="22"/>
        </w:rPr>
        <w:t>mg/m</w:t>
      </w:r>
      <w:r w:rsidRPr="00776407">
        <w:rPr>
          <w:rFonts w:eastAsia="Calibri"/>
          <w:sz w:val="22"/>
          <w:szCs w:val="22"/>
          <w:vertAlign w:val="superscript"/>
        </w:rPr>
        <w:t>2</w:t>
      </w:r>
      <w:r w:rsidRPr="00776407">
        <w:rPr>
          <w:rFonts w:eastAsia="Calibri"/>
          <w:sz w:val="14"/>
          <w:szCs w:val="14"/>
        </w:rPr>
        <w:t xml:space="preserve"> </w:t>
      </w:r>
      <w:r w:rsidRPr="00776407">
        <w:rPr>
          <w:rFonts w:eastAsia="Calibri"/>
          <w:sz w:val="22"/>
          <w:szCs w:val="22"/>
        </w:rPr>
        <w:t>per parą dozę būna 1,7</w:t>
      </w:r>
      <w:r w:rsidR="008C1232" w:rsidRPr="00776407">
        <w:rPr>
          <w:rFonts w:eastAsia="Calibri"/>
          <w:sz w:val="22"/>
          <w:szCs w:val="22"/>
        </w:rPr>
        <w:t> </w:t>
      </w:r>
      <w:r w:rsidRPr="00776407">
        <w:rPr>
          <w:rFonts w:eastAsia="Calibri"/>
          <w:sz w:val="22"/>
          <w:szCs w:val="22"/>
        </w:rPr>
        <w:t xml:space="preserve">karto didesnė </w:t>
      </w:r>
      <w:r w:rsidR="00BA110E" w:rsidRPr="00776407">
        <w:rPr>
          <w:color w:val="000000"/>
          <w:sz w:val="22"/>
          <w:szCs w:val="22"/>
        </w:rPr>
        <w:t xml:space="preserve">vaistinio preparato </w:t>
      </w:r>
      <w:r w:rsidRPr="00776407">
        <w:rPr>
          <w:rFonts w:eastAsia="Calibri"/>
          <w:sz w:val="22"/>
          <w:szCs w:val="22"/>
        </w:rPr>
        <w:t xml:space="preserve">akumuliacija po kartotinio vieną kartą per parą dozavimo. </w:t>
      </w:r>
    </w:p>
    <w:p w14:paraId="3293878F" w14:textId="77777777" w:rsidR="008C1232" w:rsidRPr="00776407" w:rsidRDefault="008C1232" w:rsidP="007A7094">
      <w:pPr>
        <w:autoSpaceDE w:val="0"/>
        <w:autoSpaceDN w:val="0"/>
        <w:adjustRightInd w:val="0"/>
        <w:rPr>
          <w:rFonts w:eastAsia="Calibri"/>
          <w:sz w:val="22"/>
          <w:szCs w:val="22"/>
        </w:rPr>
      </w:pPr>
    </w:p>
    <w:p w14:paraId="60C448D2" w14:textId="77777777" w:rsidR="002E6D97" w:rsidRPr="00776407" w:rsidRDefault="0031640A" w:rsidP="007A7094">
      <w:pPr>
        <w:autoSpaceDE w:val="0"/>
        <w:autoSpaceDN w:val="0"/>
        <w:adjustRightInd w:val="0"/>
        <w:rPr>
          <w:rFonts w:eastAsia="Calibri"/>
          <w:sz w:val="22"/>
          <w:szCs w:val="22"/>
        </w:rPr>
      </w:pPr>
      <w:r w:rsidRPr="00776407">
        <w:rPr>
          <w:rFonts w:eastAsia="Calibri"/>
          <w:sz w:val="22"/>
          <w:szCs w:val="22"/>
        </w:rPr>
        <w:t>Remiantis apibendrinta hematologinėmis ligomis (LML, Ph+ŪLL ar kitomis imatinibu gydomomis hematologinėmis ligomis) sergančių vaikų populiacijos farmakokinetikos duomenų analize, imatinibo klirensas didėja priklausomai nuo didėjančio kūno paviršiaus ploto (KPP). Atsižvelgus į KPP poveikį, kiti demografiniai rodikliai (pvz., amžius, kūno svoris ir kūno masės indeksas) neturi kliniškai reikšmingos įtakos imatinibo ekspozicijai. Duomenų analizė patvirtino, kad imatinibo ekspozicija vaikų populiacijos pacientams, kurie vartojo po 260 mg/m</w:t>
      </w:r>
      <w:r w:rsidRPr="00776407">
        <w:rPr>
          <w:rFonts w:eastAsia="Calibri"/>
          <w:sz w:val="22"/>
          <w:szCs w:val="22"/>
          <w:vertAlign w:val="superscript"/>
        </w:rPr>
        <w:t>2</w:t>
      </w:r>
      <w:r w:rsidRPr="00776407">
        <w:rPr>
          <w:rFonts w:eastAsia="Calibri"/>
          <w:sz w:val="22"/>
          <w:szCs w:val="22"/>
        </w:rPr>
        <w:t xml:space="preserve"> dozę kartą per parą (neviršijant 400 mg kartą per parą) arba po 340 mg/m</w:t>
      </w:r>
      <w:r w:rsidRPr="00776407">
        <w:rPr>
          <w:rFonts w:eastAsia="Calibri"/>
          <w:sz w:val="22"/>
          <w:szCs w:val="22"/>
          <w:vertAlign w:val="superscript"/>
        </w:rPr>
        <w:t>2</w:t>
      </w:r>
      <w:r w:rsidRPr="00776407">
        <w:rPr>
          <w:rFonts w:eastAsia="Calibri"/>
          <w:sz w:val="22"/>
          <w:szCs w:val="22"/>
        </w:rPr>
        <w:t xml:space="preserve"> dozę kartą per parą (neviršijant 600 mg kartą per parą), buvo panaši kaip ekspozicija suaugusiųjų organizmuose, kai suaugusiesiems buvo skiriama po 400 mg arba 600 mg imatinibo dozę kartą per parą.</w:t>
      </w:r>
    </w:p>
    <w:p w14:paraId="652A9241" w14:textId="77777777" w:rsidR="0031640A" w:rsidRPr="00776407" w:rsidRDefault="0031640A" w:rsidP="007A7094">
      <w:pPr>
        <w:autoSpaceDE w:val="0"/>
        <w:autoSpaceDN w:val="0"/>
        <w:adjustRightInd w:val="0"/>
        <w:rPr>
          <w:rFonts w:eastAsia="Calibri"/>
          <w:sz w:val="22"/>
          <w:szCs w:val="22"/>
        </w:rPr>
      </w:pPr>
    </w:p>
    <w:p w14:paraId="2D39AC05" w14:textId="77777777" w:rsidR="007A7094" w:rsidRPr="00776407" w:rsidRDefault="007A7094" w:rsidP="007A7094">
      <w:pPr>
        <w:autoSpaceDE w:val="0"/>
        <w:autoSpaceDN w:val="0"/>
        <w:adjustRightInd w:val="0"/>
        <w:rPr>
          <w:rFonts w:eastAsia="Calibri"/>
          <w:sz w:val="22"/>
          <w:szCs w:val="22"/>
          <w:u w:val="single"/>
        </w:rPr>
      </w:pPr>
      <w:r w:rsidRPr="00776407">
        <w:rPr>
          <w:rFonts w:eastAsia="Calibri"/>
          <w:sz w:val="22"/>
          <w:szCs w:val="22"/>
          <w:u w:val="single"/>
        </w:rPr>
        <w:t xml:space="preserve">Organų funkcijos nepakankamumas </w:t>
      </w:r>
    </w:p>
    <w:p w14:paraId="1888FE95" w14:textId="77777777" w:rsidR="007A7094" w:rsidRPr="00776407" w:rsidRDefault="007A7094" w:rsidP="007A7094">
      <w:pPr>
        <w:autoSpaceDE w:val="0"/>
        <w:autoSpaceDN w:val="0"/>
        <w:adjustRightInd w:val="0"/>
        <w:rPr>
          <w:rFonts w:eastAsia="Calibri"/>
          <w:sz w:val="22"/>
          <w:szCs w:val="22"/>
        </w:rPr>
      </w:pPr>
      <w:r w:rsidRPr="00776407">
        <w:rPr>
          <w:rFonts w:eastAsia="Calibri"/>
          <w:sz w:val="22"/>
          <w:szCs w:val="22"/>
        </w:rPr>
        <w:t>Pro inkstus išsiskiria nedaug imatinibo ir jo metabolitų. Atrodo, kad pacientams, kuriems yra lengvas ir vidutinio sunkumo inkstų funkcijos sutrikimas, būdinga apytikriai 1,5-2</w:t>
      </w:r>
      <w:r w:rsidR="00315C7B" w:rsidRPr="00776407">
        <w:rPr>
          <w:rFonts w:eastAsia="Calibri"/>
          <w:sz w:val="22"/>
          <w:szCs w:val="22"/>
        </w:rPr>
        <w:t> </w:t>
      </w:r>
      <w:r w:rsidRPr="00776407">
        <w:rPr>
          <w:rFonts w:eastAsia="Calibri"/>
          <w:sz w:val="22"/>
          <w:szCs w:val="22"/>
        </w:rPr>
        <w:t>kartus didesnė ekspozicija plazmoje nei pacientams, kurių inkstų funkcija normali. Toks padidėjimas gretintinas su 1,5</w:t>
      </w:r>
      <w:r w:rsidR="00315C7B" w:rsidRPr="00776407">
        <w:rPr>
          <w:rFonts w:eastAsia="Calibri"/>
          <w:sz w:val="22"/>
          <w:szCs w:val="22"/>
        </w:rPr>
        <w:t> </w:t>
      </w:r>
      <w:r w:rsidRPr="00776407">
        <w:rPr>
          <w:rFonts w:eastAsia="Calibri"/>
          <w:sz w:val="22"/>
          <w:szCs w:val="22"/>
        </w:rPr>
        <w:t xml:space="preserve">karto didesniu stipriai imatinibą surišančio AGP kiekiu plazmoje. Tikriausiai laisvo imatinibo klirensas yra panašus ir </w:t>
      </w:r>
      <w:r w:rsidR="00BA110E" w:rsidRPr="00776407">
        <w:rPr>
          <w:color w:val="000000"/>
          <w:sz w:val="22"/>
          <w:szCs w:val="22"/>
        </w:rPr>
        <w:t xml:space="preserve">vaistinį preparatą </w:t>
      </w:r>
      <w:r w:rsidRPr="00776407">
        <w:rPr>
          <w:rFonts w:eastAsia="Calibri"/>
          <w:sz w:val="22"/>
          <w:szCs w:val="22"/>
        </w:rPr>
        <w:t>vartojant pacientams, kurių inkstų funkcija susilpnėjusi, ir tiems, kurių inkstų funkcija normali, nes pro inkstus išsiskiria tik nedidelė imatinibo dalis (žr. 4.2 ir 4.4</w:t>
      </w:r>
      <w:r w:rsidR="00315C7B" w:rsidRPr="00776407">
        <w:rPr>
          <w:rFonts w:eastAsia="Calibri"/>
          <w:sz w:val="22"/>
          <w:szCs w:val="22"/>
        </w:rPr>
        <w:t> </w:t>
      </w:r>
      <w:r w:rsidRPr="00776407">
        <w:rPr>
          <w:rFonts w:eastAsia="Calibri"/>
          <w:sz w:val="22"/>
          <w:szCs w:val="22"/>
        </w:rPr>
        <w:t xml:space="preserve">skyrius). </w:t>
      </w:r>
    </w:p>
    <w:p w14:paraId="5A9B4789" w14:textId="77777777" w:rsidR="00315C7B" w:rsidRPr="00776407" w:rsidRDefault="00315C7B" w:rsidP="007A7094">
      <w:pPr>
        <w:autoSpaceDE w:val="0"/>
        <w:autoSpaceDN w:val="0"/>
        <w:adjustRightInd w:val="0"/>
        <w:rPr>
          <w:rFonts w:eastAsia="Calibri"/>
          <w:sz w:val="22"/>
          <w:szCs w:val="22"/>
        </w:rPr>
      </w:pPr>
    </w:p>
    <w:p w14:paraId="12142F75" w14:textId="77777777" w:rsidR="007A7094" w:rsidRPr="00776407" w:rsidRDefault="007A7094" w:rsidP="007A7094">
      <w:pPr>
        <w:autoSpaceDE w:val="0"/>
        <w:autoSpaceDN w:val="0"/>
        <w:adjustRightInd w:val="0"/>
        <w:rPr>
          <w:rFonts w:eastAsia="Calibri"/>
          <w:sz w:val="22"/>
          <w:szCs w:val="22"/>
        </w:rPr>
      </w:pPr>
      <w:r w:rsidRPr="00776407">
        <w:rPr>
          <w:rFonts w:eastAsia="Calibri"/>
          <w:sz w:val="22"/>
          <w:szCs w:val="22"/>
        </w:rPr>
        <w:t>Nors farmakokinetinės analizės duomenys parodė, kad galimi ryškūs svyravimai tarp asmenų, imatinibo ekspozicija nedidėja pacientams, kuriems yra įvairaus laipsnio kepenų nepakankamumas, lyginant su pacientais, kurių kepenų funkcija normali (žr. 4.2, 4.4 ir 4.8</w:t>
      </w:r>
      <w:r w:rsidR="00315C7B" w:rsidRPr="00776407">
        <w:rPr>
          <w:rFonts w:eastAsia="Calibri"/>
          <w:sz w:val="22"/>
          <w:szCs w:val="22"/>
        </w:rPr>
        <w:t> </w:t>
      </w:r>
      <w:r w:rsidRPr="00776407">
        <w:rPr>
          <w:rFonts w:eastAsia="Calibri"/>
          <w:sz w:val="22"/>
          <w:szCs w:val="22"/>
        </w:rPr>
        <w:t xml:space="preserve">skyrius). </w:t>
      </w:r>
    </w:p>
    <w:p w14:paraId="2B6D696E" w14:textId="77777777" w:rsidR="00315C7B" w:rsidRPr="00776407" w:rsidRDefault="00315C7B" w:rsidP="007A7094">
      <w:pPr>
        <w:autoSpaceDE w:val="0"/>
        <w:autoSpaceDN w:val="0"/>
        <w:adjustRightInd w:val="0"/>
        <w:rPr>
          <w:rFonts w:eastAsia="Calibri"/>
          <w:sz w:val="22"/>
          <w:szCs w:val="22"/>
        </w:rPr>
      </w:pPr>
    </w:p>
    <w:p w14:paraId="1F727735" w14:textId="77777777" w:rsidR="007A7094" w:rsidRPr="00776407" w:rsidRDefault="007A7094" w:rsidP="00864BE6">
      <w:pPr>
        <w:pStyle w:val="Listenabsatz"/>
        <w:numPr>
          <w:ilvl w:val="1"/>
          <w:numId w:val="9"/>
        </w:numPr>
        <w:autoSpaceDE w:val="0"/>
        <w:autoSpaceDN w:val="0"/>
        <w:adjustRightInd w:val="0"/>
        <w:ind w:left="567" w:hanging="567"/>
        <w:rPr>
          <w:rFonts w:eastAsia="Calibri"/>
          <w:b/>
          <w:bCs/>
          <w:sz w:val="22"/>
          <w:szCs w:val="22"/>
        </w:rPr>
      </w:pPr>
      <w:r w:rsidRPr="00776407">
        <w:rPr>
          <w:rFonts w:eastAsia="Calibri"/>
          <w:b/>
          <w:bCs/>
          <w:sz w:val="22"/>
          <w:szCs w:val="22"/>
        </w:rPr>
        <w:t xml:space="preserve">Ikiklinikinių saugumo tyrimų duomenys </w:t>
      </w:r>
    </w:p>
    <w:p w14:paraId="0553E25B" w14:textId="77777777" w:rsidR="00315C7B" w:rsidRPr="00776407" w:rsidRDefault="00315C7B" w:rsidP="00315C7B">
      <w:pPr>
        <w:autoSpaceDE w:val="0"/>
        <w:autoSpaceDN w:val="0"/>
        <w:adjustRightInd w:val="0"/>
        <w:rPr>
          <w:rFonts w:eastAsia="Calibri"/>
          <w:sz w:val="22"/>
          <w:szCs w:val="22"/>
        </w:rPr>
      </w:pPr>
    </w:p>
    <w:p w14:paraId="7E1F7613" w14:textId="77777777" w:rsidR="007A7094" w:rsidRPr="00776407" w:rsidRDefault="007A7094" w:rsidP="007A7094">
      <w:pPr>
        <w:autoSpaceDE w:val="0"/>
        <w:autoSpaceDN w:val="0"/>
        <w:adjustRightInd w:val="0"/>
        <w:rPr>
          <w:rFonts w:eastAsia="Calibri"/>
          <w:sz w:val="22"/>
          <w:szCs w:val="22"/>
        </w:rPr>
      </w:pPr>
      <w:r w:rsidRPr="00776407">
        <w:rPr>
          <w:rFonts w:eastAsia="Calibri"/>
          <w:sz w:val="22"/>
          <w:szCs w:val="22"/>
        </w:rPr>
        <w:t xml:space="preserve">Ikiklinikinis imatinibo saugumo pobūdis įvertintas žiurkėms, šunims, beždžionėms ir triušiams. </w:t>
      </w:r>
    </w:p>
    <w:p w14:paraId="1801BFE0" w14:textId="77777777" w:rsidR="00315C7B" w:rsidRPr="00776407" w:rsidRDefault="00315C7B" w:rsidP="007A7094">
      <w:pPr>
        <w:autoSpaceDE w:val="0"/>
        <w:autoSpaceDN w:val="0"/>
        <w:adjustRightInd w:val="0"/>
        <w:rPr>
          <w:rFonts w:eastAsia="Calibri"/>
          <w:sz w:val="22"/>
          <w:szCs w:val="22"/>
        </w:rPr>
      </w:pPr>
    </w:p>
    <w:p w14:paraId="162AA95A" w14:textId="77777777" w:rsidR="007A7094" w:rsidRPr="00776407" w:rsidRDefault="007A7094" w:rsidP="007A7094">
      <w:pPr>
        <w:autoSpaceDE w:val="0"/>
        <w:autoSpaceDN w:val="0"/>
        <w:adjustRightInd w:val="0"/>
        <w:rPr>
          <w:rFonts w:eastAsia="Calibri"/>
          <w:sz w:val="22"/>
          <w:szCs w:val="22"/>
        </w:rPr>
      </w:pPr>
      <w:r w:rsidRPr="00776407">
        <w:rPr>
          <w:rFonts w:eastAsia="Calibri"/>
          <w:sz w:val="22"/>
          <w:szCs w:val="22"/>
        </w:rPr>
        <w:t xml:space="preserve">Kartotinių dozių toksiškumo tyrimai atskleidė nesunkių ar vidutinio sunkumo hematologinių pokyčių žiurkėms, šunims ir beždžionėms bei kaulų čiulpų pokyčių žiurkėms ir šunims. </w:t>
      </w:r>
    </w:p>
    <w:p w14:paraId="7DAFA547" w14:textId="77777777" w:rsidR="00315C7B" w:rsidRPr="00776407" w:rsidRDefault="00315C7B" w:rsidP="007A7094">
      <w:pPr>
        <w:autoSpaceDE w:val="0"/>
        <w:autoSpaceDN w:val="0"/>
        <w:adjustRightInd w:val="0"/>
        <w:rPr>
          <w:rFonts w:eastAsia="Calibri"/>
          <w:sz w:val="22"/>
          <w:szCs w:val="22"/>
        </w:rPr>
      </w:pPr>
    </w:p>
    <w:p w14:paraId="56648EDA" w14:textId="77777777" w:rsidR="007A7094" w:rsidRPr="00776407" w:rsidRDefault="007A7094" w:rsidP="007A7094">
      <w:pPr>
        <w:autoSpaceDE w:val="0"/>
        <w:autoSpaceDN w:val="0"/>
        <w:adjustRightInd w:val="0"/>
        <w:rPr>
          <w:rFonts w:eastAsia="Calibri"/>
          <w:color w:val="000000"/>
          <w:sz w:val="22"/>
          <w:szCs w:val="22"/>
        </w:rPr>
      </w:pPr>
      <w:r w:rsidRPr="00776407">
        <w:rPr>
          <w:rFonts w:eastAsia="Calibri"/>
          <w:sz w:val="22"/>
          <w:szCs w:val="22"/>
        </w:rPr>
        <w:t>Kepenys buvo žiurkių ir šunų organas taikinys. Abiejų rūšių gyvūnams stebėta neryškiai ar vidutiniškai padidėjusi transaminazių koncentracija ir šiek tiek sumažėjusi cholesterolio, trigliceridų, bendrojo baltymo ir albumino koncentracija. Jokių histopatologinių žiurkių kepenų pokyčių nenustatyta. Šunims, gydytiems 2</w:t>
      </w:r>
      <w:r w:rsidR="00315C7B" w:rsidRPr="00776407">
        <w:rPr>
          <w:rFonts w:eastAsia="Calibri"/>
          <w:sz w:val="22"/>
          <w:szCs w:val="22"/>
        </w:rPr>
        <w:t> </w:t>
      </w:r>
      <w:r w:rsidRPr="00776407">
        <w:rPr>
          <w:rFonts w:eastAsia="Calibri"/>
          <w:sz w:val="22"/>
          <w:szCs w:val="22"/>
        </w:rPr>
        <w:t>savaites, stebėtas sunkus kepenų toksiškumas, pasireiškęs padidėjusia kepenų fermentų koncentracija, kepenų ląstelių ir tulžies latakų nekroze bei tulžies latakų hiperplazija.</w:t>
      </w:r>
    </w:p>
    <w:p w14:paraId="6AC916FC" w14:textId="77777777" w:rsidR="00315C7B" w:rsidRPr="00776407" w:rsidRDefault="00315C7B" w:rsidP="007A7094">
      <w:pPr>
        <w:autoSpaceDE w:val="0"/>
        <w:autoSpaceDN w:val="0"/>
        <w:adjustRightInd w:val="0"/>
        <w:rPr>
          <w:rFonts w:eastAsia="Calibri"/>
          <w:color w:val="000000"/>
          <w:sz w:val="22"/>
          <w:szCs w:val="22"/>
        </w:rPr>
      </w:pPr>
    </w:p>
    <w:p w14:paraId="3F83C0ED" w14:textId="77777777" w:rsidR="00315C7B" w:rsidRPr="00776407" w:rsidRDefault="00315C7B" w:rsidP="00315C7B">
      <w:pPr>
        <w:autoSpaceDE w:val="0"/>
        <w:autoSpaceDN w:val="0"/>
        <w:adjustRightInd w:val="0"/>
        <w:rPr>
          <w:rFonts w:eastAsia="Calibri"/>
          <w:color w:val="000000"/>
          <w:sz w:val="22"/>
          <w:szCs w:val="22"/>
        </w:rPr>
      </w:pPr>
      <w:r w:rsidRPr="00776407">
        <w:rPr>
          <w:rFonts w:eastAsia="Calibri"/>
          <w:color w:val="000000"/>
          <w:sz w:val="22"/>
          <w:szCs w:val="22"/>
        </w:rPr>
        <w:t xml:space="preserve">Beždžionėms, gydytoms 2 savaites, stebėtas inkstų toksiškumas su židinine mineralizacija ir inkstų kanalėlių dilatacija bei tubuline nefroze. Kelioms beždžionėms nustatyta padidėjusi šlapalo azoto ir kreatinino koncentracija kraujyje. 13 savaičių tyrimų metu, žiurkėms, gavusioms </w:t>
      </w:r>
      <w:r w:rsidRPr="00776407">
        <w:t>≥ </w:t>
      </w:r>
      <w:r w:rsidRPr="00776407">
        <w:rPr>
          <w:rFonts w:eastAsia="Calibri"/>
          <w:color w:val="000000"/>
          <w:sz w:val="22"/>
          <w:szCs w:val="22"/>
        </w:rPr>
        <w:t xml:space="preserve">6 mg/kg dozę, stebėta inkstų spenelių ir šlapimo pūslės pereinamojo epitelio hiperplazija be serumo ar šlapimo rodiklių pokyčių. Ilgai gydomiems imatinibu gyvūnams stebėtas padidėjęs oportunistinių infekcijų dažnis. </w:t>
      </w:r>
    </w:p>
    <w:p w14:paraId="3C8D15D8" w14:textId="77777777" w:rsidR="00315C7B" w:rsidRPr="00776407" w:rsidRDefault="00315C7B" w:rsidP="00315C7B">
      <w:pPr>
        <w:autoSpaceDE w:val="0"/>
        <w:autoSpaceDN w:val="0"/>
        <w:adjustRightInd w:val="0"/>
        <w:rPr>
          <w:rFonts w:eastAsia="Calibri"/>
          <w:color w:val="000000"/>
          <w:sz w:val="22"/>
          <w:szCs w:val="22"/>
        </w:rPr>
      </w:pPr>
    </w:p>
    <w:p w14:paraId="0B8BDFD4" w14:textId="77777777" w:rsidR="00315C7B" w:rsidRPr="00776407" w:rsidRDefault="00315C7B" w:rsidP="00315C7B">
      <w:pPr>
        <w:autoSpaceDE w:val="0"/>
        <w:autoSpaceDN w:val="0"/>
        <w:adjustRightInd w:val="0"/>
        <w:rPr>
          <w:rFonts w:eastAsia="Calibri"/>
          <w:color w:val="000000"/>
          <w:sz w:val="22"/>
          <w:szCs w:val="22"/>
        </w:rPr>
      </w:pPr>
      <w:r w:rsidRPr="00776407">
        <w:rPr>
          <w:rFonts w:eastAsia="Calibri"/>
          <w:color w:val="000000"/>
          <w:sz w:val="22"/>
          <w:szCs w:val="22"/>
        </w:rPr>
        <w:t xml:space="preserve">39 savaičių tyrimo metu beždžionėms, gavusioms mažiausią 15 mg/kg dozę, vidutiniškai trečdalį didžiausios 800 mg žmogaus dozės pagal kūno paviršiaus plotą, jokio NNPL (nepastebimo nepageidaujamo poveikio lygmens) nenustatyta. Gydymas pablogino šių gyvūnų normaliai slopinamą maliarijos infekciją. </w:t>
      </w:r>
    </w:p>
    <w:p w14:paraId="1016921F" w14:textId="77777777" w:rsidR="00315C7B" w:rsidRPr="00776407" w:rsidRDefault="00315C7B" w:rsidP="00315C7B">
      <w:pPr>
        <w:autoSpaceDE w:val="0"/>
        <w:autoSpaceDN w:val="0"/>
        <w:adjustRightInd w:val="0"/>
        <w:rPr>
          <w:rFonts w:eastAsia="Calibri"/>
          <w:color w:val="000000"/>
          <w:sz w:val="22"/>
          <w:szCs w:val="22"/>
        </w:rPr>
      </w:pPr>
    </w:p>
    <w:p w14:paraId="4CF07B63" w14:textId="77777777" w:rsidR="00315C7B" w:rsidRPr="00776407" w:rsidRDefault="00315C7B" w:rsidP="00315C7B">
      <w:pPr>
        <w:autoSpaceDE w:val="0"/>
        <w:autoSpaceDN w:val="0"/>
        <w:adjustRightInd w:val="0"/>
        <w:rPr>
          <w:rFonts w:eastAsia="Calibri"/>
          <w:color w:val="000000"/>
          <w:sz w:val="22"/>
          <w:szCs w:val="22"/>
        </w:rPr>
      </w:pPr>
      <w:r w:rsidRPr="00776407">
        <w:rPr>
          <w:rFonts w:eastAsia="Calibri"/>
          <w:color w:val="000000"/>
          <w:sz w:val="22"/>
          <w:szCs w:val="22"/>
        </w:rPr>
        <w:t xml:space="preserve">Imatinibas nebuvo genotoksiškas </w:t>
      </w:r>
      <w:r w:rsidRPr="00776407">
        <w:rPr>
          <w:rFonts w:eastAsia="Calibri"/>
          <w:i/>
          <w:iCs/>
          <w:color w:val="000000"/>
          <w:sz w:val="22"/>
          <w:szCs w:val="22"/>
        </w:rPr>
        <w:t xml:space="preserve">in vitro </w:t>
      </w:r>
      <w:r w:rsidRPr="00776407">
        <w:rPr>
          <w:rFonts w:eastAsia="Calibri"/>
          <w:color w:val="000000"/>
          <w:sz w:val="22"/>
          <w:szCs w:val="22"/>
        </w:rPr>
        <w:t xml:space="preserve">atliekant bakterijų ląstelių testus (Ames testus), </w:t>
      </w:r>
      <w:r w:rsidRPr="00776407">
        <w:rPr>
          <w:rFonts w:eastAsia="Calibri"/>
          <w:i/>
          <w:iCs/>
          <w:color w:val="000000"/>
          <w:sz w:val="22"/>
          <w:szCs w:val="22"/>
        </w:rPr>
        <w:t xml:space="preserve">in vitro </w:t>
      </w:r>
      <w:r w:rsidRPr="00776407">
        <w:rPr>
          <w:rFonts w:eastAsia="Calibri"/>
          <w:color w:val="000000"/>
          <w:sz w:val="22"/>
          <w:szCs w:val="22"/>
        </w:rPr>
        <w:t xml:space="preserve">žinduolių ląstelių tyrimus (pelių limfomos) ir </w:t>
      </w:r>
      <w:r w:rsidRPr="00776407">
        <w:rPr>
          <w:rFonts w:eastAsia="Calibri"/>
          <w:i/>
          <w:iCs/>
          <w:color w:val="000000"/>
          <w:sz w:val="22"/>
          <w:szCs w:val="22"/>
        </w:rPr>
        <w:t xml:space="preserve">in vivo </w:t>
      </w:r>
      <w:r w:rsidRPr="00776407">
        <w:rPr>
          <w:rFonts w:eastAsia="Calibri"/>
          <w:color w:val="000000"/>
          <w:sz w:val="22"/>
          <w:szCs w:val="22"/>
        </w:rPr>
        <w:t xml:space="preserve">žiurkių mikrobranduolių testus. Teigiamas imatinibo genotoksinis poveikis stebėtas atliekant </w:t>
      </w:r>
      <w:r w:rsidRPr="00776407">
        <w:rPr>
          <w:rFonts w:eastAsia="Calibri"/>
          <w:i/>
          <w:iCs/>
          <w:color w:val="000000"/>
          <w:sz w:val="22"/>
          <w:szCs w:val="22"/>
        </w:rPr>
        <w:t xml:space="preserve">in vitro </w:t>
      </w:r>
      <w:r w:rsidRPr="00776407">
        <w:rPr>
          <w:rFonts w:eastAsia="Calibri"/>
          <w:color w:val="000000"/>
          <w:sz w:val="22"/>
          <w:szCs w:val="22"/>
        </w:rPr>
        <w:t xml:space="preserve">žinduolių ląstelių (kinietiškųjų žiurkėnų kiaušidžių) tyrimus klastogeniškumui (chromosomų aberacijoms) nustatyti, kai buvo metabolinis aktyvinimas. Du gamybos proceso tarpiniai produktai, kurių yra ir galutiniame produkte, taip pat veikė mutageniškai Ames testų metu. Vienas šių tarpinių produktų buvo teigiamas pelių limfomos tyrimų metu. </w:t>
      </w:r>
    </w:p>
    <w:p w14:paraId="40BA73C9" w14:textId="77777777" w:rsidR="00315C7B" w:rsidRPr="00776407" w:rsidRDefault="00315C7B" w:rsidP="00315C7B">
      <w:pPr>
        <w:autoSpaceDE w:val="0"/>
        <w:autoSpaceDN w:val="0"/>
        <w:adjustRightInd w:val="0"/>
        <w:rPr>
          <w:rFonts w:eastAsia="Calibri"/>
          <w:color w:val="000000"/>
          <w:sz w:val="22"/>
          <w:szCs w:val="22"/>
        </w:rPr>
      </w:pPr>
    </w:p>
    <w:p w14:paraId="4BF8B24C" w14:textId="77777777" w:rsidR="00315C7B" w:rsidRPr="00776407" w:rsidRDefault="00315C7B" w:rsidP="00315C7B">
      <w:pPr>
        <w:autoSpaceDE w:val="0"/>
        <w:autoSpaceDN w:val="0"/>
        <w:adjustRightInd w:val="0"/>
        <w:rPr>
          <w:rFonts w:eastAsia="Calibri"/>
          <w:color w:val="000000"/>
          <w:sz w:val="22"/>
          <w:szCs w:val="22"/>
        </w:rPr>
      </w:pPr>
      <w:r w:rsidRPr="00776407">
        <w:rPr>
          <w:rFonts w:eastAsia="Calibri"/>
          <w:color w:val="000000"/>
          <w:sz w:val="22"/>
          <w:szCs w:val="22"/>
        </w:rPr>
        <w:t xml:space="preserve">Tiriant vaisingumą nustatyta, kad žiurkių patinų, prieš poravimąsi 70 dienų gavusių </w:t>
      </w:r>
      <w:r w:rsidR="00BA110E" w:rsidRPr="00776407">
        <w:rPr>
          <w:color w:val="000000"/>
          <w:sz w:val="22"/>
          <w:szCs w:val="22"/>
        </w:rPr>
        <w:t>vaistinio preparato</w:t>
      </w:r>
      <w:r w:rsidRPr="00776407">
        <w:rPr>
          <w:rFonts w:eastAsia="Calibri"/>
          <w:color w:val="000000"/>
          <w:sz w:val="22"/>
          <w:szCs w:val="22"/>
        </w:rPr>
        <w:t>, sėklidžių ir sėklidžių prielipo svoris bei judrių spermijų procentas sumažėjo po 60 mg/kg dozės, kuri atitinka didžiausią klinikinę 800 mg per parą dozę, apskaičiuotą pagal kūno paviršiaus plotą. Šito nestebėta vartojant ≤</w:t>
      </w:r>
      <w:r w:rsidR="00364DC6" w:rsidRPr="00776407">
        <w:rPr>
          <w:rFonts w:eastAsia="Calibri"/>
          <w:color w:val="000000"/>
          <w:sz w:val="22"/>
          <w:szCs w:val="22"/>
        </w:rPr>
        <w:t> </w:t>
      </w:r>
      <w:r w:rsidRPr="00776407">
        <w:rPr>
          <w:rFonts w:eastAsia="Calibri"/>
          <w:color w:val="000000"/>
          <w:sz w:val="22"/>
          <w:szCs w:val="22"/>
        </w:rPr>
        <w:t>20</w:t>
      </w:r>
      <w:r w:rsidR="00364DC6" w:rsidRPr="00776407">
        <w:rPr>
          <w:rFonts w:eastAsia="Calibri"/>
          <w:color w:val="000000"/>
          <w:sz w:val="22"/>
          <w:szCs w:val="22"/>
        </w:rPr>
        <w:t> </w:t>
      </w:r>
      <w:r w:rsidRPr="00776407">
        <w:rPr>
          <w:rFonts w:eastAsia="Calibri"/>
          <w:color w:val="000000"/>
          <w:sz w:val="22"/>
          <w:szCs w:val="22"/>
        </w:rPr>
        <w:t xml:space="preserve">mg/kg dozę. Neryškiai ir vidutiniškai sumažėjusi spermatogenezė taip pat nustatyta šunims, gavusiems </w:t>
      </w:r>
      <w:r w:rsidR="002752F4" w:rsidRPr="00776407">
        <w:t>≥</w:t>
      </w:r>
      <w:r w:rsidR="00364DC6" w:rsidRPr="00776407">
        <w:rPr>
          <w:rFonts w:eastAsia="Calibri"/>
          <w:color w:val="000000"/>
          <w:sz w:val="22"/>
          <w:szCs w:val="22"/>
        </w:rPr>
        <w:t> </w:t>
      </w:r>
      <w:r w:rsidRPr="00776407">
        <w:rPr>
          <w:rFonts w:eastAsia="Calibri"/>
          <w:color w:val="000000"/>
          <w:sz w:val="22"/>
          <w:szCs w:val="22"/>
        </w:rPr>
        <w:t>30</w:t>
      </w:r>
      <w:r w:rsidR="00364DC6" w:rsidRPr="00776407">
        <w:rPr>
          <w:rFonts w:eastAsia="Calibri"/>
          <w:color w:val="000000"/>
          <w:sz w:val="22"/>
          <w:szCs w:val="22"/>
        </w:rPr>
        <w:t> </w:t>
      </w:r>
      <w:r w:rsidRPr="00776407">
        <w:rPr>
          <w:rFonts w:eastAsia="Calibri"/>
          <w:color w:val="000000"/>
          <w:sz w:val="22"/>
          <w:szCs w:val="22"/>
        </w:rPr>
        <w:t>mg/kg geriamąją dozę. 14</w:t>
      </w:r>
      <w:r w:rsidR="002752F4" w:rsidRPr="00776407">
        <w:rPr>
          <w:rFonts w:eastAsia="Calibri"/>
          <w:color w:val="000000"/>
          <w:sz w:val="22"/>
          <w:szCs w:val="22"/>
        </w:rPr>
        <w:t> </w:t>
      </w:r>
      <w:r w:rsidRPr="00776407">
        <w:rPr>
          <w:rFonts w:eastAsia="Calibri"/>
          <w:color w:val="000000"/>
          <w:sz w:val="22"/>
          <w:szCs w:val="22"/>
        </w:rPr>
        <w:t xml:space="preserve">dienų prieš poravimąsi ir iki 6-osios nėštumo dienos žiurkių patelėms duodant </w:t>
      </w:r>
      <w:r w:rsidR="00BA110E" w:rsidRPr="00776407">
        <w:rPr>
          <w:color w:val="000000"/>
          <w:sz w:val="22"/>
          <w:szCs w:val="22"/>
        </w:rPr>
        <w:t>vaistinio preparato</w:t>
      </w:r>
      <w:r w:rsidRPr="00776407">
        <w:rPr>
          <w:rFonts w:eastAsia="Calibri"/>
          <w:color w:val="000000"/>
          <w:sz w:val="22"/>
          <w:szCs w:val="22"/>
        </w:rPr>
        <w:t>, poveikio poravimuisi ir nėščių patelių skaičiui nenustatyta, o duodant 60</w:t>
      </w:r>
      <w:r w:rsidR="002752F4" w:rsidRPr="00776407">
        <w:rPr>
          <w:rFonts w:eastAsia="Calibri"/>
          <w:color w:val="000000"/>
          <w:sz w:val="22"/>
          <w:szCs w:val="22"/>
        </w:rPr>
        <w:t> </w:t>
      </w:r>
      <w:r w:rsidRPr="00776407">
        <w:rPr>
          <w:rFonts w:eastAsia="Calibri"/>
          <w:color w:val="000000"/>
          <w:sz w:val="22"/>
          <w:szCs w:val="22"/>
        </w:rPr>
        <w:t>mg/kg dozę, ryškiai padaugėjo poimplantacinių vaisių netekimų ir sumažėjo gyvų vaisių skaičius. Šių reiškinių nestebėta skiriant ≤</w:t>
      </w:r>
      <w:r w:rsidR="00364DC6" w:rsidRPr="00776407">
        <w:rPr>
          <w:rFonts w:eastAsia="Calibri"/>
          <w:color w:val="000000"/>
          <w:sz w:val="22"/>
          <w:szCs w:val="22"/>
        </w:rPr>
        <w:t> </w:t>
      </w:r>
      <w:r w:rsidRPr="00776407">
        <w:rPr>
          <w:rFonts w:eastAsia="Calibri"/>
          <w:color w:val="000000"/>
          <w:sz w:val="22"/>
          <w:szCs w:val="22"/>
        </w:rPr>
        <w:t>20</w:t>
      </w:r>
      <w:r w:rsidR="00364DC6" w:rsidRPr="00776407">
        <w:rPr>
          <w:rFonts w:eastAsia="Calibri"/>
          <w:color w:val="000000"/>
          <w:sz w:val="22"/>
          <w:szCs w:val="22"/>
        </w:rPr>
        <w:t> </w:t>
      </w:r>
      <w:r w:rsidRPr="00776407">
        <w:rPr>
          <w:rFonts w:eastAsia="Calibri"/>
          <w:color w:val="000000"/>
          <w:sz w:val="22"/>
          <w:szCs w:val="22"/>
        </w:rPr>
        <w:t xml:space="preserve">mg/kg dozę. </w:t>
      </w:r>
    </w:p>
    <w:p w14:paraId="1EDCE401" w14:textId="77777777" w:rsidR="002752F4" w:rsidRPr="00776407" w:rsidRDefault="002752F4" w:rsidP="00315C7B">
      <w:pPr>
        <w:autoSpaceDE w:val="0"/>
        <w:autoSpaceDN w:val="0"/>
        <w:adjustRightInd w:val="0"/>
        <w:rPr>
          <w:rFonts w:eastAsia="Calibri"/>
          <w:color w:val="000000"/>
          <w:sz w:val="22"/>
          <w:szCs w:val="22"/>
        </w:rPr>
      </w:pPr>
    </w:p>
    <w:p w14:paraId="1B23BE67" w14:textId="77777777" w:rsidR="00315C7B" w:rsidRPr="00776407" w:rsidRDefault="00315C7B" w:rsidP="00315C7B">
      <w:pPr>
        <w:autoSpaceDE w:val="0"/>
        <w:autoSpaceDN w:val="0"/>
        <w:adjustRightInd w:val="0"/>
        <w:rPr>
          <w:rFonts w:eastAsia="Calibri"/>
          <w:color w:val="000000"/>
          <w:sz w:val="22"/>
          <w:szCs w:val="22"/>
        </w:rPr>
      </w:pPr>
      <w:r w:rsidRPr="00776407">
        <w:rPr>
          <w:rFonts w:eastAsia="Calibri"/>
          <w:color w:val="000000"/>
          <w:sz w:val="22"/>
          <w:szCs w:val="22"/>
        </w:rPr>
        <w:t xml:space="preserve">Geriamojo </w:t>
      </w:r>
      <w:r w:rsidR="00BA110E" w:rsidRPr="00776407">
        <w:rPr>
          <w:color w:val="000000"/>
          <w:sz w:val="22"/>
          <w:szCs w:val="22"/>
        </w:rPr>
        <w:t xml:space="preserve">vaistinio preparato </w:t>
      </w:r>
      <w:r w:rsidRPr="00776407">
        <w:rPr>
          <w:rFonts w:eastAsia="Calibri"/>
          <w:color w:val="000000"/>
          <w:sz w:val="22"/>
          <w:szCs w:val="22"/>
        </w:rPr>
        <w:t>prenatalinės ir ponatalinės raidos tyrimų metu žiurkėms, gaunančioms 45</w:t>
      </w:r>
      <w:r w:rsidR="002752F4" w:rsidRPr="00776407">
        <w:rPr>
          <w:rFonts w:eastAsia="Calibri"/>
          <w:color w:val="000000"/>
          <w:sz w:val="22"/>
          <w:szCs w:val="22"/>
        </w:rPr>
        <w:t> </w:t>
      </w:r>
      <w:r w:rsidRPr="00776407">
        <w:rPr>
          <w:rFonts w:eastAsia="Calibri"/>
          <w:color w:val="000000"/>
          <w:sz w:val="22"/>
          <w:szCs w:val="22"/>
        </w:rPr>
        <w:t>mg/kg per parą, 14-ąją ar 15-ąją nėštumo dieną stebėta raudonų išskyrų iš makšties. Duodant tą pačią dozę, nustatyta, kad padidėja negyvagimių ir 0–4</w:t>
      </w:r>
      <w:r w:rsidR="002752F4" w:rsidRPr="00776407">
        <w:rPr>
          <w:rFonts w:eastAsia="Calibri"/>
          <w:color w:val="000000"/>
          <w:sz w:val="22"/>
          <w:szCs w:val="22"/>
        </w:rPr>
        <w:t> </w:t>
      </w:r>
      <w:r w:rsidRPr="00776407">
        <w:rPr>
          <w:rFonts w:eastAsia="Calibri"/>
          <w:color w:val="000000"/>
          <w:sz w:val="22"/>
          <w:szCs w:val="22"/>
        </w:rPr>
        <w:t>dienomis žuvusių palikuonių skaičius. F</w:t>
      </w:r>
      <w:r w:rsidRPr="00776407">
        <w:rPr>
          <w:rFonts w:eastAsia="Calibri"/>
          <w:color w:val="000000"/>
          <w:sz w:val="14"/>
          <w:szCs w:val="14"/>
        </w:rPr>
        <w:t xml:space="preserve">1 </w:t>
      </w:r>
      <w:r w:rsidRPr="00776407">
        <w:rPr>
          <w:rFonts w:eastAsia="Calibri"/>
          <w:color w:val="000000"/>
          <w:sz w:val="22"/>
          <w:szCs w:val="22"/>
        </w:rPr>
        <w:t>palikuonims, duodant tą pačią dozę, vidutinis kūno svoris buvo mažesnis nuo gimimo iki galutinio gyvavimo laiko ir šiek tiek mažesnis buvo jauniklių, pasiekusių apyvarpės atsiskyrimo kriterijus, skaičius. Kai buvo duodama 45</w:t>
      </w:r>
      <w:r w:rsidR="002752F4" w:rsidRPr="00776407">
        <w:rPr>
          <w:rFonts w:eastAsia="Calibri"/>
          <w:color w:val="000000"/>
          <w:sz w:val="22"/>
          <w:szCs w:val="22"/>
        </w:rPr>
        <w:t> </w:t>
      </w:r>
      <w:r w:rsidRPr="00776407">
        <w:rPr>
          <w:rFonts w:eastAsia="Calibri"/>
          <w:color w:val="000000"/>
          <w:sz w:val="22"/>
          <w:szCs w:val="22"/>
        </w:rPr>
        <w:t>mg/kg per parą dozė, F</w:t>
      </w:r>
      <w:r w:rsidRPr="00776407">
        <w:rPr>
          <w:rFonts w:eastAsia="Calibri"/>
          <w:color w:val="000000"/>
          <w:sz w:val="14"/>
          <w:szCs w:val="14"/>
        </w:rPr>
        <w:t xml:space="preserve">1 </w:t>
      </w:r>
      <w:r w:rsidRPr="00776407">
        <w:rPr>
          <w:rFonts w:eastAsia="Calibri"/>
          <w:color w:val="000000"/>
          <w:sz w:val="22"/>
          <w:szCs w:val="22"/>
        </w:rPr>
        <w:t>vaisingumas buvo nepakitęs, o rezorbcijų skaičius padidėjo bei gyvybingų vaisių skaičius sumažėjo. Nepastebimo poveikio lygmens (NPL) dozė, gyvūnų tėvams ir F</w:t>
      </w:r>
      <w:r w:rsidRPr="00776407">
        <w:rPr>
          <w:rFonts w:eastAsia="Calibri"/>
          <w:color w:val="000000"/>
          <w:sz w:val="14"/>
          <w:szCs w:val="14"/>
        </w:rPr>
        <w:t xml:space="preserve">1 </w:t>
      </w:r>
      <w:r w:rsidRPr="00776407">
        <w:rPr>
          <w:rFonts w:eastAsia="Calibri"/>
          <w:color w:val="000000"/>
          <w:sz w:val="22"/>
          <w:szCs w:val="22"/>
        </w:rPr>
        <w:t>generacijai, buvo 15</w:t>
      </w:r>
      <w:r w:rsidR="002752F4" w:rsidRPr="00776407">
        <w:rPr>
          <w:rFonts w:eastAsia="Calibri"/>
          <w:color w:val="000000"/>
          <w:sz w:val="22"/>
          <w:szCs w:val="22"/>
        </w:rPr>
        <w:t> </w:t>
      </w:r>
      <w:r w:rsidRPr="00776407">
        <w:rPr>
          <w:rFonts w:eastAsia="Calibri"/>
          <w:color w:val="000000"/>
          <w:sz w:val="22"/>
          <w:szCs w:val="22"/>
        </w:rPr>
        <w:t>mg/kg per parą (ketvirtis didžiausios žmogaus 800</w:t>
      </w:r>
      <w:r w:rsidR="002752F4" w:rsidRPr="00776407">
        <w:rPr>
          <w:rFonts w:eastAsia="Calibri"/>
          <w:color w:val="000000"/>
          <w:sz w:val="22"/>
          <w:szCs w:val="22"/>
        </w:rPr>
        <w:t> </w:t>
      </w:r>
      <w:r w:rsidRPr="00776407">
        <w:rPr>
          <w:rFonts w:eastAsia="Calibri"/>
          <w:color w:val="000000"/>
          <w:sz w:val="22"/>
          <w:szCs w:val="22"/>
        </w:rPr>
        <w:t xml:space="preserve">mg dozės). </w:t>
      </w:r>
    </w:p>
    <w:p w14:paraId="454C2632" w14:textId="77777777" w:rsidR="002752F4" w:rsidRPr="00776407" w:rsidRDefault="002752F4" w:rsidP="00315C7B">
      <w:pPr>
        <w:autoSpaceDE w:val="0"/>
        <w:autoSpaceDN w:val="0"/>
        <w:adjustRightInd w:val="0"/>
        <w:rPr>
          <w:rFonts w:eastAsia="Calibri"/>
          <w:color w:val="000000"/>
          <w:sz w:val="22"/>
          <w:szCs w:val="22"/>
        </w:rPr>
      </w:pPr>
    </w:p>
    <w:p w14:paraId="15622F86" w14:textId="77777777" w:rsidR="00315C7B" w:rsidRPr="00776407" w:rsidRDefault="00315C7B" w:rsidP="00315C7B">
      <w:pPr>
        <w:autoSpaceDE w:val="0"/>
        <w:autoSpaceDN w:val="0"/>
        <w:adjustRightInd w:val="0"/>
        <w:rPr>
          <w:rFonts w:eastAsia="Calibri"/>
          <w:color w:val="000000"/>
          <w:sz w:val="22"/>
          <w:szCs w:val="22"/>
        </w:rPr>
      </w:pPr>
      <w:r w:rsidRPr="00776407">
        <w:rPr>
          <w:rFonts w:eastAsia="Calibri"/>
          <w:color w:val="000000"/>
          <w:sz w:val="22"/>
          <w:szCs w:val="22"/>
        </w:rPr>
        <w:t>Imatinibas, kurio organogenezės laikotarpiu buvo skiriama ≥</w:t>
      </w:r>
      <w:r w:rsidR="002752F4" w:rsidRPr="00776407">
        <w:rPr>
          <w:rFonts w:eastAsia="Calibri"/>
          <w:color w:val="000000"/>
          <w:sz w:val="22"/>
          <w:szCs w:val="22"/>
        </w:rPr>
        <w:t> </w:t>
      </w:r>
      <w:r w:rsidRPr="00776407">
        <w:rPr>
          <w:rFonts w:eastAsia="Calibri"/>
          <w:color w:val="000000"/>
          <w:sz w:val="22"/>
          <w:szCs w:val="22"/>
        </w:rPr>
        <w:t>100</w:t>
      </w:r>
      <w:r w:rsidR="002752F4" w:rsidRPr="00776407">
        <w:rPr>
          <w:rFonts w:eastAsia="Calibri"/>
          <w:color w:val="000000"/>
          <w:sz w:val="22"/>
          <w:szCs w:val="22"/>
        </w:rPr>
        <w:t> </w:t>
      </w:r>
      <w:r w:rsidRPr="00776407">
        <w:rPr>
          <w:rFonts w:eastAsia="Calibri"/>
          <w:color w:val="000000"/>
          <w:sz w:val="22"/>
          <w:szCs w:val="22"/>
        </w:rPr>
        <w:t>mg/kg (maždaug atitinka pagal kūno paviršiaus plotą apskaičiuotą didžiausią klinikinę 800</w:t>
      </w:r>
      <w:r w:rsidR="002752F4" w:rsidRPr="00776407">
        <w:rPr>
          <w:rFonts w:eastAsia="Calibri"/>
          <w:color w:val="000000"/>
          <w:sz w:val="22"/>
          <w:szCs w:val="22"/>
        </w:rPr>
        <w:t> </w:t>
      </w:r>
      <w:r w:rsidRPr="00776407">
        <w:rPr>
          <w:rFonts w:eastAsia="Calibri"/>
          <w:color w:val="000000"/>
          <w:sz w:val="22"/>
          <w:szCs w:val="22"/>
        </w:rPr>
        <w:t>mg per parą dozę), buvo teratogeniškas žiurkėms. Teratogeninis poveikis pasireiškė eksencefalija ar encefalocele, kaktikaulio nebuvimu ar sumažėjimu ir momenkaulio nebuvimu. Šių reiškinių nestebėta, kai dozė buvo ≤</w:t>
      </w:r>
      <w:r w:rsidR="002752F4" w:rsidRPr="00776407">
        <w:rPr>
          <w:rFonts w:eastAsia="Calibri"/>
          <w:color w:val="000000"/>
          <w:sz w:val="22"/>
          <w:szCs w:val="22"/>
        </w:rPr>
        <w:t> </w:t>
      </w:r>
      <w:r w:rsidRPr="00776407">
        <w:rPr>
          <w:rFonts w:eastAsia="Calibri"/>
          <w:color w:val="000000"/>
          <w:sz w:val="22"/>
          <w:szCs w:val="22"/>
        </w:rPr>
        <w:t xml:space="preserve">30 mg/kg. </w:t>
      </w:r>
    </w:p>
    <w:p w14:paraId="72C5D59C" w14:textId="77777777" w:rsidR="002752F4" w:rsidRPr="00776407" w:rsidRDefault="002752F4" w:rsidP="00315C7B">
      <w:pPr>
        <w:autoSpaceDE w:val="0"/>
        <w:autoSpaceDN w:val="0"/>
        <w:adjustRightInd w:val="0"/>
        <w:rPr>
          <w:rFonts w:eastAsia="Calibri"/>
          <w:color w:val="000000"/>
          <w:sz w:val="22"/>
          <w:szCs w:val="22"/>
        </w:rPr>
      </w:pPr>
    </w:p>
    <w:p w14:paraId="2AA0A8C6" w14:textId="2FDB21D1" w:rsidR="00131D7A" w:rsidRPr="00776407" w:rsidRDefault="00131D7A" w:rsidP="00315C7B">
      <w:pPr>
        <w:autoSpaceDE w:val="0"/>
        <w:autoSpaceDN w:val="0"/>
        <w:adjustRightInd w:val="0"/>
        <w:rPr>
          <w:rFonts w:eastAsia="Calibri"/>
          <w:color w:val="000000"/>
          <w:sz w:val="22"/>
          <w:szCs w:val="22"/>
        </w:rPr>
      </w:pPr>
      <w:r w:rsidRPr="00776407">
        <w:rPr>
          <w:sz w:val="22"/>
          <w:szCs w:val="22"/>
        </w:rPr>
        <w:t>Toksinio poveikio vystimuisi tyrimo, atlikto su žiurkių jaunikliais, metu (</w:t>
      </w:r>
      <w:r w:rsidR="00AA08DE" w:rsidRPr="00776407">
        <w:rPr>
          <w:sz w:val="22"/>
          <w:szCs w:val="22"/>
        </w:rPr>
        <w:t xml:space="preserve">vaistinio </w:t>
      </w:r>
      <w:r w:rsidRPr="00776407">
        <w:rPr>
          <w:sz w:val="22"/>
          <w:szCs w:val="22"/>
        </w:rPr>
        <w:t xml:space="preserve">preparato skiriant nuo 10-osios iki 70-osios dienos po atsivedimo) naujų organų taikinių nenustatyta, lyginant su žinomais organais taikiniais suaugusioms žiurkėms. Toksinio poveikio jauniklių vystimuisi tyrimo metu poveikis augimui, vėlesniam makšties angos atsidarymui ir apyvarpės atsiskyrimui pastebėtas esant tokiai </w:t>
      </w:r>
      <w:r w:rsidR="00AA08DE" w:rsidRPr="00776407">
        <w:rPr>
          <w:sz w:val="22"/>
          <w:szCs w:val="22"/>
        </w:rPr>
        <w:t xml:space="preserve">vaistinio </w:t>
      </w:r>
      <w:r w:rsidRPr="00776407">
        <w:rPr>
          <w:sz w:val="22"/>
          <w:szCs w:val="22"/>
        </w:rPr>
        <w:t>preparato ekspozicijai, kuri maždaug 0,3-2 kartus viršija vidutinę ekspoziciją vaikų populiacijoje skiriant didžiausią rekomenduojamą 340 mg/m</w:t>
      </w:r>
      <w:r w:rsidRPr="00776407">
        <w:rPr>
          <w:sz w:val="22"/>
          <w:szCs w:val="22"/>
          <w:vertAlign w:val="superscript"/>
        </w:rPr>
        <w:t xml:space="preserve">2 </w:t>
      </w:r>
      <w:r w:rsidRPr="00776407">
        <w:rPr>
          <w:sz w:val="22"/>
          <w:szCs w:val="22"/>
        </w:rPr>
        <w:t xml:space="preserve">kūno paviršiaus dozę. Be to, pastebėta gyvūnų jauniklių kritimo atvejų (maždaug nujunkymo fazėje) esant tokiai </w:t>
      </w:r>
      <w:r w:rsidR="00AA08DE" w:rsidRPr="00776407">
        <w:rPr>
          <w:sz w:val="22"/>
          <w:szCs w:val="22"/>
        </w:rPr>
        <w:t xml:space="preserve">vaistinio </w:t>
      </w:r>
      <w:r w:rsidRPr="00776407">
        <w:rPr>
          <w:sz w:val="22"/>
          <w:szCs w:val="22"/>
        </w:rPr>
        <w:t>preparato ekspozicijai, kuri maždaug 2 kartus viršija vidutinę ekspoziciją vaikų populiacijoje skiriant didžiausią rekomenduojamą 340 mg/m</w:t>
      </w:r>
      <w:r w:rsidRPr="00776407">
        <w:rPr>
          <w:sz w:val="22"/>
          <w:szCs w:val="22"/>
          <w:vertAlign w:val="superscript"/>
        </w:rPr>
        <w:t>2</w:t>
      </w:r>
      <w:r w:rsidRPr="00776407">
        <w:rPr>
          <w:sz w:val="14"/>
          <w:szCs w:val="14"/>
        </w:rPr>
        <w:t xml:space="preserve"> </w:t>
      </w:r>
      <w:r w:rsidRPr="00776407">
        <w:rPr>
          <w:sz w:val="22"/>
          <w:szCs w:val="22"/>
        </w:rPr>
        <w:t>kūno paviršiaus dozę.</w:t>
      </w:r>
    </w:p>
    <w:p w14:paraId="70778B5E" w14:textId="77777777" w:rsidR="00131D7A" w:rsidRPr="00776407" w:rsidRDefault="00131D7A" w:rsidP="00315C7B">
      <w:pPr>
        <w:autoSpaceDE w:val="0"/>
        <w:autoSpaceDN w:val="0"/>
        <w:adjustRightInd w:val="0"/>
        <w:rPr>
          <w:rFonts w:eastAsia="Calibri"/>
          <w:color w:val="000000"/>
          <w:sz w:val="22"/>
          <w:szCs w:val="22"/>
        </w:rPr>
      </w:pPr>
    </w:p>
    <w:p w14:paraId="352A9461" w14:textId="77777777" w:rsidR="00315C7B" w:rsidRPr="00776407" w:rsidRDefault="00315C7B" w:rsidP="00315C7B">
      <w:pPr>
        <w:autoSpaceDE w:val="0"/>
        <w:autoSpaceDN w:val="0"/>
        <w:adjustRightInd w:val="0"/>
        <w:rPr>
          <w:rFonts w:eastAsia="Calibri"/>
          <w:color w:val="000000"/>
          <w:sz w:val="22"/>
          <w:szCs w:val="22"/>
        </w:rPr>
      </w:pPr>
      <w:r w:rsidRPr="00776407">
        <w:rPr>
          <w:rFonts w:eastAsia="Calibri"/>
          <w:color w:val="000000"/>
          <w:sz w:val="22"/>
          <w:szCs w:val="22"/>
        </w:rPr>
        <w:t>Dviejų metų kancerogeniškumo tyrimų su žiurkėmis, gavusiomis 15</w:t>
      </w:r>
      <w:r w:rsidR="002752F4" w:rsidRPr="00776407">
        <w:rPr>
          <w:rFonts w:eastAsia="Calibri"/>
          <w:color w:val="000000"/>
          <w:sz w:val="22"/>
          <w:szCs w:val="22"/>
        </w:rPr>
        <w:t> </w:t>
      </w:r>
      <w:r w:rsidRPr="00776407">
        <w:rPr>
          <w:rFonts w:eastAsia="Calibri"/>
          <w:color w:val="000000"/>
          <w:sz w:val="22"/>
          <w:szCs w:val="22"/>
        </w:rPr>
        <w:t>mg/kg, 30</w:t>
      </w:r>
      <w:r w:rsidR="002752F4" w:rsidRPr="00776407">
        <w:rPr>
          <w:rFonts w:eastAsia="Calibri"/>
          <w:color w:val="000000"/>
          <w:sz w:val="22"/>
          <w:szCs w:val="22"/>
        </w:rPr>
        <w:t> </w:t>
      </w:r>
      <w:r w:rsidRPr="00776407">
        <w:rPr>
          <w:rFonts w:eastAsia="Calibri"/>
          <w:color w:val="000000"/>
          <w:sz w:val="22"/>
          <w:szCs w:val="22"/>
        </w:rPr>
        <w:t>mg/kg ir 60</w:t>
      </w:r>
      <w:r w:rsidR="002752F4" w:rsidRPr="00776407">
        <w:rPr>
          <w:rFonts w:eastAsia="Calibri"/>
          <w:color w:val="000000"/>
          <w:sz w:val="22"/>
          <w:szCs w:val="22"/>
        </w:rPr>
        <w:t> </w:t>
      </w:r>
      <w:r w:rsidRPr="00776407">
        <w:rPr>
          <w:rFonts w:eastAsia="Calibri"/>
          <w:color w:val="000000"/>
          <w:sz w:val="22"/>
          <w:szCs w:val="22"/>
        </w:rPr>
        <w:t>mg/kg per parą imatinibo dozę, metu statistiškai reikšmingai sumažėjo patinų, gavusių 60</w:t>
      </w:r>
      <w:r w:rsidR="002752F4" w:rsidRPr="00776407">
        <w:rPr>
          <w:rFonts w:eastAsia="Calibri"/>
          <w:color w:val="000000"/>
          <w:sz w:val="22"/>
          <w:szCs w:val="22"/>
        </w:rPr>
        <w:t> </w:t>
      </w:r>
      <w:r w:rsidRPr="00776407">
        <w:rPr>
          <w:rFonts w:eastAsia="Calibri"/>
          <w:color w:val="000000"/>
          <w:sz w:val="22"/>
          <w:szCs w:val="22"/>
        </w:rPr>
        <w:t>mg/kg per parą, ir patelių, gavusių ≥</w:t>
      </w:r>
      <w:r w:rsidR="002752F4" w:rsidRPr="00776407">
        <w:rPr>
          <w:rFonts w:eastAsia="Calibri"/>
          <w:color w:val="000000"/>
          <w:sz w:val="22"/>
          <w:szCs w:val="22"/>
        </w:rPr>
        <w:t> </w:t>
      </w:r>
      <w:r w:rsidRPr="00776407">
        <w:rPr>
          <w:rFonts w:eastAsia="Calibri"/>
          <w:color w:val="000000"/>
          <w:sz w:val="22"/>
          <w:szCs w:val="22"/>
        </w:rPr>
        <w:t>30</w:t>
      </w:r>
      <w:r w:rsidR="00D3182C" w:rsidRPr="00776407">
        <w:rPr>
          <w:rFonts w:eastAsia="Calibri"/>
          <w:color w:val="000000"/>
          <w:sz w:val="22"/>
          <w:szCs w:val="22"/>
        </w:rPr>
        <w:t> </w:t>
      </w:r>
      <w:r w:rsidRPr="00776407">
        <w:rPr>
          <w:rFonts w:eastAsia="Calibri"/>
          <w:color w:val="000000"/>
          <w:sz w:val="22"/>
          <w:szCs w:val="22"/>
        </w:rPr>
        <w:t>mg/kg per parą, gyvenimo trukmė. Kritusių gyvūnėlių histopatologinių tyrimų metu nustatytos pagrindinės gyvūnėlių žūties ar jų užmigdymo priežastys buvo: kardiomiopatija (abiems lytims), lėtinė progresuojanti nefropatija (patelėms) ir apyvarpės liaukų papiloma. Neoplastinis procesas pažeidė inkstus, šlapimo pūslę, šlaplę, apyvarpės ir varputės liaukas, plonąjį žarnyną, prieskydines liaukas, antinksčius ir ne liaukinę skrandžio dalį.</w:t>
      </w:r>
    </w:p>
    <w:p w14:paraId="3D8B1133" w14:textId="77777777" w:rsidR="00D3182C" w:rsidRPr="00776407" w:rsidRDefault="00D3182C" w:rsidP="00315C7B">
      <w:pPr>
        <w:autoSpaceDE w:val="0"/>
        <w:autoSpaceDN w:val="0"/>
        <w:adjustRightInd w:val="0"/>
        <w:rPr>
          <w:rFonts w:eastAsia="Calibri"/>
          <w:color w:val="000000"/>
          <w:sz w:val="22"/>
          <w:szCs w:val="22"/>
        </w:rPr>
      </w:pPr>
    </w:p>
    <w:p w14:paraId="1B1FA1B4" w14:textId="77777777" w:rsidR="00D3182C" w:rsidRPr="00776407" w:rsidRDefault="00D3182C" w:rsidP="00D3182C">
      <w:pPr>
        <w:autoSpaceDE w:val="0"/>
        <w:autoSpaceDN w:val="0"/>
        <w:adjustRightInd w:val="0"/>
        <w:rPr>
          <w:rFonts w:eastAsia="Calibri"/>
          <w:color w:val="000000"/>
          <w:sz w:val="22"/>
          <w:szCs w:val="22"/>
        </w:rPr>
      </w:pPr>
      <w:r w:rsidRPr="00776407">
        <w:rPr>
          <w:rFonts w:eastAsia="Calibri"/>
          <w:color w:val="000000"/>
          <w:sz w:val="22"/>
          <w:szCs w:val="22"/>
        </w:rPr>
        <w:t>Apyvarpės ar varputės liaukų papilomos ar karcinomos stebėtos žiurkėms, kurios gavo nuo 30</w:t>
      </w:r>
      <w:r w:rsidR="00731663" w:rsidRPr="00776407">
        <w:rPr>
          <w:rFonts w:eastAsia="Calibri"/>
          <w:color w:val="000000"/>
          <w:sz w:val="22"/>
          <w:szCs w:val="22"/>
        </w:rPr>
        <w:t> </w:t>
      </w:r>
      <w:r w:rsidRPr="00776407">
        <w:rPr>
          <w:rFonts w:eastAsia="Calibri"/>
          <w:color w:val="000000"/>
          <w:sz w:val="22"/>
          <w:szCs w:val="22"/>
        </w:rPr>
        <w:t>mg/kg per parą dozę į priekį kas yra maždaug 0,5 arba 0,3</w:t>
      </w:r>
      <w:r w:rsidR="00731663" w:rsidRPr="00776407">
        <w:rPr>
          <w:rFonts w:eastAsia="Calibri"/>
          <w:color w:val="000000"/>
          <w:sz w:val="22"/>
          <w:szCs w:val="22"/>
        </w:rPr>
        <w:t> </w:t>
      </w:r>
      <w:r w:rsidRPr="00776407">
        <w:rPr>
          <w:rFonts w:eastAsia="Calibri"/>
          <w:color w:val="000000"/>
          <w:sz w:val="22"/>
          <w:szCs w:val="22"/>
        </w:rPr>
        <w:t>kartus didesnė ekspozicija (pagal AUC) negu žmonėms vartojant 400</w:t>
      </w:r>
      <w:r w:rsidR="00731663" w:rsidRPr="00776407">
        <w:rPr>
          <w:rFonts w:eastAsia="Calibri"/>
          <w:color w:val="000000"/>
          <w:sz w:val="22"/>
          <w:szCs w:val="22"/>
        </w:rPr>
        <w:t> </w:t>
      </w:r>
      <w:r w:rsidRPr="00776407">
        <w:rPr>
          <w:rFonts w:eastAsia="Calibri"/>
          <w:color w:val="000000"/>
          <w:sz w:val="22"/>
          <w:szCs w:val="22"/>
        </w:rPr>
        <w:t>mg arba 800</w:t>
      </w:r>
      <w:r w:rsidR="00731663" w:rsidRPr="00776407">
        <w:rPr>
          <w:rFonts w:eastAsia="Calibri"/>
          <w:color w:val="000000"/>
          <w:sz w:val="22"/>
          <w:szCs w:val="22"/>
        </w:rPr>
        <w:t> </w:t>
      </w:r>
      <w:r w:rsidRPr="00776407">
        <w:rPr>
          <w:rFonts w:eastAsia="Calibri"/>
          <w:color w:val="000000"/>
          <w:sz w:val="22"/>
          <w:szCs w:val="22"/>
        </w:rPr>
        <w:t>mg per parą atitinkamai ir 0,4</w:t>
      </w:r>
      <w:r w:rsidR="00731663" w:rsidRPr="00776407">
        <w:rPr>
          <w:rFonts w:eastAsia="Calibri"/>
          <w:color w:val="000000"/>
          <w:sz w:val="22"/>
          <w:szCs w:val="22"/>
        </w:rPr>
        <w:t> </w:t>
      </w:r>
      <w:r w:rsidRPr="00776407">
        <w:rPr>
          <w:rFonts w:eastAsia="Calibri"/>
          <w:color w:val="000000"/>
          <w:sz w:val="22"/>
          <w:szCs w:val="22"/>
        </w:rPr>
        <w:t>karto didesnė ekspozicija vaikams (pagal AUC) vartojant 340</w:t>
      </w:r>
      <w:r w:rsidR="00731663" w:rsidRPr="00776407">
        <w:rPr>
          <w:rFonts w:eastAsia="Calibri"/>
          <w:color w:val="000000"/>
          <w:sz w:val="22"/>
          <w:szCs w:val="22"/>
        </w:rPr>
        <w:t> </w:t>
      </w:r>
      <w:r w:rsidRPr="00776407">
        <w:rPr>
          <w:rFonts w:eastAsia="Calibri"/>
          <w:color w:val="000000"/>
          <w:sz w:val="22"/>
          <w:szCs w:val="22"/>
        </w:rPr>
        <w:t>mg/m² per parą. Nepastebimo poveikio lygmens (NPL) dozė buvo 15</w:t>
      </w:r>
      <w:r w:rsidR="00731663" w:rsidRPr="00776407">
        <w:rPr>
          <w:rFonts w:eastAsia="Calibri"/>
          <w:color w:val="000000"/>
          <w:sz w:val="22"/>
          <w:szCs w:val="22"/>
        </w:rPr>
        <w:t> </w:t>
      </w:r>
      <w:r w:rsidRPr="00776407">
        <w:rPr>
          <w:rFonts w:eastAsia="Calibri"/>
          <w:color w:val="000000"/>
          <w:sz w:val="22"/>
          <w:szCs w:val="22"/>
        </w:rPr>
        <w:t>mg/kg per parą. Inkstų adenoma ar karcinoma, šlapimo pūslės ir šlaplės papiloma, plonojo žarnyno adenokarcinoma, prieskydinių liaukų adenoma, gėrybiniai ir piktybiniai antinksčių šerdinės dalies navikai bei ne liaukinės skrandžio dalies papiloma ar karcinoma stebėtos duodant 60</w:t>
      </w:r>
      <w:r w:rsidR="00731663" w:rsidRPr="00776407">
        <w:rPr>
          <w:rFonts w:eastAsia="Calibri"/>
          <w:color w:val="000000"/>
          <w:sz w:val="22"/>
          <w:szCs w:val="22"/>
        </w:rPr>
        <w:t> </w:t>
      </w:r>
      <w:r w:rsidRPr="00776407">
        <w:rPr>
          <w:rFonts w:eastAsia="Calibri"/>
          <w:color w:val="000000"/>
          <w:sz w:val="22"/>
          <w:szCs w:val="22"/>
        </w:rPr>
        <w:t>mg/kg per parą dozę kas yra maždaug 1,7 arba 1</w:t>
      </w:r>
      <w:r w:rsidR="00731663" w:rsidRPr="00776407">
        <w:rPr>
          <w:rFonts w:eastAsia="Calibri"/>
          <w:color w:val="000000"/>
          <w:sz w:val="22"/>
          <w:szCs w:val="22"/>
        </w:rPr>
        <w:t> </w:t>
      </w:r>
      <w:r w:rsidRPr="00776407">
        <w:rPr>
          <w:rFonts w:eastAsia="Calibri"/>
          <w:color w:val="000000"/>
          <w:sz w:val="22"/>
          <w:szCs w:val="22"/>
        </w:rPr>
        <w:t>kart</w:t>
      </w:r>
      <w:r w:rsidR="00145DC4" w:rsidRPr="00776407">
        <w:rPr>
          <w:rFonts w:eastAsia="Calibri"/>
          <w:color w:val="000000"/>
          <w:sz w:val="22"/>
          <w:szCs w:val="22"/>
        </w:rPr>
        <w:t>ą</w:t>
      </w:r>
      <w:r w:rsidRPr="00776407">
        <w:rPr>
          <w:rFonts w:eastAsia="Calibri"/>
          <w:color w:val="000000"/>
          <w:sz w:val="22"/>
          <w:szCs w:val="22"/>
        </w:rPr>
        <w:t xml:space="preserve"> didesnė ekspozicija (pagal AUC) negu žmonėms vartojant 400</w:t>
      </w:r>
      <w:r w:rsidR="00731663" w:rsidRPr="00776407">
        <w:rPr>
          <w:rFonts w:eastAsia="Calibri"/>
          <w:color w:val="000000"/>
          <w:sz w:val="22"/>
          <w:szCs w:val="22"/>
        </w:rPr>
        <w:t> </w:t>
      </w:r>
      <w:r w:rsidRPr="00776407">
        <w:rPr>
          <w:rFonts w:eastAsia="Calibri"/>
          <w:color w:val="000000"/>
          <w:sz w:val="22"/>
          <w:szCs w:val="22"/>
        </w:rPr>
        <w:t>mg arba 800</w:t>
      </w:r>
      <w:r w:rsidR="00731663" w:rsidRPr="00776407">
        <w:rPr>
          <w:rFonts w:eastAsia="Calibri"/>
          <w:color w:val="000000"/>
          <w:sz w:val="22"/>
          <w:szCs w:val="22"/>
        </w:rPr>
        <w:t> </w:t>
      </w:r>
      <w:r w:rsidRPr="00776407">
        <w:rPr>
          <w:rFonts w:eastAsia="Calibri"/>
          <w:color w:val="000000"/>
          <w:sz w:val="22"/>
          <w:szCs w:val="22"/>
        </w:rPr>
        <w:t>mg per parą atitinkamai ir 1,2</w:t>
      </w:r>
      <w:r w:rsidR="00731663" w:rsidRPr="00776407">
        <w:rPr>
          <w:rFonts w:eastAsia="Calibri"/>
          <w:color w:val="000000"/>
          <w:sz w:val="22"/>
          <w:szCs w:val="22"/>
        </w:rPr>
        <w:t> </w:t>
      </w:r>
      <w:r w:rsidRPr="00776407">
        <w:rPr>
          <w:rFonts w:eastAsia="Calibri"/>
          <w:color w:val="000000"/>
          <w:sz w:val="22"/>
          <w:szCs w:val="22"/>
        </w:rPr>
        <w:t>karto didesnė ekspozicija vaikams</w:t>
      </w:r>
      <w:r w:rsidR="003B0365" w:rsidRPr="00776407">
        <w:rPr>
          <w:rFonts w:eastAsia="Calibri"/>
          <w:color w:val="000000"/>
          <w:sz w:val="22"/>
          <w:szCs w:val="22"/>
        </w:rPr>
        <w:t xml:space="preserve"> </w:t>
      </w:r>
      <w:r w:rsidRPr="00776407">
        <w:rPr>
          <w:rFonts w:eastAsia="Calibri"/>
          <w:color w:val="000000"/>
          <w:sz w:val="22"/>
          <w:szCs w:val="22"/>
        </w:rPr>
        <w:t>(pagal AUC) vartojant 340</w:t>
      </w:r>
      <w:r w:rsidR="00731663" w:rsidRPr="00776407">
        <w:rPr>
          <w:rFonts w:eastAsia="Calibri"/>
          <w:color w:val="000000"/>
          <w:sz w:val="22"/>
          <w:szCs w:val="22"/>
        </w:rPr>
        <w:t> </w:t>
      </w:r>
      <w:r w:rsidRPr="00776407">
        <w:rPr>
          <w:rFonts w:eastAsia="Calibri"/>
          <w:color w:val="000000"/>
          <w:sz w:val="22"/>
          <w:szCs w:val="22"/>
        </w:rPr>
        <w:t>mg/m² per parą. Nepastebimo poveikio lygmens (NPL) dozė buvo 30</w:t>
      </w:r>
      <w:r w:rsidR="00731663" w:rsidRPr="00776407">
        <w:rPr>
          <w:rFonts w:eastAsia="Calibri"/>
          <w:color w:val="000000"/>
          <w:sz w:val="22"/>
          <w:szCs w:val="22"/>
        </w:rPr>
        <w:t> </w:t>
      </w:r>
      <w:r w:rsidRPr="00776407">
        <w:rPr>
          <w:rFonts w:eastAsia="Calibri"/>
          <w:color w:val="000000"/>
          <w:sz w:val="22"/>
          <w:szCs w:val="22"/>
        </w:rPr>
        <w:t xml:space="preserve">mg/kg per parą. </w:t>
      </w:r>
    </w:p>
    <w:p w14:paraId="278B3781" w14:textId="77777777" w:rsidR="00731663" w:rsidRPr="00776407" w:rsidRDefault="00731663" w:rsidP="00D3182C">
      <w:pPr>
        <w:autoSpaceDE w:val="0"/>
        <w:autoSpaceDN w:val="0"/>
        <w:adjustRightInd w:val="0"/>
        <w:rPr>
          <w:rFonts w:eastAsia="Calibri"/>
          <w:color w:val="000000"/>
          <w:sz w:val="22"/>
          <w:szCs w:val="22"/>
        </w:rPr>
      </w:pPr>
    </w:p>
    <w:p w14:paraId="22DD23C9" w14:textId="77777777" w:rsidR="00D3182C" w:rsidRPr="00776407" w:rsidRDefault="00D3182C" w:rsidP="00D3182C">
      <w:pPr>
        <w:autoSpaceDE w:val="0"/>
        <w:autoSpaceDN w:val="0"/>
        <w:adjustRightInd w:val="0"/>
        <w:rPr>
          <w:rFonts w:eastAsia="Calibri"/>
          <w:color w:val="000000"/>
          <w:sz w:val="22"/>
          <w:szCs w:val="22"/>
        </w:rPr>
      </w:pPr>
      <w:r w:rsidRPr="00776407">
        <w:rPr>
          <w:rFonts w:eastAsia="Calibri"/>
          <w:color w:val="000000"/>
          <w:sz w:val="22"/>
          <w:szCs w:val="22"/>
        </w:rPr>
        <w:t xml:space="preserve">Šių žiurkių kancerogeniškumo tyrimų radinių reikšmė ir mechanizmas žmonėms dar neaiškus. </w:t>
      </w:r>
    </w:p>
    <w:p w14:paraId="18B29A48" w14:textId="77777777" w:rsidR="00731663" w:rsidRPr="00776407" w:rsidRDefault="00731663" w:rsidP="00D3182C">
      <w:pPr>
        <w:autoSpaceDE w:val="0"/>
        <w:autoSpaceDN w:val="0"/>
        <w:adjustRightInd w:val="0"/>
        <w:rPr>
          <w:rFonts w:eastAsia="Calibri"/>
          <w:color w:val="000000"/>
          <w:sz w:val="22"/>
          <w:szCs w:val="22"/>
        </w:rPr>
      </w:pPr>
    </w:p>
    <w:p w14:paraId="16D581D8" w14:textId="77777777" w:rsidR="00D3182C" w:rsidRPr="00776407" w:rsidRDefault="00D3182C" w:rsidP="00D3182C">
      <w:pPr>
        <w:autoSpaceDE w:val="0"/>
        <w:autoSpaceDN w:val="0"/>
        <w:adjustRightInd w:val="0"/>
        <w:rPr>
          <w:rFonts w:eastAsia="Calibri"/>
          <w:color w:val="000000"/>
          <w:sz w:val="22"/>
          <w:szCs w:val="22"/>
        </w:rPr>
      </w:pPr>
      <w:r w:rsidRPr="00776407">
        <w:rPr>
          <w:rFonts w:eastAsia="Calibri"/>
          <w:color w:val="000000"/>
          <w:sz w:val="22"/>
          <w:szCs w:val="22"/>
        </w:rPr>
        <w:t xml:space="preserve">Ankstesniuse tyrimuose nebuvo registruota kitų, ne neoplastinių širdies ir kraujagyslių sistemos, kasos, endokrininių liaukų ir dantų pažeidimų. Svarbiausi pakitimai buvo širdies hipertrofija ir išsiplėtimas, dėl ko kai kuriems gyvūnėliams pasireiškė širdies nepakankamumo simptomai. </w:t>
      </w:r>
    </w:p>
    <w:p w14:paraId="17E2EC1A" w14:textId="77777777" w:rsidR="00D3182C" w:rsidRPr="00776407" w:rsidRDefault="00D3182C" w:rsidP="00D3182C">
      <w:pPr>
        <w:autoSpaceDE w:val="0"/>
        <w:autoSpaceDN w:val="0"/>
        <w:adjustRightInd w:val="0"/>
        <w:rPr>
          <w:rFonts w:eastAsia="Calibri"/>
          <w:color w:val="000000"/>
          <w:sz w:val="22"/>
          <w:szCs w:val="22"/>
        </w:rPr>
      </w:pPr>
    </w:p>
    <w:p w14:paraId="7788507F" w14:textId="77777777" w:rsidR="00131D7A" w:rsidRPr="00776407" w:rsidRDefault="00131D7A" w:rsidP="00D3182C">
      <w:pPr>
        <w:autoSpaceDE w:val="0"/>
        <w:autoSpaceDN w:val="0"/>
        <w:adjustRightInd w:val="0"/>
        <w:rPr>
          <w:sz w:val="22"/>
          <w:szCs w:val="22"/>
        </w:rPr>
      </w:pPr>
      <w:r w:rsidRPr="00776407">
        <w:rPr>
          <w:sz w:val="22"/>
          <w:szCs w:val="22"/>
        </w:rPr>
        <w:t>Nustatyta, kad veiklioji medžiaga imatinibas kelia pavojų nuosėdose aptinkamiems organizmams.</w:t>
      </w:r>
    </w:p>
    <w:p w14:paraId="43851B09" w14:textId="77777777" w:rsidR="00131D7A" w:rsidRPr="00776407" w:rsidRDefault="00131D7A" w:rsidP="00D3182C">
      <w:pPr>
        <w:autoSpaceDE w:val="0"/>
        <w:autoSpaceDN w:val="0"/>
        <w:adjustRightInd w:val="0"/>
        <w:rPr>
          <w:rFonts w:eastAsia="Calibri"/>
          <w:color w:val="000000"/>
          <w:sz w:val="22"/>
          <w:szCs w:val="22"/>
        </w:rPr>
      </w:pPr>
    </w:p>
    <w:p w14:paraId="646B0EB2" w14:textId="77777777" w:rsidR="00D3182C" w:rsidRPr="00776407" w:rsidRDefault="00D3182C" w:rsidP="00D3182C">
      <w:pPr>
        <w:autoSpaceDE w:val="0"/>
        <w:autoSpaceDN w:val="0"/>
        <w:adjustRightInd w:val="0"/>
        <w:rPr>
          <w:rFonts w:eastAsia="Calibri"/>
          <w:color w:val="000000"/>
          <w:sz w:val="22"/>
          <w:szCs w:val="22"/>
        </w:rPr>
      </w:pPr>
    </w:p>
    <w:p w14:paraId="7A1FA81D" w14:textId="77777777" w:rsidR="00D3182C" w:rsidRPr="00776407" w:rsidRDefault="00D3182C" w:rsidP="00864BE6">
      <w:pPr>
        <w:pStyle w:val="Listenabsatz"/>
        <w:numPr>
          <w:ilvl w:val="0"/>
          <w:numId w:val="9"/>
        </w:numPr>
        <w:autoSpaceDE w:val="0"/>
        <w:autoSpaceDN w:val="0"/>
        <w:adjustRightInd w:val="0"/>
        <w:ind w:left="567" w:hanging="567"/>
        <w:rPr>
          <w:rFonts w:eastAsia="Calibri"/>
          <w:b/>
          <w:bCs/>
          <w:color w:val="000000"/>
          <w:sz w:val="22"/>
          <w:szCs w:val="22"/>
        </w:rPr>
      </w:pPr>
      <w:r w:rsidRPr="00776407">
        <w:rPr>
          <w:rFonts w:eastAsia="Calibri"/>
          <w:b/>
          <w:bCs/>
          <w:color w:val="000000"/>
          <w:sz w:val="22"/>
          <w:szCs w:val="22"/>
        </w:rPr>
        <w:t xml:space="preserve">FARMACINĖ INFORMACIJA </w:t>
      </w:r>
    </w:p>
    <w:p w14:paraId="2B815E7E" w14:textId="77777777" w:rsidR="00D3182C" w:rsidRPr="00776407" w:rsidRDefault="00D3182C" w:rsidP="00D3182C">
      <w:pPr>
        <w:autoSpaceDE w:val="0"/>
        <w:autoSpaceDN w:val="0"/>
        <w:adjustRightInd w:val="0"/>
        <w:rPr>
          <w:rFonts w:eastAsia="Calibri"/>
          <w:color w:val="000000"/>
          <w:sz w:val="22"/>
          <w:szCs w:val="22"/>
        </w:rPr>
      </w:pPr>
    </w:p>
    <w:p w14:paraId="1D12C84A" w14:textId="77777777" w:rsidR="00D3182C" w:rsidRPr="00776407" w:rsidRDefault="00D3182C" w:rsidP="00864BE6">
      <w:pPr>
        <w:pStyle w:val="Listenabsatz"/>
        <w:numPr>
          <w:ilvl w:val="1"/>
          <w:numId w:val="9"/>
        </w:numPr>
        <w:autoSpaceDE w:val="0"/>
        <w:autoSpaceDN w:val="0"/>
        <w:adjustRightInd w:val="0"/>
        <w:ind w:left="567" w:hanging="567"/>
        <w:rPr>
          <w:rFonts w:eastAsia="Calibri"/>
          <w:b/>
          <w:bCs/>
          <w:color w:val="000000"/>
          <w:sz w:val="22"/>
          <w:szCs w:val="22"/>
        </w:rPr>
      </w:pPr>
      <w:r w:rsidRPr="00776407">
        <w:rPr>
          <w:rFonts w:eastAsia="Calibri"/>
          <w:b/>
          <w:bCs/>
          <w:color w:val="000000"/>
          <w:sz w:val="22"/>
          <w:szCs w:val="22"/>
        </w:rPr>
        <w:t xml:space="preserve">Pagalbinių medžiagų sąrašas </w:t>
      </w:r>
    </w:p>
    <w:p w14:paraId="749A816B" w14:textId="77777777" w:rsidR="00D3182C" w:rsidRPr="00776407" w:rsidRDefault="00D3182C" w:rsidP="00D3182C">
      <w:pPr>
        <w:autoSpaceDE w:val="0"/>
        <w:autoSpaceDN w:val="0"/>
        <w:adjustRightInd w:val="0"/>
        <w:rPr>
          <w:rFonts w:eastAsia="Calibri"/>
          <w:color w:val="000000"/>
          <w:sz w:val="22"/>
          <w:szCs w:val="22"/>
        </w:rPr>
      </w:pPr>
    </w:p>
    <w:p w14:paraId="6663CB19" w14:textId="77777777" w:rsidR="00955C83" w:rsidRPr="00776407" w:rsidRDefault="00955C83" w:rsidP="00955C83">
      <w:pPr>
        <w:autoSpaceDE w:val="0"/>
        <w:autoSpaceDN w:val="0"/>
        <w:adjustRightInd w:val="0"/>
        <w:rPr>
          <w:rFonts w:eastAsia="Calibri"/>
          <w:sz w:val="22"/>
          <w:szCs w:val="22"/>
          <w:u w:val="single"/>
        </w:rPr>
      </w:pPr>
      <w:r w:rsidRPr="00776407">
        <w:rPr>
          <w:rFonts w:eastAsia="Calibri"/>
          <w:sz w:val="22"/>
          <w:szCs w:val="22"/>
          <w:u w:val="single"/>
        </w:rPr>
        <w:t xml:space="preserve">Imatinib Actavis 50 mg </w:t>
      </w:r>
      <w:r w:rsidR="00710434" w:rsidRPr="00776407">
        <w:rPr>
          <w:rFonts w:eastAsia="Calibri"/>
          <w:sz w:val="22"/>
          <w:szCs w:val="22"/>
          <w:u w:val="single"/>
        </w:rPr>
        <w:t>kietosios kapsulės</w:t>
      </w:r>
    </w:p>
    <w:p w14:paraId="1D736735" w14:textId="77777777" w:rsidR="00D3182C" w:rsidRPr="00776407" w:rsidRDefault="00D3182C" w:rsidP="00D3182C">
      <w:pPr>
        <w:autoSpaceDE w:val="0"/>
        <w:autoSpaceDN w:val="0"/>
        <w:adjustRightInd w:val="0"/>
        <w:rPr>
          <w:rFonts w:eastAsia="Calibri"/>
          <w:i/>
          <w:color w:val="000000"/>
          <w:sz w:val="22"/>
          <w:szCs w:val="22"/>
        </w:rPr>
      </w:pPr>
      <w:r w:rsidRPr="00776407">
        <w:rPr>
          <w:rFonts w:eastAsia="Calibri"/>
          <w:i/>
          <w:color w:val="000000"/>
          <w:sz w:val="22"/>
          <w:szCs w:val="22"/>
        </w:rPr>
        <w:t>Kapsulės turinys</w:t>
      </w:r>
    </w:p>
    <w:p w14:paraId="6F4B3005" w14:textId="77777777" w:rsidR="00D3182C" w:rsidRPr="00776407" w:rsidRDefault="00D3182C" w:rsidP="00D3182C">
      <w:pPr>
        <w:autoSpaceDE w:val="0"/>
        <w:autoSpaceDN w:val="0"/>
        <w:adjustRightInd w:val="0"/>
        <w:rPr>
          <w:rFonts w:eastAsia="Calibri"/>
          <w:color w:val="000000"/>
          <w:sz w:val="22"/>
          <w:szCs w:val="22"/>
        </w:rPr>
      </w:pPr>
      <w:r w:rsidRPr="00776407">
        <w:rPr>
          <w:rFonts w:eastAsia="Calibri"/>
          <w:color w:val="000000"/>
          <w:sz w:val="22"/>
          <w:szCs w:val="22"/>
        </w:rPr>
        <w:t xml:space="preserve">Mikrokristalinė celiuliozė </w:t>
      </w:r>
    </w:p>
    <w:p w14:paraId="327E32DE" w14:textId="77777777" w:rsidR="00D3182C" w:rsidRPr="00776407" w:rsidRDefault="00D3182C" w:rsidP="00D3182C">
      <w:pPr>
        <w:autoSpaceDE w:val="0"/>
        <w:autoSpaceDN w:val="0"/>
        <w:adjustRightInd w:val="0"/>
        <w:rPr>
          <w:rFonts w:eastAsia="Calibri"/>
          <w:color w:val="000000"/>
          <w:sz w:val="22"/>
          <w:szCs w:val="22"/>
        </w:rPr>
      </w:pPr>
      <w:r w:rsidRPr="00776407">
        <w:rPr>
          <w:rFonts w:eastAsia="Calibri"/>
          <w:color w:val="000000"/>
          <w:sz w:val="22"/>
          <w:szCs w:val="22"/>
        </w:rPr>
        <w:t>Kopovidonas</w:t>
      </w:r>
    </w:p>
    <w:p w14:paraId="2E723CA6" w14:textId="77777777" w:rsidR="00D3182C" w:rsidRPr="00776407" w:rsidRDefault="00D3182C" w:rsidP="00D3182C">
      <w:pPr>
        <w:autoSpaceDE w:val="0"/>
        <w:autoSpaceDN w:val="0"/>
        <w:adjustRightInd w:val="0"/>
        <w:rPr>
          <w:rFonts w:eastAsia="Calibri"/>
          <w:color w:val="000000"/>
          <w:sz w:val="22"/>
          <w:szCs w:val="22"/>
        </w:rPr>
      </w:pPr>
      <w:r w:rsidRPr="00776407">
        <w:rPr>
          <w:rFonts w:eastAsia="Calibri"/>
          <w:color w:val="000000"/>
          <w:sz w:val="22"/>
          <w:szCs w:val="22"/>
        </w:rPr>
        <w:t xml:space="preserve">Krospovidonas </w:t>
      </w:r>
    </w:p>
    <w:p w14:paraId="6F8D8983" w14:textId="77777777" w:rsidR="00D3182C" w:rsidRPr="00776407" w:rsidRDefault="00D3182C" w:rsidP="00D3182C">
      <w:pPr>
        <w:autoSpaceDE w:val="0"/>
        <w:autoSpaceDN w:val="0"/>
        <w:adjustRightInd w:val="0"/>
        <w:rPr>
          <w:rFonts w:eastAsia="Calibri"/>
          <w:color w:val="000000"/>
          <w:sz w:val="22"/>
          <w:szCs w:val="22"/>
        </w:rPr>
      </w:pPr>
      <w:r w:rsidRPr="00776407">
        <w:rPr>
          <w:rFonts w:eastAsia="Calibri"/>
          <w:color w:val="000000"/>
          <w:sz w:val="22"/>
          <w:szCs w:val="22"/>
        </w:rPr>
        <w:t>Natrio ste</w:t>
      </w:r>
      <w:r w:rsidR="001C1204" w:rsidRPr="00776407">
        <w:rPr>
          <w:rFonts w:eastAsia="Calibri"/>
          <w:color w:val="000000"/>
          <w:sz w:val="22"/>
          <w:szCs w:val="22"/>
        </w:rPr>
        <w:t>a</w:t>
      </w:r>
      <w:r w:rsidRPr="00776407">
        <w:rPr>
          <w:rFonts w:eastAsia="Calibri"/>
          <w:color w:val="000000"/>
          <w:sz w:val="22"/>
          <w:szCs w:val="22"/>
        </w:rPr>
        <w:t>rilfumaratas</w:t>
      </w:r>
    </w:p>
    <w:p w14:paraId="23E1654C" w14:textId="77777777" w:rsidR="00D3182C" w:rsidRPr="00776407" w:rsidRDefault="00D3182C" w:rsidP="00D3182C">
      <w:pPr>
        <w:autoSpaceDE w:val="0"/>
        <w:autoSpaceDN w:val="0"/>
        <w:adjustRightInd w:val="0"/>
        <w:rPr>
          <w:rFonts w:eastAsia="Calibri"/>
          <w:color w:val="000000"/>
          <w:sz w:val="22"/>
          <w:szCs w:val="22"/>
        </w:rPr>
      </w:pPr>
      <w:r w:rsidRPr="00776407">
        <w:rPr>
          <w:rFonts w:eastAsia="Calibri"/>
          <w:color w:val="000000"/>
          <w:sz w:val="22"/>
          <w:szCs w:val="22"/>
        </w:rPr>
        <w:t xml:space="preserve">Koloidinis </w:t>
      </w:r>
      <w:r w:rsidR="00E83B7B" w:rsidRPr="00776407">
        <w:rPr>
          <w:rFonts w:eastAsia="Calibri"/>
          <w:color w:val="000000"/>
          <w:sz w:val="22"/>
          <w:szCs w:val="22"/>
        </w:rPr>
        <w:t xml:space="preserve">hidrofobinis </w:t>
      </w:r>
      <w:r w:rsidRPr="00776407">
        <w:rPr>
          <w:rFonts w:eastAsia="Calibri"/>
          <w:color w:val="000000"/>
          <w:sz w:val="22"/>
          <w:szCs w:val="22"/>
        </w:rPr>
        <w:t>silicio dioksidas</w:t>
      </w:r>
    </w:p>
    <w:p w14:paraId="18F7CE15" w14:textId="77777777" w:rsidR="00D3182C" w:rsidRPr="00776407" w:rsidRDefault="00D3182C" w:rsidP="00D3182C">
      <w:pPr>
        <w:autoSpaceDE w:val="0"/>
        <w:autoSpaceDN w:val="0"/>
        <w:adjustRightInd w:val="0"/>
        <w:rPr>
          <w:rFonts w:eastAsia="Calibri"/>
          <w:color w:val="000000"/>
          <w:sz w:val="22"/>
          <w:szCs w:val="22"/>
        </w:rPr>
      </w:pPr>
      <w:r w:rsidRPr="00776407">
        <w:rPr>
          <w:rFonts w:eastAsia="Calibri"/>
          <w:color w:val="000000"/>
          <w:sz w:val="22"/>
          <w:szCs w:val="22"/>
        </w:rPr>
        <w:t xml:space="preserve">Koloidinis </w:t>
      </w:r>
      <w:r w:rsidR="00E83B7B" w:rsidRPr="00776407">
        <w:rPr>
          <w:rFonts w:eastAsia="Calibri"/>
          <w:color w:val="000000"/>
          <w:sz w:val="22"/>
          <w:szCs w:val="22"/>
        </w:rPr>
        <w:t xml:space="preserve">bevandenis </w:t>
      </w:r>
      <w:r w:rsidRPr="00776407">
        <w:rPr>
          <w:rFonts w:eastAsia="Calibri"/>
          <w:color w:val="000000"/>
          <w:sz w:val="22"/>
          <w:szCs w:val="22"/>
        </w:rPr>
        <w:t xml:space="preserve">silicio dioksidas </w:t>
      </w:r>
    </w:p>
    <w:p w14:paraId="75A9BB51" w14:textId="77777777" w:rsidR="00D3182C" w:rsidRPr="00776407" w:rsidRDefault="00D3182C" w:rsidP="00D3182C">
      <w:pPr>
        <w:autoSpaceDE w:val="0"/>
        <w:autoSpaceDN w:val="0"/>
        <w:adjustRightInd w:val="0"/>
        <w:rPr>
          <w:rFonts w:eastAsia="Calibri"/>
          <w:color w:val="000000"/>
          <w:sz w:val="22"/>
          <w:szCs w:val="22"/>
        </w:rPr>
      </w:pPr>
    </w:p>
    <w:p w14:paraId="0B83FB67" w14:textId="77777777" w:rsidR="00D3182C" w:rsidRPr="00776407" w:rsidRDefault="00D3182C" w:rsidP="00D3182C">
      <w:pPr>
        <w:autoSpaceDE w:val="0"/>
        <w:autoSpaceDN w:val="0"/>
        <w:adjustRightInd w:val="0"/>
        <w:rPr>
          <w:rFonts w:eastAsia="Calibri"/>
          <w:i/>
          <w:color w:val="000000"/>
          <w:sz w:val="22"/>
          <w:szCs w:val="22"/>
        </w:rPr>
      </w:pPr>
      <w:r w:rsidRPr="00776407">
        <w:rPr>
          <w:rFonts w:eastAsia="Calibri"/>
          <w:i/>
          <w:color w:val="000000"/>
          <w:sz w:val="22"/>
          <w:szCs w:val="22"/>
        </w:rPr>
        <w:t>Kapsulės k</w:t>
      </w:r>
      <w:r w:rsidR="00E83B7B" w:rsidRPr="00776407">
        <w:rPr>
          <w:rFonts w:eastAsia="Calibri"/>
          <w:i/>
          <w:color w:val="000000"/>
          <w:sz w:val="22"/>
          <w:szCs w:val="22"/>
        </w:rPr>
        <w:t>orpusas</w:t>
      </w:r>
    </w:p>
    <w:p w14:paraId="61506453" w14:textId="77777777" w:rsidR="00D3182C" w:rsidRPr="00776407" w:rsidRDefault="00FB366B" w:rsidP="00D3182C">
      <w:pPr>
        <w:autoSpaceDE w:val="0"/>
        <w:autoSpaceDN w:val="0"/>
        <w:adjustRightInd w:val="0"/>
        <w:rPr>
          <w:rFonts w:eastAsia="Calibri"/>
          <w:color w:val="000000"/>
          <w:sz w:val="22"/>
          <w:szCs w:val="22"/>
        </w:rPr>
      </w:pPr>
      <w:r w:rsidRPr="00776407">
        <w:rPr>
          <w:rFonts w:eastAsia="Calibri"/>
          <w:color w:val="000000"/>
          <w:sz w:val="22"/>
          <w:szCs w:val="22"/>
        </w:rPr>
        <w:t>Hipromeliozė</w:t>
      </w:r>
      <w:r w:rsidR="00D3182C" w:rsidRPr="00776407">
        <w:rPr>
          <w:rFonts w:eastAsia="Calibri"/>
          <w:color w:val="000000"/>
          <w:sz w:val="22"/>
          <w:szCs w:val="22"/>
        </w:rPr>
        <w:t xml:space="preserve"> </w:t>
      </w:r>
    </w:p>
    <w:p w14:paraId="6425B00C" w14:textId="77777777" w:rsidR="00FB366B" w:rsidRPr="00776407" w:rsidRDefault="00FB366B" w:rsidP="00FB366B">
      <w:pPr>
        <w:autoSpaceDE w:val="0"/>
        <w:autoSpaceDN w:val="0"/>
        <w:adjustRightInd w:val="0"/>
        <w:rPr>
          <w:rFonts w:eastAsia="Calibri"/>
          <w:color w:val="000000"/>
          <w:sz w:val="22"/>
          <w:szCs w:val="22"/>
        </w:rPr>
      </w:pPr>
      <w:r w:rsidRPr="00776407">
        <w:rPr>
          <w:rFonts w:eastAsia="Calibri"/>
          <w:color w:val="000000"/>
          <w:sz w:val="22"/>
          <w:szCs w:val="22"/>
        </w:rPr>
        <w:t xml:space="preserve">Titano oksidas (E171) </w:t>
      </w:r>
    </w:p>
    <w:p w14:paraId="14DFABC8" w14:textId="77777777" w:rsidR="00FB366B" w:rsidRPr="00776407" w:rsidRDefault="00FB366B" w:rsidP="00FB366B">
      <w:pPr>
        <w:autoSpaceDE w:val="0"/>
        <w:autoSpaceDN w:val="0"/>
        <w:adjustRightInd w:val="0"/>
        <w:rPr>
          <w:rFonts w:eastAsia="Calibri"/>
          <w:color w:val="000000"/>
          <w:sz w:val="22"/>
          <w:szCs w:val="22"/>
        </w:rPr>
      </w:pPr>
      <w:r w:rsidRPr="00776407">
        <w:rPr>
          <w:rFonts w:eastAsia="Calibri"/>
          <w:color w:val="000000"/>
          <w:sz w:val="22"/>
          <w:szCs w:val="22"/>
        </w:rPr>
        <w:t>G</w:t>
      </w:r>
      <w:r w:rsidR="00D3182C" w:rsidRPr="00776407">
        <w:rPr>
          <w:rFonts w:eastAsia="Calibri"/>
          <w:color w:val="000000"/>
          <w:sz w:val="22"/>
          <w:szCs w:val="22"/>
        </w:rPr>
        <w:t>eltonasis geležies oksidas (E172)</w:t>
      </w:r>
    </w:p>
    <w:p w14:paraId="63CDCEF4" w14:textId="77777777" w:rsidR="00FB366B" w:rsidRPr="00776407" w:rsidRDefault="00FB366B" w:rsidP="00FB366B">
      <w:pPr>
        <w:autoSpaceDE w:val="0"/>
        <w:autoSpaceDN w:val="0"/>
        <w:adjustRightInd w:val="0"/>
        <w:rPr>
          <w:rFonts w:eastAsia="Calibri"/>
          <w:color w:val="000000"/>
          <w:sz w:val="22"/>
          <w:szCs w:val="22"/>
        </w:rPr>
      </w:pPr>
    </w:p>
    <w:p w14:paraId="6989426D" w14:textId="77777777" w:rsidR="00C35C16" w:rsidRPr="00776407" w:rsidRDefault="00D3182C" w:rsidP="00D3182C">
      <w:pPr>
        <w:autoSpaceDE w:val="0"/>
        <w:autoSpaceDN w:val="0"/>
        <w:adjustRightInd w:val="0"/>
        <w:rPr>
          <w:rFonts w:eastAsia="Calibri"/>
          <w:i/>
          <w:color w:val="000000"/>
          <w:sz w:val="22"/>
          <w:szCs w:val="22"/>
        </w:rPr>
      </w:pPr>
      <w:r w:rsidRPr="00776407">
        <w:rPr>
          <w:rFonts w:eastAsia="Calibri"/>
          <w:i/>
          <w:color w:val="000000"/>
          <w:sz w:val="22"/>
          <w:szCs w:val="22"/>
        </w:rPr>
        <w:t>Rašalas</w:t>
      </w:r>
    </w:p>
    <w:p w14:paraId="51C63CFE" w14:textId="77777777" w:rsidR="00C35C16" w:rsidRPr="00776407" w:rsidRDefault="00C35C16" w:rsidP="00D3182C">
      <w:pPr>
        <w:autoSpaceDE w:val="0"/>
        <w:autoSpaceDN w:val="0"/>
        <w:adjustRightInd w:val="0"/>
        <w:rPr>
          <w:rFonts w:eastAsia="Calibri"/>
          <w:color w:val="000000"/>
          <w:sz w:val="22"/>
          <w:szCs w:val="22"/>
        </w:rPr>
      </w:pPr>
      <w:r w:rsidRPr="00776407">
        <w:rPr>
          <w:rFonts w:eastAsia="Calibri"/>
          <w:color w:val="000000"/>
          <w:sz w:val="22"/>
          <w:szCs w:val="22"/>
        </w:rPr>
        <w:t xml:space="preserve">Šelakas </w:t>
      </w:r>
    </w:p>
    <w:p w14:paraId="3D1EBD9B" w14:textId="77777777" w:rsidR="00D3182C" w:rsidRPr="00776407" w:rsidRDefault="000E2A5E" w:rsidP="00D3182C">
      <w:pPr>
        <w:autoSpaceDE w:val="0"/>
        <w:autoSpaceDN w:val="0"/>
        <w:adjustRightInd w:val="0"/>
        <w:rPr>
          <w:rFonts w:eastAsia="Calibri"/>
          <w:color w:val="000000"/>
          <w:sz w:val="22"/>
          <w:szCs w:val="22"/>
        </w:rPr>
      </w:pPr>
      <w:r w:rsidRPr="00776407">
        <w:rPr>
          <w:rFonts w:eastAsia="Calibri"/>
          <w:color w:val="000000"/>
          <w:sz w:val="22"/>
          <w:szCs w:val="22"/>
        </w:rPr>
        <w:t>Juodasis</w:t>
      </w:r>
      <w:r w:rsidR="00D3182C" w:rsidRPr="00776407">
        <w:rPr>
          <w:rFonts w:eastAsia="Calibri"/>
          <w:color w:val="000000"/>
          <w:sz w:val="22"/>
          <w:szCs w:val="22"/>
        </w:rPr>
        <w:t xml:space="preserve"> geležies oksidas (E172) </w:t>
      </w:r>
    </w:p>
    <w:p w14:paraId="5F5CBB46" w14:textId="77777777" w:rsidR="000E2A5E" w:rsidRPr="00776407" w:rsidRDefault="000E2A5E" w:rsidP="00D3182C">
      <w:pPr>
        <w:autoSpaceDE w:val="0"/>
        <w:autoSpaceDN w:val="0"/>
        <w:adjustRightInd w:val="0"/>
        <w:rPr>
          <w:rFonts w:eastAsia="Calibri"/>
          <w:color w:val="000000"/>
          <w:sz w:val="22"/>
          <w:szCs w:val="22"/>
        </w:rPr>
      </w:pPr>
      <w:r w:rsidRPr="00776407">
        <w:rPr>
          <w:rFonts w:eastAsia="Calibri"/>
          <w:color w:val="000000"/>
          <w:sz w:val="22"/>
          <w:szCs w:val="22"/>
        </w:rPr>
        <w:t>Propilenglikolis</w:t>
      </w:r>
    </w:p>
    <w:p w14:paraId="03894FB7" w14:textId="77777777" w:rsidR="000E2A5E" w:rsidRPr="00776407" w:rsidRDefault="000E2A5E" w:rsidP="00D3182C">
      <w:pPr>
        <w:autoSpaceDE w:val="0"/>
        <w:autoSpaceDN w:val="0"/>
        <w:adjustRightInd w:val="0"/>
        <w:rPr>
          <w:rFonts w:eastAsia="Calibri"/>
          <w:color w:val="000000"/>
          <w:sz w:val="22"/>
          <w:szCs w:val="22"/>
        </w:rPr>
      </w:pPr>
      <w:r w:rsidRPr="00776407">
        <w:rPr>
          <w:rFonts w:eastAsia="Calibri"/>
          <w:color w:val="000000"/>
          <w:sz w:val="22"/>
          <w:szCs w:val="22"/>
        </w:rPr>
        <w:t>Amoniako tirpalas</w:t>
      </w:r>
    </w:p>
    <w:p w14:paraId="45C3C671" w14:textId="77777777" w:rsidR="000E2A5E" w:rsidRPr="00776407" w:rsidRDefault="000E2A5E" w:rsidP="00D3182C">
      <w:pPr>
        <w:autoSpaceDE w:val="0"/>
        <w:autoSpaceDN w:val="0"/>
        <w:adjustRightInd w:val="0"/>
        <w:rPr>
          <w:rFonts w:eastAsia="Calibri"/>
          <w:color w:val="000000"/>
          <w:sz w:val="22"/>
          <w:szCs w:val="22"/>
        </w:rPr>
      </w:pPr>
      <w:r w:rsidRPr="00776407">
        <w:rPr>
          <w:rFonts w:eastAsia="Calibri"/>
          <w:color w:val="000000"/>
          <w:sz w:val="22"/>
          <w:szCs w:val="22"/>
        </w:rPr>
        <w:t>Kalio hidroksidas</w:t>
      </w:r>
    </w:p>
    <w:p w14:paraId="02A0C847" w14:textId="77777777" w:rsidR="00D3182C" w:rsidRPr="00776407" w:rsidRDefault="00D3182C" w:rsidP="00D3182C">
      <w:pPr>
        <w:autoSpaceDE w:val="0"/>
        <w:autoSpaceDN w:val="0"/>
        <w:adjustRightInd w:val="0"/>
        <w:rPr>
          <w:rFonts w:eastAsia="Calibri"/>
          <w:color w:val="000000"/>
          <w:sz w:val="22"/>
          <w:szCs w:val="22"/>
        </w:rPr>
      </w:pPr>
    </w:p>
    <w:p w14:paraId="6D2FFC7E" w14:textId="77777777" w:rsidR="00955C83" w:rsidRPr="00776407" w:rsidRDefault="00955C83" w:rsidP="00955C83">
      <w:pPr>
        <w:autoSpaceDE w:val="0"/>
        <w:autoSpaceDN w:val="0"/>
        <w:adjustRightInd w:val="0"/>
        <w:rPr>
          <w:rFonts w:eastAsia="Calibri"/>
          <w:sz w:val="22"/>
          <w:szCs w:val="22"/>
          <w:u w:val="single"/>
        </w:rPr>
      </w:pPr>
      <w:r w:rsidRPr="00776407">
        <w:rPr>
          <w:rFonts w:eastAsia="Calibri"/>
          <w:sz w:val="22"/>
          <w:szCs w:val="22"/>
          <w:u w:val="single"/>
        </w:rPr>
        <w:t xml:space="preserve">Imatinib Actavis 100 mg </w:t>
      </w:r>
      <w:r w:rsidR="00710434" w:rsidRPr="00776407">
        <w:rPr>
          <w:rFonts w:eastAsia="Calibri"/>
          <w:sz w:val="22"/>
          <w:szCs w:val="22"/>
          <w:u w:val="single"/>
        </w:rPr>
        <w:t>kietosios kapsulės</w:t>
      </w:r>
    </w:p>
    <w:p w14:paraId="64F67086" w14:textId="77777777" w:rsidR="00955C83" w:rsidRPr="00776407" w:rsidRDefault="00710434" w:rsidP="00955C83">
      <w:pPr>
        <w:autoSpaceDE w:val="0"/>
        <w:autoSpaceDN w:val="0"/>
        <w:adjustRightInd w:val="0"/>
        <w:ind w:left="567" w:hanging="567"/>
        <w:rPr>
          <w:rFonts w:eastAsia="Calibri"/>
          <w:i/>
          <w:sz w:val="22"/>
          <w:szCs w:val="22"/>
        </w:rPr>
      </w:pPr>
      <w:r w:rsidRPr="00776407">
        <w:rPr>
          <w:rFonts w:eastAsia="Calibri"/>
          <w:i/>
          <w:sz w:val="22"/>
          <w:szCs w:val="22"/>
        </w:rPr>
        <w:t>Kapsulės turinys</w:t>
      </w:r>
    </w:p>
    <w:p w14:paraId="5D47B419" w14:textId="77777777" w:rsidR="00955C83" w:rsidRPr="00776407" w:rsidRDefault="00D65422" w:rsidP="00955C83">
      <w:pPr>
        <w:autoSpaceDE w:val="0"/>
        <w:autoSpaceDN w:val="0"/>
        <w:adjustRightInd w:val="0"/>
        <w:ind w:left="567" w:hanging="567"/>
        <w:rPr>
          <w:rFonts w:eastAsia="Calibri"/>
          <w:sz w:val="22"/>
          <w:szCs w:val="22"/>
          <w:highlight w:val="yellow"/>
        </w:rPr>
      </w:pPr>
      <w:r w:rsidRPr="00776407">
        <w:rPr>
          <w:rFonts w:eastAsia="Calibri"/>
          <w:color w:val="000000"/>
          <w:sz w:val="22"/>
          <w:szCs w:val="22"/>
        </w:rPr>
        <w:t>Mikrokristalinė celiuliozė</w:t>
      </w:r>
    </w:p>
    <w:p w14:paraId="22D500BF" w14:textId="77777777" w:rsidR="00955C83" w:rsidRPr="00776407" w:rsidRDefault="00D65422" w:rsidP="00955C83">
      <w:pPr>
        <w:autoSpaceDE w:val="0"/>
        <w:autoSpaceDN w:val="0"/>
        <w:adjustRightInd w:val="0"/>
        <w:ind w:left="567" w:hanging="567"/>
        <w:rPr>
          <w:rFonts w:eastAsia="Calibri"/>
          <w:sz w:val="22"/>
          <w:szCs w:val="22"/>
          <w:highlight w:val="yellow"/>
        </w:rPr>
      </w:pPr>
      <w:r w:rsidRPr="00776407">
        <w:rPr>
          <w:rFonts w:eastAsia="Calibri"/>
          <w:color w:val="000000"/>
          <w:sz w:val="22"/>
          <w:szCs w:val="22"/>
        </w:rPr>
        <w:t>Kopovidonas</w:t>
      </w:r>
    </w:p>
    <w:p w14:paraId="608A54CF" w14:textId="77777777" w:rsidR="00955C83" w:rsidRPr="00776407" w:rsidRDefault="00D65422" w:rsidP="00955C83">
      <w:pPr>
        <w:autoSpaceDE w:val="0"/>
        <w:autoSpaceDN w:val="0"/>
        <w:adjustRightInd w:val="0"/>
        <w:ind w:left="567" w:hanging="567"/>
        <w:rPr>
          <w:rFonts w:eastAsia="Calibri"/>
          <w:sz w:val="22"/>
          <w:szCs w:val="22"/>
          <w:highlight w:val="yellow"/>
        </w:rPr>
      </w:pPr>
      <w:r w:rsidRPr="00776407">
        <w:rPr>
          <w:rFonts w:eastAsia="Calibri"/>
          <w:color w:val="000000"/>
          <w:sz w:val="22"/>
          <w:szCs w:val="22"/>
        </w:rPr>
        <w:t>Krospovidonas</w:t>
      </w:r>
    </w:p>
    <w:p w14:paraId="35E47698" w14:textId="77777777" w:rsidR="00955C83" w:rsidRPr="00776407" w:rsidRDefault="00D65422" w:rsidP="00955C83">
      <w:pPr>
        <w:autoSpaceDE w:val="0"/>
        <w:autoSpaceDN w:val="0"/>
        <w:adjustRightInd w:val="0"/>
        <w:ind w:left="567" w:hanging="567"/>
        <w:rPr>
          <w:rFonts w:eastAsia="Calibri"/>
          <w:sz w:val="22"/>
          <w:szCs w:val="22"/>
          <w:highlight w:val="yellow"/>
        </w:rPr>
      </w:pPr>
      <w:r w:rsidRPr="00776407">
        <w:rPr>
          <w:rFonts w:eastAsia="Calibri"/>
          <w:color w:val="000000"/>
          <w:sz w:val="22"/>
          <w:szCs w:val="22"/>
        </w:rPr>
        <w:t>Natrio ste</w:t>
      </w:r>
      <w:r w:rsidR="001C1204" w:rsidRPr="00776407">
        <w:rPr>
          <w:rFonts w:eastAsia="Calibri"/>
          <w:color w:val="000000"/>
          <w:sz w:val="22"/>
          <w:szCs w:val="22"/>
        </w:rPr>
        <w:t>a</w:t>
      </w:r>
      <w:r w:rsidRPr="00776407">
        <w:rPr>
          <w:rFonts w:eastAsia="Calibri"/>
          <w:color w:val="000000"/>
          <w:sz w:val="22"/>
          <w:szCs w:val="22"/>
        </w:rPr>
        <w:t>rilfumaratas</w:t>
      </w:r>
    </w:p>
    <w:p w14:paraId="18A6868E" w14:textId="77777777" w:rsidR="00955C83" w:rsidRPr="00776407" w:rsidRDefault="00D65422" w:rsidP="00955C83">
      <w:pPr>
        <w:autoSpaceDE w:val="0"/>
        <w:autoSpaceDN w:val="0"/>
        <w:adjustRightInd w:val="0"/>
        <w:ind w:left="567" w:hanging="567"/>
        <w:rPr>
          <w:rFonts w:eastAsia="Calibri"/>
          <w:sz w:val="22"/>
          <w:szCs w:val="22"/>
          <w:highlight w:val="yellow"/>
        </w:rPr>
      </w:pPr>
      <w:r w:rsidRPr="00776407">
        <w:rPr>
          <w:rFonts w:eastAsia="Calibri"/>
          <w:color w:val="000000"/>
          <w:sz w:val="22"/>
          <w:szCs w:val="22"/>
        </w:rPr>
        <w:t>Koloidinis hidrofobinis silicio dioksidas</w:t>
      </w:r>
    </w:p>
    <w:p w14:paraId="4784A730" w14:textId="77777777" w:rsidR="00955C83" w:rsidRPr="00776407" w:rsidRDefault="00D65422" w:rsidP="00955C83">
      <w:pPr>
        <w:autoSpaceDE w:val="0"/>
        <w:autoSpaceDN w:val="0"/>
        <w:adjustRightInd w:val="0"/>
        <w:ind w:left="567" w:hanging="567"/>
        <w:rPr>
          <w:rFonts w:eastAsia="Calibri"/>
          <w:sz w:val="22"/>
          <w:szCs w:val="22"/>
        </w:rPr>
      </w:pPr>
      <w:r w:rsidRPr="00776407">
        <w:rPr>
          <w:rFonts w:eastAsia="Calibri"/>
          <w:color w:val="000000"/>
          <w:sz w:val="22"/>
          <w:szCs w:val="22"/>
        </w:rPr>
        <w:t>Koloidinis bevandenis silicio dioksidas</w:t>
      </w:r>
    </w:p>
    <w:p w14:paraId="470EBFB8" w14:textId="77777777" w:rsidR="00955C83" w:rsidRPr="00776407" w:rsidRDefault="00955C83" w:rsidP="00955C83">
      <w:pPr>
        <w:autoSpaceDE w:val="0"/>
        <w:autoSpaceDN w:val="0"/>
        <w:adjustRightInd w:val="0"/>
        <w:rPr>
          <w:rFonts w:eastAsia="Calibri"/>
          <w:sz w:val="22"/>
          <w:szCs w:val="22"/>
          <w:highlight w:val="yellow"/>
        </w:rPr>
      </w:pPr>
    </w:p>
    <w:p w14:paraId="1BDDC32C" w14:textId="77777777" w:rsidR="00955C83" w:rsidRPr="00776407" w:rsidRDefault="00710434" w:rsidP="00955C83">
      <w:pPr>
        <w:keepNext/>
        <w:autoSpaceDE w:val="0"/>
        <w:autoSpaceDN w:val="0"/>
        <w:adjustRightInd w:val="0"/>
        <w:rPr>
          <w:rFonts w:eastAsia="Calibri"/>
          <w:i/>
          <w:sz w:val="22"/>
          <w:szCs w:val="22"/>
        </w:rPr>
      </w:pPr>
      <w:r w:rsidRPr="00776407">
        <w:rPr>
          <w:rFonts w:eastAsia="Calibri"/>
          <w:i/>
          <w:sz w:val="22"/>
          <w:szCs w:val="22"/>
        </w:rPr>
        <w:t>Kapsulės korpusas</w:t>
      </w:r>
    </w:p>
    <w:p w14:paraId="259533D8" w14:textId="77777777" w:rsidR="00955C83" w:rsidRPr="00776407" w:rsidRDefault="00D65422" w:rsidP="00955C83">
      <w:pPr>
        <w:keepNext/>
        <w:autoSpaceDE w:val="0"/>
        <w:autoSpaceDN w:val="0"/>
        <w:adjustRightInd w:val="0"/>
        <w:rPr>
          <w:rFonts w:eastAsia="Calibri"/>
          <w:sz w:val="22"/>
          <w:szCs w:val="22"/>
          <w:highlight w:val="yellow"/>
        </w:rPr>
      </w:pPr>
      <w:r w:rsidRPr="00776407">
        <w:rPr>
          <w:rFonts w:eastAsia="Calibri"/>
          <w:color w:val="000000"/>
          <w:sz w:val="22"/>
          <w:szCs w:val="22"/>
        </w:rPr>
        <w:t>Hipromeliozė</w:t>
      </w:r>
    </w:p>
    <w:p w14:paraId="67F2BC89" w14:textId="77777777" w:rsidR="00955C83" w:rsidRPr="00776407" w:rsidRDefault="00D65422" w:rsidP="00955C83">
      <w:pPr>
        <w:keepNext/>
        <w:autoSpaceDE w:val="0"/>
        <w:autoSpaceDN w:val="0"/>
        <w:adjustRightInd w:val="0"/>
        <w:rPr>
          <w:rFonts w:eastAsia="Calibri"/>
          <w:sz w:val="22"/>
          <w:szCs w:val="22"/>
          <w:highlight w:val="yellow"/>
        </w:rPr>
      </w:pPr>
      <w:r w:rsidRPr="00776407">
        <w:rPr>
          <w:rFonts w:eastAsia="Calibri"/>
          <w:color w:val="000000"/>
          <w:sz w:val="22"/>
          <w:szCs w:val="22"/>
        </w:rPr>
        <w:t>Titano oksidas (E171)</w:t>
      </w:r>
    </w:p>
    <w:p w14:paraId="6637B027" w14:textId="77777777" w:rsidR="00955C83" w:rsidRPr="00776407" w:rsidRDefault="00D65422" w:rsidP="00955C83">
      <w:pPr>
        <w:autoSpaceDE w:val="0"/>
        <w:autoSpaceDN w:val="0"/>
        <w:adjustRightInd w:val="0"/>
        <w:rPr>
          <w:rFonts w:eastAsia="Calibri"/>
          <w:sz w:val="22"/>
          <w:szCs w:val="22"/>
          <w:highlight w:val="yellow"/>
        </w:rPr>
      </w:pPr>
      <w:r w:rsidRPr="00776407">
        <w:rPr>
          <w:rFonts w:eastAsia="Calibri"/>
          <w:color w:val="000000"/>
          <w:sz w:val="22"/>
          <w:szCs w:val="22"/>
        </w:rPr>
        <w:t>Geltonasis geležies oksidas (E172)</w:t>
      </w:r>
    </w:p>
    <w:p w14:paraId="016DC6F3" w14:textId="77777777" w:rsidR="00955C83" w:rsidRPr="00776407" w:rsidRDefault="00D65422" w:rsidP="00955C83">
      <w:pPr>
        <w:autoSpaceDE w:val="0"/>
        <w:autoSpaceDN w:val="0"/>
        <w:adjustRightInd w:val="0"/>
        <w:rPr>
          <w:rFonts w:eastAsia="Calibri"/>
          <w:sz w:val="22"/>
          <w:szCs w:val="22"/>
        </w:rPr>
      </w:pPr>
      <w:r w:rsidRPr="00776407">
        <w:rPr>
          <w:color w:val="000000"/>
          <w:sz w:val="22"/>
          <w:szCs w:val="22"/>
        </w:rPr>
        <w:t>Raudonasis geležies oksidas (E172)</w:t>
      </w:r>
    </w:p>
    <w:p w14:paraId="6B7618A3" w14:textId="77777777" w:rsidR="00955C83" w:rsidRPr="00776407" w:rsidRDefault="00955C83" w:rsidP="00955C83">
      <w:pPr>
        <w:autoSpaceDE w:val="0"/>
        <w:autoSpaceDN w:val="0"/>
        <w:adjustRightInd w:val="0"/>
        <w:rPr>
          <w:rFonts w:eastAsia="Calibri"/>
          <w:sz w:val="22"/>
          <w:szCs w:val="22"/>
        </w:rPr>
      </w:pPr>
    </w:p>
    <w:p w14:paraId="2C9C268B" w14:textId="77777777" w:rsidR="00955C83" w:rsidRPr="00776407" w:rsidRDefault="00710434" w:rsidP="00955C83">
      <w:pPr>
        <w:autoSpaceDE w:val="0"/>
        <w:autoSpaceDN w:val="0"/>
        <w:adjustRightInd w:val="0"/>
        <w:rPr>
          <w:rFonts w:eastAsia="Calibri"/>
          <w:i/>
          <w:sz w:val="22"/>
          <w:szCs w:val="22"/>
        </w:rPr>
      </w:pPr>
      <w:r w:rsidRPr="00776407">
        <w:rPr>
          <w:rFonts w:eastAsia="Calibri"/>
          <w:i/>
          <w:sz w:val="22"/>
          <w:szCs w:val="22"/>
        </w:rPr>
        <w:t>Rašalas</w:t>
      </w:r>
    </w:p>
    <w:p w14:paraId="7D7F7523" w14:textId="77777777" w:rsidR="00955C83" w:rsidRPr="00776407" w:rsidRDefault="00CF0652" w:rsidP="00955C83">
      <w:pPr>
        <w:autoSpaceDE w:val="0"/>
        <w:autoSpaceDN w:val="0"/>
        <w:adjustRightInd w:val="0"/>
        <w:rPr>
          <w:rFonts w:eastAsia="Calibri"/>
          <w:sz w:val="22"/>
          <w:szCs w:val="22"/>
          <w:highlight w:val="yellow"/>
        </w:rPr>
      </w:pPr>
      <w:r w:rsidRPr="00776407">
        <w:rPr>
          <w:rFonts w:eastAsia="Calibri"/>
          <w:color w:val="000000"/>
          <w:sz w:val="22"/>
          <w:szCs w:val="22"/>
        </w:rPr>
        <w:t>Šelakas</w:t>
      </w:r>
    </w:p>
    <w:p w14:paraId="1DBDCD55" w14:textId="77777777" w:rsidR="00955C83" w:rsidRPr="00776407" w:rsidRDefault="00CF0652" w:rsidP="00955C83">
      <w:pPr>
        <w:autoSpaceDE w:val="0"/>
        <w:autoSpaceDN w:val="0"/>
        <w:adjustRightInd w:val="0"/>
        <w:rPr>
          <w:rFonts w:eastAsia="Calibri"/>
          <w:sz w:val="22"/>
          <w:szCs w:val="22"/>
          <w:highlight w:val="yellow"/>
        </w:rPr>
      </w:pPr>
      <w:r w:rsidRPr="00776407">
        <w:rPr>
          <w:rFonts w:eastAsia="Calibri"/>
          <w:color w:val="000000"/>
          <w:sz w:val="22"/>
          <w:szCs w:val="22"/>
        </w:rPr>
        <w:t>Juodasis geležies oksidas (E172)</w:t>
      </w:r>
    </w:p>
    <w:p w14:paraId="157AF50C" w14:textId="77777777" w:rsidR="00955C83" w:rsidRPr="00776407" w:rsidRDefault="00CF0652" w:rsidP="00955C83">
      <w:pPr>
        <w:autoSpaceDE w:val="0"/>
        <w:autoSpaceDN w:val="0"/>
        <w:adjustRightInd w:val="0"/>
        <w:rPr>
          <w:rFonts w:eastAsia="Calibri"/>
          <w:sz w:val="22"/>
          <w:szCs w:val="22"/>
          <w:highlight w:val="yellow"/>
        </w:rPr>
      </w:pPr>
      <w:r w:rsidRPr="00776407">
        <w:rPr>
          <w:rFonts w:eastAsia="Calibri"/>
          <w:color w:val="000000"/>
          <w:sz w:val="22"/>
          <w:szCs w:val="22"/>
        </w:rPr>
        <w:t>Propilenglikolis</w:t>
      </w:r>
    </w:p>
    <w:p w14:paraId="2917858F" w14:textId="77777777" w:rsidR="00955C83" w:rsidRPr="00776407" w:rsidRDefault="00CF0652" w:rsidP="00955C83">
      <w:pPr>
        <w:autoSpaceDE w:val="0"/>
        <w:autoSpaceDN w:val="0"/>
        <w:adjustRightInd w:val="0"/>
        <w:rPr>
          <w:rFonts w:eastAsia="Calibri"/>
          <w:sz w:val="22"/>
          <w:szCs w:val="22"/>
          <w:highlight w:val="yellow"/>
        </w:rPr>
      </w:pPr>
      <w:r w:rsidRPr="00776407">
        <w:rPr>
          <w:rFonts w:eastAsia="Calibri"/>
          <w:color w:val="000000"/>
          <w:sz w:val="22"/>
          <w:szCs w:val="22"/>
        </w:rPr>
        <w:t>Amoniako tirpalas</w:t>
      </w:r>
    </w:p>
    <w:p w14:paraId="066B7B45" w14:textId="77777777" w:rsidR="00955C83" w:rsidRPr="00776407" w:rsidRDefault="00CF0652" w:rsidP="00955C83">
      <w:pPr>
        <w:autoSpaceDE w:val="0"/>
        <w:autoSpaceDN w:val="0"/>
        <w:adjustRightInd w:val="0"/>
        <w:rPr>
          <w:rFonts w:eastAsia="Calibri"/>
          <w:sz w:val="22"/>
          <w:szCs w:val="22"/>
        </w:rPr>
      </w:pPr>
      <w:r w:rsidRPr="00776407">
        <w:rPr>
          <w:rFonts w:eastAsia="Calibri"/>
          <w:color w:val="000000"/>
          <w:sz w:val="22"/>
          <w:szCs w:val="22"/>
        </w:rPr>
        <w:t>Kalio hidroksidas</w:t>
      </w:r>
    </w:p>
    <w:p w14:paraId="6464C202" w14:textId="77777777" w:rsidR="00955C83" w:rsidRPr="00776407" w:rsidRDefault="00955C83" w:rsidP="00955C83">
      <w:pPr>
        <w:rPr>
          <w:rFonts w:eastAsia="Calibri"/>
          <w:sz w:val="22"/>
          <w:szCs w:val="22"/>
        </w:rPr>
      </w:pPr>
    </w:p>
    <w:p w14:paraId="0873AC8F" w14:textId="77777777" w:rsidR="00955C83" w:rsidRPr="00776407" w:rsidRDefault="00955C83" w:rsidP="00955C83">
      <w:pPr>
        <w:autoSpaceDE w:val="0"/>
        <w:autoSpaceDN w:val="0"/>
        <w:adjustRightInd w:val="0"/>
        <w:rPr>
          <w:rFonts w:eastAsia="Calibri"/>
          <w:sz w:val="22"/>
          <w:szCs w:val="22"/>
          <w:u w:val="single"/>
        </w:rPr>
      </w:pPr>
      <w:r w:rsidRPr="00776407">
        <w:rPr>
          <w:rFonts w:eastAsia="Calibri"/>
          <w:sz w:val="22"/>
          <w:szCs w:val="22"/>
          <w:u w:val="single"/>
        </w:rPr>
        <w:t xml:space="preserve">Imatinib Actavis 400 mg </w:t>
      </w:r>
      <w:r w:rsidR="00710434" w:rsidRPr="00776407">
        <w:rPr>
          <w:rFonts w:eastAsia="Calibri"/>
          <w:sz w:val="22"/>
          <w:szCs w:val="22"/>
          <w:u w:val="single"/>
        </w:rPr>
        <w:t>kietosios kapsulės</w:t>
      </w:r>
    </w:p>
    <w:p w14:paraId="58AF97A8" w14:textId="77777777" w:rsidR="00955C83" w:rsidRPr="00776407" w:rsidRDefault="00710434" w:rsidP="00955C83">
      <w:pPr>
        <w:keepNext/>
        <w:autoSpaceDE w:val="0"/>
        <w:autoSpaceDN w:val="0"/>
        <w:adjustRightInd w:val="0"/>
        <w:rPr>
          <w:rFonts w:eastAsia="Calibri"/>
          <w:i/>
          <w:sz w:val="22"/>
          <w:szCs w:val="22"/>
        </w:rPr>
      </w:pPr>
      <w:r w:rsidRPr="00776407">
        <w:rPr>
          <w:rFonts w:eastAsia="Calibri"/>
          <w:i/>
          <w:sz w:val="22"/>
          <w:szCs w:val="22"/>
        </w:rPr>
        <w:t>Kapsulės turinys</w:t>
      </w:r>
    </w:p>
    <w:p w14:paraId="6359DA3A" w14:textId="77777777" w:rsidR="00955C83" w:rsidRPr="00776407" w:rsidRDefault="00D65422" w:rsidP="00955C83">
      <w:pPr>
        <w:autoSpaceDE w:val="0"/>
        <w:autoSpaceDN w:val="0"/>
        <w:adjustRightInd w:val="0"/>
        <w:ind w:left="567" w:hanging="567"/>
        <w:rPr>
          <w:rFonts w:eastAsia="Calibri"/>
          <w:sz w:val="22"/>
          <w:szCs w:val="22"/>
          <w:highlight w:val="yellow"/>
        </w:rPr>
      </w:pPr>
      <w:r w:rsidRPr="00776407">
        <w:rPr>
          <w:rFonts w:eastAsia="Calibri"/>
          <w:color w:val="000000"/>
          <w:sz w:val="22"/>
          <w:szCs w:val="22"/>
        </w:rPr>
        <w:t>Mikrokristalinė celiuliozė</w:t>
      </w:r>
    </w:p>
    <w:p w14:paraId="0915C6E1" w14:textId="77777777" w:rsidR="00955C83" w:rsidRPr="00776407" w:rsidRDefault="00D65422" w:rsidP="00955C83">
      <w:pPr>
        <w:autoSpaceDE w:val="0"/>
        <w:autoSpaceDN w:val="0"/>
        <w:adjustRightInd w:val="0"/>
        <w:ind w:left="567" w:hanging="567"/>
        <w:rPr>
          <w:rFonts w:eastAsia="Calibri"/>
          <w:sz w:val="22"/>
          <w:szCs w:val="22"/>
          <w:highlight w:val="yellow"/>
        </w:rPr>
      </w:pPr>
      <w:r w:rsidRPr="00776407">
        <w:rPr>
          <w:rFonts w:eastAsia="Calibri"/>
          <w:color w:val="000000"/>
          <w:sz w:val="22"/>
          <w:szCs w:val="22"/>
        </w:rPr>
        <w:t>Kopovidonas</w:t>
      </w:r>
    </w:p>
    <w:p w14:paraId="237B571E" w14:textId="77777777" w:rsidR="00955C83" w:rsidRPr="00776407" w:rsidRDefault="00D65422" w:rsidP="00955C83">
      <w:pPr>
        <w:autoSpaceDE w:val="0"/>
        <w:autoSpaceDN w:val="0"/>
        <w:adjustRightInd w:val="0"/>
        <w:ind w:left="567" w:hanging="567"/>
        <w:rPr>
          <w:rFonts w:eastAsia="Calibri"/>
          <w:sz w:val="22"/>
          <w:szCs w:val="22"/>
          <w:highlight w:val="yellow"/>
        </w:rPr>
      </w:pPr>
      <w:r w:rsidRPr="00776407">
        <w:rPr>
          <w:rFonts w:eastAsia="Calibri"/>
          <w:color w:val="000000"/>
          <w:sz w:val="22"/>
          <w:szCs w:val="22"/>
        </w:rPr>
        <w:t>Krospovidonas</w:t>
      </w:r>
    </w:p>
    <w:p w14:paraId="4DC9E846" w14:textId="77777777" w:rsidR="00955C83" w:rsidRPr="00776407" w:rsidRDefault="00D65422" w:rsidP="00955C83">
      <w:pPr>
        <w:autoSpaceDE w:val="0"/>
        <w:autoSpaceDN w:val="0"/>
        <w:adjustRightInd w:val="0"/>
        <w:ind w:left="567" w:hanging="567"/>
        <w:rPr>
          <w:rFonts w:eastAsia="Calibri"/>
          <w:sz w:val="22"/>
          <w:szCs w:val="22"/>
          <w:highlight w:val="yellow"/>
        </w:rPr>
      </w:pPr>
      <w:r w:rsidRPr="00776407">
        <w:rPr>
          <w:rFonts w:eastAsia="Calibri"/>
          <w:color w:val="000000"/>
          <w:sz w:val="22"/>
          <w:szCs w:val="22"/>
        </w:rPr>
        <w:t>Natrio ste</w:t>
      </w:r>
      <w:r w:rsidR="001C1204" w:rsidRPr="00776407">
        <w:rPr>
          <w:rFonts w:eastAsia="Calibri"/>
          <w:color w:val="000000"/>
          <w:sz w:val="22"/>
          <w:szCs w:val="22"/>
        </w:rPr>
        <w:t>a</w:t>
      </w:r>
      <w:r w:rsidRPr="00776407">
        <w:rPr>
          <w:rFonts w:eastAsia="Calibri"/>
          <w:color w:val="000000"/>
          <w:sz w:val="22"/>
          <w:szCs w:val="22"/>
        </w:rPr>
        <w:t>rilfumaratas</w:t>
      </w:r>
    </w:p>
    <w:p w14:paraId="55E09F1E" w14:textId="77777777" w:rsidR="00955C83" w:rsidRPr="00776407" w:rsidRDefault="00D65422" w:rsidP="00955C83">
      <w:pPr>
        <w:autoSpaceDE w:val="0"/>
        <w:autoSpaceDN w:val="0"/>
        <w:adjustRightInd w:val="0"/>
        <w:ind w:left="567" w:hanging="567"/>
        <w:rPr>
          <w:rFonts w:eastAsia="Calibri"/>
          <w:sz w:val="22"/>
          <w:szCs w:val="22"/>
          <w:highlight w:val="yellow"/>
        </w:rPr>
      </w:pPr>
      <w:r w:rsidRPr="00776407">
        <w:rPr>
          <w:rFonts w:eastAsia="Calibri"/>
          <w:color w:val="000000"/>
          <w:sz w:val="22"/>
          <w:szCs w:val="22"/>
        </w:rPr>
        <w:t>Koloidinis hidrofobinis silicio dioksidas</w:t>
      </w:r>
    </w:p>
    <w:p w14:paraId="25452C00" w14:textId="77777777" w:rsidR="00955C83" w:rsidRPr="00776407" w:rsidRDefault="00D65422" w:rsidP="00955C83">
      <w:pPr>
        <w:autoSpaceDE w:val="0"/>
        <w:autoSpaceDN w:val="0"/>
        <w:adjustRightInd w:val="0"/>
        <w:ind w:left="567" w:hanging="567"/>
        <w:rPr>
          <w:rFonts w:eastAsia="Calibri"/>
          <w:sz w:val="22"/>
          <w:szCs w:val="22"/>
        </w:rPr>
      </w:pPr>
      <w:r w:rsidRPr="00776407">
        <w:rPr>
          <w:rFonts w:eastAsia="Calibri"/>
          <w:color w:val="000000"/>
          <w:sz w:val="22"/>
          <w:szCs w:val="22"/>
        </w:rPr>
        <w:t>Koloidinis bevandenis silicio dioksidas</w:t>
      </w:r>
    </w:p>
    <w:p w14:paraId="69B5B744" w14:textId="77777777" w:rsidR="00955C83" w:rsidRPr="00776407" w:rsidRDefault="00955C83" w:rsidP="00955C83">
      <w:pPr>
        <w:autoSpaceDE w:val="0"/>
        <w:autoSpaceDN w:val="0"/>
        <w:adjustRightInd w:val="0"/>
        <w:rPr>
          <w:rFonts w:eastAsia="Calibri"/>
          <w:sz w:val="22"/>
          <w:szCs w:val="22"/>
          <w:highlight w:val="yellow"/>
        </w:rPr>
      </w:pPr>
    </w:p>
    <w:p w14:paraId="7B449F8A" w14:textId="77777777" w:rsidR="00955C83" w:rsidRPr="00776407" w:rsidRDefault="00710434" w:rsidP="00955C83">
      <w:pPr>
        <w:keepNext/>
        <w:autoSpaceDE w:val="0"/>
        <w:autoSpaceDN w:val="0"/>
        <w:adjustRightInd w:val="0"/>
        <w:rPr>
          <w:rFonts w:eastAsia="Calibri"/>
          <w:i/>
          <w:sz w:val="22"/>
          <w:szCs w:val="22"/>
        </w:rPr>
      </w:pPr>
      <w:r w:rsidRPr="00776407">
        <w:rPr>
          <w:rFonts w:eastAsia="Calibri"/>
          <w:i/>
          <w:sz w:val="22"/>
          <w:szCs w:val="22"/>
        </w:rPr>
        <w:t>Kapsulės korpusas</w:t>
      </w:r>
    </w:p>
    <w:p w14:paraId="12A96A4C" w14:textId="77777777" w:rsidR="00955C83" w:rsidRPr="00776407" w:rsidRDefault="00D65422" w:rsidP="00955C83">
      <w:pPr>
        <w:keepNext/>
        <w:autoSpaceDE w:val="0"/>
        <w:autoSpaceDN w:val="0"/>
        <w:adjustRightInd w:val="0"/>
        <w:rPr>
          <w:rFonts w:eastAsia="Calibri"/>
          <w:sz w:val="22"/>
          <w:szCs w:val="22"/>
          <w:highlight w:val="yellow"/>
        </w:rPr>
      </w:pPr>
      <w:r w:rsidRPr="00776407">
        <w:rPr>
          <w:rFonts w:eastAsia="Calibri"/>
          <w:color w:val="000000"/>
          <w:sz w:val="22"/>
          <w:szCs w:val="22"/>
        </w:rPr>
        <w:t>Hipromeliozė</w:t>
      </w:r>
    </w:p>
    <w:p w14:paraId="085F8E26" w14:textId="77777777" w:rsidR="00955C83" w:rsidRPr="00776407" w:rsidRDefault="00D65422" w:rsidP="00955C83">
      <w:pPr>
        <w:keepNext/>
        <w:autoSpaceDE w:val="0"/>
        <w:autoSpaceDN w:val="0"/>
        <w:adjustRightInd w:val="0"/>
        <w:rPr>
          <w:rFonts w:eastAsia="Calibri"/>
          <w:sz w:val="22"/>
          <w:szCs w:val="22"/>
          <w:highlight w:val="yellow"/>
        </w:rPr>
      </w:pPr>
      <w:r w:rsidRPr="00776407">
        <w:rPr>
          <w:rFonts w:eastAsia="Calibri"/>
          <w:color w:val="000000"/>
          <w:sz w:val="22"/>
          <w:szCs w:val="22"/>
        </w:rPr>
        <w:t>Titano oksidas (E171)</w:t>
      </w:r>
    </w:p>
    <w:p w14:paraId="54DD058B" w14:textId="77777777" w:rsidR="00955C83" w:rsidRPr="00776407" w:rsidRDefault="00D65422" w:rsidP="00955C83">
      <w:pPr>
        <w:autoSpaceDE w:val="0"/>
        <w:autoSpaceDN w:val="0"/>
        <w:adjustRightInd w:val="0"/>
        <w:rPr>
          <w:rFonts w:eastAsia="Calibri"/>
          <w:sz w:val="22"/>
          <w:szCs w:val="22"/>
          <w:highlight w:val="yellow"/>
        </w:rPr>
      </w:pPr>
      <w:r w:rsidRPr="00776407">
        <w:rPr>
          <w:rFonts w:eastAsia="Calibri"/>
          <w:color w:val="000000"/>
          <w:sz w:val="22"/>
          <w:szCs w:val="22"/>
        </w:rPr>
        <w:t>Geltonasis geležies oksidas (E172)</w:t>
      </w:r>
    </w:p>
    <w:p w14:paraId="3E2A991C" w14:textId="77777777" w:rsidR="00955C83" w:rsidRPr="00776407" w:rsidRDefault="00CF0652" w:rsidP="00955C83">
      <w:pPr>
        <w:autoSpaceDE w:val="0"/>
        <w:autoSpaceDN w:val="0"/>
        <w:adjustRightInd w:val="0"/>
        <w:rPr>
          <w:rFonts w:eastAsia="Calibri"/>
          <w:sz w:val="22"/>
          <w:szCs w:val="22"/>
          <w:highlight w:val="yellow"/>
        </w:rPr>
      </w:pPr>
      <w:r w:rsidRPr="00776407">
        <w:rPr>
          <w:color w:val="000000"/>
          <w:sz w:val="22"/>
          <w:szCs w:val="22"/>
        </w:rPr>
        <w:t>Raudonasis geležies oksidas (E172)</w:t>
      </w:r>
    </w:p>
    <w:p w14:paraId="0340AB6E" w14:textId="77777777" w:rsidR="00955C83" w:rsidRPr="00776407" w:rsidRDefault="00CF0652" w:rsidP="00955C83">
      <w:pPr>
        <w:autoSpaceDE w:val="0"/>
        <w:autoSpaceDN w:val="0"/>
        <w:adjustRightInd w:val="0"/>
        <w:rPr>
          <w:rFonts w:eastAsia="Calibri"/>
          <w:sz w:val="22"/>
          <w:szCs w:val="22"/>
        </w:rPr>
      </w:pPr>
      <w:r w:rsidRPr="00776407">
        <w:rPr>
          <w:rFonts w:eastAsia="Calibri"/>
          <w:color w:val="000000"/>
          <w:sz w:val="22"/>
          <w:szCs w:val="22"/>
        </w:rPr>
        <w:t>Juodasis geležies oksidas (E172)</w:t>
      </w:r>
    </w:p>
    <w:p w14:paraId="62FD4FC9" w14:textId="77777777" w:rsidR="00955C83" w:rsidRPr="00776407" w:rsidRDefault="00955C83" w:rsidP="00955C83">
      <w:pPr>
        <w:autoSpaceDE w:val="0"/>
        <w:autoSpaceDN w:val="0"/>
        <w:adjustRightInd w:val="0"/>
        <w:rPr>
          <w:rFonts w:eastAsia="Calibri"/>
          <w:sz w:val="22"/>
          <w:szCs w:val="22"/>
        </w:rPr>
      </w:pPr>
    </w:p>
    <w:p w14:paraId="2AEAAE09" w14:textId="77777777" w:rsidR="00955C83" w:rsidRPr="00776407" w:rsidRDefault="00710434" w:rsidP="00955C83">
      <w:pPr>
        <w:keepNext/>
        <w:autoSpaceDE w:val="0"/>
        <w:autoSpaceDN w:val="0"/>
        <w:adjustRightInd w:val="0"/>
        <w:rPr>
          <w:rFonts w:eastAsia="Calibri"/>
          <w:i/>
          <w:sz w:val="22"/>
          <w:szCs w:val="22"/>
        </w:rPr>
      </w:pPr>
      <w:r w:rsidRPr="00776407">
        <w:rPr>
          <w:rFonts w:eastAsia="Calibri"/>
          <w:i/>
          <w:sz w:val="22"/>
          <w:szCs w:val="22"/>
        </w:rPr>
        <w:t>Rašalas</w:t>
      </w:r>
    </w:p>
    <w:p w14:paraId="08235BDA" w14:textId="77777777" w:rsidR="00955C83" w:rsidRPr="00776407" w:rsidRDefault="002811A3" w:rsidP="00955C83">
      <w:pPr>
        <w:autoSpaceDE w:val="0"/>
        <w:autoSpaceDN w:val="0"/>
        <w:adjustRightInd w:val="0"/>
        <w:rPr>
          <w:rFonts w:eastAsia="Calibri"/>
          <w:sz w:val="22"/>
          <w:szCs w:val="22"/>
        </w:rPr>
      </w:pPr>
      <w:r w:rsidRPr="00776407">
        <w:rPr>
          <w:rFonts w:eastAsia="Calibri"/>
          <w:color w:val="000000"/>
          <w:sz w:val="22"/>
          <w:szCs w:val="22"/>
        </w:rPr>
        <w:t xml:space="preserve">Šelako glazūra </w:t>
      </w:r>
      <w:r w:rsidR="00955C83" w:rsidRPr="00776407">
        <w:rPr>
          <w:rFonts w:eastAsia="Calibri"/>
          <w:sz w:val="22"/>
          <w:szCs w:val="22"/>
        </w:rPr>
        <w:t>45</w:t>
      </w:r>
      <w:r w:rsidRPr="00776407">
        <w:rPr>
          <w:rFonts w:eastAsia="Calibri"/>
          <w:sz w:val="22"/>
          <w:szCs w:val="22"/>
        </w:rPr>
        <w:t> </w:t>
      </w:r>
      <w:r w:rsidR="00955C83" w:rsidRPr="00776407">
        <w:rPr>
          <w:rFonts w:eastAsia="Calibri"/>
          <w:sz w:val="22"/>
          <w:szCs w:val="22"/>
        </w:rPr>
        <w:t>%</w:t>
      </w:r>
    </w:p>
    <w:p w14:paraId="4F875FBC" w14:textId="77777777" w:rsidR="00955C83" w:rsidRPr="00776407" w:rsidRDefault="00CF0652" w:rsidP="00955C83">
      <w:pPr>
        <w:autoSpaceDE w:val="0"/>
        <w:autoSpaceDN w:val="0"/>
        <w:adjustRightInd w:val="0"/>
        <w:rPr>
          <w:rFonts w:eastAsia="Calibri"/>
          <w:sz w:val="22"/>
          <w:szCs w:val="22"/>
          <w:highlight w:val="yellow"/>
        </w:rPr>
      </w:pPr>
      <w:r w:rsidRPr="00776407">
        <w:rPr>
          <w:rFonts w:eastAsia="Calibri"/>
          <w:color w:val="000000"/>
          <w:sz w:val="22"/>
          <w:szCs w:val="22"/>
        </w:rPr>
        <w:t>Juodasis geležies oksidas (E172)</w:t>
      </w:r>
    </w:p>
    <w:p w14:paraId="17708937" w14:textId="77777777" w:rsidR="00955C83" w:rsidRPr="00776407" w:rsidRDefault="00CF0652" w:rsidP="00955C83">
      <w:pPr>
        <w:autoSpaceDE w:val="0"/>
        <w:autoSpaceDN w:val="0"/>
        <w:adjustRightInd w:val="0"/>
        <w:rPr>
          <w:rFonts w:eastAsia="Calibri"/>
          <w:sz w:val="22"/>
          <w:szCs w:val="22"/>
          <w:highlight w:val="yellow"/>
        </w:rPr>
      </w:pPr>
      <w:r w:rsidRPr="00776407">
        <w:rPr>
          <w:rFonts w:eastAsia="Calibri"/>
          <w:color w:val="000000"/>
          <w:sz w:val="22"/>
          <w:szCs w:val="22"/>
        </w:rPr>
        <w:t>Propilenglikolis</w:t>
      </w:r>
    </w:p>
    <w:p w14:paraId="534CB542" w14:textId="77777777" w:rsidR="00955C83" w:rsidRPr="00776407" w:rsidRDefault="002811A3" w:rsidP="00955C83">
      <w:pPr>
        <w:autoSpaceDE w:val="0"/>
        <w:autoSpaceDN w:val="0"/>
        <w:adjustRightInd w:val="0"/>
        <w:rPr>
          <w:rFonts w:eastAsia="Calibri"/>
          <w:sz w:val="22"/>
          <w:szCs w:val="22"/>
        </w:rPr>
      </w:pPr>
      <w:r w:rsidRPr="00776407">
        <w:rPr>
          <w:rFonts w:eastAsia="Calibri"/>
          <w:sz w:val="22"/>
          <w:szCs w:val="22"/>
        </w:rPr>
        <w:t>Amonio hidroksidas 28 %</w:t>
      </w:r>
    </w:p>
    <w:p w14:paraId="40D27A3F" w14:textId="77777777" w:rsidR="00955C83" w:rsidRPr="00776407" w:rsidRDefault="00955C83" w:rsidP="00955C83">
      <w:pPr>
        <w:autoSpaceDE w:val="0"/>
        <w:autoSpaceDN w:val="0"/>
        <w:adjustRightInd w:val="0"/>
        <w:rPr>
          <w:rFonts w:eastAsia="Calibri"/>
          <w:color w:val="000000"/>
          <w:sz w:val="22"/>
          <w:szCs w:val="22"/>
        </w:rPr>
      </w:pPr>
    </w:p>
    <w:p w14:paraId="65A8917C" w14:textId="77777777" w:rsidR="00D3182C" w:rsidRPr="00776407" w:rsidRDefault="00D3182C" w:rsidP="00864BE6">
      <w:pPr>
        <w:pStyle w:val="Listenabsatz"/>
        <w:numPr>
          <w:ilvl w:val="1"/>
          <w:numId w:val="9"/>
        </w:numPr>
        <w:autoSpaceDE w:val="0"/>
        <w:autoSpaceDN w:val="0"/>
        <w:adjustRightInd w:val="0"/>
        <w:ind w:left="567" w:hanging="567"/>
        <w:rPr>
          <w:rFonts w:eastAsia="Calibri"/>
          <w:b/>
          <w:bCs/>
          <w:color w:val="000000"/>
          <w:sz w:val="22"/>
          <w:szCs w:val="22"/>
        </w:rPr>
      </w:pPr>
      <w:r w:rsidRPr="00776407">
        <w:rPr>
          <w:rFonts w:eastAsia="Calibri"/>
          <w:b/>
          <w:bCs/>
          <w:color w:val="000000"/>
          <w:sz w:val="22"/>
          <w:szCs w:val="22"/>
        </w:rPr>
        <w:t xml:space="preserve">Nesuderinamumas </w:t>
      </w:r>
    </w:p>
    <w:p w14:paraId="0EE230A5" w14:textId="77777777" w:rsidR="000E2A5E" w:rsidRPr="00776407" w:rsidRDefault="000E2A5E" w:rsidP="000E2A5E">
      <w:pPr>
        <w:autoSpaceDE w:val="0"/>
        <w:autoSpaceDN w:val="0"/>
        <w:adjustRightInd w:val="0"/>
        <w:rPr>
          <w:rFonts w:eastAsia="Calibri"/>
          <w:color w:val="000000"/>
          <w:sz w:val="22"/>
          <w:szCs w:val="22"/>
        </w:rPr>
      </w:pPr>
    </w:p>
    <w:p w14:paraId="1670E151" w14:textId="77777777" w:rsidR="00D3182C" w:rsidRPr="00776407" w:rsidRDefault="00D3182C" w:rsidP="00D3182C">
      <w:pPr>
        <w:autoSpaceDE w:val="0"/>
        <w:autoSpaceDN w:val="0"/>
        <w:adjustRightInd w:val="0"/>
        <w:rPr>
          <w:rFonts w:eastAsia="Calibri"/>
          <w:color w:val="000000"/>
          <w:sz w:val="22"/>
          <w:szCs w:val="22"/>
        </w:rPr>
      </w:pPr>
      <w:r w:rsidRPr="00776407">
        <w:rPr>
          <w:rFonts w:eastAsia="Calibri"/>
          <w:color w:val="000000"/>
          <w:sz w:val="22"/>
          <w:szCs w:val="22"/>
        </w:rPr>
        <w:t xml:space="preserve">Duomenys nebūtini. </w:t>
      </w:r>
    </w:p>
    <w:p w14:paraId="03809CD2" w14:textId="77777777" w:rsidR="000E2A5E" w:rsidRPr="00776407" w:rsidRDefault="000E2A5E" w:rsidP="00D3182C">
      <w:pPr>
        <w:autoSpaceDE w:val="0"/>
        <w:autoSpaceDN w:val="0"/>
        <w:adjustRightInd w:val="0"/>
        <w:rPr>
          <w:rFonts w:eastAsia="Calibri"/>
          <w:color w:val="000000"/>
          <w:sz w:val="22"/>
          <w:szCs w:val="22"/>
        </w:rPr>
      </w:pPr>
    </w:p>
    <w:p w14:paraId="780CE732" w14:textId="77777777" w:rsidR="00D3182C" w:rsidRPr="00776407" w:rsidRDefault="00D3182C" w:rsidP="00864BE6">
      <w:pPr>
        <w:pStyle w:val="Listenabsatz"/>
        <w:numPr>
          <w:ilvl w:val="1"/>
          <w:numId w:val="9"/>
        </w:numPr>
        <w:autoSpaceDE w:val="0"/>
        <w:autoSpaceDN w:val="0"/>
        <w:adjustRightInd w:val="0"/>
        <w:ind w:left="567" w:hanging="567"/>
        <w:rPr>
          <w:rFonts w:eastAsia="Calibri"/>
          <w:b/>
          <w:bCs/>
          <w:color w:val="000000"/>
          <w:sz w:val="22"/>
          <w:szCs w:val="22"/>
        </w:rPr>
      </w:pPr>
      <w:r w:rsidRPr="00776407">
        <w:rPr>
          <w:rFonts w:eastAsia="Calibri"/>
          <w:b/>
          <w:bCs/>
          <w:color w:val="000000"/>
          <w:sz w:val="22"/>
          <w:szCs w:val="22"/>
        </w:rPr>
        <w:t xml:space="preserve">Tinkamumo laikas </w:t>
      </w:r>
    </w:p>
    <w:p w14:paraId="220E713C" w14:textId="77777777" w:rsidR="000E2A5E" w:rsidRPr="00776407" w:rsidRDefault="000E2A5E" w:rsidP="000E2A5E">
      <w:pPr>
        <w:autoSpaceDE w:val="0"/>
        <w:autoSpaceDN w:val="0"/>
        <w:adjustRightInd w:val="0"/>
        <w:rPr>
          <w:rFonts w:eastAsia="Calibri"/>
          <w:color w:val="000000"/>
          <w:sz w:val="22"/>
          <w:szCs w:val="22"/>
        </w:rPr>
      </w:pPr>
    </w:p>
    <w:p w14:paraId="1F1ADF3E" w14:textId="77777777" w:rsidR="00D3182C" w:rsidRPr="00776407" w:rsidRDefault="00D3182C" w:rsidP="00D3182C">
      <w:pPr>
        <w:autoSpaceDE w:val="0"/>
        <w:autoSpaceDN w:val="0"/>
        <w:adjustRightInd w:val="0"/>
        <w:rPr>
          <w:rFonts w:eastAsia="Calibri"/>
          <w:color w:val="000000"/>
          <w:sz w:val="22"/>
          <w:szCs w:val="22"/>
        </w:rPr>
      </w:pPr>
      <w:r w:rsidRPr="00776407">
        <w:rPr>
          <w:rFonts w:eastAsia="Calibri"/>
          <w:color w:val="000000"/>
          <w:sz w:val="22"/>
          <w:szCs w:val="22"/>
        </w:rPr>
        <w:t xml:space="preserve">2 </w:t>
      </w:r>
      <w:r w:rsidR="00493541" w:rsidRPr="00776407">
        <w:rPr>
          <w:rFonts w:eastAsia="Calibri"/>
          <w:color w:val="000000"/>
          <w:sz w:val="22"/>
          <w:szCs w:val="22"/>
        </w:rPr>
        <w:t>metai</w:t>
      </w:r>
    </w:p>
    <w:p w14:paraId="64F31C32" w14:textId="77777777" w:rsidR="000E2A5E" w:rsidRPr="00776407" w:rsidRDefault="000E2A5E" w:rsidP="00D3182C">
      <w:pPr>
        <w:autoSpaceDE w:val="0"/>
        <w:autoSpaceDN w:val="0"/>
        <w:adjustRightInd w:val="0"/>
        <w:rPr>
          <w:rFonts w:eastAsia="Calibri"/>
          <w:color w:val="000000"/>
          <w:sz w:val="22"/>
          <w:szCs w:val="22"/>
        </w:rPr>
      </w:pPr>
    </w:p>
    <w:p w14:paraId="5D8D9FBA" w14:textId="77777777" w:rsidR="00D3182C" w:rsidRPr="00776407" w:rsidRDefault="00D3182C" w:rsidP="00864BE6">
      <w:pPr>
        <w:pStyle w:val="Listenabsatz"/>
        <w:numPr>
          <w:ilvl w:val="1"/>
          <w:numId w:val="9"/>
        </w:numPr>
        <w:autoSpaceDE w:val="0"/>
        <w:autoSpaceDN w:val="0"/>
        <w:adjustRightInd w:val="0"/>
        <w:ind w:left="567" w:hanging="567"/>
        <w:rPr>
          <w:rFonts w:eastAsia="Calibri"/>
          <w:b/>
          <w:bCs/>
          <w:color w:val="000000"/>
          <w:sz w:val="22"/>
          <w:szCs w:val="22"/>
        </w:rPr>
      </w:pPr>
      <w:r w:rsidRPr="00776407">
        <w:rPr>
          <w:rFonts w:eastAsia="Calibri"/>
          <w:b/>
          <w:bCs/>
          <w:color w:val="000000"/>
          <w:sz w:val="22"/>
          <w:szCs w:val="22"/>
        </w:rPr>
        <w:t xml:space="preserve">Specialios laikymo sąlygos </w:t>
      </w:r>
    </w:p>
    <w:p w14:paraId="1D357C30" w14:textId="77777777" w:rsidR="000E2A5E" w:rsidRPr="00776407" w:rsidRDefault="000E2A5E" w:rsidP="000E2A5E">
      <w:pPr>
        <w:autoSpaceDE w:val="0"/>
        <w:autoSpaceDN w:val="0"/>
        <w:adjustRightInd w:val="0"/>
        <w:rPr>
          <w:rFonts w:eastAsia="Calibri"/>
          <w:color w:val="000000"/>
          <w:sz w:val="22"/>
          <w:szCs w:val="22"/>
        </w:rPr>
      </w:pPr>
    </w:p>
    <w:p w14:paraId="27E9FA35" w14:textId="77777777" w:rsidR="00D3182C" w:rsidRPr="00776407" w:rsidRDefault="00D3182C" w:rsidP="00D3182C">
      <w:pPr>
        <w:autoSpaceDE w:val="0"/>
        <w:autoSpaceDN w:val="0"/>
        <w:adjustRightInd w:val="0"/>
        <w:rPr>
          <w:rFonts w:eastAsia="Calibri"/>
          <w:color w:val="000000"/>
          <w:sz w:val="22"/>
          <w:szCs w:val="22"/>
        </w:rPr>
      </w:pPr>
      <w:r w:rsidRPr="00776407">
        <w:rPr>
          <w:rFonts w:eastAsia="Calibri"/>
          <w:color w:val="000000"/>
          <w:sz w:val="22"/>
          <w:szCs w:val="22"/>
        </w:rPr>
        <w:t xml:space="preserve">Laikyti ne aukštesnėje kaip </w:t>
      </w:r>
      <w:r w:rsidR="00493541" w:rsidRPr="00776407">
        <w:rPr>
          <w:sz w:val="22"/>
          <w:szCs w:val="22"/>
        </w:rPr>
        <w:t>25</w:t>
      </w:r>
      <w:r w:rsidR="00284B65" w:rsidRPr="00776407">
        <w:rPr>
          <w:sz w:val="22"/>
          <w:szCs w:val="22"/>
        </w:rPr>
        <w:t> </w:t>
      </w:r>
      <w:r w:rsidR="000E2A5E" w:rsidRPr="00776407">
        <w:rPr>
          <w:sz w:val="22"/>
          <w:szCs w:val="22"/>
        </w:rPr>
        <w:t>°C</w:t>
      </w:r>
      <w:r w:rsidRPr="00776407">
        <w:rPr>
          <w:rFonts w:eastAsia="Calibri"/>
          <w:color w:val="000000"/>
          <w:sz w:val="22"/>
          <w:szCs w:val="22"/>
        </w:rPr>
        <w:t xml:space="preserve"> temperatūroje. </w:t>
      </w:r>
    </w:p>
    <w:p w14:paraId="563082A4" w14:textId="77777777" w:rsidR="00D3182C" w:rsidRPr="00776407" w:rsidRDefault="00D3182C" w:rsidP="00D3182C">
      <w:pPr>
        <w:autoSpaceDE w:val="0"/>
        <w:autoSpaceDN w:val="0"/>
        <w:adjustRightInd w:val="0"/>
        <w:rPr>
          <w:rFonts w:ascii="Arial" w:eastAsia="Calibri" w:hAnsi="Arial" w:cs="Arial"/>
          <w:color w:val="000000"/>
          <w:sz w:val="16"/>
          <w:szCs w:val="16"/>
        </w:rPr>
      </w:pPr>
      <w:r w:rsidRPr="00776407">
        <w:rPr>
          <w:rFonts w:eastAsia="Calibri"/>
          <w:color w:val="000000"/>
          <w:sz w:val="22"/>
          <w:szCs w:val="22"/>
        </w:rPr>
        <w:t>Laikyti gamintojo pakuotėje, kad preparatas būtų apsaugotas nuo drėgmės.</w:t>
      </w:r>
    </w:p>
    <w:p w14:paraId="1E10C10C" w14:textId="77777777" w:rsidR="00D3182C" w:rsidRPr="00776407" w:rsidRDefault="00D3182C" w:rsidP="00D3182C">
      <w:pPr>
        <w:autoSpaceDE w:val="0"/>
        <w:autoSpaceDN w:val="0"/>
        <w:adjustRightInd w:val="0"/>
        <w:rPr>
          <w:rFonts w:eastAsia="Calibri"/>
          <w:sz w:val="22"/>
          <w:szCs w:val="22"/>
        </w:rPr>
      </w:pPr>
    </w:p>
    <w:p w14:paraId="03CA9951" w14:textId="77777777" w:rsidR="000E2A5E" w:rsidRPr="00776407" w:rsidRDefault="003F39D6" w:rsidP="00864BE6">
      <w:pPr>
        <w:pStyle w:val="Listenabsatz"/>
        <w:numPr>
          <w:ilvl w:val="1"/>
          <w:numId w:val="9"/>
        </w:numPr>
        <w:autoSpaceDE w:val="0"/>
        <w:autoSpaceDN w:val="0"/>
        <w:adjustRightInd w:val="0"/>
        <w:ind w:left="567" w:hanging="567"/>
        <w:rPr>
          <w:rFonts w:eastAsia="Calibri"/>
          <w:b/>
          <w:sz w:val="22"/>
          <w:szCs w:val="22"/>
        </w:rPr>
      </w:pPr>
      <w:r w:rsidRPr="00776407">
        <w:rPr>
          <w:rFonts w:eastAsia="Calibri"/>
          <w:b/>
          <w:sz w:val="22"/>
          <w:szCs w:val="22"/>
        </w:rPr>
        <w:t>Talpyklės pobūdis ir jos turinys</w:t>
      </w:r>
    </w:p>
    <w:p w14:paraId="0E68757F" w14:textId="77777777" w:rsidR="003F39D6" w:rsidRPr="00776407" w:rsidRDefault="003F39D6" w:rsidP="003F39D6">
      <w:pPr>
        <w:autoSpaceDE w:val="0"/>
        <w:autoSpaceDN w:val="0"/>
        <w:adjustRightInd w:val="0"/>
        <w:rPr>
          <w:rFonts w:eastAsia="Calibri"/>
          <w:sz w:val="22"/>
          <w:szCs w:val="22"/>
        </w:rPr>
      </w:pPr>
    </w:p>
    <w:p w14:paraId="58703E09" w14:textId="77777777" w:rsidR="00955C83" w:rsidRPr="00776407" w:rsidRDefault="00955C83" w:rsidP="00955C83">
      <w:pPr>
        <w:autoSpaceDE w:val="0"/>
        <w:autoSpaceDN w:val="0"/>
        <w:adjustRightInd w:val="0"/>
        <w:rPr>
          <w:rFonts w:eastAsia="Calibri"/>
          <w:sz w:val="22"/>
          <w:szCs w:val="22"/>
          <w:u w:val="single"/>
        </w:rPr>
      </w:pPr>
      <w:r w:rsidRPr="00776407">
        <w:rPr>
          <w:rFonts w:eastAsia="Calibri"/>
          <w:sz w:val="22"/>
          <w:szCs w:val="22"/>
          <w:u w:val="single"/>
        </w:rPr>
        <w:t xml:space="preserve">Imatinib Actavis 50 mg </w:t>
      </w:r>
      <w:r w:rsidR="00710434" w:rsidRPr="00776407">
        <w:rPr>
          <w:rFonts w:eastAsia="Calibri"/>
          <w:sz w:val="22"/>
          <w:szCs w:val="22"/>
          <w:u w:val="single"/>
        </w:rPr>
        <w:t>kietosios kapsulės</w:t>
      </w:r>
    </w:p>
    <w:p w14:paraId="6508C23F" w14:textId="77777777" w:rsidR="003F39D6" w:rsidRPr="00776407" w:rsidRDefault="003F39D6" w:rsidP="003F39D6">
      <w:pPr>
        <w:autoSpaceDE w:val="0"/>
        <w:autoSpaceDN w:val="0"/>
        <w:adjustRightInd w:val="0"/>
        <w:rPr>
          <w:rFonts w:eastAsia="Calibri"/>
          <w:sz w:val="22"/>
          <w:szCs w:val="22"/>
        </w:rPr>
      </w:pPr>
      <w:r w:rsidRPr="00776407">
        <w:rPr>
          <w:rFonts w:eastAsia="Calibri"/>
          <w:sz w:val="22"/>
          <w:szCs w:val="22"/>
        </w:rPr>
        <w:t>Al/PVC/Aclar lizdinės plokštelės</w:t>
      </w:r>
      <w:r w:rsidR="00E83B7B" w:rsidRPr="00776407">
        <w:rPr>
          <w:rFonts w:eastAsia="Calibri"/>
          <w:sz w:val="22"/>
          <w:szCs w:val="22"/>
        </w:rPr>
        <w:t>.</w:t>
      </w:r>
      <w:r w:rsidR="003B0365" w:rsidRPr="00776407">
        <w:rPr>
          <w:rFonts w:eastAsia="Calibri"/>
          <w:sz w:val="22"/>
          <w:szCs w:val="22"/>
        </w:rPr>
        <w:t xml:space="preserve"> Vienoje lizdinėje plokštelėje yra 10 kapsulių.</w:t>
      </w:r>
    </w:p>
    <w:p w14:paraId="1C10E912" w14:textId="77777777" w:rsidR="003F39D6" w:rsidRPr="00776407" w:rsidRDefault="003F39D6" w:rsidP="003F39D6">
      <w:pPr>
        <w:autoSpaceDE w:val="0"/>
        <w:autoSpaceDN w:val="0"/>
        <w:adjustRightInd w:val="0"/>
        <w:rPr>
          <w:rFonts w:eastAsia="Calibri"/>
          <w:sz w:val="22"/>
          <w:szCs w:val="22"/>
        </w:rPr>
      </w:pPr>
      <w:r w:rsidRPr="00776407">
        <w:rPr>
          <w:rFonts w:eastAsia="Calibri"/>
          <w:sz w:val="22"/>
          <w:szCs w:val="22"/>
        </w:rPr>
        <w:t>Pakuotėje yra 30 ar 90 kapsulių</w:t>
      </w:r>
      <w:r w:rsidR="00E83B7B" w:rsidRPr="00776407">
        <w:rPr>
          <w:rFonts w:eastAsia="Calibri"/>
          <w:sz w:val="22"/>
          <w:szCs w:val="22"/>
        </w:rPr>
        <w:t>.</w:t>
      </w:r>
    </w:p>
    <w:p w14:paraId="4FCA0685" w14:textId="77777777" w:rsidR="003F39D6" w:rsidRPr="00776407" w:rsidRDefault="003F39D6" w:rsidP="003F39D6">
      <w:pPr>
        <w:autoSpaceDE w:val="0"/>
        <w:autoSpaceDN w:val="0"/>
        <w:adjustRightInd w:val="0"/>
        <w:rPr>
          <w:rFonts w:eastAsia="Calibri"/>
          <w:sz w:val="22"/>
          <w:szCs w:val="22"/>
        </w:rPr>
      </w:pPr>
    </w:p>
    <w:p w14:paraId="1468F1E3" w14:textId="77777777" w:rsidR="00955C83" w:rsidRPr="00776407" w:rsidRDefault="00955C83" w:rsidP="00955C83">
      <w:pPr>
        <w:autoSpaceDE w:val="0"/>
        <w:autoSpaceDN w:val="0"/>
        <w:adjustRightInd w:val="0"/>
        <w:rPr>
          <w:rFonts w:eastAsia="Calibri"/>
          <w:sz w:val="22"/>
          <w:szCs w:val="22"/>
          <w:u w:val="single"/>
        </w:rPr>
      </w:pPr>
      <w:r w:rsidRPr="00776407">
        <w:rPr>
          <w:rFonts w:eastAsia="Calibri"/>
          <w:sz w:val="22"/>
          <w:szCs w:val="22"/>
          <w:u w:val="single"/>
        </w:rPr>
        <w:t xml:space="preserve">Imatinib Actavis 100 mg </w:t>
      </w:r>
      <w:r w:rsidR="00710434" w:rsidRPr="00776407">
        <w:rPr>
          <w:rFonts w:eastAsia="Calibri"/>
          <w:sz w:val="22"/>
          <w:szCs w:val="22"/>
          <w:u w:val="single"/>
        </w:rPr>
        <w:t>kietosios kapsulės</w:t>
      </w:r>
    </w:p>
    <w:p w14:paraId="19145594" w14:textId="77777777" w:rsidR="00955C83" w:rsidRPr="00776407" w:rsidRDefault="00955C83" w:rsidP="00955C83">
      <w:pPr>
        <w:autoSpaceDE w:val="0"/>
        <w:autoSpaceDN w:val="0"/>
        <w:adjustRightInd w:val="0"/>
        <w:rPr>
          <w:rFonts w:eastAsia="Calibri"/>
          <w:bCs/>
          <w:sz w:val="22"/>
          <w:szCs w:val="22"/>
        </w:rPr>
      </w:pPr>
      <w:r w:rsidRPr="00776407">
        <w:rPr>
          <w:rFonts w:eastAsia="Calibri"/>
          <w:bCs/>
          <w:sz w:val="22"/>
          <w:szCs w:val="22"/>
        </w:rPr>
        <w:t xml:space="preserve">Al/PVC/Aclar </w:t>
      </w:r>
      <w:r w:rsidR="00710434" w:rsidRPr="00776407">
        <w:rPr>
          <w:rFonts w:eastAsia="Calibri"/>
          <w:bCs/>
          <w:sz w:val="22"/>
          <w:szCs w:val="22"/>
        </w:rPr>
        <w:t>lizdinės plokštelės</w:t>
      </w:r>
      <w:r w:rsidRPr="00776407">
        <w:rPr>
          <w:rFonts w:eastAsia="Calibri"/>
          <w:bCs/>
          <w:sz w:val="22"/>
          <w:szCs w:val="22"/>
        </w:rPr>
        <w:t xml:space="preserve">. </w:t>
      </w:r>
      <w:r w:rsidR="00710434" w:rsidRPr="00776407">
        <w:rPr>
          <w:rFonts w:eastAsia="Calibri"/>
          <w:bCs/>
          <w:sz w:val="22"/>
          <w:szCs w:val="22"/>
        </w:rPr>
        <w:t>Vienoje lizdinėje plokštelėje yra 8 ar 10 kapsulių.</w:t>
      </w:r>
    </w:p>
    <w:p w14:paraId="3C23C683" w14:textId="77777777" w:rsidR="00955C83" w:rsidRPr="00776407" w:rsidRDefault="00710434" w:rsidP="00955C83">
      <w:pPr>
        <w:rPr>
          <w:rFonts w:eastAsia="Calibri"/>
          <w:sz w:val="22"/>
          <w:szCs w:val="22"/>
        </w:rPr>
      </w:pPr>
      <w:r w:rsidRPr="00776407">
        <w:rPr>
          <w:rFonts w:eastAsia="Calibri"/>
          <w:sz w:val="22"/>
          <w:szCs w:val="22"/>
        </w:rPr>
        <w:t>Pakuotėje yra 24, 48, 60, 96, 120 ar 180 kapsulių.</w:t>
      </w:r>
    </w:p>
    <w:p w14:paraId="43836ED3" w14:textId="77777777" w:rsidR="00955C83" w:rsidRPr="00776407" w:rsidRDefault="00955C83" w:rsidP="00955C83">
      <w:pPr>
        <w:autoSpaceDE w:val="0"/>
        <w:autoSpaceDN w:val="0"/>
        <w:adjustRightInd w:val="0"/>
        <w:rPr>
          <w:rFonts w:eastAsia="Calibri"/>
          <w:sz w:val="22"/>
          <w:szCs w:val="22"/>
        </w:rPr>
      </w:pPr>
    </w:p>
    <w:p w14:paraId="243F6953" w14:textId="77777777" w:rsidR="00955C83" w:rsidRPr="00776407" w:rsidRDefault="00955C83" w:rsidP="00955C83">
      <w:pPr>
        <w:autoSpaceDE w:val="0"/>
        <w:autoSpaceDN w:val="0"/>
        <w:adjustRightInd w:val="0"/>
        <w:rPr>
          <w:rFonts w:eastAsia="Calibri"/>
          <w:sz w:val="22"/>
          <w:szCs w:val="22"/>
          <w:u w:val="single"/>
        </w:rPr>
      </w:pPr>
      <w:r w:rsidRPr="00776407">
        <w:rPr>
          <w:rFonts w:eastAsia="Calibri"/>
          <w:sz w:val="22"/>
          <w:szCs w:val="22"/>
          <w:u w:val="single"/>
        </w:rPr>
        <w:t xml:space="preserve">Imatinib Actavis 400 mg </w:t>
      </w:r>
      <w:r w:rsidR="00710434" w:rsidRPr="00776407">
        <w:rPr>
          <w:rFonts w:eastAsia="Calibri"/>
          <w:sz w:val="22"/>
          <w:szCs w:val="22"/>
          <w:u w:val="single"/>
        </w:rPr>
        <w:t>kietosios kapsulės</w:t>
      </w:r>
    </w:p>
    <w:p w14:paraId="2FB8525F" w14:textId="77777777" w:rsidR="00955C83" w:rsidRPr="00776407" w:rsidRDefault="00955C83" w:rsidP="00955C83">
      <w:pPr>
        <w:autoSpaceDE w:val="0"/>
        <w:autoSpaceDN w:val="0"/>
        <w:adjustRightInd w:val="0"/>
        <w:rPr>
          <w:rFonts w:eastAsia="Calibri"/>
          <w:bCs/>
          <w:sz w:val="22"/>
          <w:szCs w:val="22"/>
        </w:rPr>
      </w:pPr>
      <w:r w:rsidRPr="00776407">
        <w:rPr>
          <w:rFonts w:eastAsia="Calibri"/>
          <w:bCs/>
          <w:sz w:val="22"/>
          <w:szCs w:val="22"/>
        </w:rPr>
        <w:t xml:space="preserve">Al/PVC-PVDC </w:t>
      </w:r>
      <w:r w:rsidR="00710434" w:rsidRPr="00776407">
        <w:rPr>
          <w:rFonts w:eastAsia="Calibri"/>
          <w:bCs/>
          <w:sz w:val="22"/>
          <w:szCs w:val="22"/>
        </w:rPr>
        <w:t>lizdinės plokštelės</w:t>
      </w:r>
      <w:r w:rsidRPr="00776407">
        <w:rPr>
          <w:rFonts w:eastAsia="Calibri"/>
          <w:bCs/>
          <w:sz w:val="22"/>
          <w:szCs w:val="22"/>
        </w:rPr>
        <w:t xml:space="preserve">. </w:t>
      </w:r>
      <w:r w:rsidR="00710434" w:rsidRPr="00776407">
        <w:rPr>
          <w:rFonts w:eastAsia="Calibri"/>
          <w:bCs/>
          <w:sz w:val="22"/>
          <w:szCs w:val="22"/>
        </w:rPr>
        <w:t>Vienoje lizdinėje plokštelėje yra 10 kapsulių.</w:t>
      </w:r>
    </w:p>
    <w:p w14:paraId="4D3CC959" w14:textId="77777777" w:rsidR="00955C83" w:rsidRPr="00776407" w:rsidRDefault="00710434" w:rsidP="00955C83">
      <w:pPr>
        <w:rPr>
          <w:rFonts w:eastAsia="Calibri"/>
          <w:sz w:val="22"/>
          <w:szCs w:val="22"/>
        </w:rPr>
      </w:pPr>
      <w:r w:rsidRPr="00776407">
        <w:rPr>
          <w:rFonts w:eastAsia="Calibri"/>
          <w:sz w:val="22"/>
          <w:szCs w:val="22"/>
        </w:rPr>
        <w:t>Pakuotėje yra 10, 30, 60 a</w:t>
      </w:r>
      <w:r w:rsidR="00955C83" w:rsidRPr="00776407">
        <w:rPr>
          <w:rFonts w:eastAsia="Calibri"/>
          <w:sz w:val="22"/>
          <w:szCs w:val="22"/>
        </w:rPr>
        <w:t>r 90 </w:t>
      </w:r>
      <w:r w:rsidRPr="00776407">
        <w:rPr>
          <w:rFonts w:eastAsia="Calibri"/>
          <w:sz w:val="22"/>
          <w:szCs w:val="22"/>
        </w:rPr>
        <w:t>kapsulių</w:t>
      </w:r>
      <w:r w:rsidR="00955C83" w:rsidRPr="00776407">
        <w:rPr>
          <w:rFonts w:eastAsia="Calibri"/>
          <w:sz w:val="22"/>
          <w:szCs w:val="22"/>
        </w:rPr>
        <w:t>.</w:t>
      </w:r>
    </w:p>
    <w:p w14:paraId="30053612" w14:textId="77777777" w:rsidR="00955C83" w:rsidRPr="00776407" w:rsidRDefault="00955C83" w:rsidP="003F39D6">
      <w:pPr>
        <w:autoSpaceDE w:val="0"/>
        <w:autoSpaceDN w:val="0"/>
        <w:adjustRightInd w:val="0"/>
        <w:rPr>
          <w:rFonts w:eastAsia="Calibri"/>
          <w:sz w:val="22"/>
          <w:szCs w:val="22"/>
        </w:rPr>
      </w:pPr>
    </w:p>
    <w:p w14:paraId="52F8291A" w14:textId="77777777" w:rsidR="003F39D6" w:rsidRPr="00776407" w:rsidRDefault="003F39D6" w:rsidP="003F39D6">
      <w:pPr>
        <w:autoSpaceDE w:val="0"/>
        <w:autoSpaceDN w:val="0"/>
        <w:adjustRightInd w:val="0"/>
        <w:rPr>
          <w:rFonts w:eastAsia="Calibri"/>
          <w:sz w:val="22"/>
          <w:szCs w:val="22"/>
        </w:rPr>
      </w:pPr>
      <w:r w:rsidRPr="00776407">
        <w:rPr>
          <w:rFonts w:eastAsia="Calibri"/>
          <w:sz w:val="22"/>
          <w:szCs w:val="22"/>
        </w:rPr>
        <w:t>Gali būti tiekiamos ne visų dydžių pakuotės.</w:t>
      </w:r>
    </w:p>
    <w:p w14:paraId="154DBF1D" w14:textId="77777777" w:rsidR="003F39D6" w:rsidRPr="00776407" w:rsidRDefault="003F39D6" w:rsidP="003F39D6">
      <w:pPr>
        <w:autoSpaceDE w:val="0"/>
        <w:autoSpaceDN w:val="0"/>
        <w:adjustRightInd w:val="0"/>
        <w:rPr>
          <w:rFonts w:eastAsia="Calibri"/>
          <w:sz w:val="22"/>
          <w:szCs w:val="22"/>
        </w:rPr>
      </w:pPr>
    </w:p>
    <w:p w14:paraId="62A967E4" w14:textId="77777777" w:rsidR="003F39D6" w:rsidRPr="00776407" w:rsidRDefault="003F39D6" w:rsidP="004140FF">
      <w:pPr>
        <w:tabs>
          <w:tab w:val="left" w:pos="567"/>
        </w:tabs>
        <w:autoSpaceDE w:val="0"/>
        <w:autoSpaceDN w:val="0"/>
        <w:adjustRightInd w:val="0"/>
        <w:rPr>
          <w:rFonts w:eastAsia="Calibri"/>
          <w:b/>
          <w:sz w:val="22"/>
          <w:szCs w:val="22"/>
        </w:rPr>
      </w:pPr>
      <w:r w:rsidRPr="00776407">
        <w:rPr>
          <w:rFonts w:eastAsia="Calibri"/>
          <w:b/>
          <w:sz w:val="22"/>
          <w:szCs w:val="22"/>
        </w:rPr>
        <w:t>6.6.</w:t>
      </w:r>
      <w:r w:rsidRPr="00776407">
        <w:rPr>
          <w:rFonts w:eastAsia="Calibri"/>
          <w:b/>
          <w:sz w:val="22"/>
          <w:szCs w:val="22"/>
        </w:rPr>
        <w:tab/>
        <w:t>Specialūs reikalavimai atliekoms tvarkyti</w:t>
      </w:r>
    </w:p>
    <w:p w14:paraId="1803840D" w14:textId="77777777" w:rsidR="003F39D6" w:rsidRPr="00776407" w:rsidRDefault="003F39D6" w:rsidP="003F39D6">
      <w:pPr>
        <w:autoSpaceDE w:val="0"/>
        <w:autoSpaceDN w:val="0"/>
        <w:adjustRightInd w:val="0"/>
        <w:rPr>
          <w:rFonts w:eastAsia="Calibri"/>
          <w:b/>
          <w:sz w:val="22"/>
          <w:szCs w:val="22"/>
        </w:rPr>
      </w:pPr>
    </w:p>
    <w:p w14:paraId="59EDA19D" w14:textId="77777777" w:rsidR="003F39D6" w:rsidRPr="00776407" w:rsidRDefault="003F39D6" w:rsidP="003F39D6">
      <w:pPr>
        <w:autoSpaceDE w:val="0"/>
        <w:autoSpaceDN w:val="0"/>
        <w:adjustRightInd w:val="0"/>
        <w:rPr>
          <w:rFonts w:eastAsia="Calibri"/>
          <w:sz w:val="22"/>
          <w:szCs w:val="22"/>
          <w:u w:val="single"/>
        </w:rPr>
      </w:pPr>
      <w:r w:rsidRPr="00776407">
        <w:rPr>
          <w:rFonts w:eastAsia="Calibri"/>
          <w:sz w:val="22"/>
          <w:szCs w:val="22"/>
          <w:u w:val="single"/>
        </w:rPr>
        <w:t>Vaisingo amžiaus moterų elgesys su atidarytomos kapsulėmis</w:t>
      </w:r>
    </w:p>
    <w:p w14:paraId="0C5DFB66" w14:textId="77777777" w:rsidR="003F39D6" w:rsidRPr="00776407" w:rsidRDefault="003F39D6" w:rsidP="003F39D6">
      <w:pPr>
        <w:autoSpaceDE w:val="0"/>
        <w:autoSpaceDN w:val="0"/>
        <w:adjustRightInd w:val="0"/>
        <w:rPr>
          <w:rFonts w:eastAsia="Calibri"/>
          <w:sz w:val="22"/>
          <w:szCs w:val="22"/>
        </w:rPr>
      </w:pPr>
      <w:r w:rsidRPr="00776407">
        <w:rPr>
          <w:rFonts w:eastAsia="Calibri"/>
          <w:sz w:val="22"/>
          <w:szCs w:val="22"/>
        </w:rPr>
        <w:t>Kadangi tyrimų su gyvūnais metu pastebėtas reprodukcinis toksiškumas, ir potenciali rizika žmogaus vaisiui yra nežinoma, vaisingo amžiaus moterims, jei jos atidaro kapsules, su jų turiniu reikia elgtis atsargiai ir vengti kontakto su oda ir akimis ar vengti įkvėpti (žr. 4.6 skyrių). Po kontakto su atidarytomis kapsulėmis reikia nedelsiant nusiplauti rankas.</w:t>
      </w:r>
    </w:p>
    <w:p w14:paraId="0C823919" w14:textId="77777777" w:rsidR="003F39D6" w:rsidRPr="00776407" w:rsidRDefault="003F39D6" w:rsidP="003F39D6">
      <w:pPr>
        <w:autoSpaceDE w:val="0"/>
        <w:autoSpaceDN w:val="0"/>
        <w:adjustRightInd w:val="0"/>
        <w:rPr>
          <w:rFonts w:eastAsia="Calibri"/>
          <w:sz w:val="22"/>
          <w:szCs w:val="22"/>
        </w:rPr>
      </w:pPr>
    </w:p>
    <w:p w14:paraId="7AD51AAB" w14:textId="77777777" w:rsidR="00C742B3" w:rsidRPr="00776407" w:rsidRDefault="00C742B3" w:rsidP="00C742B3">
      <w:pPr>
        <w:pStyle w:val="Endnotentext"/>
        <w:widowControl w:val="0"/>
        <w:rPr>
          <w:color w:val="000000"/>
          <w:sz w:val="22"/>
          <w:szCs w:val="22"/>
        </w:rPr>
      </w:pPr>
      <w:r w:rsidRPr="00776407">
        <w:rPr>
          <w:color w:val="000000"/>
          <w:sz w:val="22"/>
          <w:szCs w:val="22"/>
        </w:rPr>
        <w:t>Nesuvartotą vaistinį preparatą ar atliekas reikia tvarkyti laikantis vietinių reikalavimų.</w:t>
      </w:r>
    </w:p>
    <w:p w14:paraId="5C6D00DD" w14:textId="77777777" w:rsidR="002E6D97" w:rsidRPr="00776407" w:rsidRDefault="002E6D97" w:rsidP="003F39D6">
      <w:pPr>
        <w:autoSpaceDE w:val="0"/>
        <w:autoSpaceDN w:val="0"/>
        <w:adjustRightInd w:val="0"/>
        <w:rPr>
          <w:rFonts w:eastAsia="Calibri"/>
          <w:sz w:val="22"/>
          <w:szCs w:val="22"/>
        </w:rPr>
      </w:pPr>
    </w:p>
    <w:p w14:paraId="5CC70A1B" w14:textId="77777777" w:rsidR="003E69DE" w:rsidRPr="00776407" w:rsidRDefault="003E69DE" w:rsidP="003F39D6">
      <w:pPr>
        <w:autoSpaceDE w:val="0"/>
        <w:autoSpaceDN w:val="0"/>
        <w:adjustRightInd w:val="0"/>
        <w:rPr>
          <w:rFonts w:eastAsia="Calibri"/>
          <w:sz w:val="22"/>
          <w:szCs w:val="22"/>
        </w:rPr>
      </w:pPr>
    </w:p>
    <w:p w14:paraId="5ADB9642" w14:textId="77777777" w:rsidR="003E69DE" w:rsidRPr="00776407" w:rsidRDefault="00944055" w:rsidP="00864BE6">
      <w:pPr>
        <w:pStyle w:val="Listenabsatz"/>
        <w:numPr>
          <w:ilvl w:val="0"/>
          <w:numId w:val="9"/>
        </w:numPr>
        <w:autoSpaceDE w:val="0"/>
        <w:autoSpaceDN w:val="0"/>
        <w:adjustRightInd w:val="0"/>
        <w:ind w:left="567" w:hanging="567"/>
        <w:rPr>
          <w:rFonts w:eastAsia="Calibri"/>
          <w:b/>
          <w:sz w:val="22"/>
          <w:szCs w:val="22"/>
        </w:rPr>
      </w:pPr>
      <w:r w:rsidRPr="00776407">
        <w:rPr>
          <w:rFonts w:eastAsia="Calibri"/>
          <w:b/>
          <w:sz w:val="22"/>
          <w:szCs w:val="22"/>
        </w:rPr>
        <w:t>REGISTRUOTOJAS</w:t>
      </w:r>
    </w:p>
    <w:p w14:paraId="352043C2" w14:textId="77777777" w:rsidR="003E69DE" w:rsidRPr="00776407" w:rsidRDefault="003E69DE" w:rsidP="003E69DE">
      <w:pPr>
        <w:autoSpaceDE w:val="0"/>
        <w:autoSpaceDN w:val="0"/>
        <w:adjustRightInd w:val="0"/>
        <w:rPr>
          <w:rFonts w:eastAsia="Calibri"/>
          <w:b/>
          <w:sz w:val="22"/>
          <w:szCs w:val="22"/>
        </w:rPr>
      </w:pPr>
    </w:p>
    <w:p w14:paraId="31D444E4" w14:textId="77777777" w:rsidR="003E69DE" w:rsidRPr="00776407" w:rsidRDefault="003E69DE" w:rsidP="003E69DE">
      <w:pPr>
        <w:autoSpaceDE w:val="0"/>
        <w:autoSpaceDN w:val="0"/>
        <w:adjustRightInd w:val="0"/>
        <w:rPr>
          <w:sz w:val="22"/>
          <w:szCs w:val="22"/>
        </w:rPr>
      </w:pPr>
      <w:r w:rsidRPr="00776407">
        <w:rPr>
          <w:sz w:val="22"/>
          <w:szCs w:val="22"/>
        </w:rPr>
        <w:t>Actavis Group PTC ehf.</w:t>
      </w:r>
    </w:p>
    <w:p w14:paraId="3763A962" w14:textId="77777777" w:rsidR="003E69DE" w:rsidRPr="00776407" w:rsidRDefault="003E69DE" w:rsidP="003E69DE">
      <w:pPr>
        <w:autoSpaceDE w:val="0"/>
        <w:autoSpaceDN w:val="0"/>
        <w:adjustRightInd w:val="0"/>
        <w:rPr>
          <w:sz w:val="22"/>
          <w:szCs w:val="22"/>
        </w:rPr>
      </w:pPr>
      <w:r w:rsidRPr="00776407">
        <w:rPr>
          <w:sz w:val="22"/>
          <w:szCs w:val="22"/>
        </w:rPr>
        <w:t>Reykjavíkurvegur 76-78</w:t>
      </w:r>
    </w:p>
    <w:p w14:paraId="0565E42E" w14:textId="77777777" w:rsidR="003E69DE" w:rsidRPr="00776407" w:rsidRDefault="003E69DE" w:rsidP="003E69DE">
      <w:pPr>
        <w:autoSpaceDE w:val="0"/>
        <w:autoSpaceDN w:val="0"/>
        <w:adjustRightInd w:val="0"/>
        <w:rPr>
          <w:sz w:val="22"/>
          <w:szCs w:val="22"/>
        </w:rPr>
      </w:pPr>
      <w:r w:rsidRPr="00776407">
        <w:rPr>
          <w:sz w:val="22"/>
          <w:szCs w:val="22"/>
        </w:rPr>
        <w:t>IS-220 Hafnarfjörður</w:t>
      </w:r>
    </w:p>
    <w:p w14:paraId="30EF6871" w14:textId="77777777" w:rsidR="003E69DE" w:rsidRPr="00776407" w:rsidRDefault="003E69DE" w:rsidP="003E69DE">
      <w:pPr>
        <w:autoSpaceDE w:val="0"/>
        <w:autoSpaceDN w:val="0"/>
        <w:adjustRightInd w:val="0"/>
        <w:rPr>
          <w:sz w:val="22"/>
          <w:szCs w:val="22"/>
        </w:rPr>
      </w:pPr>
      <w:r w:rsidRPr="00776407">
        <w:rPr>
          <w:sz w:val="22"/>
          <w:szCs w:val="22"/>
        </w:rPr>
        <w:t>Islandija</w:t>
      </w:r>
    </w:p>
    <w:p w14:paraId="6B868593" w14:textId="77777777" w:rsidR="003E69DE" w:rsidRPr="00776407" w:rsidRDefault="003E69DE" w:rsidP="003E69DE">
      <w:pPr>
        <w:autoSpaceDE w:val="0"/>
        <w:autoSpaceDN w:val="0"/>
        <w:adjustRightInd w:val="0"/>
        <w:rPr>
          <w:sz w:val="22"/>
          <w:szCs w:val="22"/>
        </w:rPr>
      </w:pPr>
    </w:p>
    <w:p w14:paraId="22BF4008" w14:textId="77777777" w:rsidR="003E69DE" w:rsidRPr="00776407" w:rsidRDefault="003E69DE" w:rsidP="003E69DE">
      <w:pPr>
        <w:autoSpaceDE w:val="0"/>
        <w:autoSpaceDN w:val="0"/>
        <w:adjustRightInd w:val="0"/>
        <w:rPr>
          <w:sz w:val="22"/>
          <w:szCs w:val="22"/>
        </w:rPr>
      </w:pPr>
    </w:p>
    <w:p w14:paraId="1E082E7A" w14:textId="77777777" w:rsidR="003E69DE" w:rsidRPr="00776407" w:rsidRDefault="00420E99" w:rsidP="00864BE6">
      <w:pPr>
        <w:pStyle w:val="Listenabsatz"/>
        <w:numPr>
          <w:ilvl w:val="0"/>
          <w:numId w:val="9"/>
        </w:numPr>
        <w:autoSpaceDE w:val="0"/>
        <w:autoSpaceDN w:val="0"/>
        <w:adjustRightInd w:val="0"/>
        <w:ind w:left="567" w:hanging="567"/>
        <w:rPr>
          <w:rFonts w:eastAsia="Calibri"/>
          <w:b/>
          <w:sz w:val="22"/>
          <w:szCs w:val="22"/>
        </w:rPr>
      </w:pPr>
      <w:r w:rsidRPr="00776407">
        <w:rPr>
          <w:rFonts w:eastAsia="Calibri"/>
          <w:b/>
          <w:sz w:val="22"/>
          <w:szCs w:val="22"/>
        </w:rPr>
        <w:t>REGISTRACIJOS PAŽYMĖJIMO NUMERIAI</w:t>
      </w:r>
    </w:p>
    <w:p w14:paraId="3AEBC14F" w14:textId="77777777" w:rsidR="003E69DE" w:rsidRPr="00776407" w:rsidRDefault="003E69DE" w:rsidP="003E69DE">
      <w:pPr>
        <w:autoSpaceDE w:val="0"/>
        <w:autoSpaceDN w:val="0"/>
        <w:adjustRightInd w:val="0"/>
        <w:rPr>
          <w:bCs/>
          <w:sz w:val="22"/>
          <w:szCs w:val="22"/>
        </w:rPr>
      </w:pPr>
    </w:p>
    <w:p w14:paraId="0163B604" w14:textId="77777777" w:rsidR="00955C83" w:rsidRPr="00776407" w:rsidRDefault="00955C83" w:rsidP="00955C83">
      <w:pPr>
        <w:autoSpaceDE w:val="0"/>
        <w:autoSpaceDN w:val="0"/>
        <w:adjustRightInd w:val="0"/>
        <w:rPr>
          <w:rFonts w:eastAsia="Calibri"/>
          <w:sz w:val="22"/>
          <w:szCs w:val="22"/>
          <w:u w:val="single"/>
        </w:rPr>
      </w:pPr>
      <w:r w:rsidRPr="00776407">
        <w:rPr>
          <w:rFonts w:eastAsia="Calibri"/>
          <w:sz w:val="22"/>
          <w:szCs w:val="22"/>
          <w:u w:val="single"/>
        </w:rPr>
        <w:t xml:space="preserve">Imatinib Actavis 50 mg </w:t>
      </w:r>
      <w:r w:rsidR="00D65422" w:rsidRPr="00776407">
        <w:rPr>
          <w:rFonts w:eastAsia="Calibri"/>
          <w:sz w:val="22"/>
          <w:szCs w:val="22"/>
          <w:u w:val="single"/>
        </w:rPr>
        <w:t>kietosios kapsulės</w:t>
      </w:r>
    </w:p>
    <w:p w14:paraId="694A6169" w14:textId="77777777" w:rsidR="002657B6" w:rsidRPr="00776407" w:rsidRDefault="002657B6" w:rsidP="002657B6">
      <w:pPr>
        <w:autoSpaceDE w:val="0"/>
        <w:autoSpaceDN w:val="0"/>
        <w:adjustRightInd w:val="0"/>
        <w:rPr>
          <w:sz w:val="22"/>
          <w:szCs w:val="22"/>
        </w:rPr>
      </w:pPr>
      <w:r w:rsidRPr="00776407">
        <w:rPr>
          <w:sz w:val="22"/>
          <w:szCs w:val="22"/>
        </w:rPr>
        <w:t>EU/1/13/825/001</w:t>
      </w:r>
    </w:p>
    <w:p w14:paraId="6587EE8E" w14:textId="77777777" w:rsidR="007E1376" w:rsidRPr="00776407" w:rsidRDefault="002657B6" w:rsidP="002657B6">
      <w:pPr>
        <w:autoSpaceDE w:val="0"/>
        <w:autoSpaceDN w:val="0"/>
        <w:adjustRightInd w:val="0"/>
      </w:pPr>
      <w:r w:rsidRPr="00776407">
        <w:rPr>
          <w:sz w:val="22"/>
          <w:szCs w:val="22"/>
        </w:rPr>
        <w:t>EU/1/13/825/002</w:t>
      </w:r>
    </w:p>
    <w:p w14:paraId="2AD7BB18" w14:textId="77777777" w:rsidR="003E69DE" w:rsidRPr="00776407" w:rsidRDefault="003E69DE" w:rsidP="003E69DE">
      <w:pPr>
        <w:autoSpaceDE w:val="0"/>
        <w:autoSpaceDN w:val="0"/>
        <w:adjustRightInd w:val="0"/>
        <w:rPr>
          <w:sz w:val="22"/>
          <w:szCs w:val="22"/>
        </w:rPr>
      </w:pPr>
    </w:p>
    <w:p w14:paraId="313144B6" w14:textId="77777777" w:rsidR="00955C83" w:rsidRPr="00776407" w:rsidRDefault="00955C83" w:rsidP="00955C83">
      <w:pPr>
        <w:autoSpaceDE w:val="0"/>
        <w:autoSpaceDN w:val="0"/>
        <w:adjustRightInd w:val="0"/>
        <w:rPr>
          <w:rFonts w:eastAsia="Calibri"/>
          <w:sz w:val="22"/>
          <w:szCs w:val="22"/>
          <w:u w:val="single"/>
        </w:rPr>
      </w:pPr>
      <w:r w:rsidRPr="00776407">
        <w:rPr>
          <w:rFonts w:eastAsia="Calibri"/>
          <w:sz w:val="22"/>
          <w:szCs w:val="22"/>
          <w:u w:val="single"/>
        </w:rPr>
        <w:t xml:space="preserve">Imatinib Actavis 100 mg </w:t>
      </w:r>
      <w:r w:rsidR="00D65422" w:rsidRPr="00776407">
        <w:rPr>
          <w:rFonts w:eastAsia="Calibri"/>
          <w:sz w:val="22"/>
          <w:szCs w:val="22"/>
          <w:u w:val="single"/>
        </w:rPr>
        <w:t>kietosios kapsulės</w:t>
      </w:r>
    </w:p>
    <w:p w14:paraId="4A25CE69" w14:textId="77777777" w:rsidR="00955C83" w:rsidRPr="00776407" w:rsidRDefault="00955C83" w:rsidP="00955C83">
      <w:pPr>
        <w:autoSpaceDE w:val="0"/>
        <w:autoSpaceDN w:val="0"/>
        <w:adjustRightInd w:val="0"/>
        <w:rPr>
          <w:rFonts w:eastAsia="Calibri"/>
          <w:sz w:val="22"/>
          <w:szCs w:val="22"/>
        </w:rPr>
      </w:pPr>
      <w:r w:rsidRPr="00776407">
        <w:rPr>
          <w:rFonts w:eastAsia="Calibri"/>
          <w:sz w:val="22"/>
          <w:szCs w:val="22"/>
        </w:rPr>
        <w:t>EU/1/13/825/003</w:t>
      </w:r>
    </w:p>
    <w:p w14:paraId="276C793F" w14:textId="77777777" w:rsidR="00955C83" w:rsidRPr="00776407" w:rsidRDefault="00955C83" w:rsidP="00955C83">
      <w:pPr>
        <w:autoSpaceDE w:val="0"/>
        <w:autoSpaceDN w:val="0"/>
        <w:adjustRightInd w:val="0"/>
        <w:rPr>
          <w:rFonts w:eastAsia="Calibri"/>
          <w:sz w:val="22"/>
          <w:szCs w:val="22"/>
        </w:rPr>
      </w:pPr>
      <w:r w:rsidRPr="00776407">
        <w:rPr>
          <w:rFonts w:eastAsia="Calibri"/>
          <w:sz w:val="22"/>
          <w:szCs w:val="22"/>
        </w:rPr>
        <w:t>EU/1/13/825/004</w:t>
      </w:r>
    </w:p>
    <w:p w14:paraId="07743D55" w14:textId="77777777" w:rsidR="00955C83" w:rsidRPr="00776407" w:rsidRDefault="00955C83" w:rsidP="00955C83">
      <w:pPr>
        <w:autoSpaceDE w:val="0"/>
        <w:autoSpaceDN w:val="0"/>
        <w:adjustRightInd w:val="0"/>
        <w:rPr>
          <w:rFonts w:eastAsia="Calibri"/>
          <w:sz w:val="22"/>
          <w:szCs w:val="22"/>
        </w:rPr>
      </w:pPr>
      <w:r w:rsidRPr="00776407">
        <w:rPr>
          <w:rFonts w:eastAsia="Calibri"/>
          <w:sz w:val="22"/>
          <w:szCs w:val="22"/>
        </w:rPr>
        <w:t>EU/1/13/825/005</w:t>
      </w:r>
    </w:p>
    <w:p w14:paraId="11619862" w14:textId="77777777" w:rsidR="00955C83" w:rsidRPr="00776407" w:rsidRDefault="00955C83" w:rsidP="00955C83">
      <w:pPr>
        <w:autoSpaceDE w:val="0"/>
        <w:autoSpaceDN w:val="0"/>
        <w:adjustRightInd w:val="0"/>
        <w:rPr>
          <w:rFonts w:eastAsia="Calibri"/>
          <w:sz w:val="22"/>
          <w:szCs w:val="22"/>
        </w:rPr>
      </w:pPr>
      <w:r w:rsidRPr="00776407">
        <w:rPr>
          <w:rFonts w:eastAsia="Calibri"/>
          <w:sz w:val="22"/>
          <w:szCs w:val="22"/>
        </w:rPr>
        <w:t>EU/1/13/825/006</w:t>
      </w:r>
    </w:p>
    <w:p w14:paraId="681FAB69" w14:textId="77777777" w:rsidR="00955C83" w:rsidRPr="00776407" w:rsidRDefault="00955C83" w:rsidP="00955C83">
      <w:pPr>
        <w:autoSpaceDE w:val="0"/>
        <w:autoSpaceDN w:val="0"/>
        <w:adjustRightInd w:val="0"/>
        <w:rPr>
          <w:rFonts w:eastAsia="Calibri"/>
          <w:sz w:val="22"/>
          <w:szCs w:val="22"/>
        </w:rPr>
      </w:pPr>
      <w:r w:rsidRPr="00776407">
        <w:rPr>
          <w:rFonts w:eastAsia="Calibri"/>
          <w:sz w:val="22"/>
          <w:szCs w:val="22"/>
        </w:rPr>
        <w:t>EU/1/13/825/007</w:t>
      </w:r>
    </w:p>
    <w:p w14:paraId="21FFC3BF" w14:textId="77777777" w:rsidR="00955C83" w:rsidRPr="00776407" w:rsidRDefault="00955C83" w:rsidP="00955C83">
      <w:pPr>
        <w:autoSpaceDE w:val="0"/>
        <w:autoSpaceDN w:val="0"/>
        <w:adjustRightInd w:val="0"/>
        <w:rPr>
          <w:rFonts w:eastAsia="Calibri"/>
          <w:sz w:val="22"/>
          <w:szCs w:val="22"/>
        </w:rPr>
      </w:pPr>
      <w:r w:rsidRPr="00776407">
        <w:rPr>
          <w:rFonts w:eastAsia="Calibri"/>
          <w:sz w:val="22"/>
          <w:szCs w:val="22"/>
        </w:rPr>
        <w:t>EU/1/13/825/019</w:t>
      </w:r>
    </w:p>
    <w:p w14:paraId="6C053FBD" w14:textId="77777777" w:rsidR="00955C83" w:rsidRPr="00776407" w:rsidRDefault="00955C83" w:rsidP="00955C83">
      <w:pPr>
        <w:autoSpaceDE w:val="0"/>
        <w:autoSpaceDN w:val="0"/>
        <w:adjustRightInd w:val="0"/>
        <w:rPr>
          <w:rFonts w:eastAsia="Calibri"/>
          <w:sz w:val="22"/>
          <w:szCs w:val="22"/>
        </w:rPr>
      </w:pPr>
    </w:p>
    <w:p w14:paraId="206B2F32" w14:textId="77777777" w:rsidR="00955C83" w:rsidRPr="00776407" w:rsidRDefault="00955C83" w:rsidP="00955C83">
      <w:pPr>
        <w:autoSpaceDE w:val="0"/>
        <w:autoSpaceDN w:val="0"/>
        <w:adjustRightInd w:val="0"/>
        <w:rPr>
          <w:rFonts w:eastAsia="Calibri"/>
          <w:sz w:val="22"/>
          <w:szCs w:val="22"/>
          <w:u w:val="single"/>
        </w:rPr>
      </w:pPr>
      <w:r w:rsidRPr="00776407">
        <w:rPr>
          <w:rFonts w:eastAsia="Calibri"/>
          <w:sz w:val="22"/>
          <w:szCs w:val="22"/>
          <w:u w:val="single"/>
        </w:rPr>
        <w:t xml:space="preserve">Imatinib Actavis 400 mg </w:t>
      </w:r>
      <w:r w:rsidR="00D65422" w:rsidRPr="00776407">
        <w:rPr>
          <w:rFonts w:eastAsia="Calibri"/>
          <w:sz w:val="22"/>
          <w:szCs w:val="22"/>
          <w:u w:val="single"/>
        </w:rPr>
        <w:t>kietosios kapsulės</w:t>
      </w:r>
    </w:p>
    <w:p w14:paraId="4AFE5C9E" w14:textId="77777777" w:rsidR="00955C83" w:rsidRPr="00776407" w:rsidRDefault="00955C83" w:rsidP="00955C83">
      <w:pPr>
        <w:autoSpaceDE w:val="0"/>
        <w:autoSpaceDN w:val="0"/>
        <w:adjustRightInd w:val="0"/>
        <w:rPr>
          <w:rFonts w:eastAsia="Calibri"/>
          <w:sz w:val="22"/>
          <w:szCs w:val="22"/>
        </w:rPr>
      </w:pPr>
      <w:r w:rsidRPr="00776407">
        <w:rPr>
          <w:rFonts w:eastAsia="Calibri"/>
          <w:sz w:val="22"/>
          <w:szCs w:val="22"/>
        </w:rPr>
        <w:t>EU/1/13/825/020</w:t>
      </w:r>
    </w:p>
    <w:p w14:paraId="1B33EFDE" w14:textId="77777777" w:rsidR="00955C83" w:rsidRPr="00776407" w:rsidRDefault="00955C83" w:rsidP="00955C83">
      <w:pPr>
        <w:autoSpaceDE w:val="0"/>
        <w:autoSpaceDN w:val="0"/>
        <w:adjustRightInd w:val="0"/>
        <w:rPr>
          <w:rFonts w:eastAsia="Calibri"/>
          <w:sz w:val="22"/>
          <w:szCs w:val="22"/>
        </w:rPr>
      </w:pPr>
      <w:r w:rsidRPr="00776407">
        <w:rPr>
          <w:rFonts w:eastAsia="Calibri"/>
          <w:sz w:val="22"/>
          <w:szCs w:val="22"/>
        </w:rPr>
        <w:t>EU/1/13/825/021</w:t>
      </w:r>
    </w:p>
    <w:p w14:paraId="3285E2A7" w14:textId="77777777" w:rsidR="00955C83" w:rsidRPr="00776407" w:rsidRDefault="00955C83" w:rsidP="00955C83">
      <w:pPr>
        <w:autoSpaceDE w:val="0"/>
        <w:autoSpaceDN w:val="0"/>
        <w:adjustRightInd w:val="0"/>
        <w:rPr>
          <w:rFonts w:eastAsia="Calibri"/>
          <w:sz w:val="22"/>
          <w:szCs w:val="22"/>
        </w:rPr>
      </w:pPr>
      <w:r w:rsidRPr="00776407">
        <w:rPr>
          <w:rFonts w:eastAsia="Calibri"/>
          <w:sz w:val="22"/>
          <w:szCs w:val="22"/>
        </w:rPr>
        <w:t>EU/1/13/825/022</w:t>
      </w:r>
    </w:p>
    <w:p w14:paraId="5554F3B0" w14:textId="77777777" w:rsidR="00955C83" w:rsidRPr="00776407" w:rsidRDefault="00955C83" w:rsidP="00955C83">
      <w:pPr>
        <w:autoSpaceDE w:val="0"/>
        <w:autoSpaceDN w:val="0"/>
        <w:adjustRightInd w:val="0"/>
        <w:rPr>
          <w:rFonts w:eastAsia="Calibri"/>
          <w:sz w:val="22"/>
          <w:szCs w:val="22"/>
        </w:rPr>
      </w:pPr>
      <w:r w:rsidRPr="00776407">
        <w:rPr>
          <w:rFonts w:eastAsia="Calibri"/>
          <w:sz w:val="22"/>
          <w:szCs w:val="22"/>
        </w:rPr>
        <w:t>EU/1/13/825/023</w:t>
      </w:r>
    </w:p>
    <w:p w14:paraId="37158AAB" w14:textId="77777777" w:rsidR="003E69DE" w:rsidRPr="00776407" w:rsidRDefault="003E69DE" w:rsidP="003E69DE">
      <w:pPr>
        <w:autoSpaceDE w:val="0"/>
        <w:autoSpaceDN w:val="0"/>
        <w:adjustRightInd w:val="0"/>
        <w:rPr>
          <w:b/>
          <w:sz w:val="22"/>
          <w:szCs w:val="22"/>
        </w:rPr>
      </w:pPr>
    </w:p>
    <w:p w14:paraId="507592E5" w14:textId="77777777" w:rsidR="00955C83" w:rsidRPr="00776407" w:rsidRDefault="00955C83" w:rsidP="003E69DE">
      <w:pPr>
        <w:autoSpaceDE w:val="0"/>
        <w:autoSpaceDN w:val="0"/>
        <w:adjustRightInd w:val="0"/>
        <w:rPr>
          <w:b/>
          <w:sz w:val="22"/>
          <w:szCs w:val="22"/>
        </w:rPr>
      </w:pPr>
    </w:p>
    <w:p w14:paraId="49912DB0" w14:textId="77777777" w:rsidR="003E69DE" w:rsidRPr="00776407" w:rsidRDefault="00420E99" w:rsidP="00864BE6">
      <w:pPr>
        <w:pStyle w:val="Listenabsatz"/>
        <w:numPr>
          <w:ilvl w:val="0"/>
          <w:numId w:val="9"/>
        </w:numPr>
        <w:autoSpaceDE w:val="0"/>
        <w:autoSpaceDN w:val="0"/>
        <w:adjustRightInd w:val="0"/>
        <w:ind w:left="567" w:hanging="567"/>
        <w:rPr>
          <w:b/>
          <w:sz w:val="22"/>
          <w:szCs w:val="22"/>
        </w:rPr>
      </w:pPr>
      <w:r w:rsidRPr="00776407">
        <w:rPr>
          <w:b/>
          <w:sz w:val="22"/>
          <w:szCs w:val="22"/>
        </w:rPr>
        <w:t xml:space="preserve">REGISTRAVIMO / PERREGISTRAVIMO </w:t>
      </w:r>
      <w:r w:rsidR="003E69DE" w:rsidRPr="00776407">
        <w:rPr>
          <w:b/>
          <w:sz w:val="22"/>
          <w:szCs w:val="22"/>
        </w:rPr>
        <w:t>DATA</w:t>
      </w:r>
    </w:p>
    <w:p w14:paraId="61929240" w14:textId="77777777" w:rsidR="003E69DE" w:rsidRPr="00776407" w:rsidRDefault="003E69DE" w:rsidP="003E69DE">
      <w:pPr>
        <w:autoSpaceDE w:val="0"/>
        <w:autoSpaceDN w:val="0"/>
        <w:adjustRightInd w:val="0"/>
        <w:rPr>
          <w:b/>
          <w:sz w:val="22"/>
          <w:szCs w:val="22"/>
        </w:rPr>
      </w:pPr>
    </w:p>
    <w:p w14:paraId="4F018EDF" w14:textId="77777777" w:rsidR="00D65422" w:rsidRPr="00776407" w:rsidRDefault="00D65422" w:rsidP="00D65422">
      <w:pPr>
        <w:autoSpaceDE w:val="0"/>
        <w:autoSpaceDN w:val="0"/>
        <w:adjustRightInd w:val="0"/>
        <w:rPr>
          <w:b/>
          <w:sz w:val="22"/>
          <w:szCs w:val="22"/>
        </w:rPr>
      </w:pPr>
      <w:r w:rsidRPr="00776407">
        <w:rPr>
          <w:sz w:val="22"/>
          <w:szCs w:val="22"/>
        </w:rPr>
        <w:t>Registracijos data 2013 m. balandžio mėn. 17 d.</w:t>
      </w:r>
    </w:p>
    <w:p w14:paraId="09D2D0E4" w14:textId="77777777" w:rsidR="00493541" w:rsidRPr="00776407" w:rsidRDefault="00493541" w:rsidP="003E69DE">
      <w:pPr>
        <w:autoSpaceDE w:val="0"/>
        <w:autoSpaceDN w:val="0"/>
        <w:adjustRightInd w:val="0"/>
        <w:rPr>
          <w:b/>
          <w:sz w:val="22"/>
          <w:szCs w:val="22"/>
        </w:rPr>
      </w:pPr>
    </w:p>
    <w:p w14:paraId="77A46010" w14:textId="77777777" w:rsidR="00955C83" w:rsidRPr="00776407" w:rsidRDefault="00955C83" w:rsidP="003E69DE">
      <w:pPr>
        <w:autoSpaceDE w:val="0"/>
        <w:autoSpaceDN w:val="0"/>
        <w:adjustRightInd w:val="0"/>
        <w:rPr>
          <w:b/>
          <w:sz w:val="22"/>
          <w:szCs w:val="22"/>
        </w:rPr>
      </w:pPr>
    </w:p>
    <w:p w14:paraId="78065094" w14:textId="77777777" w:rsidR="003E69DE" w:rsidRPr="00776407" w:rsidRDefault="003E69DE" w:rsidP="00864BE6">
      <w:pPr>
        <w:pStyle w:val="Listenabsatz"/>
        <w:numPr>
          <w:ilvl w:val="0"/>
          <w:numId w:val="9"/>
        </w:numPr>
        <w:autoSpaceDE w:val="0"/>
        <w:autoSpaceDN w:val="0"/>
        <w:adjustRightInd w:val="0"/>
        <w:ind w:left="567" w:hanging="567"/>
        <w:rPr>
          <w:b/>
          <w:sz w:val="22"/>
          <w:szCs w:val="22"/>
        </w:rPr>
      </w:pPr>
      <w:r w:rsidRPr="00776407">
        <w:rPr>
          <w:b/>
          <w:sz w:val="22"/>
          <w:szCs w:val="22"/>
        </w:rPr>
        <w:t>TEKSTO PERŽIŪROS DATA</w:t>
      </w:r>
    </w:p>
    <w:p w14:paraId="254E26E4" w14:textId="77777777" w:rsidR="003E69DE" w:rsidRPr="00776407" w:rsidRDefault="003E69DE" w:rsidP="003E69DE">
      <w:pPr>
        <w:autoSpaceDE w:val="0"/>
        <w:autoSpaceDN w:val="0"/>
        <w:adjustRightInd w:val="0"/>
        <w:rPr>
          <w:b/>
          <w:sz w:val="22"/>
          <w:szCs w:val="22"/>
        </w:rPr>
      </w:pPr>
    </w:p>
    <w:p w14:paraId="4236CCAC" w14:textId="77777777" w:rsidR="003E69DE" w:rsidRPr="00776407" w:rsidRDefault="003E69DE" w:rsidP="003E69DE">
      <w:pPr>
        <w:autoSpaceDE w:val="0"/>
        <w:autoSpaceDN w:val="0"/>
        <w:adjustRightInd w:val="0"/>
        <w:rPr>
          <w:sz w:val="22"/>
          <w:szCs w:val="22"/>
        </w:rPr>
      </w:pPr>
      <w:r w:rsidRPr="00776407">
        <w:rPr>
          <w:sz w:val="22"/>
          <w:szCs w:val="22"/>
        </w:rPr>
        <w:t xml:space="preserve">Išsami informacija apie šį vaistinį preparatą pateikiama Europos vaistų agentūros tinklalapyje </w:t>
      </w:r>
      <w:hyperlink r:id="rId13" w:history="1">
        <w:r w:rsidRPr="00776407">
          <w:rPr>
            <w:rStyle w:val="Hyperlink"/>
            <w:sz w:val="22"/>
            <w:szCs w:val="22"/>
          </w:rPr>
          <w:t>http://www.ema.europa.eu</w:t>
        </w:r>
      </w:hyperlink>
      <w:r w:rsidR="009E7E37" w:rsidRPr="00776407">
        <w:rPr>
          <w:sz w:val="22"/>
          <w:szCs w:val="22"/>
        </w:rPr>
        <w:t>.</w:t>
      </w:r>
    </w:p>
    <w:p w14:paraId="4B56C623" w14:textId="77777777" w:rsidR="002D2BD8" w:rsidRPr="00776407" w:rsidRDefault="002D2BD8" w:rsidP="002D2BD8">
      <w:pPr>
        <w:autoSpaceDE w:val="0"/>
        <w:autoSpaceDN w:val="0"/>
        <w:adjustRightInd w:val="0"/>
        <w:rPr>
          <w:rFonts w:eastAsia="Calibri"/>
          <w:sz w:val="22"/>
          <w:szCs w:val="22"/>
        </w:rPr>
      </w:pPr>
    </w:p>
    <w:p w14:paraId="5AFC1CE2" w14:textId="77777777" w:rsidR="002D2BD8" w:rsidRPr="00776407" w:rsidRDefault="002D2BD8" w:rsidP="002D2BD8">
      <w:pPr>
        <w:autoSpaceDE w:val="0"/>
        <w:autoSpaceDN w:val="0"/>
        <w:adjustRightInd w:val="0"/>
        <w:rPr>
          <w:rFonts w:eastAsia="Calibri"/>
          <w:sz w:val="22"/>
          <w:szCs w:val="22"/>
        </w:rPr>
      </w:pPr>
    </w:p>
    <w:p w14:paraId="14ECE0B9" w14:textId="77777777" w:rsidR="00430A5A" w:rsidRPr="00776407" w:rsidRDefault="002D2BD8" w:rsidP="00864BE6">
      <w:pPr>
        <w:numPr>
          <w:ilvl w:val="0"/>
          <w:numId w:val="10"/>
        </w:numPr>
        <w:spacing w:after="200" w:line="276" w:lineRule="auto"/>
        <w:ind w:left="567" w:hanging="567"/>
        <w:rPr>
          <w:b/>
          <w:bCs/>
          <w:sz w:val="22"/>
          <w:szCs w:val="22"/>
        </w:rPr>
      </w:pPr>
      <w:r w:rsidRPr="00776407">
        <w:rPr>
          <w:rFonts w:eastAsia="SimSun"/>
          <w:sz w:val="22"/>
          <w:szCs w:val="22"/>
          <w:lang w:eastAsia="zh-CN"/>
        </w:rPr>
        <w:br w:type="page"/>
      </w:r>
      <w:r w:rsidR="00430A5A" w:rsidRPr="00776407">
        <w:rPr>
          <w:b/>
          <w:bCs/>
          <w:sz w:val="22"/>
          <w:szCs w:val="22"/>
        </w:rPr>
        <w:t xml:space="preserve">VAISTINIO PREPARATO PAVADINIMAS </w:t>
      </w:r>
    </w:p>
    <w:p w14:paraId="5E75CBC8" w14:textId="77777777" w:rsidR="00430A5A" w:rsidRPr="00776407" w:rsidRDefault="00430A5A" w:rsidP="00430A5A">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Imatinib Actavis 100</w:t>
      </w:r>
      <w:r w:rsidR="008E7156" w:rsidRPr="00776407">
        <w:rPr>
          <w:rFonts w:ascii="Times New Roman" w:hAnsi="Times New Roman" w:cs="Times New Roman"/>
          <w:color w:val="auto"/>
          <w:sz w:val="22"/>
          <w:szCs w:val="22"/>
          <w:lang w:val="lt-LT"/>
        </w:rPr>
        <w:t> </w:t>
      </w:r>
      <w:r w:rsidRPr="00776407">
        <w:rPr>
          <w:rFonts w:ascii="Times New Roman" w:hAnsi="Times New Roman" w:cs="Times New Roman"/>
          <w:color w:val="auto"/>
          <w:sz w:val="22"/>
          <w:szCs w:val="22"/>
          <w:lang w:val="lt-LT"/>
        </w:rPr>
        <w:t xml:space="preserve">mg plėvele dengtos tabletės </w:t>
      </w:r>
    </w:p>
    <w:p w14:paraId="6817A8CC" w14:textId="77777777" w:rsidR="002633B5" w:rsidRPr="00776407" w:rsidRDefault="002633B5" w:rsidP="002633B5">
      <w:pPr>
        <w:autoSpaceDE w:val="0"/>
        <w:autoSpaceDN w:val="0"/>
        <w:adjustRightInd w:val="0"/>
        <w:rPr>
          <w:rFonts w:eastAsia="Calibri"/>
          <w:sz w:val="22"/>
          <w:szCs w:val="22"/>
        </w:rPr>
      </w:pPr>
      <w:r w:rsidRPr="00776407">
        <w:rPr>
          <w:rFonts w:eastAsia="Calibri"/>
          <w:sz w:val="22"/>
          <w:szCs w:val="22"/>
        </w:rPr>
        <w:t xml:space="preserve">Imatinib Actavis 400 mg </w:t>
      </w:r>
      <w:r w:rsidR="00CF0652" w:rsidRPr="00776407">
        <w:rPr>
          <w:rFonts w:eastAsia="Calibri"/>
          <w:sz w:val="22"/>
          <w:szCs w:val="22"/>
        </w:rPr>
        <w:t>plėvele dengtos tabletės</w:t>
      </w:r>
    </w:p>
    <w:p w14:paraId="6EB37E96" w14:textId="77777777" w:rsidR="00430A5A" w:rsidRPr="00776407" w:rsidRDefault="00430A5A" w:rsidP="00430A5A">
      <w:pPr>
        <w:pStyle w:val="Default"/>
        <w:rPr>
          <w:rFonts w:ascii="Times New Roman" w:hAnsi="Times New Roman" w:cs="Times New Roman"/>
          <w:color w:val="auto"/>
          <w:sz w:val="22"/>
          <w:szCs w:val="22"/>
          <w:lang w:val="lt-LT"/>
        </w:rPr>
      </w:pPr>
    </w:p>
    <w:p w14:paraId="770C3095" w14:textId="77777777" w:rsidR="00430A5A" w:rsidRPr="00776407" w:rsidRDefault="00430A5A" w:rsidP="00430A5A">
      <w:pPr>
        <w:pStyle w:val="Default"/>
        <w:rPr>
          <w:rFonts w:ascii="Times New Roman" w:hAnsi="Times New Roman" w:cs="Times New Roman"/>
          <w:color w:val="auto"/>
          <w:sz w:val="22"/>
          <w:szCs w:val="22"/>
          <w:lang w:val="lt-LT"/>
        </w:rPr>
      </w:pPr>
    </w:p>
    <w:p w14:paraId="29B0BA25" w14:textId="77777777" w:rsidR="00430A5A" w:rsidRPr="00776407" w:rsidRDefault="00430A5A" w:rsidP="00864BE6">
      <w:pPr>
        <w:pStyle w:val="Default"/>
        <w:keepNext/>
        <w:numPr>
          <w:ilvl w:val="0"/>
          <w:numId w:val="10"/>
        </w:numPr>
        <w:ind w:left="567" w:hanging="567"/>
        <w:rPr>
          <w:rFonts w:ascii="Times New Roman" w:hAnsi="Times New Roman" w:cs="Times New Roman"/>
          <w:b/>
          <w:bCs/>
          <w:color w:val="auto"/>
          <w:sz w:val="22"/>
          <w:szCs w:val="22"/>
          <w:lang w:val="lt-LT"/>
        </w:rPr>
      </w:pPr>
      <w:r w:rsidRPr="00776407">
        <w:rPr>
          <w:rFonts w:ascii="Times New Roman" w:hAnsi="Times New Roman" w:cs="Times New Roman"/>
          <w:b/>
          <w:bCs/>
          <w:color w:val="auto"/>
          <w:sz w:val="22"/>
          <w:szCs w:val="22"/>
          <w:lang w:val="lt-LT"/>
        </w:rPr>
        <w:t xml:space="preserve">KOKYBINĖ IR KIEKYBINĖ SUDĖTIS </w:t>
      </w:r>
    </w:p>
    <w:p w14:paraId="7BE1D436" w14:textId="77777777" w:rsidR="00430A5A" w:rsidRPr="00776407" w:rsidRDefault="00430A5A" w:rsidP="00430A5A">
      <w:pPr>
        <w:pStyle w:val="Default"/>
        <w:rPr>
          <w:rFonts w:ascii="Times New Roman" w:hAnsi="Times New Roman" w:cs="Times New Roman"/>
          <w:color w:val="auto"/>
          <w:sz w:val="22"/>
          <w:szCs w:val="22"/>
          <w:lang w:val="lt-LT"/>
        </w:rPr>
      </w:pPr>
    </w:p>
    <w:p w14:paraId="2197135B" w14:textId="77777777" w:rsidR="006D52A1" w:rsidRPr="00776407" w:rsidRDefault="006D52A1" w:rsidP="006D52A1">
      <w:pPr>
        <w:autoSpaceDE w:val="0"/>
        <w:autoSpaceDN w:val="0"/>
        <w:adjustRightInd w:val="0"/>
        <w:rPr>
          <w:rFonts w:eastAsia="Calibri"/>
          <w:sz w:val="22"/>
          <w:szCs w:val="22"/>
          <w:u w:val="single"/>
        </w:rPr>
      </w:pPr>
      <w:r w:rsidRPr="00776407">
        <w:rPr>
          <w:rFonts w:eastAsia="Calibri"/>
          <w:sz w:val="22"/>
          <w:szCs w:val="22"/>
          <w:u w:val="single"/>
        </w:rPr>
        <w:t xml:space="preserve">Imatinib Actavis 100 mg </w:t>
      </w:r>
      <w:r w:rsidR="00CF0652" w:rsidRPr="00776407">
        <w:rPr>
          <w:rFonts w:eastAsia="Calibri"/>
          <w:sz w:val="22"/>
          <w:szCs w:val="22"/>
          <w:u w:val="single"/>
        </w:rPr>
        <w:t>plėvele dengtos tabletės</w:t>
      </w:r>
    </w:p>
    <w:p w14:paraId="3BCE47BA" w14:textId="77777777" w:rsidR="00430A5A" w:rsidRPr="00776407" w:rsidRDefault="00430A5A" w:rsidP="00430A5A">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 xml:space="preserve">Kiekvienoje plėvele dengtoje tabletėje yra 100 mg imatinibo (mesilato pavidalu). </w:t>
      </w:r>
    </w:p>
    <w:p w14:paraId="73A270DA" w14:textId="77777777" w:rsidR="00430A5A" w:rsidRPr="00776407" w:rsidRDefault="00430A5A" w:rsidP="00430A5A">
      <w:pPr>
        <w:pStyle w:val="Default"/>
        <w:rPr>
          <w:rFonts w:ascii="Times New Roman" w:hAnsi="Times New Roman" w:cs="Times New Roman"/>
          <w:color w:val="auto"/>
          <w:sz w:val="22"/>
          <w:szCs w:val="22"/>
          <w:lang w:val="lt-LT"/>
        </w:rPr>
      </w:pPr>
    </w:p>
    <w:p w14:paraId="39D04392" w14:textId="77777777" w:rsidR="008E7156" w:rsidRPr="00776407" w:rsidRDefault="008E7156" w:rsidP="00430A5A">
      <w:pPr>
        <w:pStyle w:val="Default"/>
        <w:rPr>
          <w:rFonts w:ascii="Times New Roman" w:hAnsi="Times New Roman" w:cs="Times New Roman"/>
          <w:i/>
          <w:color w:val="auto"/>
          <w:sz w:val="22"/>
          <w:szCs w:val="22"/>
          <w:lang w:val="lt-LT"/>
        </w:rPr>
      </w:pPr>
      <w:r w:rsidRPr="00776407">
        <w:rPr>
          <w:rFonts w:ascii="Times New Roman" w:hAnsi="Times New Roman" w:cs="Times New Roman"/>
          <w:i/>
          <w:color w:val="auto"/>
          <w:sz w:val="22"/>
          <w:szCs w:val="22"/>
          <w:lang w:val="lt-LT"/>
        </w:rPr>
        <w:t>Pagalbinė medžiag</w:t>
      </w:r>
      <w:r w:rsidR="00E83B7B" w:rsidRPr="00776407">
        <w:rPr>
          <w:rFonts w:ascii="Times New Roman" w:hAnsi="Times New Roman" w:cs="Times New Roman"/>
          <w:i/>
          <w:color w:val="auto"/>
          <w:sz w:val="22"/>
          <w:szCs w:val="22"/>
          <w:lang w:val="lt-LT"/>
        </w:rPr>
        <w:t>a</w:t>
      </w:r>
      <w:r w:rsidR="00145DC4" w:rsidRPr="00776407">
        <w:rPr>
          <w:rFonts w:ascii="Times New Roman" w:hAnsi="Times New Roman" w:cs="Times New Roman"/>
          <w:i/>
          <w:color w:val="auto"/>
          <w:sz w:val="22"/>
          <w:szCs w:val="22"/>
          <w:lang w:val="lt-LT"/>
        </w:rPr>
        <w:t>, kuri</w:t>
      </w:r>
      <w:r w:rsidR="00E83B7B" w:rsidRPr="00776407">
        <w:rPr>
          <w:rFonts w:ascii="Times New Roman" w:hAnsi="Times New Roman" w:cs="Times New Roman"/>
          <w:i/>
          <w:color w:val="auto"/>
          <w:sz w:val="22"/>
          <w:szCs w:val="22"/>
          <w:lang w:val="lt-LT"/>
        </w:rPr>
        <w:t>os</w:t>
      </w:r>
      <w:r w:rsidR="00145DC4" w:rsidRPr="00776407">
        <w:rPr>
          <w:rFonts w:ascii="Times New Roman" w:hAnsi="Times New Roman" w:cs="Times New Roman"/>
          <w:i/>
          <w:color w:val="auto"/>
          <w:sz w:val="22"/>
          <w:szCs w:val="22"/>
          <w:lang w:val="lt-LT"/>
        </w:rPr>
        <w:t xml:space="preserve"> poveikis žinomas</w:t>
      </w:r>
      <w:r w:rsidRPr="00776407">
        <w:rPr>
          <w:rFonts w:ascii="Times New Roman" w:hAnsi="Times New Roman" w:cs="Times New Roman"/>
          <w:i/>
          <w:color w:val="auto"/>
          <w:sz w:val="22"/>
          <w:szCs w:val="22"/>
          <w:lang w:val="lt-LT"/>
        </w:rPr>
        <w:t>:</w:t>
      </w:r>
    </w:p>
    <w:p w14:paraId="05BD12EE" w14:textId="77777777" w:rsidR="008E7156" w:rsidRPr="00776407" w:rsidRDefault="008E7156" w:rsidP="00430A5A">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Kiekvienoje plėvele dengtoje tabletėje yra 0,19 mg lecitino (soj</w:t>
      </w:r>
      <w:r w:rsidR="00E83B7B" w:rsidRPr="00776407">
        <w:rPr>
          <w:rFonts w:ascii="Times New Roman" w:hAnsi="Times New Roman" w:cs="Times New Roman"/>
          <w:color w:val="auto"/>
          <w:sz w:val="22"/>
          <w:szCs w:val="22"/>
          <w:lang w:val="lt-LT"/>
        </w:rPr>
        <w:t>ų</w:t>
      </w:r>
      <w:r w:rsidRPr="00776407">
        <w:rPr>
          <w:rFonts w:ascii="Times New Roman" w:hAnsi="Times New Roman" w:cs="Times New Roman"/>
          <w:color w:val="auto"/>
          <w:sz w:val="22"/>
          <w:szCs w:val="22"/>
          <w:lang w:val="lt-LT"/>
        </w:rPr>
        <w:t>) (E322).</w:t>
      </w:r>
    </w:p>
    <w:p w14:paraId="418BF49A" w14:textId="77777777" w:rsidR="008E7156" w:rsidRPr="00776407" w:rsidRDefault="008E7156" w:rsidP="00430A5A">
      <w:pPr>
        <w:pStyle w:val="Default"/>
        <w:rPr>
          <w:rFonts w:ascii="Times New Roman" w:hAnsi="Times New Roman" w:cs="Times New Roman"/>
          <w:color w:val="auto"/>
          <w:sz w:val="22"/>
          <w:szCs w:val="22"/>
          <w:lang w:val="lt-LT"/>
        </w:rPr>
      </w:pPr>
    </w:p>
    <w:p w14:paraId="31337E01" w14:textId="77777777" w:rsidR="006D52A1" w:rsidRPr="00776407" w:rsidRDefault="006D52A1" w:rsidP="006D52A1">
      <w:pPr>
        <w:autoSpaceDE w:val="0"/>
        <w:autoSpaceDN w:val="0"/>
        <w:adjustRightInd w:val="0"/>
        <w:rPr>
          <w:rFonts w:eastAsia="Calibri"/>
          <w:sz w:val="22"/>
          <w:szCs w:val="22"/>
          <w:u w:val="single"/>
        </w:rPr>
      </w:pPr>
      <w:r w:rsidRPr="00776407">
        <w:rPr>
          <w:rFonts w:eastAsia="Calibri"/>
          <w:sz w:val="22"/>
          <w:szCs w:val="22"/>
          <w:u w:val="single"/>
        </w:rPr>
        <w:t xml:space="preserve">Imatinib Actavis 400 mg </w:t>
      </w:r>
      <w:r w:rsidR="00CF0652" w:rsidRPr="00776407">
        <w:rPr>
          <w:rFonts w:eastAsia="Calibri"/>
          <w:sz w:val="22"/>
          <w:szCs w:val="22"/>
          <w:u w:val="single"/>
        </w:rPr>
        <w:t>plėvele dengtos tabletės</w:t>
      </w:r>
    </w:p>
    <w:p w14:paraId="1F75BFD6" w14:textId="77777777" w:rsidR="006D52A1" w:rsidRPr="00776407" w:rsidRDefault="00CF0652" w:rsidP="006D52A1">
      <w:pPr>
        <w:autoSpaceDE w:val="0"/>
        <w:autoSpaceDN w:val="0"/>
        <w:adjustRightInd w:val="0"/>
        <w:rPr>
          <w:rFonts w:eastAsia="Calibri"/>
          <w:sz w:val="22"/>
          <w:szCs w:val="22"/>
        </w:rPr>
      </w:pPr>
      <w:r w:rsidRPr="00776407">
        <w:rPr>
          <w:rFonts w:eastAsia="Calibri"/>
          <w:sz w:val="22"/>
          <w:szCs w:val="22"/>
        </w:rPr>
        <w:t>Kiekvienoje plėvele dengtoje tabletėje yra 400 mg imatinibo (mesilato pavidalu).</w:t>
      </w:r>
    </w:p>
    <w:p w14:paraId="034D358F" w14:textId="77777777" w:rsidR="006D52A1" w:rsidRPr="00776407" w:rsidRDefault="006D52A1" w:rsidP="006D52A1">
      <w:pPr>
        <w:autoSpaceDE w:val="0"/>
        <w:autoSpaceDN w:val="0"/>
        <w:adjustRightInd w:val="0"/>
        <w:rPr>
          <w:rFonts w:eastAsia="Calibri"/>
          <w:sz w:val="22"/>
          <w:szCs w:val="22"/>
        </w:rPr>
      </w:pPr>
    </w:p>
    <w:p w14:paraId="440C66FF" w14:textId="77777777" w:rsidR="006D52A1" w:rsidRPr="00776407" w:rsidRDefault="00CF0652" w:rsidP="006D52A1">
      <w:pPr>
        <w:autoSpaceDE w:val="0"/>
        <w:autoSpaceDN w:val="0"/>
        <w:adjustRightInd w:val="0"/>
        <w:rPr>
          <w:rFonts w:eastAsia="Calibri"/>
          <w:i/>
          <w:sz w:val="22"/>
          <w:szCs w:val="22"/>
        </w:rPr>
      </w:pPr>
      <w:r w:rsidRPr="00776407">
        <w:rPr>
          <w:i/>
          <w:sz w:val="22"/>
          <w:szCs w:val="22"/>
        </w:rPr>
        <w:t>Pagalbinė medžiaga, kurios poveikis žinomas:</w:t>
      </w:r>
    </w:p>
    <w:p w14:paraId="2AD81962" w14:textId="77777777" w:rsidR="006D52A1" w:rsidRPr="00776407" w:rsidRDefault="00CF0652" w:rsidP="006D52A1">
      <w:pPr>
        <w:autoSpaceDE w:val="0"/>
        <w:autoSpaceDN w:val="0"/>
        <w:adjustRightInd w:val="0"/>
        <w:rPr>
          <w:rFonts w:eastAsia="Calibri"/>
          <w:bCs/>
          <w:sz w:val="22"/>
          <w:szCs w:val="22"/>
        </w:rPr>
      </w:pPr>
      <w:r w:rsidRPr="00776407">
        <w:rPr>
          <w:rFonts w:eastAsia="Calibri"/>
          <w:sz w:val="22"/>
          <w:szCs w:val="22"/>
        </w:rPr>
        <w:t>Kiekvienoje plėvele dengtoje tabletėje yra 0,75 mg lecitino (sojų) (E322).</w:t>
      </w:r>
    </w:p>
    <w:p w14:paraId="3F529FCA" w14:textId="77777777" w:rsidR="006D52A1" w:rsidRPr="00776407" w:rsidRDefault="006D52A1" w:rsidP="00430A5A">
      <w:pPr>
        <w:pStyle w:val="Default"/>
        <w:rPr>
          <w:rFonts w:ascii="Times New Roman" w:hAnsi="Times New Roman" w:cs="Times New Roman"/>
          <w:color w:val="auto"/>
          <w:sz w:val="22"/>
          <w:szCs w:val="22"/>
          <w:lang w:val="lt-LT"/>
        </w:rPr>
      </w:pPr>
    </w:p>
    <w:p w14:paraId="5FC8E465" w14:textId="77777777" w:rsidR="00430A5A" w:rsidRPr="00776407" w:rsidRDefault="00430A5A" w:rsidP="00430A5A">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 xml:space="preserve">Visos pagalbinės medžiagos išvardytos 6.1 skyriuje. </w:t>
      </w:r>
    </w:p>
    <w:p w14:paraId="38EED2A1" w14:textId="77777777" w:rsidR="00430A5A" w:rsidRPr="00776407" w:rsidRDefault="00430A5A" w:rsidP="00430A5A">
      <w:pPr>
        <w:pStyle w:val="Default"/>
        <w:rPr>
          <w:rFonts w:ascii="Times New Roman" w:hAnsi="Times New Roman" w:cs="Times New Roman"/>
          <w:color w:val="auto"/>
          <w:sz w:val="22"/>
          <w:szCs w:val="22"/>
          <w:lang w:val="lt-LT"/>
        </w:rPr>
      </w:pPr>
    </w:p>
    <w:p w14:paraId="3D133F75" w14:textId="77777777" w:rsidR="008E7156" w:rsidRPr="00776407" w:rsidRDefault="008E7156" w:rsidP="00430A5A">
      <w:pPr>
        <w:pStyle w:val="Default"/>
        <w:rPr>
          <w:rFonts w:ascii="Times New Roman" w:hAnsi="Times New Roman" w:cs="Times New Roman"/>
          <w:color w:val="auto"/>
          <w:sz w:val="22"/>
          <w:szCs w:val="22"/>
          <w:lang w:val="lt-LT"/>
        </w:rPr>
      </w:pPr>
    </w:p>
    <w:p w14:paraId="26764498" w14:textId="77777777" w:rsidR="00430A5A" w:rsidRPr="00776407" w:rsidRDefault="00430A5A" w:rsidP="00864BE6">
      <w:pPr>
        <w:pStyle w:val="Default"/>
        <w:keepNext/>
        <w:numPr>
          <w:ilvl w:val="0"/>
          <w:numId w:val="10"/>
        </w:numPr>
        <w:ind w:left="567" w:hanging="567"/>
        <w:rPr>
          <w:rFonts w:ascii="Times New Roman" w:hAnsi="Times New Roman" w:cs="Times New Roman"/>
          <w:b/>
          <w:color w:val="auto"/>
          <w:sz w:val="22"/>
          <w:szCs w:val="22"/>
          <w:lang w:val="lt-LT"/>
        </w:rPr>
      </w:pPr>
      <w:r w:rsidRPr="00776407">
        <w:rPr>
          <w:rFonts w:ascii="Times New Roman" w:hAnsi="Times New Roman" w:cs="Times New Roman"/>
          <w:b/>
          <w:bCs/>
          <w:color w:val="auto"/>
          <w:sz w:val="22"/>
          <w:szCs w:val="22"/>
          <w:lang w:val="lt-LT"/>
        </w:rPr>
        <w:t xml:space="preserve">FARMACINĖ FORMA </w:t>
      </w:r>
    </w:p>
    <w:p w14:paraId="223253F0" w14:textId="77777777" w:rsidR="00430A5A" w:rsidRPr="00776407" w:rsidRDefault="00430A5A" w:rsidP="00430A5A">
      <w:pPr>
        <w:pStyle w:val="Default"/>
        <w:rPr>
          <w:rFonts w:ascii="Times New Roman" w:hAnsi="Times New Roman" w:cs="Times New Roman"/>
          <w:color w:val="auto"/>
          <w:sz w:val="22"/>
          <w:szCs w:val="22"/>
          <w:lang w:val="lt-LT"/>
        </w:rPr>
      </w:pPr>
    </w:p>
    <w:p w14:paraId="7FCAD40F" w14:textId="77777777" w:rsidR="00430A5A" w:rsidRPr="00776407" w:rsidRDefault="008E7156" w:rsidP="00430A5A">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Plėvele dengt</w:t>
      </w:r>
      <w:r w:rsidR="006C135D" w:rsidRPr="00776407">
        <w:rPr>
          <w:rFonts w:ascii="Times New Roman" w:hAnsi="Times New Roman" w:cs="Times New Roman"/>
          <w:color w:val="auto"/>
          <w:sz w:val="22"/>
          <w:szCs w:val="22"/>
          <w:lang w:val="lt-LT"/>
        </w:rPr>
        <w:t>a</w:t>
      </w:r>
      <w:r w:rsidRPr="00776407">
        <w:rPr>
          <w:rFonts w:ascii="Times New Roman" w:hAnsi="Times New Roman" w:cs="Times New Roman"/>
          <w:color w:val="auto"/>
          <w:sz w:val="22"/>
          <w:szCs w:val="22"/>
          <w:lang w:val="lt-LT"/>
        </w:rPr>
        <w:t xml:space="preserve"> tabletė</w:t>
      </w:r>
      <w:r w:rsidR="005B019C" w:rsidRPr="00776407">
        <w:rPr>
          <w:rFonts w:ascii="Times New Roman" w:hAnsi="Times New Roman" w:cs="Times New Roman"/>
          <w:color w:val="auto"/>
          <w:sz w:val="22"/>
          <w:szCs w:val="22"/>
          <w:lang w:val="lt-LT"/>
        </w:rPr>
        <w:t xml:space="preserve"> (tabletė)</w:t>
      </w:r>
      <w:r w:rsidR="006C135D" w:rsidRPr="00776407">
        <w:rPr>
          <w:rFonts w:ascii="Times New Roman" w:hAnsi="Times New Roman" w:cs="Times New Roman"/>
          <w:color w:val="auto"/>
          <w:sz w:val="22"/>
          <w:szCs w:val="22"/>
          <w:lang w:val="lt-LT"/>
        </w:rPr>
        <w:t>.</w:t>
      </w:r>
      <w:r w:rsidRPr="00776407">
        <w:rPr>
          <w:rFonts w:ascii="Times New Roman" w:hAnsi="Times New Roman" w:cs="Times New Roman"/>
          <w:color w:val="auto"/>
          <w:sz w:val="22"/>
          <w:szCs w:val="22"/>
          <w:lang w:val="lt-LT"/>
        </w:rPr>
        <w:t xml:space="preserve"> </w:t>
      </w:r>
    </w:p>
    <w:p w14:paraId="2336344B" w14:textId="77777777" w:rsidR="008E7156" w:rsidRPr="00776407" w:rsidRDefault="008E7156" w:rsidP="00430A5A">
      <w:pPr>
        <w:pStyle w:val="Default"/>
        <w:rPr>
          <w:rFonts w:ascii="Times New Roman" w:hAnsi="Times New Roman" w:cs="Times New Roman"/>
          <w:color w:val="auto"/>
          <w:sz w:val="22"/>
          <w:szCs w:val="22"/>
          <w:lang w:val="lt-LT"/>
        </w:rPr>
      </w:pPr>
    </w:p>
    <w:p w14:paraId="7180EA00" w14:textId="77777777" w:rsidR="006D52A1" w:rsidRPr="00776407" w:rsidRDefault="006D52A1" w:rsidP="006D52A1">
      <w:pPr>
        <w:autoSpaceDE w:val="0"/>
        <w:autoSpaceDN w:val="0"/>
        <w:adjustRightInd w:val="0"/>
        <w:rPr>
          <w:rFonts w:eastAsia="Calibri"/>
          <w:sz w:val="22"/>
          <w:szCs w:val="22"/>
          <w:u w:val="single"/>
        </w:rPr>
      </w:pPr>
      <w:r w:rsidRPr="00776407">
        <w:rPr>
          <w:rFonts w:eastAsia="Calibri"/>
          <w:sz w:val="22"/>
          <w:szCs w:val="22"/>
          <w:u w:val="single"/>
        </w:rPr>
        <w:t xml:space="preserve">Imatinib Actavis 100 mg </w:t>
      </w:r>
      <w:r w:rsidR="00CF0652" w:rsidRPr="00776407">
        <w:rPr>
          <w:rFonts w:eastAsia="Calibri"/>
          <w:sz w:val="22"/>
          <w:szCs w:val="22"/>
          <w:u w:val="single"/>
        </w:rPr>
        <w:t>plėvele dengtos tabletės</w:t>
      </w:r>
    </w:p>
    <w:p w14:paraId="799DEA26" w14:textId="77777777" w:rsidR="00E057AA" w:rsidRPr="00776407" w:rsidRDefault="00E057AA" w:rsidP="00430A5A">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 xml:space="preserve">Apvali, 9,3 mm diametro abipusiai išgaubta tamsiai </w:t>
      </w:r>
      <w:r w:rsidR="008E7156" w:rsidRPr="00776407">
        <w:rPr>
          <w:rFonts w:ascii="Times New Roman" w:hAnsi="Times New Roman" w:cs="Times New Roman"/>
          <w:color w:val="auto"/>
          <w:sz w:val="22"/>
          <w:szCs w:val="22"/>
          <w:lang w:val="lt-LT"/>
        </w:rPr>
        <w:t xml:space="preserve">geltonai </w:t>
      </w:r>
      <w:r w:rsidRPr="00776407">
        <w:rPr>
          <w:rFonts w:ascii="Times New Roman" w:hAnsi="Times New Roman" w:cs="Times New Roman"/>
          <w:color w:val="auto"/>
          <w:sz w:val="22"/>
          <w:szCs w:val="22"/>
          <w:lang w:val="lt-LT"/>
        </w:rPr>
        <w:t>rusvos spalvos plėvele dengta tabletė, ant vienos pusės įspaustas kompanijos logo, ant kitos pusės ženklas “36” ir vagelė.</w:t>
      </w:r>
    </w:p>
    <w:p w14:paraId="3A2CA03A" w14:textId="77777777" w:rsidR="00E057AA" w:rsidRPr="00776407" w:rsidRDefault="00E057AA" w:rsidP="00430A5A">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 xml:space="preserve">Tabletę galima padalyti į dvi </w:t>
      </w:r>
      <w:r w:rsidR="008E7156" w:rsidRPr="00776407">
        <w:rPr>
          <w:rFonts w:ascii="Times New Roman" w:hAnsi="Times New Roman" w:cs="Times New Roman"/>
          <w:color w:val="auto"/>
          <w:sz w:val="22"/>
          <w:szCs w:val="22"/>
          <w:lang w:val="lt-LT"/>
        </w:rPr>
        <w:t>lygias</w:t>
      </w:r>
      <w:r w:rsidRPr="00776407">
        <w:rPr>
          <w:rFonts w:ascii="Times New Roman" w:hAnsi="Times New Roman" w:cs="Times New Roman"/>
          <w:color w:val="auto"/>
          <w:sz w:val="22"/>
          <w:szCs w:val="22"/>
          <w:lang w:val="lt-LT"/>
        </w:rPr>
        <w:t xml:space="preserve"> dozes.</w:t>
      </w:r>
    </w:p>
    <w:p w14:paraId="5D0BA49D" w14:textId="77777777" w:rsidR="00E057AA" w:rsidRPr="00776407" w:rsidRDefault="00E057AA" w:rsidP="00430A5A">
      <w:pPr>
        <w:pStyle w:val="Default"/>
        <w:rPr>
          <w:rFonts w:ascii="Times New Roman" w:hAnsi="Times New Roman" w:cs="Times New Roman"/>
          <w:color w:val="auto"/>
          <w:sz w:val="22"/>
          <w:szCs w:val="22"/>
          <w:lang w:val="lt-LT"/>
        </w:rPr>
      </w:pPr>
    </w:p>
    <w:p w14:paraId="22B7092F" w14:textId="77777777" w:rsidR="006D52A1" w:rsidRPr="00776407" w:rsidRDefault="006D52A1" w:rsidP="006D52A1">
      <w:pPr>
        <w:autoSpaceDE w:val="0"/>
        <w:autoSpaceDN w:val="0"/>
        <w:adjustRightInd w:val="0"/>
        <w:rPr>
          <w:rFonts w:eastAsia="Calibri"/>
          <w:sz w:val="22"/>
          <w:szCs w:val="22"/>
          <w:u w:val="single"/>
        </w:rPr>
      </w:pPr>
      <w:r w:rsidRPr="00776407">
        <w:rPr>
          <w:rFonts w:eastAsia="Calibri"/>
          <w:sz w:val="22"/>
          <w:szCs w:val="22"/>
          <w:u w:val="single"/>
        </w:rPr>
        <w:t xml:space="preserve">Imatinib Actavis 400 mg </w:t>
      </w:r>
      <w:r w:rsidR="00CF0652" w:rsidRPr="00776407">
        <w:rPr>
          <w:rFonts w:eastAsia="Calibri"/>
          <w:sz w:val="22"/>
          <w:szCs w:val="22"/>
          <w:u w:val="single"/>
        </w:rPr>
        <w:t>plėvele dengtos tabletės</w:t>
      </w:r>
    </w:p>
    <w:p w14:paraId="62E803FF" w14:textId="77777777" w:rsidR="00CF0652" w:rsidRPr="00776407" w:rsidRDefault="008544A3" w:rsidP="00CF0652">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Ovalo formos</w:t>
      </w:r>
      <w:r w:rsidR="00CF0652" w:rsidRPr="00776407">
        <w:rPr>
          <w:rFonts w:ascii="Times New Roman" w:hAnsi="Times New Roman" w:cs="Times New Roman"/>
          <w:color w:val="auto"/>
          <w:sz w:val="22"/>
          <w:szCs w:val="22"/>
          <w:lang w:val="lt-LT"/>
        </w:rPr>
        <w:t>, 18,6 x 6,6 mm diametro abipusiai išgaubta tamsiai geltonai rusvos spalvos plėvele dengta tabletė, ant vienos pusės įspaustas kompanijos logo, ant kitos pusės ženklas “37” ir vagelė.</w:t>
      </w:r>
    </w:p>
    <w:p w14:paraId="79EE491E" w14:textId="77777777" w:rsidR="008E7156" w:rsidRPr="00776407" w:rsidRDefault="00CF0652" w:rsidP="00CF0652">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Vagelė nėra skirta tabletei padalyti į dvi lygias dozes.</w:t>
      </w:r>
    </w:p>
    <w:p w14:paraId="4577EAED" w14:textId="77777777" w:rsidR="00CF0652" w:rsidRPr="00776407" w:rsidRDefault="00CF0652" w:rsidP="00CF0652">
      <w:pPr>
        <w:pStyle w:val="Default"/>
        <w:rPr>
          <w:rFonts w:ascii="Times New Roman" w:hAnsi="Times New Roman" w:cs="Times New Roman"/>
          <w:color w:val="auto"/>
          <w:sz w:val="22"/>
          <w:szCs w:val="22"/>
          <w:lang w:val="lt-LT"/>
        </w:rPr>
      </w:pPr>
    </w:p>
    <w:p w14:paraId="247C56A6" w14:textId="77777777" w:rsidR="006D52A1" w:rsidRPr="00776407" w:rsidRDefault="006D52A1" w:rsidP="00E057AA">
      <w:pPr>
        <w:pStyle w:val="Default"/>
        <w:rPr>
          <w:rFonts w:ascii="Times New Roman" w:hAnsi="Times New Roman" w:cs="Times New Roman"/>
          <w:color w:val="auto"/>
          <w:sz w:val="22"/>
          <w:szCs w:val="22"/>
          <w:lang w:val="lt-LT"/>
        </w:rPr>
      </w:pPr>
    </w:p>
    <w:p w14:paraId="5114DBE5" w14:textId="77777777" w:rsidR="00430A5A" w:rsidRPr="00776407" w:rsidRDefault="00430A5A" w:rsidP="00864BE6">
      <w:pPr>
        <w:pStyle w:val="Default"/>
        <w:keepNext/>
        <w:numPr>
          <w:ilvl w:val="0"/>
          <w:numId w:val="10"/>
        </w:numPr>
        <w:ind w:left="567" w:hanging="567"/>
        <w:rPr>
          <w:rFonts w:ascii="Times New Roman" w:hAnsi="Times New Roman" w:cs="Times New Roman"/>
          <w:b/>
          <w:color w:val="auto"/>
          <w:sz w:val="22"/>
          <w:szCs w:val="22"/>
          <w:lang w:val="lt-LT"/>
        </w:rPr>
      </w:pPr>
      <w:r w:rsidRPr="00776407">
        <w:rPr>
          <w:rFonts w:ascii="Times New Roman" w:hAnsi="Times New Roman" w:cs="Times New Roman"/>
          <w:b/>
          <w:bCs/>
          <w:color w:val="auto"/>
          <w:sz w:val="22"/>
          <w:szCs w:val="22"/>
          <w:lang w:val="lt-LT"/>
        </w:rPr>
        <w:t xml:space="preserve">KLINIKINĖ INFORMACIJA </w:t>
      </w:r>
    </w:p>
    <w:p w14:paraId="2844C5DF" w14:textId="77777777" w:rsidR="00430A5A" w:rsidRPr="00776407" w:rsidRDefault="00430A5A" w:rsidP="00430A5A">
      <w:pPr>
        <w:pStyle w:val="Default"/>
        <w:keepNext/>
        <w:rPr>
          <w:rFonts w:ascii="Times New Roman" w:hAnsi="Times New Roman" w:cs="Times New Roman"/>
          <w:b/>
          <w:color w:val="auto"/>
          <w:sz w:val="22"/>
          <w:szCs w:val="22"/>
          <w:lang w:val="lt-LT"/>
        </w:rPr>
      </w:pPr>
    </w:p>
    <w:p w14:paraId="7167C224" w14:textId="77777777" w:rsidR="00430A5A" w:rsidRPr="00776407" w:rsidRDefault="00430A5A" w:rsidP="00864BE6">
      <w:pPr>
        <w:pStyle w:val="Default"/>
        <w:keepNext/>
        <w:numPr>
          <w:ilvl w:val="1"/>
          <w:numId w:val="2"/>
        </w:numPr>
        <w:ind w:left="709" w:hanging="709"/>
        <w:rPr>
          <w:rFonts w:ascii="Times New Roman" w:hAnsi="Times New Roman" w:cs="Times New Roman"/>
          <w:b/>
          <w:bCs/>
          <w:color w:val="auto"/>
          <w:sz w:val="22"/>
          <w:szCs w:val="22"/>
          <w:lang w:val="lt-LT"/>
        </w:rPr>
      </w:pPr>
      <w:r w:rsidRPr="00776407">
        <w:rPr>
          <w:rFonts w:ascii="Times New Roman" w:hAnsi="Times New Roman" w:cs="Times New Roman"/>
          <w:b/>
          <w:bCs/>
          <w:color w:val="auto"/>
          <w:sz w:val="22"/>
          <w:szCs w:val="22"/>
          <w:lang w:val="lt-LT"/>
        </w:rPr>
        <w:t xml:space="preserve">Terapinės indikacijos </w:t>
      </w:r>
    </w:p>
    <w:p w14:paraId="348FDFE2" w14:textId="77777777" w:rsidR="00430A5A" w:rsidRPr="00776407" w:rsidRDefault="00430A5A" w:rsidP="00430A5A">
      <w:pPr>
        <w:pStyle w:val="Default"/>
        <w:rPr>
          <w:rFonts w:ascii="Times New Roman" w:hAnsi="Times New Roman" w:cs="Times New Roman"/>
          <w:color w:val="auto"/>
          <w:sz w:val="22"/>
          <w:szCs w:val="22"/>
          <w:lang w:val="lt-LT"/>
        </w:rPr>
      </w:pPr>
    </w:p>
    <w:p w14:paraId="0E8C9DDF" w14:textId="77777777" w:rsidR="00430A5A" w:rsidRPr="00776407" w:rsidRDefault="00430A5A" w:rsidP="00430A5A">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 xml:space="preserve">Imatinib Actavis skiriama gydyti </w:t>
      </w:r>
    </w:p>
    <w:p w14:paraId="43913367" w14:textId="77777777" w:rsidR="00430A5A" w:rsidRPr="00776407" w:rsidRDefault="003B62A3" w:rsidP="00864BE6">
      <w:pPr>
        <w:pStyle w:val="Default"/>
        <w:numPr>
          <w:ilvl w:val="0"/>
          <w:numId w:val="1"/>
        </w:numPr>
        <w:ind w:left="567" w:hanging="567"/>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vaikus</w:t>
      </w:r>
      <w:r w:rsidR="00430A5A" w:rsidRPr="00776407">
        <w:rPr>
          <w:rFonts w:ascii="Times New Roman" w:hAnsi="Times New Roman" w:cs="Times New Roman"/>
          <w:color w:val="auto"/>
          <w:sz w:val="22"/>
          <w:szCs w:val="22"/>
          <w:lang w:val="lt-LT"/>
        </w:rPr>
        <w:t xml:space="preserve">, kuriems naujai diagnozuota </w:t>
      </w:r>
      <w:r w:rsidR="00430A5A" w:rsidRPr="00776407">
        <w:rPr>
          <w:rFonts w:ascii="Times New Roman" w:hAnsi="Times New Roman" w:cs="Times New Roman"/>
          <w:i/>
          <w:iCs/>
          <w:color w:val="auto"/>
          <w:sz w:val="22"/>
          <w:szCs w:val="22"/>
          <w:lang w:val="lt-LT"/>
        </w:rPr>
        <w:t xml:space="preserve">Philadelphia </w:t>
      </w:r>
      <w:r w:rsidR="00430A5A" w:rsidRPr="00776407">
        <w:rPr>
          <w:rFonts w:ascii="Times New Roman" w:hAnsi="Times New Roman" w:cs="Times New Roman"/>
          <w:color w:val="auto"/>
          <w:sz w:val="22"/>
          <w:szCs w:val="22"/>
          <w:lang w:val="lt-LT"/>
        </w:rPr>
        <w:t xml:space="preserve">chromosomai (bcr-abl) teigiama (Ph+) lėtinė mieloleukemija (LML) ir kuriems kaulų čiulpų transplantacija nėra pirmiausiai pasirenkamas gydymas. </w:t>
      </w:r>
    </w:p>
    <w:p w14:paraId="346DC385" w14:textId="77777777" w:rsidR="00430A5A" w:rsidRPr="00776407" w:rsidRDefault="003B62A3" w:rsidP="00864BE6">
      <w:pPr>
        <w:pStyle w:val="Default"/>
        <w:numPr>
          <w:ilvl w:val="0"/>
          <w:numId w:val="1"/>
        </w:numPr>
        <w:ind w:left="567" w:hanging="567"/>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vaikus</w:t>
      </w:r>
      <w:r w:rsidR="00430A5A" w:rsidRPr="00776407">
        <w:rPr>
          <w:rFonts w:ascii="Times New Roman" w:hAnsi="Times New Roman" w:cs="Times New Roman"/>
          <w:color w:val="auto"/>
          <w:sz w:val="22"/>
          <w:szCs w:val="22"/>
          <w:lang w:val="lt-LT"/>
        </w:rPr>
        <w:t>, kuriems yra Ph+</w:t>
      </w:r>
      <w:r w:rsidR="00FE3866" w:rsidRPr="00776407">
        <w:rPr>
          <w:rFonts w:ascii="Times New Roman" w:hAnsi="Times New Roman" w:cs="Times New Roman"/>
          <w:color w:val="auto"/>
          <w:sz w:val="22"/>
          <w:szCs w:val="22"/>
          <w:lang w:val="lt-LT"/>
        </w:rPr>
        <w:t xml:space="preserve"> </w:t>
      </w:r>
      <w:r w:rsidR="00430A5A" w:rsidRPr="00776407">
        <w:rPr>
          <w:rFonts w:ascii="Times New Roman" w:hAnsi="Times New Roman" w:cs="Times New Roman"/>
          <w:color w:val="auto"/>
          <w:sz w:val="22"/>
          <w:szCs w:val="22"/>
          <w:lang w:val="lt-LT"/>
        </w:rPr>
        <w:t xml:space="preserve">LML lėtinė fazė po neefektyvaus gydymo interferonu alfa arba akceleracijos fazė, ar blastinė krizė. </w:t>
      </w:r>
    </w:p>
    <w:p w14:paraId="71F29BA2" w14:textId="77777777" w:rsidR="00430A5A" w:rsidRPr="00776407" w:rsidRDefault="003B62A3" w:rsidP="00864BE6">
      <w:pPr>
        <w:pStyle w:val="Default"/>
        <w:numPr>
          <w:ilvl w:val="0"/>
          <w:numId w:val="1"/>
        </w:numPr>
        <w:ind w:left="567" w:hanging="567"/>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suaugusiųjų Ph+</w:t>
      </w:r>
      <w:r w:rsidR="00FE3866" w:rsidRPr="00776407">
        <w:rPr>
          <w:rFonts w:ascii="Times New Roman" w:hAnsi="Times New Roman" w:cs="Times New Roman"/>
          <w:color w:val="auto"/>
          <w:sz w:val="22"/>
          <w:szCs w:val="22"/>
          <w:lang w:val="lt-LT"/>
        </w:rPr>
        <w:t xml:space="preserve"> </w:t>
      </w:r>
      <w:r w:rsidRPr="00776407">
        <w:rPr>
          <w:rFonts w:ascii="Times New Roman" w:hAnsi="Times New Roman" w:cs="Times New Roman"/>
          <w:color w:val="auto"/>
          <w:sz w:val="22"/>
          <w:szCs w:val="22"/>
          <w:lang w:val="lt-LT"/>
        </w:rPr>
        <w:t>LML, kai yra blastinė krizė.</w:t>
      </w:r>
    </w:p>
    <w:p w14:paraId="03497949" w14:textId="77777777" w:rsidR="006A530F" w:rsidRPr="00776407" w:rsidRDefault="006A530F" w:rsidP="00864BE6">
      <w:pPr>
        <w:numPr>
          <w:ilvl w:val="0"/>
          <w:numId w:val="1"/>
        </w:numPr>
        <w:autoSpaceDE w:val="0"/>
        <w:autoSpaceDN w:val="0"/>
        <w:adjustRightInd w:val="0"/>
        <w:spacing w:after="35"/>
        <w:ind w:left="567" w:hanging="567"/>
        <w:rPr>
          <w:rFonts w:eastAsia="Calibri"/>
          <w:color w:val="000000"/>
          <w:sz w:val="22"/>
          <w:szCs w:val="22"/>
        </w:rPr>
      </w:pPr>
      <w:r w:rsidRPr="00776407">
        <w:rPr>
          <w:rFonts w:eastAsia="Calibri"/>
          <w:color w:val="000000"/>
          <w:sz w:val="22"/>
          <w:szCs w:val="22"/>
        </w:rPr>
        <w:t xml:space="preserve">suaugusiųjų </w:t>
      </w:r>
      <w:r w:rsidR="002E6D97" w:rsidRPr="00776407">
        <w:rPr>
          <w:rFonts w:eastAsia="Calibri"/>
          <w:color w:val="000000"/>
          <w:sz w:val="22"/>
          <w:szCs w:val="22"/>
        </w:rPr>
        <w:t xml:space="preserve">ir vaikų </w:t>
      </w:r>
      <w:r w:rsidRPr="00776407">
        <w:rPr>
          <w:rFonts w:eastAsia="Calibri"/>
          <w:color w:val="000000"/>
          <w:sz w:val="22"/>
          <w:szCs w:val="22"/>
        </w:rPr>
        <w:t xml:space="preserve">naujai diagnozuotos </w:t>
      </w:r>
      <w:r w:rsidRPr="00776407">
        <w:rPr>
          <w:rFonts w:eastAsia="Calibri"/>
          <w:i/>
          <w:iCs/>
          <w:color w:val="000000"/>
          <w:sz w:val="22"/>
          <w:szCs w:val="22"/>
        </w:rPr>
        <w:t xml:space="preserve">Philadelphia </w:t>
      </w:r>
      <w:r w:rsidRPr="00776407">
        <w:rPr>
          <w:rFonts w:eastAsia="Calibri"/>
          <w:color w:val="000000"/>
          <w:sz w:val="22"/>
          <w:szCs w:val="22"/>
        </w:rPr>
        <w:t xml:space="preserve">chromosomai teigiamos ūminės limfoleukemijos (Ph+ ŪLL) gydymui kartu su chemoterapija. </w:t>
      </w:r>
    </w:p>
    <w:p w14:paraId="34BE9A7F" w14:textId="77777777" w:rsidR="006A530F" w:rsidRPr="00776407" w:rsidRDefault="006A530F" w:rsidP="00864BE6">
      <w:pPr>
        <w:numPr>
          <w:ilvl w:val="0"/>
          <w:numId w:val="1"/>
        </w:numPr>
        <w:autoSpaceDE w:val="0"/>
        <w:autoSpaceDN w:val="0"/>
        <w:adjustRightInd w:val="0"/>
        <w:spacing w:after="35"/>
        <w:ind w:left="567" w:hanging="567"/>
        <w:rPr>
          <w:rFonts w:eastAsia="Calibri"/>
          <w:color w:val="000000"/>
          <w:sz w:val="22"/>
          <w:szCs w:val="22"/>
        </w:rPr>
      </w:pPr>
      <w:r w:rsidRPr="00776407">
        <w:rPr>
          <w:rFonts w:eastAsia="Calibri"/>
          <w:color w:val="000000"/>
          <w:sz w:val="22"/>
          <w:szCs w:val="22"/>
        </w:rPr>
        <w:t>suaugusiųjų recidyvavusios ar refrakterinės Ph+</w:t>
      </w:r>
      <w:r w:rsidR="00FE3866" w:rsidRPr="00776407">
        <w:rPr>
          <w:rFonts w:eastAsia="Calibri"/>
          <w:color w:val="000000"/>
          <w:sz w:val="22"/>
          <w:szCs w:val="22"/>
        </w:rPr>
        <w:t xml:space="preserve"> </w:t>
      </w:r>
      <w:r w:rsidRPr="00776407">
        <w:rPr>
          <w:rFonts w:eastAsia="Calibri"/>
          <w:color w:val="000000"/>
          <w:sz w:val="22"/>
          <w:szCs w:val="22"/>
        </w:rPr>
        <w:t xml:space="preserve">ŪLL monoterapijai. </w:t>
      </w:r>
    </w:p>
    <w:p w14:paraId="0F39BDBA" w14:textId="77777777" w:rsidR="006A530F" w:rsidRPr="00776407" w:rsidRDefault="006A530F" w:rsidP="00864BE6">
      <w:pPr>
        <w:numPr>
          <w:ilvl w:val="0"/>
          <w:numId w:val="1"/>
        </w:numPr>
        <w:autoSpaceDE w:val="0"/>
        <w:autoSpaceDN w:val="0"/>
        <w:adjustRightInd w:val="0"/>
        <w:spacing w:after="35"/>
        <w:ind w:left="567" w:hanging="567"/>
        <w:rPr>
          <w:rFonts w:eastAsia="Calibri"/>
          <w:color w:val="000000"/>
          <w:sz w:val="22"/>
          <w:szCs w:val="22"/>
        </w:rPr>
      </w:pPr>
      <w:r w:rsidRPr="00776407">
        <w:rPr>
          <w:rFonts w:eastAsia="Calibri"/>
          <w:color w:val="000000"/>
          <w:sz w:val="22"/>
          <w:szCs w:val="22"/>
        </w:rPr>
        <w:t>suaugusiųjų mielodisplazines ar mieloproliferacines ligas (MDS/MPL), susijusias su trombocitų kilmės augimo faktoriaus receptoriaus (</w:t>
      </w:r>
      <w:r w:rsidRPr="00776407">
        <w:rPr>
          <w:rFonts w:eastAsia="Calibri"/>
          <w:i/>
          <w:iCs/>
          <w:color w:val="000000"/>
          <w:sz w:val="22"/>
          <w:szCs w:val="22"/>
        </w:rPr>
        <w:t>platelet-derived growth factor receptor</w:t>
      </w:r>
      <w:r w:rsidRPr="00776407">
        <w:rPr>
          <w:rFonts w:eastAsia="Calibri"/>
          <w:color w:val="000000"/>
          <w:sz w:val="22"/>
          <w:szCs w:val="22"/>
        </w:rPr>
        <w:t xml:space="preserve">, PDGFR) genų pakitimais. </w:t>
      </w:r>
    </w:p>
    <w:p w14:paraId="35304CE8" w14:textId="77777777" w:rsidR="006A530F" w:rsidRPr="00776407" w:rsidRDefault="006A530F" w:rsidP="00864BE6">
      <w:pPr>
        <w:numPr>
          <w:ilvl w:val="0"/>
          <w:numId w:val="1"/>
        </w:numPr>
        <w:autoSpaceDE w:val="0"/>
        <w:autoSpaceDN w:val="0"/>
        <w:adjustRightInd w:val="0"/>
        <w:ind w:left="567" w:hanging="567"/>
        <w:rPr>
          <w:sz w:val="22"/>
          <w:szCs w:val="22"/>
        </w:rPr>
      </w:pPr>
      <w:r w:rsidRPr="00776407">
        <w:rPr>
          <w:rFonts w:eastAsia="Calibri"/>
          <w:color w:val="000000"/>
          <w:sz w:val="22"/>
          <w:szCs w:val="22"/>
        </w:rPr>
        <w:t>suaugusiųjų progresavusį hipereozinofilijos sindromą (HES) ar (arba) lėtinę eozinofilinę leukemiją (LEL) su FIP1L1-PDGFR</w:t>
      </w:r>
      <w:r w:rsidRPr="00776407">
        <w:t>α</w:t>
      </w:r>
      <w:r w:rsidRPr="00776407">
        <w:rPr>
          <w:rFonts w:eastAsia="Calibri"/>
          <w:color w:val="000000"/>
          <w:sz w:val="22"/>
          <w:szCs w:val="22"/>
        </w:rPr>
        <w:t xml:space="preserve"> pokyčiu. </w:t>
      </w:r>
    </w:p>
    <w:p w14:paraId="19032CF0" w14:textId="77777777" w:rsidR="00430A5A" w:rsidRPr="00776407" w:rsidRDefault="00430A5A" w:rsidP="00430A5A">
      <w:pPr>
        <w:pStyle w:val="Default"/>
        <w:rPr>
          <w:rFonts w:ascii="Times New Roman" w:hAnsi="Times New Roman" w:cs="Times New Roman"/>
          <w:color w:val="auto"/>
          <w:sz w:val="22"/>
          <w:szCs w:val="22"/>
          <w:lang w:val="lt-LT"/>
        </w:rPr>
      </w:pPr>
    </w:p>
    <w:p w14:paraId="29DF9FB2" w14:textId="77777777" w:rsidR="00430A5A" w:rsidRPr="00776407" w:rsidRDefault="00430A5A" w:rsidP="00430A5A">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Imatinib</w:t>
      </w:r>
      <w:r w:rsidR="00E057AA" w:rsidRPr="00776407">
        <w:rPr>
          <w:rFonts w:ascii="Times New Roman" w:hAnsi="Times New Roman" w:cs="Times New Roman"/>
          <w:color w:val="auto"/>
          <w:sz w:val="22"/>
          <w:szCs w:val="22"/>
          <w:lang w:val="lt-LT"/>
        </w:rPr>
        <w:t>o</w:t>
      </w:r>
      <w:r w:rsidRPr="00776407">
        <w:rPr>
          <w:rFonts w:ascii="Times New Roman" w:hAnsi="Times New Roman" w:cs="Times New Roman"/>
          <w:color w:val="auto"/>
          <w:sz w:val="22"/>
          <w:szCs w:val="22"/>
          <w:lang w:val="lt-LT"/>
        </w:rPr>
        <w:t xml:space="preserve"> poveikis kaulų čiulpų transplantacijos rezultatams nenustatytas. </w:t>
      </w:r>
    </w:p>
    <w:p w14:paraId="02FE4576" w14:textId="77777777" w:rsidR="006A530F" w:rsidRPr="00776407" w:rsidRDefault="006A530F" w:rsidP="006A530F">
      <w:pPr>
        <w:pStyle w:val="Default"/>
        <w:rPr>
          <w:rFonts w:ascii="Times New Roman" w:hAnsi="Times New Roman" w:cs="Times New Roman"/>
          <w:color w:val="auto"/>
          <w:sz w:val="22"/>
          <w:szCs w:val="22"/>
          <w:lang w:val="lt-LT"/>
        </w:rPr>
      </w:pPr>
    </w:p>
    <w:p w14:paraId="6FBB7284" w14:textId="77777777" w:rsidR="006A530F" w:rsidRPr="00776407" w:rsidRDefault="006A530F" w:rsidP="006A530F">
      <w:pPr>
        <w:autoSpaceDE w:val="0"/>
        <w:autoSpaceDN w:val="0"/>
        <w:adjustRightInd w:val="0"/>
        <w:rPr>
          <w:rFonts w:eastAsia="Calibri"/>
          <w:color w:val="000000"/>
          <w:sz w:val="22"/>
          <w:szCs w:val="22"/>
        </w:rPr>
      </w:pPr>
      <w:r w:rsidRPr="00776407">
        <w:rPr>
          <w:rFonts w:eastAsia="Calibri"/>
          <w:color w:val="000000"/>
          <w:sz w:val="22"/>
          <w:szCs w:val="22"/>
        </w:rPr>
        <w:t>Imatinib Actavis skiriama:</w:t>
      </w:r>
    </w:p>
    <w:p w14:paraId="05252A12" w14:textId="77777777" w:rsidR="006A530F" w:rsidRPr="00776407" w:rsidRDefault="006A530F" w:rsidP="00864BE6">
      <w:pPr>
        <w:numPr>
          <w:ilvl w:val="0"/>
          <w:numId w:val="1"/>
        </w:numPr>
        <w:autoSpaceDE w:val="0"/>
        <w:autoSpaceDN w:val="0"/>
        <w:adjustRightInd w:val="0"/>
        <w:ind w:left="567" w:hanging="567"/>
        <w:rPr>
          <w:rFonts w:eastAsia="Calibri"/>
          <w:color w:val="000000"/>
          <w:sz w:val="22"/>
          <w:szCs w:val="22"/>
        </w:rPr>
      </w:pPr>
      <w:r w:rsidRPr="00776407">
        <w:rPr>
          <w:rFonts w:eastAsia="Calibri"/>
          <w:color w:val="000000"/>
          <w:sz w:val="22"/>
          <w:szCs w:val="22"/>
        </w:rPr>
        <w:t xml:space="preserve">suaugusiesiems, kuriems yra nerezekuotina iškilioji dermatofibrosarkoma </w:t>
      </w:r>
      <w:r w:rsidRPr="00776407">
        <w:rPr>
          <w:rFonts w:eastAsia="Calibri"/>
          <w:i/>
          <w:iCs/>
          <w:color w:val="000000"/>
          <w:sz w:val="22"/>
          <w:szCs w:val="22"/>
        </w:rPr>
        <w:t xml:space="preserve">(dermatofibrosarcoma protuberans </w:t>
      </w:r>
      <w:r w:rsidRPr="00776407">
        <w:rPr>
          <w:rFonts w:eastAsia="Calibri"/>
          <w:color w:val="000000"/>
          <w:sz w:val="22"/>
          <w:szCs w:val="22"/>
        </w:rPr>
        <w:t xml:space="preserve">- DFSP) ar kuriems yra pasikartojanti ir (ar) metastazavusi DFSP ir kurių negalima operuoti. </w:t>
      </w:r>
    </w:p>
    <w:p w14:paraId="7DCB9F2B" w14:textId="77777777" w:rsidR="006A530F" w:rsidRPr="00776407" w:rsidRDefault="006A530F" w:rsidP="00E93356">
      <w:pPr>
        <w:autoSpaceDE w:val="0"/>
        <w:autoSpaceDN w:val="0"/>
        <w:adjustRightInd w:val="0"/>
        <w:ind w:left="567"/>
        <w:rPr>
          <w:rFonts w:eastAsia="Calibri"/>
          <w:color w:val="000000"/>
          <w:sz w:val="22"/>
          <w:szCs w:val="22"/>
        </w:rPr>
      </w:pPr>
    </w:p>
    <w:p w14:paraId="07A64264" w14:textId="77777777" w:rsidR="006A530F" w:rsidRPr="00776407" w:rsidRDefault="00430A5A" w:rsidP="006A530F">
      <w:pPr>
        <w:rPr>
          <w:sz w:val="22"/>
          <w:szCs w:val="22"/>
        </w:rPr>
      </w:pPr>
      <w:r w:rsidRPr="00776407">
        <w:rPr>
          <w:sz w:val="22"/>
          <w:szCs w:val="22"/>
        </w:rPr>
        <w:t>Suaugusiems</w:t>
      </w:r>
      <w:r w:rsidR="00E057AA" w:rsidRPr="00776407">
        <w:rPr>
          <w:sz w:val="22"/>
          <w:szCs w:val="22"/>
        </w:rPr>
        <w:t xml:space="preserve"> pacientams ir vaik</w:t>
      </w:r>
      <w:r w:rsidR="00072EB7" w:rsidRPr="00776407">
        <w:rPr>
          <w:sz w:val="22"/>
          <w:szCs w:val="22"/>
        </w:rPr>
        <w:t>ams i</w:t>
      </w:r>
      <w:r w:rsidR="00E057AA" w:rsidRPr="00776407">
        <w:rPr>
          <w:sz w:val="22"/>
          <w:szCs w:val="22"/>
        </w:rPr>
        <w:t xml:space="preserve">matinibo </w:t>
      </w:r>
      <w:r w:rsidRPr="00776407">
        <w:rPr>
          <w:sz w:val="22"/>
          <w:szCs w:val="22"/>
        </w:rPr>
        <w:t>efektyvumas grindžiamas bendra hematologinio ir citologinio atsako dalimi ir gyvenimo trukme be ligos progresavimo</w:t>
      </w:r>
      <w:r w:rsidR="006A530F" w:rsidRPr="00776407">
        <w:rPr>
          <w:sz w:val="22"/>
          <w:szCs w:val="22"/>
        </w:rPr>
        <w:t xml:space="preserve">, kai yra LML, hematologiniu ir citogenetiniu atsako dažniu, kai yra Ph+ ŪLL, MDS/MPL, hematologiniu atsako dažniu, kai yra HES/LEL, objektyvia atsako dalimi suaugusiųjų pacientų, sergančių nerezekuotinu ir (ar) metastazavusiu DFSP. Patirtis gydant imatinibu pacientus, sergančius MDS/MPL, susijusia su PDGF geno pakitimais, yra labai ribota (žr. 5.1 skyrių). Nėra kontroliuojamų tyrimų, įrodančių klinikinę naudą ar pailgėjusią gyvenimo trukmę. </w:t>
      </w:r>
    </w:p>
    <w:p w14:paraId="104D9CEB" w14:textId="77777777" w:rsidR="00430A5A" w:rsidRPr="00776407" w:rsidRDefault="00430A5A" w:rsidP="00430A5A">
      <w:pPr>
        <w:rPr>
          <w:sz w:val="22"/>
          <w:szCs w:val="22"/>
        </w:rPr>
      </w:pPr>
    </w:p>
    <w:p w14:paraId="0C89ABC1" w14:textId="77777777" w:rsidR="00430A5A" w:rsidRPr="00776407" w:rsidRDefault="00430A5A" w:rsidP="00F6125C">
      <w:pPr>
        <w:pStyle w:val="Listenabsatz"/>
        <w:keepNext/>
        <w:numPr>
          <w:ilvl w:val="1"/>
          <w:numId w:val="2"/>
        </w:numPr>
        <w:ind w:left="567" w:hanging="567"/>
        <w:rPr>
          <w:b/>
          <w:sz w:val="22"/>
          <w:szCs w:val="22"/>
        </w:rPr>
      </w:pPr>
      <w:r w:rsidRPr="00776407">
        <w:rPr>
          <w:b/>
          <w:bCs/>
          <w:sz w:val="22"/>
          <w:szCs w:val="22"/>
        </w:rPr>
        <w:t xml:space="preserve">Dozavimas ir vartojimo metodas </w:t>
      </w:r>
    </w:p>
    <w:p w14:paraId="188ED06D" w14:textId="77777777" w:rsidR="00430A5A" w:rsidRPr="00776407" w:rsidRDefault="00430A5A" w:rsidP="00430A5A">
      <w:pPr>
        <w:keepNext/>
        <w:rPr>
          <w:b/>
          <w:sz w:val="22"/>
          <w:szCs w:val="22"/>
        </w:rPr>
      </w:pPr>
    </w:p>
    <w:p w14:paraId="39DE99C0" w14:textId="77777777" w:rsidR="00430A5A" w:rsidRPr="00776407" w:rsidRDefault="00430A5A" w:rsidP="00430A5A">
      <w:pPr>
        <w:rPr>
          <w:sz w:val="22"/>
          <w:szCs w:val="22"/>
        </w:rPr>
      </w:pPr>
      <w:r w:rsidRPr="00776407">
        <w:rPr>
          <w:sz w:val="22"/>
          <w:szCs w:val="22"/>
        </w:rPr>
        <w:t xml:space="preserve">Skirti </w:t>
      </w:r>
      <w:r w:rsidR="00BA110E" w:rsidRPr="00776407">
        <w:rPr>
          <w:color w:val="000000"/>
          <w:sz w:val="22"/>
          <w:szCs w:val="22"/>
        </w:rPr>
        <w:t xml:space="preserve">vaistinį preparatą </w:t>
      </w:r>
      <w:r w:rsidRPr="00776407">
        <w:rPr>
          <w:sz w:val="22"/>
          <w:szCs w:val="22"/>
        </w:rPr>
        <w:t>gali tik gydytojas, turintis patirties, kaip gydyti pacientus, sergančius piktybiniais hematologiniais navikais</w:t>
      </w:r>
      <w:r w:rsidR="008D7F73" w:rsidRPr="00776407">
        <w:rPr>
          <w:sz w:val="22"/>
          <w:szCs w:val="22"/>
        </w:rPr>
        <w:t xml:space="preserve"> ar piktybine sarkoma</w:t>
      </w:r>
      <w:r w:rsidR="00FB56CD" w:rsidRPr="00776407">
        <w:rPr>
          <w:sz w:val="22"/>
          <w:szCs w:val="22"/>
        </w:rPr>
        <w:t xml:space="preserve">. </w:t>
      </w:r>
      <w:r w:rsidRPr="00776407">
        <w:rPr>
          <w:sz w:val="22"/>
          <w:szCs w:val="22"/>
        </w:rPr>
        <w:t xml:space="preserve"> </w:t>
      </w:r>
    </w:p>
    <w:p w14:paraId="2BBD1E69" w14:textId="77777777" w:rsidR="00E057AA" w:rsidRPr="00776407" w:rsidRDefault="00E057AA" w:rsidP="00430A5A">
      <w:pPr>
        <w:rPr>
          <w:sz w:val="22"/>
          <w:szCs w:val="22"/>
        </w:rPr>
      </w:pPr>
    </w:p>
    <w:p w14:paraId="11447CD0" w14:textId="77777777" w:rsidR="00430A5A" w:rsidRPr="00776407" w:rsidRDefault="00430A5A" w:rsidP="00430A5A">
      <w:pPr>
        <w:rPr>
          <w:sz w:val="22"/>
          <w:szCs w:val="22"/>
          <w:u w:val="single"/>
        </w:rPr>
      </w:pPr>
      <w:r w:rsidRPr="00776407">
        <w:rPr>
          <w:sz w:val="22"/>
          <w:szCs w:val="22"/>
          <w:u w:val="single"/>
        </w:rPr>
        <w:t>Dozavimas</w:t>
      </w:r>
    </w:p>
    <w:p w14:paraId="0B74E2CD" w14:textId="77777777" w:rsidR="00430A5A" w:rsidRPr="00776407" w:rsidRDefault="00430A5A" w:rsidP="00430A5A">
      <w:pPr>
        <w:rPr>
          <w:sz w:val="22"/>
          <w:szCs w:val="22"/>
          <w:u w:val="single"/>
        </w:rPr>
      </w:pPr>
    </w:p>
    <w:p w14:paraId="1E2D7E88" w14:textId="77777777" w:rsidR="00430A5A" w:rsidRPr="00776407" w:rsidRDefault="00430A5A" w:rsidP="00430A5A">
      <w:pPr>
        <w:rPr>
          <w:i/>
          <w:sz w:val="22"/>
          <w:szCs w:val="22"/>
          <w:u w:val="single"/>
        </w:rPr>
      </w:pPr>
      <w:r w:rsidRPr="00776407">
        <w:rPr>
          <w:i/>
          <w:sz w:val="22"/>
          <w:szCs w:val="22"/>
          <w:u w:val="single"/>
        </w:rPr>
        <w:t>Dozavimas, kai yra suaugusiųjų LML</w:t>
      </w:r>
    </w:p>
    <w:p w14:paraId="525BF9C0" w14:textId="77777777" w:rsidR="00430A5A" w:rsidRPr="00776407" w:rsidRDefault="00430A5A" w:rsidP="00430A5A">
      <w:pPr>
        <w:rPr>
          <w:sz w:val="22"/>
          <w:szCs w:val="22"/>
        </w:rPr>
      </w:pPr>
      <w:r w:rsidRPr="00776407">
        <w:rPr>
          <w:sz w:val="22"/>
          <w:szCs w:val="22"/>
        </w:rPr>
        <w:t>Rekomenduojama imatinibo dozė suaugusiesiems pacientams, kuriems yra blastinė krizė, yra 600 mg per parą. Blastinė krizė diagnozuojama, kai blastų kraujyje ar kaulų čiulpuose ≥ 30</w:t>
      </w:r>
      <w:r w:rsidR="006D07C3" w:rsidRPr="00776407">
        <w:rPr>
          <w:sz w:val="22"/>
          <w:szCs w:val="22"/>
        </w:rPr>
        <w:t> </w:t>
      </w:r>
      <w:r w:rsidRPr="00776407">
        <w:rPr>
          <w:sz w:val="22"/>
          <w:szCs w:val="22"/>
        </w:rPr>
        <w:t>%</w:t>
      </w:r>
      <w:r w:rsidRPr="00776407">
        <w:t xml:space="preserve"> </w:t>
      </w:r>
      <w:r w:rsidRPr="00776407">
        <w:rPr>
          <w:sz w:val="22"/>
          <w:szCs w:val="22"/>
        </w:rPr>
        <w:t>ar yra kitokia negu hepatosplenomegalija ekstramedulinė liga.</w:t>
      </w:r>
    </w:p>
    <w:p w14:paraId="2D892C7E" w14:textId="77777777" w:rsidR="00430A5A" w:rsidRPr="00776407" w:rsidRDefault="00430A5A" w:rsidP="00430A5A">
      <w:pPr>
        <w:rPr>
          <w:sz w:val="22"/>
          <w:szCs w:val="22"/>
        </w:rPr>
      </w:pPr>
    </w:p>
    <w:p w14:paraId="027CAD47" w14:textId="77777777" w:rsidR="00430A5A" w:rsidRPr="00776407" w:rsidRDefault="00430A5A" w:rsidP="00430A5A">
      <w:pPr>
        <w:rPr>
          <w:sz w:val="22"/>
          <w:szCs w:val="22"/>
        </w:rPr>
      </w:pPr>
      <w:r w:rsidRPr="00776407">
        <w:rPr>
          <w:sz w:val="22"/>
          <w:szCs w:val="22"/>
        </w:rPr>
        <w:t xml:space="preserve">Gydymo trukmė. Klinikinių tyrimų metu imatinibas vartotas iki ligos progresavimo. Gydymo nutraukimo poveikis gavus visišką citogenetinį atsaką netirtas. </w:t>
      </w:r>
    </w:p>
    <w:p w14:paraId="0410258F" w14:textId="77777777" w:rsidR="00430A5A" w:rsidRPr="00776407" w:rsidRDefault="00430A5A" w:rsidP="00430A5A">
      <w:pPr>
        <w:rPr>
          <w:sz w:val="22"/>
          <w:szCs w:val="22"/>
        </w:rPr>
      </w:pPr>
    </w:p>
    <w:p w14:paraId="7A7D8B3B" w14:textId="77777777" w:rsidR="005D0069" w:rsidRPr="00776407" w:rsidRDefault="005D0069" w:rsidP="005D0069">
      <w:pPr>
        <w:rPr>
          <w:sz w:val="22"/>
          <w:szCs w:val="22"/>
        </w:rPr>
      </w:pPr>
      <w:r w:rsidRPr="00776407">
        <w:rPr>
          <w:sz w:val="22"/>
          <w:szCs w:val="22"/>
        </w:rPr>
        <w:t xml:space="preserve">Dozę galima didinti nuo 600 mg iki didžiausios 800 mg dozės (po 400 mg 2 kartus per parą), kai yra blastinė krizė ir nėra sunkių nepageidaujamų </w:t>
      </w:r>
      <w:r w:rsidRPr="00776407">
        <w:rPr>
          <w:color w:val="000000"/>
          <w:sz w:val="22"/>
          <w:szCs w:val="22"/>
        </w:rPr>
        <w:t xml:space="preserve">vaistinio preparato </w:t>
      </w:r>
      <w:r w:rsidRPr="00776407">
        <w:rPr>
          <w:sz w:val="22"/>
          <w:szCs w:val="22"/>
        </w:rPr>
        <w:t>reakcijų ar sunkios su leukemija susijusios neutropenijos ar trombocitopemijos šiais atvejais: ligai progresuojant (bet kuriuo metu); po 3 mėnesių gydymo negavus reikiamo hematologinio atsako; po 12 mėnesių gydymo negavus citogenetinio atsako; ar išnykus anksčiau pasiektam hematologiniam ir (ar) citogenetiniam atsakui. Pacientą, kuriam padidinama dozė, būtina atidžiai stebėti dėl galimų dažnesnių nepageidaujamų reakcijų, sukeliamų didesnių dozių.</w:t>
      </w:r>
    </w:p>
    <w:p w14:paraId="3D5354AE" w14:textId="77777777" w:rsidR="00430A5A" w:rsidRPr="00776407" w:rsidRDefault="00430A5A" w:rsidP="00430A5A">
      <w:pPr>
        <w:rPr>
          <w:sz w:val="22"/>
          <w:szCs w:val="22"/>
        </w:rPr>
      </w:pPr>
    </w:p>
    <w:p w14:paraId="40E46450" w14:textId="77777777" w:rsidR="00430A5A" w:rsidRPr="00776407" w:rsidRDefault="00430A5A" w:rsidP="00430A5A">
      <w:pPr>
        <w:rPr>
          <w:i/>
          <w:sz w:val="22"/>
          <w:szCs w:val="22"/>
          <w:u w:val="single"/>
        </w:rPr>
      </w:pPr>
      <w:r w:rsidRPr="00776407">
        <w:rPr>
          <w:i/>
          <w:sz w:val="22"/>
          <w:szCs w:val="22"/>
          <w:u w:val="single"/>
        </w:rPr>
        <w:t xml:space="preserve">Dozavimas, kai yra </w:t>
      </w:r>
      <w:r w:rsidR="007E742E" w:rsidRPr="00776407">
        <w:rPr>
          <w:i/>
          <w:sz w:val="22"/>
          <w:szCs w:val="22"/>
          <w:u w:val="single"/>
        </w:rPr>
        <w:t>vaikų ir paauglių</w:t>
      </w:r>
      <w:r w:rsidR="005B019C" w:rsidRPr="00776407">
        <w:rPr>
          <w:i/>
          <w:sz w:val="22"/>
          <w:szCs w:val="22"/>
          <w:u w:val="single"/>
        </w:rPr>
        <w:t xml:space="preserve"> </w:t>
      </w:r>
      <w:r w:rsidRPr="00776407">
        <w:rPr>
          <w:i/>
          <w:sz w:val="22"/>
          <w:szCs w:val="22"/>
          <w:u w:val="single"/>
        </w:rPr>
        <w:t xml:space="preserve">LML </w:t>
      </w:r>
    </w:p>
    <w:p w14:paraId="14E92762" w14:textId="77777777" w:rsidR="005D0069" w:rsidRPr="00776407" w:rsidRDefault="005D0069" w:rsidP="005D0069">
      <w:pPr>
        <w:rPr>
          <w:sz w:val="22"/>
          <w:szCs w:val="22"/>
        </w:rPr>
      </w:pPr>
      <w:r w:rsidRPr="00776407">
        <w:rPr>
          <w:sz w:val="22"/>
          <w:szCs w:val="22"/>
        </w:rPr>
        <w:t>Vaikams dozuojama pagal kūno paviršiaus plotą (mg/m</w:t>
      </w:r>
      <w:r w:rsidRPr="00776407">
        <w:rPr>
          <w:sz w:val="22"/>
          <w:szCs w:val="22"/>
          <w:vertAlign w:val="superscript"/>
        </w:rPr>
        <w:t>2</w:t>
      </w:r>
      <w:r w:rsidRPr="00776407">
        <w:rPr>
          <w:sz w:val="22"/>
          <w:szCs w:val="22"/>
        </w:rPr>
        <w:t>). Kai yra lėtinė ir progresavusi LML fazė, vaikams rekomenduojama 340 mg/m</w:t>
      </w:r>
      <w:r w:rsidRPr="00776407">
        <w:rPr>
          <w:sz w:val="22"/>
          <w:szCs w:val="22"/>
          <w:vertAlign w:val="superscript"/>
        </w:rPr>
        <w:t>2</w:t>
      </w:r>
      <w:r w:rsidRPr="00776407">
        <w:rPr>
          <w:sz w:val="22"/>
          <w:szCs w:val="22"/>
        </w:rPr>
        <w:t xml:space="preserve"> paros dozė (bendros 800 mg dozės viršyti negalima). </w:t>
      </w:r>
      <w:r w:rsidRPr="00776407">
        <w:rPr>
          <w:color w:val="000000"/>
          <w:sz w:val="22"/>
          <w:szCs w:val="22"/>
        </w:rPr>
        <w:t xml:space="preserve">Vaistinį preparatą </w:t>
      </w:r>
      <w:r w:rsidRPr="00776407">
        <w:rPr>
          <w:sz w:val="22"/>
          <w:szCs w:val="22"/>
        </w:rPr>
        <w:t xml:space="preserve">galima vartoti vieną kartą per parą arba paros dozę dalyti į dvi dozes – vieną vartoti ryte, kitą – vakare. Dabartinės dozavimo rekomendacijos vadovaujasi mažu vaikų skaičiumi (žr. 5.1 ir 5.2 skyrius). Kaip gydyti jaunesnius negu 2 metų vaikus, patirties nėra. </w:t>
      </w:r>
    </w:p>
    <w:p w14:paraId="4F9897AB" w14:textId="77777777" w:rsidR="005D0069" w:rsidRPr="00776407" w:rsidRDefault="005D0069" w:rsidP="005D0069">
      <w:pPr>
        <w:rPr>
          <w:sz w:val="22"/>
          <w:szCs w:val="22"/>
        </w:rPr>
      </w:pPr>
    </w:p>
    <w:p w14:paraId="2BFF5663" w14:textId="77777777" w:rsidR="005D0069" w:rsidRPr="00776407" w:rsidRDefault="005D0069" w:rsidP="005D0069">
      <w:pPr>
        <w:rPr>
          <w:sz w:val="22"/>
          <w:szCs w:val="22"/>
        </w:rPr>
      </w:pPr>
      <w:r w:rsidRPr="00776407">
        <w:rPr>
          <w:sz w:val="22"/>
          <w:szCs w:val="22"/>
        </w:rPr>
        <w:t>Jei nepasireiškė sunkaus nepageidaujamo poveikio ir sunkios ne su leukemija susijusios neutropenijos arba trombocitopenijos, dozė vaikams gali būti didinama nuo 340 mg/m</w:t>
      </w:r>
      <w:r w:rsidRPr="00776407">
        <w:rPr>
          <w:sz w:val="22"/>
          <w:szCs w:val="22"/>
          <w:vertAlign w:val="superscript"/>
        </w:rPr>
        <w:t>2</w:t>
      </w:r>
      <w:r w:rsidRPr="00776407">
        <w:rPr>
          <w:sz w:val="22"/>
          <w:szCs w:val="22"/>
        </w:rPr>
        <w:t xml:space="preserve"> iki 570 mg/m</w:t>
      </w:r>
      <w:r w:rsidRPr="00776407">
        <w:rPr>
          <w:sz w:val="22"/>
          <w:szCs w:val="22"/>
          <w:vertAlign w:val="superscript"/>
        </w:rPr>
        <w:t>2</w:t>
      </w:r>
      <w:r w:rsidRPr="00776407">
        <w:rPr>
          <w:sz w:val="22"/>
          <w:szCs w:val="22"/>
        </w:rPr>
        <w:t xml:space="preserve"> per parą (bendros 800 mg dozės viršyti negalima) sekančiomis sąlygomis: ligos progresavimas (bet kuriuo metu); nepasiektas patenkinamas hematologinis atsakas po mažiausiai 3 gydymo mėnesių; nepasiektas citogenetinis atsakas po 12 gydymo mėnesių; anksčiau pasiekto hematologinio ir (arba) citogenetinio atsako praradimas. Didinant dozę, pacientai turi būti atidžiai stebimi dėl padidėjusio nepageidaujamo poveikio pasireiškimo galimybės gydant didesnėmis dozėmis. </w:t>
      </w:r>
    </w:p>
    <w:p w14:paraId="7DA1D094" w14:textId="77777777" w:rsidR="005D0069" w:rsidRPr="00776407" w:rsidRDefault="005D0069" w:rsidP="005D0069">
      <w:pPr>
        <w:autoSpaceDE w:val="0"/>
        <w:autoSpaceDN w:val="0"/>
        <w:adjustRightInd w:val="0"/>
        <w:rPr>
          <w:rFonts w:eastAsia="Calibri"/>
          <w:color w:val="000000"/>
          <w:sz w:val="22"/>
          <w:szCs w:val="22"/>
        </w:rPr>
      </w:pPr>
    </w:p>
    <w:p w14:paraId="43CBBBF2" w14:textId="77777777" w:rsidR="005D0069" w:rsidRPr="00776407" w:rsidRDefault="0024085F" w:rsidP="005D0069">
      <w:pPr>
        <w:autoSpaceDE w:val="0"/>
        <w:autoSpaceDN w:val="0"/>
        <w:adjustRightInd w:val="0"/>
        <w:rPr>
          <w:rFonts w:eastAsia="Calibri"/>
          <w:i/>
          <w:color w:val="000000"/>
          <w:sz w:val="22"/>
          <w:szCs w:val="22"/>
          <w:u w:val="single"/>
        </w:rPr>
      </w:pPr>
      <w:r w:rsidRPr="00776407">
        <w:rPr>
          <w:rFonts w:eastAsia="Calibri"/>
          <w:i/>
          <w:color w:val="000000"/>
          <w:sz w:val="22"/>
          <w:szCs w:val="22"/>
          <w:u w:val="single"/>
        </w:rPr>
        <w:t>Dozavimas, kai yra suaugusiųjų Ph+ ŪLL</w:t>
      </w:r>
      <w:r w:rsidR="005D0069" w:rsidRPr="00776407">
        <w:rPr>
          <w:rFonts w:eastAsia="Calibri"/>
          <w:i/>
          <w:color w:val="000000"/>
          <w:sz w:val="22"/>
          <w:szCs w:val="22"/>
          <w:u w:val="single"/>
        </w:rPr>
        <w:t xml:space="preserve"> </w:t>
      </w:r>
    </w:p>
    <w:p w14:paraId="79F60841" w14:textId="77777777" w:rsidR="008D7F73" w:rsidRPr="00776407" w:rsidRDefault="008D7F73" w:rsidP="008D7F73">
      <w:pPr>
        <w:autoSpaceDE w:val="0"/>
        <w:autoSpaceDN w:val="0"/>
        <w:adjustRightInd w:val="0"/>
        <w:rPr>
          <w:rFonts w:eastAsia="Calibri"/>
          <w:color w:val="000000"/>
          <w:sz w:val="22"/>
          <w:szCs w:val="22"/>
        </w:rPr>
      </w:pPr>
      <w:r w:rsidRPr="00776407">
        <w:rPr>
          <w:rFonts w:eastAsia="Calibri"/>
          <w:color w:val="000000"/>
          <w:sz w:val="22"/>
          <w:szCs w:val="22"/>
        </w:rPr>
        <w:t>Ph+ ŪLL sergantiems suaugusiesiems pacientams rekomenduojama imatinibo dozė yra 600</w:t>
      </w:r>
      <w:r w:rsidR="001642BC" w:rsidRPr="00776407">
        <w:rPr>
          <w:rFonts w:eastAsia="Calibri"/>
          <w:color w:val="000000"/>
          <w:sz w:val="22"/>
          <w:szCs w:val="22"/>
        </w:rPr>
        <w:t> </w:t>
      </w:r>
      <w:r w:rsidRPr="00776407">
        <w:rPr>
          <w:rFonts w:eastAsia="Calibri"/>
          <w:color w:val="000000"/>
          <w:sz w:val="22"/>
          <w:szCs w:val="22"/>
        </w:rPr>
        <w:t xml:space="preserve">mg per parą. Visų fazių metu gydymui turi vadovauti hematologai, turintys šios ligos gydymo patirties. </w:t>
      </w:r>
    </w:p>
    <w:p w14:paraId="6EA7A18B" w14:textId="77777777" w:rsidR="008D7F73" w:rsidRPr="00776407" w:rsidRDefault="008D7F73" w:rsidP="008D7F73">
      <w:pPr>
        <w:autoSpaceDE w:val="0"/>
        <w:autoSpaceDN w:val="0"/>
        <w:adjustRightInd w:val="0"/>
        <w:rPr>
          <w:rFonts w:eastAsia="Calibri"/>
          <w:color w:val="000000"/>
          <w:sz w:val="22"/>
          <w:szCs w:val="22"/>
        </w:rPr>
      </w:pPr>
    </w:p>
    <w:p w14:paraId="2FED3C1F" w14:textId="6205C528" w:rsidR="008D7F73" w:rsidRPr="00776407" w:rsidRDefault="008D7F73" w:rsidP="008D7F73">
      <w:pPr>
        <w:autoSpaceDE w:val="0"/>
        <w:autoSpaceDN w:val="0"/>
        <w:adjustRightInd w:val="0"/>
        <w:rPr>
          <w:rFonts w:eastAsia="Calibri"/>
          <w:color w:val="000000"/>
          <w:sz w:val="22"/>
          <w:szCs w:val="22"/>
        </w:rPr>
      </w:pPr>
      <w:r w:rsidRPr="00776407">
        <w:rPr>
          <w:rFonts w:eastAsia="Calibri"/>
          <w:color w:val="000000"/>
          <w:sz w:val="22"/>
          <w:szCs w:val="22"/>
        </w:rPr>
        <w:t>Gydymo planas. Pagal turimus duomenis, imatinibo 600</w:t>
      </w:r>
      <w:r w:rsidR="001642BC" w:rsidRPr="00776407">
        <w:rPr>
          <w:rFonts w:eastAsia="Calibri"/>
          <w:color w:val="000000"/>
          <w:sz w:val="22"/>
          <w:szCs w:val="22"/>
        </w:rPr>
        <w:t> </w:t>
      </w:r>
      <w:r w:rsidRPr="00776407">
        <w:rPr>
          <w:rFonts w:eastAsia="Calibri"/>
          <w:color w:val="000000"/>
          <w:sz w:val="22"/>
          <w:szCs w:val="22"/>
        </w:rPr>
        <w:t xml:space="preserve">mg per parą dozė buvo efektyvi ir saugi kartu su chemoterapiniais </w:t>
      </w:r>
      <w:r w:rsidR="002B7610" w:rsidRPr="00776407">
        <w:rPr>
          <w:rFonts w:eastAsia="Calibri"/>
          <w:color w:val="000000"/>
          <w:sz w:val="22"/>
          <w:szCs w:val="22"/>
        </w:rPr>
        <w:t xml:space="preserve">vaistiniais </w:t>
      </w:r>
      <w:r w:rsidRPr="00776407">
        <w:rPr>
          <w:rFonts w:eastAsia="Calibri"/>
          <w:color w:val="000000"/>
          <w:sz w:val="22"/>
          <w:szCs w:val="22"/>
        </w:rPr>
        <w:t>preparatais pradinės, dozės didinimo ir palaikomosios chemoterapijos fazės metu (žr. 5.1</w:t>
      </w:r>
      <w:r w:rsidR="001642BC" w:rsidRPr="00776407">
        <w:rPr>
          <w:rFonts w:eastAsia="Calibri"/>
          <w:color w:val="000000"/>
          <w:sz w:val="22"/>
          <w:szCs w:val="22"/>
        </w:rPr>
        <w:t> </w:t>
      </w:r>
      <w:r w:rsidRPr="00776407">
        <w:rPr>
          <w:rFonts w:eastAsia="Calibri"/>
          <w:color w:val="000000"/>
          <w:sz w:val="22"/>
          <w:szCs w:val="22"/>
        </w:rPr>
        <w:t xml:space="preserve">skyrių) suaugusiems pacientams, kuriems pirmą kartą diagnozuota Ph+ ŪLL. Gydymo imatinibu trukmė gali priklausyti nuo pasirinktos gydymo programos, bet dažniausiai ilgiau vartojant imatinibo rezultatai buvo geresni. </w:t>
      </w:r>
    </w:p>
    <w:p w14:paraId="3B283705" w14:textId="77777777" w:rsidR="008D7F73" w:rsidRPr="00776407" w:rsidRDefault="008D7F73" w:rsidP="008D7F73">
      <w:pPr>
        <w:autoSpaceDE w:val="0"/>
        <w:autoSpaceDN w:val="0"/>
        <w:adjustRightInd w:val="0"/>
        <w:rPr>
          <w:rFonts w:eastAsia="Calibri"/>
          <w:color w:val="000000"/>
          <w:sz w:val="22"/>
          <w:szCs w:val="22"/>
        </w:rPr>
      </w:pPr>
    </w:p>
    <w:p w14:paraId="10D398C8" w14:textId="77777777" w:rsidR="008D7F73" w:rsidRPr="00776407" w:rsidRDefault="008D7F73" w:rsidP="008D7F73">
      <w:pPr>
        <w:rPr>
          <w:rFonts w:eastAsia="Calibri"/>
          <w:color w:val="000000"/>
          <w:sz w:val="22"/>
          <w:szCs w:val="22"/>
        </w:rPr>
      </w:pPr>
      <w:r w:rsidRPr="00776407">
        <w:rPr>
          <w:rFonts w:eastAsia="Calibri"/>
          <w:color w:val="000000"/>
          <w:sz w:val="22"/>
          <w:szCs w:val="22"/>
        </w:rPr>
        <w:t>Suaugusiesiems pacientams, kuriems yra recidyvas ar gydymui atspari Ph+ ŪLL, gydymas vien tik imatinibu po 600</w:t>
      </w:r>
      <w:r w:rsidR="001642BC" w:rsidRPr="00776407">
        <w:rPr>
          <w:rFonts w:eastAsia="Calibri"/>
          <w:color w:val="000000"/>
          <w:sz w:val="22"/>
          <w:szCs w:val="22"/>
        </w:rPr>
        <w:t> </w:t>
      </w:r>
      <w:r w:rsidRPr="00776407">
        <w:rPr>
          <w:rFonts w:eastAsia="Calibri"/>
          <w:color w:val="000000"/>
          <w:sz w:val="22"/>
          <w:szCs w:val="22"/>
        </w:rPr>
        <w:t>mg per parą yra saugus, efektyvus ir gali būti skiriamas, kol liga pradės progresuoti.</w:t>
      </w:r>
    </w:p>
    <w:p w14:paraId="2098DB98" w14:textId="77777777" w:rsidR="005D0069" w:rsidRPr="00776407" w:rsidRDefault="005D0069" w:rsidP="005D0069">
      <w:pPr>
        <w:autoSpaceDE w:val="0"/>
        <w:autoSpaceDN w:val="0"/>
        <w:adjustRightInd w:val="0"/>
        <w:rPr>
          <w:rFonts w:eastAsia="Calibri"/>
          <w:color w:val="000000"/>
          <w:sz w:val="22"/>
          <w:szCs w:val="22"/>
        </w:rPr>
      </w:pPr>
    </w:p>
    <w:p w14:paraId="232D0CC5" w14:textId="77777777" w:rsidR="0024085F" w:rsidRPr="00776407" w:rsidRDefault="0024085F" w:rsidP="0024085F">
      <w:pPr>
        <w:autoSpaceDE w:val="0"/>
        <w:autoSpaceDN w:val="0"/>
        <w:adjustRightInd w:val="0"/>
        <w:rPr>
          <w:i/>
          <w:sz w:val="22"/>
          <w:szCs w:val="22"/>
          <w:u w:val="single"/>
        </w:rPr>
      </w:pPr>
      <w:r w:rsidRPr="00776407">
        <w:rPr>
          <w:i/>
          <w:sz w:val="22"/>
          <w:szCs w:val="22"/>
          <w:u w:val="single"/>
        </w:rPr>
        <w:t>Dozavimas, kai yra vaikų Ph+ ŪLL</w:t>
      </w:r>
    </w:p>
    <w:p w14:paraId="124F9E09" w14:textId="77777777" w:rsidR="005D0069" w:rsidRPr="00776407" w:rsidRDefault="0024085F" w:rsidP="0024085F">
      <w:pPr>
        <w:autoSpaceDE w:val="0"/>
        <w:autoSpaceDN w:val="0"/>
        <w:adjustRightInd w:val="0"/>
        <w:rPr>
          <w:sz w:val="22"/>
          <w:szCs w:val="22"/>
        </w:rPr>
      </w:pPr>
      <w:r w:rsidRPr="00776407">
        <w:rPr>
          <w:sz w:val="22"/>
          <w:szCs w:val="22"/>
        </w:rPr>
        <w:t>Vaikams dozuojama pagal kūno paviršiaus plotą (mg/m</w:t>
      </w:r>
      <w:r w:rsidRPr="00776407">
        <w:rPr>
          <w:sz w:val="22"/>
          <w:szCs w:val="22"/>
          <w:vertAlign w:val="superscript"/>
        </w:rPr>
        <w:t>2</w:t>
      </w:r>
      <w:r w:rsidRPr="00776407">
        <w:rPr>
          <w:sz w:val="22"/>
          <w:szCs w:val="22"/>
        </w:rPr>
        <w:t>). Kai yra Ph+ ŪLL, vaikams rekomenduojama 340 mg/m</w:t>
      </w:r>
      <w:r w:rsidRPr="00776407">
        <w:rPr>
          <w:sz w:val="22"/>
          <w:szCs w:val="22"/>
          <w:vertAlign w:val="superscript"/>
        </w:rPr>
        <w:t>2</w:t>
      </w:r>
      <w:r w:rsidRPr="00776407">
        <w:rPr>
          <w:sz w:val="22"/>
          <w:szCs w:val="22"/>
        </w:rPr>
        <w:t xml:space="preserve"> paros dozė (bendros 600 mg dozės viršyti negalima).</w:t>
      </w:r>
    </w:p>
    <w:p w14:paraId="136E8927" w14:textId="77777777" w:rsidR="005D0069" w:rsidRPr="00776407" w:rsidRDefault="005D0069" w:rsidP="005D0069">
      <w:pPr>
        <w:autoSpaceDE w:val="0"/>
        <w:autoSpaceDN w:val="0"/>
        <w:adjustRightInd w:val="0"/>
        <w:rPr>
          <w:rFonts w:eastAsia="Calibri"/>
          <w:color w:val="000000"/>
          <w:sz w:val="22"/>
          <w:szCs w:val="22"/>
        </w:rPr>
      </w:pPr>
    </w:p>
    <w:p w14:paraId="12905465" w14:textId="77777777" w:rsidR="008D7F73" w:rsidRPr="00776407" w:rsidRDefault="008D7F73" w:rsidP="008D7F73">
      <w:pPr>
        <w:autoSpaceDE w:val="0"/>
        <w:autoSpaceDN w:val="0"/>
        <w:adjustRightInd w:val="0"/>
        <w:rPr>
          <w:rFonts w:eastAsia="Calibri"/>
          <w:i/>
          <w:color w:val="000000"/>
          <w:sz w:val="22"/>
          <w:szCs w:val="22"/>
          <w:u w:val="single"/>
        </w:rPr>
      </w:pPr>
      <w:r w:rsidRPr="00776407">
        <w:rPr>
          <w:rFonts w:eastAsia="Calibri"/>
          <w:i/>
          <w:color w:val="000000"/>
          <w:sz w:val="22"/>
          <w:szCs w:val="22"/>
          <w:u w:val="single"/>
        </w:rPr>
        <w:t xml:space="preserve">Dozavimas, kai yra MDS/MPL </w:t>
      </w:r>
    </w:p>
    <w:p w14:paraId="46025526" w14:textId="77777777" w:rsidR="008D7F73" w:rsidRPr="00776407" w:rsidRDefault="008D7F73" w:rsidP="008D7F73">
      <w:pPr>
        <w:autoSpaceDE w:val="0"/>
        <w:autoSpaceDN w:val="0"/>
        <w:adjustRightInd w:val="0"/>
        <w:rPr>
          <w:rFonts w:eastAsia="Calibri"/>
          <w:color w:val="000000"/>
          <w:sz w:val="22"/>
          <w:szCs w:val="22"/>
        </w:rPr>
      </w:pPr>
      <w:r w:rsidRPr="00776407">
        <w:rPr>
          <w:rFonts w:eastAsia="Calibri"/>
          <w:color w:val="000000"/>
          <w:sz w:val="22"/>
          <w:szCs w:val="22"/>
        </w:rPr>
        <w:t>MDS ar MPL sergantiems suaugusiesiems pacientams rekomenduojama imatinibo dozė yra 400</w:t>
      </w:r>
      <w:r w:rsidR="001642BC" w:rsidRPr="00776407">
        <w:rPr>
          <w:rFonts w:eastAsia="Calibri"/>
          <w:color w:val="000000"/>
          <w:sz w:val="22"/>
          <w:szCs w:val="22"/>
        </w:rPr>
        <w:t> </w:t>
      </w:r>
      <w:r w:rsidRPr="00776407">
        <w:rPr>
          <w:rFonts w:eastAsia="Calibri"/>
          <w:color w:val="000000"/>
          <w:sz w:val="22"/>
          <w:szCs w:val="22"/>
        </w:rPr>
        <w:t xml:space="preserve">mg per parą. </w:t>
      </w:r>
    </w:p>
    <w:p w14:paraId="62895DF5" w14:textId="77777777" w:rsidR="008D7F73" w:rsidRPr="00776407" w:rsidRDefault="008D7F73" w:rsidP="008D7F73">
      <w:pPr>
        <w:autoSpaceDE w:val="0"/>
        <w:autoSpaceDN w:val="0"/>
        <w:adjustRightInd w:val="0"/>
        <w:rPr>
          <w:rFonts w:eastAsia="Calibri"/>
          <w:color w:val="000000"/>
          <w:sz w:val="22"/>
          <w:szCs w:val="22"/>
        </w:rPr>
      </w:pPr>
    </w:p>
    <w:p w14:paraId="4AE660F6" w14:textId="77777777" w:rsidR="008D7F73" w:rsidRPr="00776407" w:rsidRDefault="008D7F73" w:rsidP="008D7F73">
      <w:pPr>
        <w:autoSpaceDE w:val="0"/>
        <w:autoSpaceDN w:val="0"/>
        <w:adjustRightInd w:val="0"/>
        <w:rPr>
          <w:rFonts w:eastAsia="Calibri"/>
          <w:color w:val="000000"/>
          <w:sz w:val="22"/>
          <w:szCs w:val="22"/>
        </w:rPr>
      </w:pPr>
      <w:r w:rsidRPr="00776407">
        <w:rPr>
          <w:rFonts w:eastAsia="Calibri"/>
          <w:color w:val="000000"/>
          <w:sz w:val="22"/>
          <w:szCs w:val="22"/>
        </w:rPr>
        <w:t>Gydymo trukmė: Klinikinio tyrimo, tęsiamo iki šiol, metu gydymas imatinibu buvo tęsiamas iki ligos progresavimo (žr. 5.1</w:t>
      </w:r>
      <w:r w:rsidR="001642BC" w:rsidRPr="00776407">
        <w:rPr>
          <w:rFonts w:eastAsia="Calibri"/>
          <w:color w:val="000000"/>
          <w:sz w:val="22"/>
          <w:szCs w:val="22"/>
        </w:rPr>
        <w:t> </w:t>
      </w:r>
      <w:r w:rsidRPr="00776407">
        <w:rPr>
          <w:rFonts w:eastAsia="Calibri"/>
          <w:color w:val="000000"/>
          <w:sz w:val="22"/>
          <w:szCs w:val="22"/>
        </w:rPr>
        <w:t>skyrių). Tyrimo metu gydymo vidutinė trukmė buvo 47</w:t>
      </w:r>
      <w:r w:rsidR="001642BC" w:rsidRPr="00776407">
        <w:rPr>
          <w:rFonts w:eastAsia="Calibri"/>
          <w:color w:val="000000"/>
          <w:sz w:val="22"/>
          <w:szCs w:val="22"/>
        </w:rPr>
        <w:t> </w:t>
      </w:r>
      <w:r w:rsidRPr="00776407">
        <w:rPr>
          <w:rFonts w:eastAsia="Calibri"/>
          <w:color w:val="000000"/>
          <w:sz w:val="22"/>
          <w:szCs w:val="22"/>
        </w:rPr>
        <w:t>mėnesiai (24</w:t>
      </w:r>
      <w:r w:rsidR="001642BC" w:rsidRPr="00776407">
        <w:rPr>
          <w:rFonts w:eastAsia="Calibri"/>
          <w:color w:val="000000"/>
          <w:sz w:val="22"/>
          <w:szCs w:val="22"/>
        </w:rPr>
        <w:t> </w:t>
      </w:r>
      <w:r w:rsidRPr="00776407">
        <w:rPr>
          <w:rFonts w:eastAsia="Calibri"/>
          <w:color w:val="000000"/>
          <w:sz w:val="22"/>
          <w:szCs w:val="22"/>
        </w:rPr>
        <w:t>dienos – 60</w:t>
      </w:r>
      <w:r w:rsidR="001642BC" w:rsidRPr="00776407">
        <w:rPr>
          <w:rFonts w:eastAsia="Calibri"/>
          <w:color w:val="000000"/>
          <w:sz w:val="22"/>
          <w:szCs w:val="22"/>
        </w:rPr>
        <w:t> </w:t>
      </w:r>
      <w:r w:rsidRPr="00776407">
        <w:rPr>
          <w:rFonts w:eastAsia="Calibri"/>
          <w:color w:val="000000"/>
          <w:sz w:val="22"/>
          <w:szCs w:val="22"/>
        </w:rPr>
        <w:t xml:space="preserve">mėnesių). </w:t>
      </w:r>
    </w:p>
    <w:p w14:paraId="032298DC" w14:textId="77777777" w:rsidR="008D7F73" w:rsidRPr="00776407" w:rsidRDefault="008D7F73" w:rsidP="008D7F73">
      <w:pPr>
        <w:autoSpaceDE w:val="0"/>
        <w:autoSpaceDN w:val="0"/>
        <w:adjustRightInd w:val="0"/>
        <w:rPr>
          <w:rFonts w:eastAsia="Calibri"/>
          <w:color w:val="000000"/>
          <w:sz w:val="22"/>
          <w:szCs w:val="22"/>
        </w:rPr>
      </w:pPr>
    </w:p>
    <w:p w14:paraId="614EDB14" w14:textId="77777777" w:rsidR="008D7F73" w:rsidRPr="00776407" w:rsidRDefault="008D7F73" w:rsidP="008D7F73">
      <w:pPr>
        <w:autoSpaceDE w:val="0"/>
        <w:autoSpaceDN w:val="0"/>
        <w:adjustRightInd w:val="0"/>
        <w:rPr>
          <w:rFonts w:eastAsia="Calibri"/>
          <w:i/>
          <w:color w:val="000000"/>
          <w:sz w:val="22"/>
          <w:szCs w:val="22"/>
          <w:u w:val="single"/>
        </w:rPr>
      </w:pPr>
      <w:r w:rsidRPr="00776407">
        <w:rPr>
          <w:rFonts w:eastAsia="Calibri"/>
          <w:i/>
          <w:color w:val="000000"/>
          <w:sz w:val="22"/>
          <w:szCs w:val="22"/>
          <w:u w:val="single"/>
        </w:rPr>
        <w:t xml:space="preserve">Dozavimas, kai yra HES/LEL </w:t>
      </w:r>
    </w:p>
    <w:p w14:paraId="29378016" w14:textId="77777777" w:rsidR="008D7F73" w:rsidRPr="00776407" w:rsidRDefault="008D7F73" w:rsidP="008D7F73">
      <w:pPr>
        <w:autoSpaceDE w:val="0"/>
        <w:autoSpaceDN w:val="0"/>
        <w:adjustRightInd w:val="0"/>
        <w:rPr>
          <w:rFonts w:eastAsia="Calibri"/>
          <w:color w:val="000000"/>
          <w:sz w:val="22"/>
          <w:szCs w:val="22"/>
        </w:rPr>
      </w:pPr>
      <w:r w:rsidRPr="00776407">
        <w:rPr>
          <w:rFonts w:eastAsia="Calibri"/>
          <w:color w:val="000000"/>
          <w:sz w:val="22"/>
          <w:szCs w:val="22"/>
        </w:rPr>
        <w:t>Rekomenduojama imatinibo dozė suaugusiesiems pacientams, sergantiems HES/LEL, yra 100</w:t>
      </w:r>
      <w:r w:rsidR="001642BC" w:rsidRPr="00776407">
        <w:rPr>
          <w:rFonts w:eastAsia="Calibri"/>
          <w:color w:val="000000"/>
          <w:sz w:val="22"/>
          <w:szCs w:val="22"/>
        </w:rPr>
        <w:t> </w:t>
      </w:r>
      <w:r w:rsidRPr="00776407">
        <w:rPr>
          <w:rFonts w:eastAsia="Calibri"/>
          <w:color w:val="000000"/>
          <w:sz w:val="22"/>
          <w:szCs w:val="22"/>
        </w:rPr>
        <w:t xml:space="preserve">mg per parą. </w:t>
      </w:r>
    </w:p>
    <w:p w14:paraId="51399319" w14:textId="77777777" w:rsidR="008D7F73" w:rsidRPr="00776407" w:rsidRDefault="008D7F73" w:rsidP="008D7F73">
      <w:pPr>
        <w:autoSpaceDE w:val="0"/>
        <w:autoSpaceDN w:val="0"/>
        <w:adjustRightInd w:val="0"/>
        <w:rPr>
          <w:rFonts w:eastAsia="Calibri"/>
          <w:color w:val="000000"/>
          <w:sz w:val="22"/>
          <w:szCs w:val="22"/>
        </w:rPr>
      </w:pPr>
    </w:p>
    <w:p w14:paraId="28CD0E62" w14:textId="77777777" w:rsidR="008D7F73" w:rsidRPr="00776407" w:rsidRDefault="008D7F73" w:rsidP="008D7F73">
      <w:pPr>
        <w:autoSpaceDE w:val="0"/>
        <w:autoSpaceDN w:val="0"/>
        <w:adjustRightInd w:val="0"/>
        <w:rPr>
          <w:rFonts w:eastAsia="Calibri"/>
          <w:color w:val="000000"/>
          <w:sz w:val="22"/>
          <w:szCs w:val="22"/>
        </w:rPr>
      </w:pPr>
      <w:r w:rsidRPr="00776407">
        <w:rPr>
          <w:rFonts w:eastAsia="Calibri"/>
          <w:color w:val="000000"/>
          <w:sz w:val="22"/>
          <w:szCs w:val="22"/>
        </w:rPr>
        <w:t>Galima didinti dozę nuo 100</w:t>
      </w:r>
      <w:r w:rsidR="001642BC" w:rsidRPr="00776407">
        <w:rPr>
          <w:rFonts w:eastAsia="Calibri"/>
          <w:color w:val="000000"/>
          <w:sz w:val="22"/>
          <w:szCs w:val="22"/>
        </w:rPr>
        <w:t> </w:t>
      </w:r>
      <w:r w:rsidRPr="00776407">
        <w:rPr>
          <w:rFonts w:eastAsia="Calibri"/>
          <w:color w:val="000000"/>
          <w:sz w:val="22"/>
          <w:szCs w:val="22"/>
        </w:rPr>
        <w:t>mg iki 400</w:t>
      </w:r>
      <w:r w:rsidR="001642BC" w:rsidRPr="00776407">
        <w:rPr>
          <w:rFonts w:eastAsia="Calibri"/>
          <w:color w:val="000000"/>
          <w:sz w:val="22"/>
          <w:szCs w:val="22"/>
        </w:rPr>
        <w:t> </w:t>
      </w:r>
      <w:r w:rsidRPr="00776407">
        <w:rPr>
          <w:rFonts w:eastAsia="Calibri"/>
          <w:color w:val="000000"/>
          <w:sz w:val="22"/>
          <w:szCs w:val="22"/>
        </w:rPr>
        <w:t xml:space="preserve">mg, jei nėra nepageidaujamų reakcijų ir jeigu įvertinimas rodo nepakankamą atsaką į gydymą. </w:t>
      </w:r>
    </w:p>
    <w:p w14:paraId="5DAD9972" w14:textId="77777777" w:rsidR="008D7F73" w:rsidRPr="00776407" w:rsidRDefault="008D7F73" w:rsidP="008D7F73">
      <w:pPr>
        <w:autoSpaceDE w:val="0"/>
        <w:autoSpaceDN w:val="0"/>
        <w:adjustRightInd w:val="0"/>
        <w:rPr>
          <w:rFonts w:eastAsia="Calibri"/>
          <w:color w:val="000000"/>
          <w:sz w:val="22"/>
          <w:szCs w:val="22"/>
        </w:rPr>
      </w:pPr>
    </w:p>
    <w:p w14:paraId="67E48E11" w14:textId="77777777" w:rsidR="008D7F73" w:rsidRPr="00776407" w:rsidRDefault="008D7F73" w:rsidP="008D7F73">
      <w:pPr>
        <w:autoSpaceDE w:val="0"/>
        <w:autoSpaceDN w:val="0"/>
        <w:adjustRightInd w:val="0"/>
        <w:rPr>
          <w:rFonts w:eastAsia="Calibri"/>
          <w:color w:val="000000"/>
          <w:sz w:val="22"/>
          <w:szCs w:val="22"/>
        </w:rPr>
      </w:pPr>
      <w:r w:rsidRPr="00776407">
        <w:rPr>
          <w:rFonts w:eastAsia="Calibri"/>
          <w:color w:val="000000"/>
          <w:sz w:val="22"/>
          <w:szCs w:val="22"/>
        </w:rPr>
        <w:t xml:space="preserve">Gydymą reikia tęsti tol, kol pacientui stebimas teigiamas poveikis. </w:t>
      </w:r>
    </w:p>
    <w:p w14:paraId="462B1258" w14:textId="77777777" w:rsidR="008D7F73" w:rsidRPr="00776407" w:rsidRDefault="008D7F73" w:rsidP="008D7F73">
      <w:pPr>
        <w:autoSpaceDE w:val="0"/>
        <w:autoSpaceDN w:val="0"/>
        <w:adjustRightInd w:val="0"/>
        <w:rPr>
          <w:rFonts w:eastAsia="Calibri"/>
          <w:color w:val="000000"/>
          <w:sz w:val="22"/>
          <w:szCs w:val="22"/>
        </w:rPr>
      </w:pPr>
    </w:p>
    <w:p w14:paraId="7D6B9095" w14:textId="77777777" w:rsidR="008D7F73" w:rsidRPr="00776407" w:rsidRDefault="008D7F73" w:rsidP="008D7F73">
      <w:pPr>
        <w:autoSpaceDE w:val="0"/>
        <w:autoSpaceDN w:val="0"/>
        <w:adjustRightInd w:val="0"/>
        <w:rPr>
          <w:rFonts w:eastAsia="Calibri"/>
          <w:i/>
          <w:color w:val="000000"/>
          <w:sz w:val="22"/>
          <w:szCs w:val="22"/>
          <w:u w:val="single"/>
        </w:rPr>
      </w:pPr>
      <w:r w:rsidRPr="00776407">
        <w:rPr>
          <w:rFonts w:eastAsia="Calibri"/>
          <w:i/>
          <w:color w:val="000000"/>
          <w:sz w:val="22"/>
          <w:szCs w:val="22"/>
          <w:u w:val="single"/>
        </w:rPr>
        <w:t xml:space="preserve">Dozavimas, kai yra DFSP </w:t>
      </w:r>
    </w:p>
    <w:p w14:paraId="2296A36F" w14:textId="77777777" w:rsidR="008D7F73" w:rsidRPr="00776407" w:rsidRDefault="008D7F73" w:rsidP="008D7F73">
      <w:pPr>
        <w:rPr>
          <w:sz w:val="22"/>
          <w:szCs w:val="22"/>
        </w:rPr>
      </w:pPr>
      <w:r w:rsidRPr="00776407">
        <w:rPr>
          <w:rFonts w:eastAsia="Calibri"/>
          <w:color w:val="000000"/>
          <w:sz w:val="22"/>
          <w:szCs w:val="22"/>
        </w:rPr>
        <w:t>DFSP sergantiems suaugusiesiems pacientams rekomenduojama imatinibo dozė yra 800</w:t>
      </w:r>
      <w:r w:rsidR="001642BC" w:rsidRPr="00776407">
        <w:rPr>
          <w:rFonts w:eastAsia="Calibri"/>
          <w:color w:val="000000"/>
          <w:sz w:val="22"/>
          <w:szCs w:val="22"/>
        </w:rPr>
        <w:t> </w:t>
      </w:r>
      <w:r w:rsidRPr="00776407">
        <w:rPr>
          <w:rFonts w:eastAsia="Calibri"/>
          <w:color w:val="000000"/>
          <w:sz w:val="22"/>
          <w:szCs w:val="22"/>
        </w:rPr>
        <w:t>mg per parą.</w:t>
      </w:r>
    </w:p>
    <w:p w14:paraId="0808A42E" w14:textId="77777777" w:rsidR="00430A5A" w:rsidRPr="00776407" w:rsidRDefault="00430A5A" w:rsidP="00430A5A">
      <w:pPr>
        <w:rPr>
          <w:sz w:val="22"/>
          <w:szCs w:val="22"/>
        </w:rPr>
      </w:pPr>
    </w:p>
    <w:p w14:paraId="4E8F3DCB" w14:textId="77777777" w:rsidR="00430A5A" w:rsidRPr="00776407" w:rsidRDefault="00430A5A" w:rsidP="00430A5A">
      <w:pPr>
        <w:rPr>
          <w:i/>
          <w:sz w:val="22"/>
          <w:szCs w:val="22"/>
          <w:u w:val="single"/>
        </w:rPr>
      </w:pPr>
      <w:r w:rsidRPr="00776407">
        <w:rPr>
          <w:i/>
          <w:sz w:val="22"/>
          <w:szCs w:val="22"/>
          <w:u w:val="single"/>
        </w:rPr>
        <w:t xml:space="preserve">Dozės korekcija dėl nepageidaujamo poveikio </w:t>
      </w:r>
    </w:p>
    <w:p w14:paraId="684280B7" w14:textId="77777777" w:rsidR="00430A5A" w:rsidRPr="00776407" w:rsidRDefault="00430A5A" w:rsidP="00430A5A">
      <w:pPr>
        <w:rPr>
          <w:sz w:val="22"/>
          <w:szCs w:val="22"/>
        </w:rPr>
      </w:pPr>
      <w:r w:rsidRPr="00776407">
        <w:rPr>
          <w:i/>
          <w:iCs/>
          <w:sz w:val="22"/>
          <w:szCs w:val="22"/>
        </w:rPr>
        <w:t xml:space="preserve">Nehematologinės nepageidaujamos reakcijos </w:t>
      </w:r>
    </w:p>
    <w:p w14:paraId="5A50E2DE" w14:textId="77777777" w:rsidR="00430A5A" w:rsidRPr="00776407" w:rsidRDefault="00430A5A" w:rsidP="00430A5A">
      <w:pPr>
        <w:rPr>
          <w:sz w:val="22"/>
          <w:szCs w:val="22"/>
        </w:rPr>
      </w:pPr>
      <w:r w:rsidRPr="00776407">
        <w:rPr>
          <w:sz w:val="22"/>
          <w:szCs w:val="22"/>
        </w:rPr>
        <w:t xml:space="preserve">Jeigu vartojant imatinibo atsiranda sunkių nehematologinių nepageidaujamų reakcijų, gydymą būtina nutraukti tol, kol šie reiškiniai išnyksta. Vėliau, jei reikia, gydymą galima atnaujinti atsižvelgiant į pradinį nepageidaujamų reiškinių sunkumą. </w:t>
      </w:r>
    </w:p>
    <w:p w14:paraId="6C1C382F" w14:textId="77777777" w:rsidR="00430A5A" w:rsidRPr="00776407" w:rsidRDefault="00430A5A" w:rsidP="00430A5A">
      <w:pPr>
        <w:rPr>
          <w:sz w:val="22"/>
          <w:szCs w:val="22"/>
        </w:rPr>
      </w:pPr>
    </w:p>
    <w:p w14:paraId="11A4659A" w14:textId="77777777" w:rsidR="005D0069" w:rsidRPr="00776407" w:rsidRDefault="00430A5A" w:rsidP="005D0069">
      <w:pPr>
        <w:rPr>
          <w:sz w:val="22"/>
          <w:szCs w:val="22"/>
        </w:rPr>
      </w:pPr>
      <w:r w:rsidRPr="00776407">
        <w:rPr>
          <w:sz w:val="22"/>
          <w:szCs w:val="22"/>
        </w:rPr>
        <w:t>J</w:t>
      </w:r>
      <w:r w:rsidR="005D0069" w:rsidRPr="00776407">
        <w:rPr>
          <w:sz w:val="22"/>
          <w:szCs w:val="22"/>
        </w:rPr>
        <w:t>ei bilirubino koncentracija &gt; 3 kartus yra didesnė už nustatytą viršutinę normos ribą (NVNR) ar kepenų transaminazių koncentracija &gt; 5 kartus didesnė už NVNR, imatinibo nevartoti, kol bilirubino koncentracija sumažėja &lt; 1,5 karto už NVNR ir transaminazių koncentracija &lt; 2,5 karto už NVNR. Gydymą galima tęsti sumažinta imatinibo paros doze. Suaugusiesiems dozę reikia sumažinti nuo 400 mg iki 300 mg arba nuo 600 mg iki 400 mg arba nuo 800 mg iki 600 mg, o vaikams nuo 340 mg/m</w:t>
      </w:r>
      <w:r w:rsidR="005D0069" w:rsidRPr="00776407">
        <w:rPr>
          <w:sz w:val="22"/>
          <w:szCs w:val="22"/>
          <w:vertAlign w:val="superscript"/>
        </w:rPr>
        <w:t>2</w:t>
      </w:r>
      <w:r w:rsidR="005D0069" w:rsidRPr="00776407">
        <w:rPr>
          <w:sz w:val="22"/>
          <w:szCs w:val="22"/>
        </w:rPr>
        <w:t xml:space="preserve"> per parą iki 260 mg/m</w:t>
      </w:r>
      <w:r w:rsidR="005D0069" w:rsidRPr="00776407">
        <w:rPr>
          <w:sz w:val="22"/>
          <w:szCs w:val="22"/>
          <w:vertAlign w:val="superscript"/>
        </w:rPr>
        <w:t>2</w:t>
      </w:r>
      <w:r w:rsidR="005D0069" w:rsidRPr="00776407">
        <w:rPr>
          <w:sz w:val="22"/>
          <w:szCs w:val="22"/>
        </w:rPr>
        <w:t xml:space="preserve"> per parą. </w:t>
      </w:r>
    </w:p>
    <w:p w14:paraId="6ADA889A" w14:textId="77777777" w:rsidR="00430A5A" w:rsidRPr="00776407" w:rsidRDefault="00430A5A" w:rsidP="00430A5A">
      <w:pPr>
        <w:rPr>
          <w:sz w:val="22"/>
          <w:szCs w:val="22"/>
        </w:rPr>
      </w:pPr>
    </w:p>
    <w:p w14:paraId="5CB77CF8" w14:textId="77777777" w:rsidR="00430A5A" w:rsidRPr="00776407" w:rsidRDefault="00430A5A" w:rsidP="00430A5A">
      <w:pPr>
        <w:rPr>
          <w:sz w:val="22"/>
          <w:szCs w:val="22"/>
        </w:rPr>
      </w:pPr>
      <w:r w:rsidRPr="00776407">
        <w:rPr>
          <w:i/>
          <w:iCs/>
          <w:sz w:val="22"/>
          <w:szCs w:val="22"/>
        </w:rPr>
        <w:t xml:space="preserve">Hematologinės nepageidaujamos reakcijos </w:t>
      </w:r>
    </w:p>
    <w:p w14:paraId="06422E35" w14:textId="77777777" w:rsidR="00430A5A" w:rsidRPr="00776407" w:rsidRDefault="00430A5A" w:rsidP="00430A5A">
      <w:pPr>
        <w:rPr>
          <w:sz w:val="22"/>
          <w:szCs w:val="22"/>
        </w:rPr>
      </w:pPr>
      <w:r w:rsidRPr="00776407">
        <w:rPr>
          <w:sz w:val="22"/>
          <w:szCs w:val="22"/>
        </w:rPr>
        <w:t xml:space="preserve">Dozės mažinimo ir gydymo pertraukimo rekomendacijos, išryškėjus sunkiai neutropenijai ar trombocitopenijai, nurodytos lentelėje žemiau. </w:t>
      </w:r>
    </w:p>
    <w:p w14:paraId="33F36140" w14:textId="77777777" w:rsidR="00430A5A" w:rsidRPr="00776407" w:rsidRDefault="00430A5A" w:rsidP="00430A5A">
      <w:pPr>
        <w:rPr>
          <w:sz w:val="22"/>
          <w:szCs w:val="22"/>
        </w:rPr>
      </w:pPr>
    </w:p>
    <w:p w14:paraId="1AE69E5B" w14:textId="77777777" w:rsidR="00430A5A" w:rsidRPr="00776407" w:rsidRDefault="00430A5A" w:rsidP="00430A5A">
      <w:pPr>
        <w:rPr>
          <w:sz w:val="22"/>
          <w:szCs w:val="22"/>
        </w:rPr>
      </w:pPr>
      <w:r w:rsidRPr="00776407">
        <w:rPr>
          <w:sz w:val="22"/>
          <w:szCs w:val="22"/>
        </w:rPr>
        <w:t>Dozės korekcija, kai yra neutropenija ir trombocitopenija:</w:t>
      </w:r>
    </w:p>
    <w:p w14:paraId="1C55D530" w14:textId="77777777" w:rsidR="008D7F73" w:rsidRPr="00776407" w:rsidRDefault="008D7F73" w:rsidP="00430A5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335"/>
      </w:tblGrid>
      <w:tr w:rsidR="008D7F73" w:rsidRPr="00776407" w14:paraId="4061C14F" w14:textId="77777777" w:rsidTr="008D7F73">
        <w:tc>
          <w:tcPr>
            <w:tcW w:w="2605" w:type="dxa"/>
            <w:tcBorders>
              <w:top w:val="single" w:sz="4" w:space="0" w:color="auto"/>
              <w:left w:val="single" w:sz="4" w:space="0" w:color="auto"/>
              <w:bottom w:val="single" w:sz="4" w:space="0" w:color="auto"/>
              <w:right w:val="single" w:sz="4" w:space="0" w:color="auto"/>
            </w:tcBorders>
          </w:tcPr>
          <w:p w14:paraId="23E05AE5" w14:textId="77777777" w:rsidR="008D7F73" w:rsidRPr="00776407" w:rsidRDefault="008D7F73" w:rsidP="008D7F73">
            <w:pPr>
              <w:rPr>
                <w:sz w:val="22"/>
                <w:szCs w:val="22"/>
              </w:rPr>
            </w:pPr>
            <w:r w:rsidRPr="00776407">
              <w:rPr>
                <w:sz w:val="22"/>
                <w:szCs w:val="22"/>
              </w:rPr>
              <w:t xml:space="preserve">HES/LEL (pradinė dozė – 100 mg) </w:t>
            </w:r>
          </w:p>
        </w:tc>
        <w:tc>
          <w:tcPr>
            <w:tcW w:w="2606" w:type="dxa"/>
            <w:tcBorders>
              <w:top w:val="single" w:sz="4" w:space="0" w:color="auto"/>
              <w:left w:val="single" w:sz="4" w:space="0" w:color="auto"/>
              <w:bottom w:val="single" w:sz="4" w:space="0" w:color="auto"/>
              <w:right w:val="single" w:sz="4" w:space="0" w:color="auto"/>
            </w:tcBorders>
          </w:tcPr>
          <w:p w14:paraId="710BCF77" w14:textId="77777777" w:rsidR="008D7F73" w:rsidRPr="00776407" w:rsidRDefault="008D7F73" w:rsidP="008D7F73">
            <w:pPr>
              <w:rPr>
                <w:sz w:val="22"/>
                <w:szCs w:val="22"/>
              </w:rPr>
            </w:pPr>
            <w:r w:rsidRPr="00776407">
              <w:rPr>
                <w:sz w:val="22"/>
                <w:szCs w:val="22"/>
              </w:rPr>
              <w:t>ANS &lt; 1,0 x 10</w:t>
            </w:r>
            <w:r w:rsidRPr="00776407">
              <w:rPr>
                <w:sz w:val="22"/>
                <w:szCs w:val="22"/>
                <w:vertAlign w:val="superscript"/>
              </w:rPr>
              <w:t>9</w:t>
            </w:r>
            <w:r w:rsidRPr="00776407">
              <w:rPr>
                <w:sz w:val="22"/>
                <w:szCs w:val="22"/>
              </w:rPr>
              <w:t xml:space="preserve">/l </w:t>
            </w:r>
          </w:p>
          <w:p w14:paraId="6D2304FC" w14:textId="77777777" w:rsidR="008D7F73" w:rsidRPr="00776407" w:rsidRDefault="008D7F73" w:rsidP="00C014CA">
            <w:pPr>
              <w:autoSpaceDE w:val="0"/>
              <w:autoSpaceDN w:val="0"/>
              <w:adjustRightInd w:val="0"/>
              <w:rPr>
                <w:sz w:val="22"/>
                <w:szCs w:val="22"/>
              </w:rPr>
            </w:pPr>
            <w:r w:rsidRPr="00776407">
              <w:rPr>
                <w:sz w:val="22"/>
                <w:szCs w:val="22"/>
              </w:rPr>
              <w:t xml:space="preserve">ir (ar) </w:t>
            </w:r>
          </w:p>
          <w:p w14:paraId="73832204" w14:textId="77777777" w:rsidR="008D7F73" w:rsidRPr="00776407" w:rsidRDefault="008D7F73" w:rsidP="00C014CA">
            <w:pPr>
              <w:autoSpaceDE w:val="0"/>
              <w:autoSpaceDN w:val="0"/>
              <w:adjustRightInd w:val="0"/>
              <w:rPr>
                <w:sz w:val="22"/>
                <w:szCs w:val="22"/>
              </w:rPr>
            </w:pPr>
            <w:r w:rsidRPr="00776407">
              <w:rPr>
                <w:sz w:val="22"/>
                <w:szCs w:val="22"/>
              </w:rPr>
              <w:t>trombocitų &lt; 50 x 10</w:t>
            </w:r>
            <w:r w:rsidRPr="00776407">
              <w:rPr>
                <w:sz w:val="22"/>
                <w:szCs w:val="22"/>
                <w:vertAlign w:val="superscript"/>
              </w:rPr>
              <w:t>9</w:t>
            </w:r>
            <w:r w:rsidRPr="00776407">
              <w:rPr>
                <w:sz w:val="22"/>
                <w:szCs w:val="22"/>
              </w:rPr>
              <w:t xml:space="preserve">/l </w:t>
            </w:r>
          </w:p>
        </w:tc>
        <w:tc>
          <w:tcPr>
            <w:tcW w:w="4335" w:type="dxa"/>
            <w:tcBorders>
              <w:top w:val="single" w:sz="4" w:space="0" w:color="auto"/>
              <w:left w:val="single" w:sz="4" w:space="0" w:color="auto"/>
              <w:bottom w:val="single" w:sz="4" w:space="0" w:color="auto"/>
              <w:right w:val="single" w:sz="4" w:space="0" w:color="auto"/>
            </w:tcBorders>
          </w:tcPr>
          <w:p w14:paraId="08BCF801" w14:textId="77777777" w:rsidR="008D7F73" w:rsidRPr="00776407" w:rsidRDefault="008D7F73" w:rsidP="008D7F73">
            <w:pPr>
              <w:ind w:left="567" w:hanging="567"/>
              <w:rPr>
                <w:sz w:val="22"/>
                <w:szCs w:val="22"/>
              </w:rPr>
            </w:pPr>
            <w:r w:rsidRPr="00776407">
              <w:rPr>
                <w:sz w:val="22"/>
                <w:szCs w:val="22"/>
              </w:rPr>
              <w:t>1.</w:t>
            </w:r>
            <w:r w:rsidRPr="00776407">
              <w:rPr>
                <w:sz w:val="22"/>
                <w:szCs w:val="22"/>
              </w:rPr>
              <w:tab/>
              <w:t>Imatinibo vartojimą nutraukti, kol ANS bus ≥ 1,5 x 10</w:t>
            </w:r>
            <w:r w:rsidRPr="00776407">
              <w:rPr>
                <w:sz w:val="22"/>
                <w:szCs w:val="22"/>
                <w:vertAlign w:val="superscript"/>
              </w:rPr>
              <w:t>9</w:t>
            </w:r>
            <w:r w:rsidRPr="00776407">
              <w:rPr>
                <w:sz w:val="22"/>
                <w:szCs w:val="22"/>
              </w:rPr>
              <w:t>/l ir trombocitų ≥ 75 x 10</w:t>
            </w:r>
            <w:r w:rsidRPr="00776407">
              <w:rPr>
                <w:sz w:val="22"/>
                <w:szCs w:val="22"/>
                <w:vertAlign w:val="superscript"/>
              </w:rPr>
              <w:t>9</w:t>
            </w:r>
            <w:r w:rsidRPr="00776407">
              <w:rPr>
                <w:sz w:val="22"/>
                <w:szCs w:val="22"/>
              </w:rPr>
              <w:t xml:space="preserve">/l. </w:t>
            </w:r>
          </w:p>
          <w:p w14:paraId="5482FE47" w14:textId="12696939" w:rsidR="008D7F73" w:rsidRPr="00776407" w:rsidRDefault="008D7F73" w:rsidP="008D7F73">
            <w:pPr>
              <w:autoSpaceDE w:val="0"/>
              <w:autoSpaceDN w:val="0"/>
              <w:adjustRightInd w:val="0"/>
              <w:ind w:left="567" w:hanging="567"/>
              <w:rPr>
                <w:sz w:val="22"/>
                <w:szCs w:val="22"/>
              </w:rPr>
            </w:pPr>
            <w:r w:rsidRPr="00776407">
              <w:rPr>
                <w:sz w:val="22"/>
                <w:szCs w:val="22"/>
              </w:rPr>
              <w:t>2.</w:t>
            </w:r>
            <w:r w:rsidRPr="00776407">
              <w:rPr>
                <w:sz w:val="22"/>
                <w:szCs w:val="22"/>
              </w:rPr>
              <w:tab/>
              <w:t>Gydymą imatinibu atnaujinti anksčiau vartota doze (t.</w:t>
            </w:r>
            <w:r w:rsidR="002B7610" w:rsidRPr="00776407">
              <w:rPr>
                <w:sz w:val="22"/>
                <w:szCs w:val="22"/>
              </w:rPr>
              <w:t> </w:t>
            </w:r>
            <w:r w:rsidRPr="00776407">
              <w:rPr>
                <w:sz w:val="22"/>
                <w:szCs w:val="22"/>
              </w:rPr>
              <w:t xml:space="preserve">y. ta, kuri buvo vartota prieš pasireiškiant stipriai nepageidaujamai reakcijai). </w:t>
            </w:r>
          </w:p>
        </w:tc>
      </w:tr>
      <w:tr w:rsidR="008D7F73" w:rsidRPr="00776407" w14:paraId="4AF944CD" w14:textId="77777777" w:rsidTr="008D7F73">
        <w:tc>
          <w:tcPr>
            <w:tcW w:w="2605" w:type="dxa"/>
            <w:tcBorders>
              <w:top w:val="single" w:sz="4" w:space="0" w:color="auto"/>
              <w:left w:val="single" w:sz="4" w:space="0" w:color="auto"/>
              <w:bottom w:val="single" w:sz="4" w:space="0" w:color="auto"/>
              <w:right w:val="single" w:sz="4" w:space="0" w:color="auto"/>
            </w:tcBorders>
          </w:tcPr>
          <w:p w14:paraId="0141D389" w14:textId="77777777" w:rsidR="00102A19" w:rsidRPr="00776407" w:rsidRDefault="00102A19" w:rsidP="00102A19">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Lėtinė MDS/ MPL fazė (pradinė dozė – 400 mg) </w:t>
            </w:r>
          </w:p>
          <w:p w14:paraId="555CEE75" w14:textId="77777777" w:rsidR="008D7F73" w:rsidRPr="00776407" w:rsidRDefault="00102A19" w:rsidP="00102A19">
            <w:pPr>
              <w:autoSpaceDE w:val="0"/>
              <w:autoSpaceDN w:val="0"/>
              <w:adjustRightInd w:val="0"/>
              <w:rPr>
                <w:sz w:val="22"/>
                <w:szCs w:val="22"/>
              </w:rPr>
            </w:pPr>
            <w:r w:rsidRPr="00776407">
              <w:rPr>
                <w:sz w:val="22"/>
                <w:szCs w:val="22"/>
              </w:rPr>
              <w:t>HES/LEL (400 mg dozė)</w:t>
            </w:r>
            <w:r w:rsidR="008D7F73" w:rsidRPr="00776407">
              <w:rPr>
                <w:sz w:val="22"/>
                <w:szCs w:val="22"/>
              </w:rPr>
              <w:t xml:space="preserve"> </w:t>
            </w:r>
          </w:p>
        </w:tc>
        <w:tc>
          <w:tcPr>
            <w:tcW w:w="2606" w:type="dxa"/>
            <w:tcBorders>
              <w:top w:val="single" w:sz="4" w:space="0" w:color="auto"/>
              <w:left w:val="single" w:sz="4" w:space="0" w:color="auto"/>
              <w:bottom w:val="single" w:sz="4" w:space="0" w:color="auto"/>
              <w:right w:val="single" w:sz="4" w:space="0" w:color="auto"/>
            </w:tcBorders>
          </w:tcPr>
          <w:p w14:paraId="6934E77A" w14:textId="77777777" w:rsidR="008D7F73" w:rsidRPr="00776407" w:rsidRDefault="008D7F73" w:rsidP="008D7F73">
            <w:pPr>
              <w:rPr>
                <w:sz w:val="22"/>
                <w:szCs w:val="22"/>
              </w:rPr>
            </w:pPr>
            <w:r w:rsidRPr="00776407">
              <w:rPr>
                <w:sz w:val="22"/>
                <w:szCs w:val="22"/>
              </w:rPr>
              <w:t>ANS &lt; 1,0 x 10</w:t>
            </w:r>
            <w:r w:rsidRPr="00776407">
              <w:rPr>
                <w:sz w:val="22"/>
                <w:szCs w:val="22"/>
                <w:vertAlign w:val="superscript"/>
              </w:rPr>
              <w:t>9</w:t>
            </w:r>
            <w:r w:rsidRPr="00776407">
              <w:rPr>
                <w:sz w:val="22"/>
                <w:szCs w:val="22"/>
              </w:rPr>
              <w:t xml:space="preserve">/l </w:t>
            </w:r>
          </w:p>
          <w:p w14:paraId="2DA12AFB" w14:textId="77777777" w:rsidR="008D7F73" w:rsidRPr="00776407" w:rsidRDefault="008D7F73" w:rsidP="008D7F73">
            <w:pPr>
              <w:rPr>
                <w:sz w:val="22"/>
                <w:szCs w:val="22"/>
              </w:rPr>
            </w:pPr>
            <w:r w:rsidRPr="00776407">
              <w:rPr>
                <w:sz w:val="22"/>
                <w:szCs w:val="22"/>
              </w:rPr>
              <w:t xml:space="preserve">ir (ar) </w:t>
            </w:r>
          </w:p>
          <w:p w14:paraId="1AFABC19" w14:textId="77777777" w:rsidR="008D7F73" w:rsidRPr="00776407" w:rsidRDefault="008D7F73" w:rsidP="00C014CA">
            <w:pPr>
              <w:autoSpaceDE w:val="0"/>
              <w:autoSpaceDN w:val="0"/>
              <w:adjustRightInd w:val="0"/>
              <w:rPr>
                <w:sz w:val="22"/>
                <w:szCs w:val="22"/>
              </w:rPr>
            </w:pPr>
            <w:r w:rsidRPr="00776407">
              <w:rPr>
                <w:sz w:val="22"/>
                <w:szCs w:val="22"/>
              </w:rPr>
              <w:t>trombocitų &lt; 50 x 10</w:t>
            </w:r>
            <w:r w:rsidRPr="00776407">
              <w:rPr>
                <w:sz w:val="22"/>
                <w:szCs w:val="22"/>
                <w:vertAlign w:val="superscript"/>
              </w:rPr>
              <w:t>9</w:t>
            </w:r>
            <w:r w:rsidRPr="00776407">
              <w:rPr>
                <w:sz w:val="22"/>
                <w:szCs w:val="22"/>
              </w:rPr>
              <w:t xml:space="preserve">/l </w:t>
            </w:r>
          </w:p>
        </w:tc>
        <w:tc>
          <w:tcPr>
            <w:tcW w:w="4335" w:type="dxa"/>
            <w:tcBorders>
              <w:top w:val="single" w:sz="4" w:space="0" w:color="auto"/>
              <w:left w:val="single" w:sz="4" w:space="0" w:color="auto"/>
              <w:bottom w:val="single" w:sz="4" w:space="0" w:color="auto"/>
              <w:right w:val="single" w:sz="4" w:space="0" w:color="auto"/>
            </w:tcBorders>
          </w:tcPr>
          <w:p w14:paraId="200EC78D" w14:textId="77777777" w:rsidR="008D7F73" w:rsidRPr="00776407" w:rsidRDefault="008D7F73" w:rsidP="008D7F73">
            <w:pPr>
              <w:ind w:left="567" w:hanging="567"/>
              <w:rPr>
                <w:sz w:val="22"/>
                <w:szCs w:val="22"/>
              </w:rPr>
            </w:pPr>
            <w:r w:rsidRPr="00776407">
              <w:rPr>
                <w:sz w:val="22"/>
                <w:szCs w:val="22"/>
              </w:rPr>
              <w:t>1.</w:t>
            </w:r>
            <w:r w:rsidRPr="00776407">
              <w:rPr>
                <w:sz w:val="22"/>
                <w:szCs w:val="22"/>
              </w:rPr>
              <w:tab/>
              <w:t>Imatinibo vartojimą nutraukti, kol ANS bus ≥ 1,5 x 10</w:t>
            </w:r>
            <w:r w:rsidRPr="00776407">
              <w:rPr>
                <w:sz w:val="22"/>
                <w:szCs w:val="22"/>
                <w:vertAlign w:val="superscript"/>
              </w:rPr>
              <w:t>9</w:t>
            </w:r>
            <w:r w:rsidRPr="00776407">
              <w:rPr>
                <w:sz w:val="22"/>
                <w:szCs w:val="22"/>
              </w:rPr>
              <w:t>/l ir trombocitų ≥ 75 x 10</w:t>
            </w:r>
            <w:r w:rsidRPr="00776407">
              <w:rPr>
                <w:sz w:val="22"/>
                <w:szCs w:val="22"/>
                <w:vertAlign w:val="superscript"/>
              </w:rPr>
              <w:t>9</w:t>
            </w:r>
            <w:r w:rsidRPr="00776407">
              <w:rPr>
                <w:sz w:val="22"/>
                <w:szCs w:val="22"/>
              </w:rPr>
              <w:t xml:space="preserve">/l. </w:t>
            </w:r>
          </w:p>
          <w:p w14:paraId="720A3619" w14:textId="70F67371" w:rsidR="008D7F73" w:rsidRPr="00776407" w:rsidRDefault="008D7F73" w:rsidP="008D7F73">
            <w:pPr>
              <w:ind w:left="567" w:hanging="567"/>
              <w:rPr>
                <w:sz w:val="22"/>
                <w:szCs w:val="22"/>
              </w:rPr>
            </w:pPr>
            <w:r w:rsidRPr="00776407">
              <w:rPr>
                <w:sz w:val="22"/>
                <w:szCs w:val="22"/>
              </w:rPr>
              <w:t>2.</w:t>
            </w:r>
            <w:r w:rsidRPr="00776407">
              <w:rPr>
                <w:sz w:val="22"/>
                <w:szCs w:val="22"/>
              </w:rPr>
              <w:tab/>
              <w:t>Gydymą imatinibu atnaujinti anksčiau vartota doze (t.</w:t>
            </w:r>
            <w:r w:rsidR="002B7610" w:rsidRPr="00776407">
              <w:rPr>
                <w:sz w:val="22"/>
                <w:szCs w:val="22"/>
              </w:rPr>
              <w:t> </w:t>
            </w:r>
            <w:r w:rsidRPr="00776407">
              <w:rPr>
                <w:sz w:val="22"/>
                <w:szCs w:val="22"/>
              </w:rPr>
              <w:t xml:space="preserve">y. ta, kuri buvo vartota prieš pasireiškiant stipriai nepageidaujamai reakcijai). </w:t>
            </w:r>
          </w:p>
          <w:p w14:paraId="0CCA6109" w14:textId="77777777" w:rsidR="008D7F73" w:rsidRPr="00776407" w:rsidRDefault="008D7F73" w:rsidP="008D7F73">
            <w:pPr>
              <w:autoSpaceDE w:val="0"/>
              <w:autoSpaceDN w:val="0"/>
              <w:adjustRightInd w:val="0"/>
              <w:ind w:left="567" w:hanging="567"/>
              <w:rPr>
                <w:sz w:val="22"/>
                <w:szCs w:val="22"/>
              </w:rPr>
            </w:pPr>
            <w:r w:rsidRPr="00776407">
              <w:rPr>
                <w:sz w:val="22"/>
                <w:szCs w:val="22"/>
              </w:rPr>
              <w:t>3.</w:t>
            </w:r>
            <w:r w:rsidRPr="00776407">
              <w:rPr>
                <w:sz w:val="22"/>
                <w:szCs w:val="22"/>
              </w:rPr>
              <w:tab/>
              <w:t>Kartotinai sumažėjus ANS &lt; 1,0 x 10</w:t>
            </w:r>
            <w:r w:rsidRPr="00776407">
              <w:rPr>
                <w:sz w:val="22"/>
                <w:szCs w:val="22"/>
                <w:vertAlign w:val="superscript"/>
              </w:rPr>
              <w:t>9</w:t>
            </w:r>
            <w:r w:rsidRPr="00776407">
              <w:rPr>
                <w:sz w:val="22"/>
                <w:szCs w:val="22"/>
              </w:rPr>
              <w:t>/l ir trombocitų &lt; 50 x 10</w:t>
            </w:r>
            <w:r w:rsidRPr="00776407">
              <w:rPr>
                <w:sz w:val="22"/>
                <w:szCs w:val="22"/>
                <w:vertAlign w:val="superscript"/>
              </w:rPr>
              <w:t>9</w:t>
            </w:r>
            <w:r w:rsidRPr="00776407">
              <w:rPr>
                <w:sz w:val="22"/>
                <w:szCs w:val="22"/>
              </w:rPr>
              <w:t xml:space="preserve">/l, kartoti nuo 1-ojo punkto ir gydymą imatinibu atnaujinti sumažinta 300 mg doze. </w:t>
            </w:r>
          </w:p>
        </w:tc>
      </w:tr>
      <w:tr w:rsidR="00430A5A" w:rsidRPr="00776407" w14:paraId="52FAC1A6" w14:textId="77777777" w:rsidTr="00430A5A">
        <w:tc>
          <w:tcPr>
            <w:tcW w:w="2605" w:type="dxa"/>
          </w:tcPr>
          <w:p w14:paraId="57D13E98" w14:textId="77777777" w:rsidR="00430A5A" w:rsidRPr="00776407" w:rsidRDefault="00430A5A" w:rsidP="00430A5A">
            <w:pPr>
              <w:autoSpaceDE w:val="0"/>
              <w:autoSpaceDN w:val="0"/>
              <w:adjustRightInd w:val="0"/>
            </w:pPr>
            <w:r w:rsidRPr="00776407">
              <w:rPr>
                <w:sz w:val="22"/>
                <w:szCs w:val="22"/>
              </w:rPr>
              <w:t>Vaikų lėtinė LML fazė (340 mg/m</w:t>
            </w:r>
            <w:r w:rsidRPr="00776407">
              <w:rPr>
                <w:sz w:val="22"/>
                <w:szCs w:val="22"/>
                <w:vertAlign w:val="superscript"/>
              </w:rPr>
              <w:t xml:space="preserve">2 </w:t>
            </w:r>
            <w:r w:rsidRPr="00776407">
              <w:rPr>
                <w:sz w:val="22"/>
                <w:szCs w:val="22"/>
              </w:rPr>
              <w:t>dozė)</w:t>
            </w:r>
          </w:p>
        </w:tc>
        <w:tc>
          <w:tcPr>
            <w:tcW w:w="2606" w:type="dxa"/>
          </w:tcPr>
          <w:p w14:paraId="115B2A0F" w14:textId="77777777" w:rsidR="00430A5A" w:rsidRPr="00776407" w:rsidRDefault="00430A5A" w:rsidP="00430A5A">
            <w:pPr>
              <w:autoSpaceDE w:val="0"/>
              <w:autoSpaceDN w:val="0"/>
              <w:adjustRightInd w:val="0"/>
            </w:pPr>
            <w:r w:rsidRPr="00776407">
              <w:rPr>
                <w:sz w:val="22"/>
                <w:szCs w:val="22"/>
              </w:rPr>
              <w:t>ANS &lt; 1</w:t>
            </w:r>
            <w:r w:rsidR="006D07C3" w:rsidRPr="00776407">
              <w:rPr>
                <w:sz w:val="22"/>
                <w:szCs w:val="22"/>
              </w:rPr>
              <w:t>,</w:t>
            </w:r>
            <w:r w:rsidRPr="00776407">
              <w:rPr>
                <w:sz w:val="22"/>
                <w:szCs w:val="22"/>
              </w:rPr>
              <w:t>0 x 10</w:t>
            </w:r>
            <w:r w:rsidRPr="00776407">
              <w:rPr>
                <w:sz w:val="22"/>
                <w:szCs w:val="22"/>
                <w:vertAlign w:val="superscript"/>
              </w:rPr>
              <w:t>9</w:t>
            </w:r>
            <w:r w:rsidRPr="00776407">
              <w:rPr>
                <w:sz w:val="22"/>
                <w:szCs w:val="22"/>
              </w:rPr>
              <w:t>/l ir (ar) trombocitų &lt; 50 x 10</w:t>
            </w:r>
            <w:r w:rsidRPr="00776407">
              <w:rPr>
                <w:sz w:val="22"/>
                <w:szCs w:val="22"/>
                <w:vertAlign w:val="superscript"/>
              </w:rPr>
              <w:t>9</w:t>
            </w:r>
            <w:r w:rsidRPr="00776407">
              <w:rPr>
                <w:sz w:val="22"/>
                <w:szCs w:val="22"/>
              </w:rPr>
              <w:t>/l</w:t>
            </w:r>
          </w:p>
        </w:tc>
        <w:tc>
          <w:tcPr>
            <w:tcW w:w="4335" w:type="dxa"/>
          </w:tcPr>
          <w:p w14:paraId="716936F2" w14:textId="77777777" w:rsidR="00430A5A" w:rsidRPr="00776407" w:rsidRDefault="00430A5A" w:rsidP="00430A5A">
            <w:pPr>
              <w:autoSpaceDE w:val="0"/>
              <w:autoSpaceDN w:val="0"/>
              <w:adjustRightInd w:val="0"/>
              <w:ind w:left="567" w:hanging="567"/>
            </w:pPr>
            <w:r w:rsidRPr="00776407">
              <w:rPr>
                <w:sz w:val="22"/>
                <w:szCs w:val="22"/>
              </w:rPr>
              <w:t>1.</w:t>
            </w:r>
            <w:r w:rsidRPr="00776407">
              <w:rPr>
                <w:sz w:val="22"/>
                <w:szCs w:val="22"/>
              </w:rPr>
              <w:tab/>
              <w:t>Imatinibo vartojimą nutraukti kol AN</w:t>
            </w:r>
            <w:r w:rsidR="00145DC4" w:rsidRPr="00776407">
              <w:rPr>
                <w:sz w:val="22"/>
                <w:szCs w:val="22"/>
              </w:rPr>
              <w:t>S</w:t>
            </w:r>
            <w:r w:rsidRPr="00776407">
              <w:rPr>
                <w:sz w:val="22"/>
                <w:szCs w:val="22"/>
              </w:rPr>
              <w:t xml:space="preserve"> bus ≥ 1.5 x 10</w:t>
            </w:r>
            <w:r w:rsidRPr="00776407">
              <w:rPr>
                <w:sz w:val="22"/>
                <w:szCs w:val="22"/>
                <w:vertAlign w:val="superscript"/>
              </w:rPr>
              <w:t>9</w:t>
            </w:r>
            <w:r w:rsidRPr="00776407">
              <w:rPr>
                <w:sz w:val="22"/>
                <w:szCs w:val="22"/>
              </w:rPr>
              <w:t>/l ir trombocitų ≥ 75 x 10</w:t>
            </w:r>
            <w:r w:rsidRPr="00776407">
              <w:rPr>
                <w:sz w:val="22"/>
                <w:szCs w:val="22"/>
                <w:vertAlign w:val="superscript"/>
              </w:rPr>
              <w:t>9</w:t>
            </w:r>
            <w:r w:rsidRPr="00776407">
              <w:rPr>
                <w:sz w:val="22"/>
                <w:szCs w:val="22"/>
              </w:rPr>
              <w:t>/l.</w:t>
            </w:r>
          </w:p>
          <w:p w14:paraId="6C6DD646" w14:textId="39B797AF" w:rsidR="00430A5A" w:rsidRPr="00776407" w:rsidRDefault="00430A5A" w:rsidP="00430A5A">
            <w:pPr>
              <w:autoSpaceDE w:val="0"/>
              <w:autoSpaceDN w:val="0"/>
              <w:adjustRightInd w:val="0"/>
              <w:ind w:left="567" w:hanging="567"/>
            </w:pPr>
            <w:r w:rsidRPr="00776407">
              <w:rPr>
                <w:sz w:val="22"/>
                <w:szCs w:val="22"/>
              </w:rPr>
              <w:t>2.</w:t>
            </w:r>
            <w:r w:rsidRPr="00776407">
              <w:rPr>
                <w:sz w:val="22"/>
                <w:szCs w:val="22"/>
              </w:rPr>
              <w:tab/>
              <w:t>Gydymą atnaujinti anksčiau vartota doze (t.</w:t>
            </w:r>
            <w:r w:rsidR="002B7610" w:rsidRPr="00776407">
              <w:rPr>
                <w:sz w:val="22"/>
                <w:szCs w:val="22"/>
              </w:rPr>
              <w:t> </w:t>
            </w:r>
            <w:r w:rsidRPr="00776407">
              <w:rPr>
                <w:sz w:val="22"/>
                <w:szCs w:val="22"/>
              </w:rPr>
              <w:t>y. ta, kuri buvo vartota prieš pasireiškiant stipriai nepageidaujamai reakcijai).</w:t>
            </w:r>
          </w:p>
          <w:p w14:paraId="4CC23F14" w14:textId="77777777" w:rsidR="00430A5A" w:rsidRPr="00776407" w:rsidRDefault="00430A5A" w:rsidP="00430A5A">
            <w:pPr>
              <w:autoSpaceDE w:val="0"/>
              <w:autoSpaceDN w:val="0"/>
              <w:adjustRightInd w:val="0"/>
              <w:ind w:left="567" w:hanging="567"/>
            </w:pPr>
            <w:r w:rsidRPr="00776407">
              <w:rPr>
                <w:sz w:val="22"/>
                <w:szCs w:val="22"/>
              </w:rPr>
              <w:t>3.</w:t>
            </w:r>
            <w:r w:rsidRPr="00776407">
              <w:rPr>
                <w:sz w:val="22"/>
                <w:szCs w:val="22"/>
              </w:rPr>
              <w:tab/>
              <w:t>Kartotinai sumažėjus ANC &lt; 1</w:t>
            </w:r>
            <w:r w:rsidR="006D07C3" w:rsidRPr="00776407">
              <w:rPr>
                <w:sz w:val="22"/>
                <w:szCs w:val="22"/>
              </w:rPr>
              <w:t>,</w:t>
            </w:r>
            <w:r w:rsidRPr="00776407">
              <w:rPr>
                <w:sz w:val="22"/>
                <w:szCs w:val="22"/>
              </w:rPr>
              <w:t>0 x 10</w:t>
            </w:r>
            <w:r w:rsidRPr="00776407">
              <w:rPr>
                <w:sz w:val="22"/>
                <w:szCs w:val="22"/>
                <w:vertAlign w:val="superscript"/>
              </w:rPr>
              <w:t>9</w:t>
            </w:r>
            <w:r w:rsidRPr="00776407">
              <w:rPr>
                <w:sz w:val="22"/>
                <w:szCs w:val="22"/>
              </w:rPr>
              <w:t>/l ir</w:t>
            </w:r>
            <w:r w:rsidR="006D07C3" w:rsidRPr="00776407">
              <w:rPr>
                <w:sz w:val="22"/>
                <w:szCs w:val="22"/>
              </w:rPr>
              <w:t xml:space="preserve"> (</w:t>
            </w:r>
            <w:r w:rsidRPr="00776407">
              <w:rPr>
                <w:sz w:val="22"/>
                <w:szCs w:val="22"/>
              </w:rPr>
              <w:t>ar</w:t>
            </w:r>
            <w:r w:rsidR="006D07C3" w:rsidRPr="00776407">
              <w:rPr>
                <w:sz w:val="22"/>
                <w:szCs w:val="22"/>
              </w:rPr>
              <w:t>)</w:t>
            </w:r>
            <w:r w:rsidRPr="00776407">
              <w:rPr>
                <w:sz w:val="22"/>
                <w:szCs w:val="22"/>
              </w:rPr>
              <w:t xml:space="preserve"> trombocitų &lt; 50 x 10</w:t>
            </w:r>
            <w:r w:rsidRPr="00776407">
              <w:rPr>
                <w:sz w:val="22"/>
                <w:szCs w:val="22"/>
                <w:vertAlign w:val="superscript"/>
              </w:rPr>
              <w:t>9</w:t>
            </w:r>
            <w:r w:rsidRPr="00776407">
              <w:rPr>
                <w:sz w:val="22"/>
                <w:szCs w:val="22"/>
              </w:rPr>
              <w:t>/l, kartoti nuo 1 punkto ir ir gydyma imatinibu atnaujinti sumažinta 260 mg/m</w:t>
            </w:r>
            <w:r w:rsidRPr="00776407">
              <w:rPr>
                <w:sz w:val="22"/>
                <w:szCs w:val="22"/>
                <w:vertAlign w:val="superscript"/>
              </w:rPr>
              <w:t xml:space="preserve">2 </w:t>
            </w:r>
            <w:r w:rsidRPr="00776407">
              <w:rPr>
                <w:sz w:val="22"/>
                <w:szCs w:val="22"/>
              </w:rPr>
              <w:t>doze.</w:t>
            </w:r>
          </w:p>
        </w:tc>
      </w:tr>
      <w:tr w:rsidR="00430A5A" w:rsidRPr="00776407" w14:paraId="2236C44D" w14:textId="77777777" w:rsidTr="00430A5A">
        <w:tc>
          <w:tcPr>
            <w:tcW w:w="2605" w:type="dxa"/>
          </w:tcPr>
          <w:p w14:paraId="78E3DFE8" w14:textId="77777777" w:rsidR="00430A5A" w:rsidRPr="00776407" w:rsidRDefault="00102A19" w:rsidP="00430A5A">
            <w:pPr>
              <w:autoSpaceDE w:val="0"/>
              <w:autoSpaceDN w:val="0"/>
              <w:adjustRightInd w:val="0"/>
            </w:pPr>
            <w:r w:rsidRPr="00776407">
              <w:rPr>
                <w:sz w:val="22"/>
                <w:szCs w:val="22"/>
              </w:rPr>
              <w:t>LML blastinė krizė ir Ph+ŪLL (pradinė dozė 600 mg)</w:t>
            </w:r>
          </w:p>
        </w:tc>
        <w:tc>
          <w:tcPr>
            <w:tcW w:w="2606" w:type="dxa"/>
          </w:tcPr>
          <w:p w14:paraId="5911C8FB" w14:textId="77777777" w:rsidR="00430A5A" w:rsidRPr="00776407" w:rsidRDefault="00430A5A" w:rsidP="00430A5A">
            <w:pPr>
              <w:autoSpaceDE w:val="0"/>
              <w:autoSpaceDN w:val="0"/>
              <w:adjustRightInd w:val="0"/>
            </w:pPr>
            <w:r w:rsidRPr="00776407">
              <w:rPr>
                <w:sz w:val="22"/>
                <w:szCs w:val="22"/>
                <w:vertAlign w:val="superscript"/>
              </w:rPr>
              <w:t>a</w:t>
            </w:r>
            <w:r w:rsidRPr="00776407">
              <w:rPr>
                <w:sz w:val="22"/>
                <w:szCs w:val="22"/>
              </w:rPr>
              <w:t>ANS &lt; 0</w:t>
            </w:r>
            <w:r w:rsidR="006D07C3" w:rsidRPr="00776407">
              <w:rPr>
                <w:sz w:val="22"/>
                <w:szCs w:val="22"/>
              </w:rPr>
              <w:t>,</w:t>
            </w:r>
            <w:r w:rsidRPr="00776407">
              <w:rPr>
                <w:sz w:val="22"/>
                <w:szCs w:val="22"/>
              </w:rPr>
              <w:t>5 x 10</w:t>
            </w:r>
            <w:r w:rsidRPr="00776407">
              <w:rPr>
                <w:sz w:val="22"/>
                <w:szCs w:val="22"/>
                <w:vertAlign w:val="superscript"/>
              </w:rPr>
              <w:t>9</w:t>
            </w:r>
            <w:r w:rsidRPr="00776407">
              <w:rPr>
                <w:sz w:val="22"/>
                <w:szCs w:val="22"/>
              </w:rPr>
              <w:t>/l ir (ar) trombocitų &lt; 10 x 10</w:t>
            </w:r>
            <w:r w:rsidRPr="00776407">
              <w:rPr>
                <w:sz w:val="22"/>
                <w:szCs w:val="22"/>
                <w:vertAlign w:val="superscript"/>
              </w:rPr>
              <w:t>9</w:t>
            </w:r>
            <w:r w:rsidRPr="00776407">
              <w:rPr>
                <w:sz w:val="22"/>
                <w:szCs w:val="22"/>
              </w:rPr>
              <w:t>/l</w:t>
            </w:r>
          </w:p>
        </w:tc>
        <w:tc>
          <w:tcPr>
            <w:tcW w:w="4335" w:type="dxa"/>
          </w:tcPr>
          <w:p w14:paraId="1A582F36" w14:textId="77777777" w:rsidR="00430A5A" w:rsidRPr="00776407" w:rsidRDefault="00430A5A" w:rsidP="00430A5A">
            <w:pPr>
              <w:autoSpaceDE w:val="0"/>
              <w:autoSpaceDN w:val="0"/>
              <w:adjustRightInd w:val="0"/>
              <w:ind w:left="567" w:hanging="567"/>
            </w:pPr>
            <w:r w:rsidRPr="00776407">
              <w:rPr>
                <w:sz w:val="22"/>
                <w:szCs w:val="22"/>
              </w:rPr>
              <w:t>1.</w:t>
            </w:r>
            <w:r w:rsidRPr="00776407">
              <w:rPr>
                <w:sz w:val="22"/>
                <w:szCs w:val="22"/>
              </w:rPr>
              <w:tab/>
              <w:t>Ištirti, ar citopenija nesusijusi su leukemija (kaulų čiulpų aspiratas ar biopsija).</w:t>
            </w:r>
          </w:p>
          <w:p w14:paraId="4417DEEB" w14:textId="77777777" w:rsidR="00430A5A" w:rsidRPr="00776407" w:rsidRDefault="00430A5A" w:rsidP="00430A5A">
            <w:pPr>
              <w:autoSpaceDE w:val="0"/>
              <w:autoSpaceDN w:val="0"/>
              <w:adjustRightInd w:val="0"/>
              <w:ind w:left="567" w:hanging="567"/>
            </w:pPr>
            <w:r w:rsidRPr="00776407">
              <w:rPr>
                <w:sz w:val="22"/>
                <w:szCs w:val="22"/>
              </w:rPr>
              <w:t>2.</w:t>
            </w:r>
            <w:r w:rsidRPr="00776407">
              <w:rPr>
                <w:sz w:val="22"/>
                <w:szCs w:val="22"/>
              </w:rPr>
              <w:tab/>
              <w:t>Jei citopenija nesusijusi su leukemija, imatinibo dozę sumažinti iki 400 mg.</w:t>
            </w:r>
          </w:p>
          <w:p w14:paraId="62CFAEF7" w14:textId="77777777" w:rsidR="00430A5A" w:rsidRPr="00776407" w:rsidRDefault="00430A5A" w:rsidP="00430A5A">
            <w:pPr>
              <w:autoSpaceDE w:val="0"/>
              <w:autoSpaceDN w:val="0"/>
              <w:adjustRightInd w:val="0"/>
              <w:ind w:left="567" w:hanging="567"/>
            </w:pPr>
            <w:r w:rsidRPr="00776407">
              <w:rPr>
                <w:sz w:val="22"/>
                <w:szCs w:val="22"/>
              </w:rPr>
              <w:t>3.</w:t>
            </w:r>
            <w:r w:rsidRPr="00776407">
              <w:rPr>
                <w:sz w:val="22"/>
                <w:szCs w:val="22"/>
              </w:rPr>
              <w:tab/>
              <w:t>Jei citopenija trunka 2 savaites, dozę dar sumažinti iki 300 mg.</w:t>
            </w:r>
          </w:p>
          <w:p w14:paraId="54783284" w14:textId="77777777" w:rsidR="00430A5A" w:rsidRPr="00776407" w:rsidRDefault="00430A5A" w:rsidP="00430A5A">
            <w:pPr>
              <w:autoSpaceDE w:val="0"/>
              <w:autoSpaceDN w:val="0"/>
              <w:adjustRightInd w:val="0"/>
              <w:ind w:left="567" w:hanging="567"/>
            </w:pPr>
            <w:r w:rsidRPr="00776407">
              <w:rPr>
                <w:sz w:val="22"/>
                <w:szCs w:val="22"/>
              </w:rPr>
              <w:t>4.</w:t>
            </w:r>
            <w:r w:rsidRPr="00776407">
              <w:rPr>
                <w:sz w:val="22"/>
                <w:szCs w:val="22"/>
              </w:rPr>
              <w:tab/>
              <w:t xml:space="preserve">Jei citopenija trunka 4 savaites ir yra nesusijusi su leukemija, imatinibo nevartoti tol, kol </w:t>
            </w:r>
            <w:r w:rsidR="00145DC4" w:rsidRPr="00776407">
              <w:rPr>
                <w:sz w:val="22"/>
                <w:szCs w:val="22"/>
              </w:rPr>
              <w:t>ANS</w:t>
            </w:r>
            <w:r w:rsidRPr="00776407">
              <w:rPr>
                <w:sz w:val="22"/>
                <w:szCs w:val="22"/>
              </w:rPr>
              <w:t xml:space="preserve"> bus ≥ 1 x 10</w:t>
            </w:r>
            <w:r w:rsidRPr="00776407">
              <w:rPr>
                <w:sz w:val="22"/>
                <w:szCs w:val="22"/>
                <w:vertAlign w:val="superscript"/>
              </w:rPr>
              <w:t>9</w:t>
            </w:r>
            <w:r w:rsidRPr="00776407">
              <w:rPr>
                <w:sz w:val="22"/>
                <w:szCs w:val="22"/>
              </w:rPr>
              <w:t>/l ir trombocitų ≥ 20 x 10</w:t>
            </w:r>
            <w:r w:rsidRPr="00776407">
              <w:rPr>
                <w:sz w:val="22"/>
                <w:szCs w:val="22"/>
                <w:vertAlign w:val="superscript"/>
              </w:rPr>
              <w:t>9</w:t>
            </w:r>
            <w:r w:rsidRPr="00776407">
              <w:rPr>
                <w:sz w:val="22"/>
                <w:szCs w:val="22"/>
              </w:rPr>
              <w:t>/l, paskui gydymą atnaujinti 300 mg doze.</w:t>
            </w:r>
          </w:p>
        </w:tc>
      </w:tr>
      <w:tr w:rsidR="00430A5A" w:rsidRPr="00776407" w14:paraId="2B2855EB" w14:textId="77777777" w:rsidTr="00430A5A">
        <w:tc>
          <w:tcPr>
            <w:tcW w:w="2605" w:type="dxa"/>
          </w:tcPr>
          <w:p w14:paraId="2A15895A" w14:textId="77777777" w:rsidR="00430A5A" w:rsidRPr="00776407" w:rsidRDefault="00430A5A" w:rsidP="00430A5A">
            <w:pPr>
              <w:autoSpaceDE w:val="0"/>
              <w:autoSpaceDN w:val="0"/>
              <w:adjustRightInd w:val="0"/>
              <w:rPr>
                <w:lang w:eastAsia="is-IS"/>
              </w:rPr>
            </w:pPr>
            <w:r w:rsidRPr="00776407">
              <w:rPr>
                <w:sz w:val="22"/>
                <w:szCs w:val="22"/>
                <w:lang w:eastAsia="is-IS"/>
              </w:rPr>
              <w:t xml:space="preserve">Pediatrinė </w:t>
            </w:r>
            <w:r w:rsidRPr="00776407">
              <w:rPr>
                <w:sz w:val="22"/>
                <w:szCs w:val="22"/>
              </w:rPr>
              <w:t xml:space="preserve">LML akceleracijos fazė ir blastinė krizė (pradinė dozė </w:t>
            </w:r>
            <w:r w:rsidRPr="00776407">
              <w:rPr>
                <w:sz w:val="22"/>
                <w:szCs w:val="22"/>
                <w:lang w:eastAsia="is-IS"/>
              </w:rPr>
              <w:t>340 mg/m</w:t>
            </w:r>
            <w:r w:rsidRPr="00776407">
              <w:rPr>
                <w:sz w:val="22"/>
                <w:szCs w:val="22"/>
                <w:vertAlign w:val="superscript"/>
                <w:lang w:eastAsia="is-IS"/>
              </w:rPr>
              <w:t>2</w:t>
            </w:r>
            <w:r w:rsidRPr="00776407">
              <w:rPr>
                <w:sz w:val="22"/>
                <w:szCs w:val="22"/>
                <w:lang w:eastAsia="is-IS"/>
              </w:rPr>
              <w:t>)</w:t>
            </w:r>
          </w:p>
        </w:tc>
        <w:tc>
          <w:tcPr>
            <w:tcW w:w="2606" w:type="dxa"/>
          </w:tcPr>
          <w:p w14:paraId="17431132" w14:textId="77777777" w:rsidR="00430A5A" w:rsidRPr="00776407" w:rsidRDefault="00430A5A" w:rsidP="00430A5A">
            <w:pPr>
              <w:autoSpaceDE w:val="0"/>
              <w:autoSpaceDN w:val="0"/>
              <w:adjustRightInd w:val="0"/>
              <w:rPr>
                <w:lang w:eastAsia="is-IS"/>
              </w:rPr>
            </w:pPr>
            <w:r w:rsidRPr="00776407">
              <w:rPr>
                <w:sz w:val="22"/>
                <w:szCs w:val="22"/>
                <w:vertAlign w:val="superscript"/>
                <w:lang w:eastAsia="is-IS"/>
              </w:rPr>
              <w:t>a</w:t>
            </w:r>
            <w:r w:rsidRPr="00776407">
              <w:rPr>
                <w:sz w:val="22"/>
                <w:szCs w:val="22"/>
                <w:lang w:eastAsia="is-IS"/>
              </w:rPr>
              <w:t>ANS &lt; 0.5 x 10</w:t>
            </w:r>
            <w:r w:rsidRPr="00776407">
              <w:rPr>
                <w:sz w:val="22"/>
                <w:szCs w:val="22"/>
                <w:vertAlign w:val="superscript"/>
                <w:lang w:eastAsia="is-IS"/>
              </w:rPr>
              <w:t>9</w:t>
            </w:r>
            <w:r w:rsidRPr="00776407">
              <w:rPr>
                <w:sz w:val="22"/>
                <w:szCs w:val="22"/>
                <w:lang w:eastAsia="is-IS"/>
              </w:rPr>
              <w:t>/l ir (ar) trombocitų &lt; 10 x 10</w:t>
            </w:r>
            <w:r w:rsidRPr="00776407">
              <w:rPr>
                <w:sz w:val="22"/>
                <w:szCs w:val="22"/>
                <w:vertAlign w:val="superscript"/>
                <w:lang w:eastAsia="is-IS"/>
              </w:rPr>
              <w:t>9</w:t>
            </w:r>
            <w:r w:rsidRPr="00776407">
              <w:rPr>
                <w:sz w:val="22"/>
                <w:szCs w:val="22"/>
                <w:lang w:eastAsia="is-IS"/>
              </w:rPr>
              <w:t>/l</w:t>
            </w:r>
          </w:p>
        </w:tc>
        <w:tc>
          <w:tcPr>
            <w:tcW w:w="4335" w:type="dxa"/>
          </w:tcPr>
          <w:p w14:paraId="02F77A4B" w14:textId="77777777" w:rsidR="00430A5A" w:rsidRPr="00776407" w:rsidRDefault="00430A5A" w:rsidP="00430A5A">
            <w:pPr>
              <w:autoSpaceDE w:val="0"/>
              <w:autoSpaceDN w:val="0"/>
              <w:adjustRightInd w:val="0"/>
              <w:ind w:left="567" w:hanging="567"/>
              <w:rPr>
                <w:lang w:eastAsia="is-IS"/>
              </w:rPr>
            </w:pPr>
            <w:r w:rsidRPr="00776407">
              <w:rPr>
                <w:sz w:val="22"/>
                <w:szCs w:val="22"/>
                <w:lang w:eastAsia="is-IS"/>
              </w:rPr>
              <w:t>1.</w:t>
            </w:r>
            <w:r w:rsidRPr="00776407">
              <w:rPr>
                <w:sz w:val="22"/>
                <w:szCs w:val="22"/>
                <w:lang w:eastAsia="is-IS"/>
              </w:rPr>
              <w:tab/>
            </w:r>
            <w:r w:rsidRPr="00776407">
              <w:rPr>
                <w:sz w:val="22"/>
                <w:szCs w:val="22"/>
              </w:rPr>
              <w:t>Ištirti, ar citopenija nesusijusi su leukemija (kaulų čiulpų aspiratas ar biopsija).</w:t>
            </w:r>
          </w:p>
          <w:p w14:paraId="6B1B3B87" w14:textId="77777777" w:rsidR="00430A5A" w:rsidRPr="00776407" w:rsidRDefault="00430A5A" w:rsidP="00430A5A">
            <w:pPr>
              <w:autoSpaceDE w:val="0"/>
              <w:autoSpaceDN w:val="0"/>
              <w:adjustRightInd w:val="0"/>
              <w:ind w:left="567" w:hanging="567"/>
              <w:rPr>
                <w:lang w:eastAsia="is-IS"/>
              </w:rPr>
            </w:pPr>
            <w:r w:rsidRPr="00776407">
              <w:rPr>
                <w:sz w:val="22"/>
                <w:szCs w:val="22"/>
                <w:lang w:eastAsia="is-IS"/>
              </w:rPr>
              <w:t>2.</w:t>
            </w:r>
            <w:r w:rsidRPr="00776407">
              <w:rPr>
                <w:sz w:val="22"/>
                <w:szCs w:val="22"/>
                <w:lang w:eastAsia="is-IS"/>
              </w:rPr>
              <w:tab/>
            </w:r>
            <w:r w:rsidRPr="00776407">
              <w:rPr>
                <w:sz w:val="22"/>
                <w:szCs w:val="22"/>
              </w:rPr>
              <w:t xml:space="preserve">Jei citopenija nesusijusi su leukemija, imatinibo dozę sumažinti iki </w:t>
            </w:r>
            <w:r w:rsidRPr="00776407">
              <w:rPr>
                <w:sz w:val="22"/>
                <w:szCs w:val="22"/>
                <w:lang w:eastAsia="is-IS"/>
              </w:rPr>
              <w:t>260 mg/m</w:t>
            </w:r>
            <w:r w:rsidRPr="00776407">
              <w:rPr>
                <w:sz w:val="22"/>
                <w:szCs w:val="22"/>
                <w:vertAlign w:val="superscript"/>
                <w:lang w:eastAsia="is-IS"/>
              </w:rPr>
              <w:t>2</w:t>
            </w:r>
            <w:r w:rsidRPr="00776407">
              <w:rPr>
                <w:sz w:val="22"/>
                <w:szCs w:val="22"/>
                <w:lang w:eastAsia="is-IS"/>
              </w:rPr>
              <w:t>.</w:t>
            </w:r>
          </w:p>
          <w:p w14:paraId="0EC7914D" w14:textId="77777777" w:rsidR="00430A5A" w:rsidRPr="00776407" w:rsidRDefault="00430A5A" w:rsidP="00430A5A">
            <w:pPr>
              <w:autoSpaceDE w:val="0"/>
              <w:autoSpaceDN w:val="0"/>
              <w:adjustRightInd w:val="0"/>
              <w:ind w:left="567" w:hanging="567"/>
              <w:rPr>
                <w:lang w:eastAsia="is-IS"/>
              </w:rPr>
            </w:pPr>
            <w:r w:rsidRPr="00776407">
              <w:rPr>
                <w:sz w:val="22"/>
                <w:szCs w:val="22"/>
                <w:lang w:eastAsia="is-IS"/>
              </w:rPr>
              <w:t>3.</w:t>
            </w:r>
            <w:r w:rsidRPr="00776407">
              <w:rPr>
                <w:sz w:val="22"/>
                <w:szCs w:val="22"/>
                <w:lang w:eastAsia="is-IS"/>
              </w:rPr>
              <w:tab/>
            </w:r>
            <w:r w:rsidRPr="00776407">
              <w:rPr>
                <w:sz w:val="22"/>
                <w:szCs w:val="22"/>
              </w:rPr>
              <w:t xml:space="preserve">Jei citopenija trunka 2 savaites, dozę dar sumažinti iki </w:t>
            </w:r>
            <w:r w:rsidRPr="00776407">
              <w:rPr>
                <w:sz w:val="22"/>
                <w:szCs w:val="22"/>
                <w:lang w:eastAsia="is-IS"/>
              </w:rPr>
              <w:t>200 mg/m</w:t>
            </w:r>
            <w:r w:rsidRPr="00776407">
              <w:rPr>
                <w:sz w:val="22"/>
                <w:szCs w:val="22"/>
                <w:vertAlign w:val="superscript"/>
                <w:lang w:eastAsia="is-IS"/>
              </w:rPr>
              <w:t>2</w:t>
            </w:r>
            <w:r w:rsidRPr="00776407">
              <w:rPr>
                <w:sz w:val="22"/>
                <w:szCs w:val="22"/>
                <w:lang w:eastAsia="is-IS"/>
              </w:rPr>
              <w:t>.</w:t>
            </w:r>
          </w:p>
          <w:p w14:paraId="191DE6B4" w14:textId="77777777" w:rsidR="00430A5A" w:rsidRPr="00776407" w:rsidRDefault="00430A5A" w:rsidP="00430A5A">
            <w:pPr>
              <w:autoSpaceDE w:val="0"/>
              <w:autoSpaceDN w:val="0"/>
              <w:adjustRightInd w:val="0"/>
              <w:ind w:left="567" w:hanging="567"/>
              <w:rPr>
                <w:lang w:eastAsia="is-IS"/>
              </w:rPr>
            </w:pPr>
            <w:r w:rsidRPr="00776407">
              <w:rPr>
                <w:sz w:val="22"/>
                <w:szCs w:val="22"/>
                <w:lang w:eastAsia="is-IS"/>
              </w:rPr>
              <w:t>4.</w:t>
            </w:r>
            <w:r w:rsidRPr="00776407">
              <w:rPr>
                <w:sz w:val="22"/>
                <w:szCs w:val="22"/>
                <w:lang w:eastAsia="is-IS"/>
              </w:rPr>
              <w:tab/>
            </w:r>
            <w:r w:rsidRPr="00776407">
              <w:rPr>
                <w:sz w:val="22"/>
                <w:szCs w:val="22"/>
              </w:rPr>
              <w:t xml:space="preserve">Jei citopenija trunka 4 savaites ir yra nesusijusi su leukemija, imatinibo nevartoti tol, kol </w:t>
            </w:r>
            <w:r w:rsidR="00072EB7" w:rsidRPr="00776407">
              <w:rPr>
                <w:sz w:val="22"/>
                <w:szCs w:val="22"/>
              </w:rPr>
              <w:t>ANS</w:t>
            </w:r>
            <w:r w:rsidRPr="00776407">
              <w:rPr>
                <w:sz w:val="22"/>
                <w:szCs w:val="22"/>
              </w:rPr>
              <w:t xml:space="preserve"> bus </w:t>
            </w:r>
            <w:r w:rsidRPr="00776407">
              <w:rPr>
                <w:sz w:val="22"/>
                <w:szCs w:val="22"/>
                <w:lang w:eastAsia="is-IS"/>
              </w:rPr>
              <w:t xml:space="preserve"> ≥ 1 x 10</w:t>
            </w:r>
            <w:r w:rsidRPr="00776407">
              <w:rPr>
                <w:sz w:val="22"/>
                <w:szCs w:val="22"/>
                <w:vertAlign w:val="superscript"/>
                <w:lang w:eastAsia="is-IS"/>
              </w:rPr>
              <w:t>9</w:t>
            </w:r>
            <w:r w:rsidRPr="00776407">
              <w:rPr>
                <w:sz w:val="22"/>
                <w:szCs w:val="22"/>
                <w:lang w:eastAsia="is-IS"/>
              </w:rPr>
              <w:t>/l ir trombocitų ≥ 20 x 10</w:t>
            </w:r>
            <w:r w:rsidRPr="00776407">
              <w:rPr>
                <w:sz w:val="22"/>
                <w:szCs w:val="22"/>
                <w:vertAlign w:val="superscript"/>
                <w:lang w:eastAsia="is-IS"/>
              </w:rPr>
              <w:t>9</w:t>
            </w:r>
            <w:r w:rsidRPr="00776407">
              <w:rPr>
                <w:sz w:val="22"/>
                <w:szCs w:val="22"/>
                <w:lang w:eastAsia="is-IS"/>
              </w:rPr>
              <w:t>/l, paskui gydymą atnaujinti 200 mg/m</w:t>
            </w:r>
            <w:r w:rsidRPr="00776407">
              <w:rPr>
                <w:sz w:val="22"/>
                <w:szCs w:val="22"/>
                <w:vertAlign w:val="superscript"/>
                <w:lang w:eastAsia="is-IS"/>
              </w:rPr>
              <w:t>2</w:t>
            </w:r>
            <w:r w:rsidRPr="00776407">
              <w:rPr>
                <w:sz w:val="22"/>
                <w:szCs w:val="22"/>
                <w:lang w:eastAsia="is-IS"/>
              </w:rPr>
              <w:t>.</w:t>
            </w:r>
          </w:p>
        </w:tc>
      </w:tr>
      <w:tr w:rsidR="00C014CA" w:rsidRPr="00776407" w14:paraId="54008AE6" w14:textId="77777777" w:rsidTr="00430A5A">
        <w:tc>
          <w:tcPr>
            <w:tcW w:w="2605" w:type="dxa"/>
          </w:tcPr>
          <w:p w14:paraId="4574D9A2" w14:textId="77777777" w:rsidR="00C014CA" w:rsidRPr="00776407" w:rsidRDefault="00C014CA" w:rsidP="00C014CA">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DFSP </w:t>
            </w:r>
          </w:p>
          <w:p w14:paraId="2ECDFDB6" w14:textId="77777777" w:rsidR="00C014CA" w:rsidRPr="00776407" w:rsidRDefault="00C014CA" w:rsidP="00430A5A">
            <w:pPr>
              <w:autoSpaceDE w:val="0"/>
              <w:autoSpaceDN w:val="0"/>
              <w:adjustRightInd w:val="0"/>
              <w:rPr>
                <w:sz w:val="22"/>
                <w:szCs w:val="22"/>
                <w:lang w:eastAsia="is-IS"/>
              </w:rPr>
            </w:pPr>
            <w:r w:rsidRPr="00776407">
              <w:rPr>
                <w:sz w:val="22"/>
                <w:szCs w:val="22"/>
              </w:rPr>
              <w:t>(kai dozė – 800 mg)</w:t>
            </w:r>
          </w:p>
        </w:tc>
        <w:tc>
          <w:tcPr>
            <w:tcW w:w="2606" w:type="dxa"/>
          </w:tcPr>
          <w:p w14:paraId="2F8AEB23" w14:textId="77777777" w:rsidR="00C014CA" w:rsidRPr="00776407" w:rsidRDefault="00C014CA" w:rsidP="00C014CA">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ANS &lt; 1,0 x 10</w:t>
            </w:r>
            <w:r w:rsidRPr="00776407">
              <w:rPr>
                <w:rFonts w:ascii="Times New Roman" w:hAnsi="Times New Roman" w:cs="Times New Roman"/>
                <w:sz w:val="22"/>
                <w:szCs w:val="22"/>
                <w:vertAlign w:val="superscript"/>
                <w:lang w:val="lt-LT"/>
              </w:rPr>
              <w:t>9</w:t>
            </w:r>
            <w:r w:rsidRPr="00776407">
              <w:rPr>
                <w:rFonts w:ascii="Times New Roman" w:hAnsi="Times New Roman" w:cs="Times New Roman"/>
                <w:sz w:val="22"/>
                <w:szCs w:val="22"/>
                <w:lang w:val="lt-LT"/>
              </w:rPr>
              <w:t xml:space="preserve">/l </w:t>
            </w:r>
          </w:p>
          <w:p w14:paraId="7F6B6425" w14:textId="77777777" w:rsidR="00C014CA" w:rsidRPr="00776407" w:rsidRDefault="00C014CA" w:rsidP="00C014CA">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ir (ar) </w:t>
            </w:r>
          </w:p>
          <w:p w14:paraId="55EDD5C1" w14:textId="77777777" w:rsidR="00C014CA" w:rsidRPr="00776407" w:rsidRDefault="00C014CA" w:rsidP="00430A5A">
            <w:pPr>
              <w:autoSpaceDE w:val="0"/>
              <w:autoSpaceDN w:val="0"/>
              <w:adjustRightInd w:val="0"/>
              <w:rPr>
                <w:sz w:val="22"/>
                <w:szCs w:val="22"/>
                <w:vertAlign w:val="superscript"/>
                <w:lang w:eastAsia="is-IS"/>
              </w:rPr>
            </w:pPr>
            <w:r w:rsidRPr="00776407">
              <w:rPr>
                <w:sz w:val="22"/>
                <w:szCs w:val="22"/>
              </w:rPr>
              <w:t>trombocitų &lt; 50 x 10</w:t>
            </w:r>
            <w:r w:rsidRPr="00776407">
              <w:rPr>
                <w:sz w:val="22"/>
                <w:szCs w:val="22"/>
                <w:vertAlign w:val="superscript"/>
              </w:rPr>
              <w:t>9</w:t>
            </w:r>
            <w:r w:rsidRPr="00776407">
              <w:rPr>
                <w:sz w:val="22"/>
                <w:szCs w:val="22"/>
              </w:rPr>
              <w:t xml:space="preserve">/l </w:t>
            </w:r>
          </w:p>
        </w:tc>
        <w:tc>
          <w:tcPr>
            <w:tcW w:w="4335" w:type="dxa"/>
          </w:tcPr>
          <w:p w14:paraId="202E1FC3" w14:textId="77777777" w:rsidR="00C014CA" w:rsidRPr="00776407" w:rsidRDefault="00C014CA" w:rsidP="00C014CA">
            <w:pPr>
              <w:pStyle w:val="Default"/>
              <w:ind w:left="601" w:hanging="601"/>
              <w:rPr>
                <w:rFonts w:ascii="Times New Roman" w:hAnsi="Times New Roman" w:cs="Times New Roman"/>
                <w:sz w:val="22"/>
                <w:szCs w:val="22"/>
                <w:lang w:val="lt-LT"/>
              </w:rPr>
            </w:pPr>
            <w:r w:rsidRPr="00776407">
              <w:rPr>
                <w:rFonts w:ascii="Times New Roman" w:hAnsi="Times New Roman" w:cs="Times New Roman"/>
                <w:sz w:val="22"/>
                <w:szCs w:val="22"/>
                <w:lang w:val="lt-LT"/>
              </w:rPr>
              <w:t>1.</w:t>
            </w:r>
            <w:r w:rsidRPr="00776407">
              <w:rPr>
                <w:sz w:val="22"/>
                <w:szCs w:val="22"/>
                <w:lang w:val="lt-LT"/>
              </w:rPr>
              <w:tab/>
            </w:r>
            <w:r w:rsidRPr="00776407">
              <w:rPr>
                <w:rFonts w:ascii="Times New Roman" w:hAnsi="Times New Roman" w:cs="Times New Roman"/>
                <w:sz w:val="22"/>
                <w:szCs w:val="22"/>
                <w:lang w:val="lt-LT"/>
              </w:rPr>
              <w:t>Imatinibo vartojimą nutraukti, kol ANS bus ≥ 1,5 x 10</w:t>
            </w:r>
            <w:r w:rsidRPr="00776407">
              <w:rPr>
                <w:rFonts w:ascii="Times New Roman" w:hAnsi="Times New Roman" w:cs="Times New Roman"/>
                <w:sz w:val="22"/>
                <w:szCs w:val="22"/>
                <w:vertAlign w:val="superscript"/>
                <w:lang w:val="lt-LT"/>
              </w:rPr>
              <w:t>9</w:t>
            </w:r>
            <w:r w:rsidRPr="00776407">
              <w:rPr>
                <w:rFonts w:ascii="Times New Roman" w:hAnsi="Times New Roman" w:cs="Times New Roman"/>
                <w:sz w:val="22"/>
                <w:szCs w:val="22"/>
                <w:lang w:val="lt-LT"/>
              </w:rPr>
              <w:t xml:space="preserve">/l ir trombocitų </w:t>
            </w:r>
            <w:r w:rsidRPr="00776407">
              <w:rPr>
                <w:sz w:val="22"/>
                <w:szCs w:val="22"/>
                <w:lang w:val="lt-LT"/>
              </w:rPr>
              <w:t>≥ </w:t>
            </w:r>
            <w:r w:rsidRPr="00776407">
              <w:rPr>
                <w:rFonts w:ascii="Times New Roman" w:hAnsi="Times New Roman" w:cs="Times New Roman"/>
                <w:sz w:val="22"/>
                <w:szCs w:val="22"/>
                <w:lang w:val="lt-LT"/>
              </w:rPr>
              <w:t>75 x 10</w:t>
            </w:r>
            <w:r w:rsidRPr="00776407">
              <w:rPr>
                <w:rFonts w:ascii="Times New Roman" w:hAnsi="Times New Roman" w:cs="Times New Roman"/>
                <w:sz w:val="22"/>
                <w:szCs w:val="22"/>
                <w:vertAlign w:val="superscript"/>
                <w:lang w:val="lt-LT"/>
              </w:rPr>
              <w:t>9</w:t>
            </w:r>
            <w:r w:rsidRPr="00776407">
              <w:rPr>
                <w:rFonts w:ascii="Times New Roman" w:hAnsi="Times New Roman" w:cs="Times New Roman"/>
                <w:sz w:val="22"/>
                <w:szCs w:val="22"/>
                <w:lang w:val="lt-LT"/>
              </w:rPr>
              <w:t xml:space="preserve">/l. </w:t>
            </w:r>
          </w:p>
          <w:p w14:paraId="24853CBB" w14:textId="77777777" w:rsidR="00C014CA" w:rsidRPr="00776407" w:rsidRDefault="00C014CA" w:rsidP="00C014CA">
            <w:pPr>
              <w:pStyle w:val="Default"/>
              <w:ind w:left="601" w:hanging="709"/>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2. </w:t>
            </w:r>
            <w:r w:rsidRPr="00776407">
              <w:rPr>
                <w:sz w:val="22"/>
                <w:szCs w:val="22"/>
                <w:lang w:val="lt-LT"/>
              </w:rPr>
              <w:tab/>
            </w:r>
            <w:r w:rsidRPr="00776407">
              <w:rPr>
                <w:rFonts w:ascii="Times New Roman" w:hAnsi="Times New Roman" w:cs="Times New Roman"/>
                <w:sz w:val="22"/>
                <w:szCs w:val="22"/>
                <w:lang w:val="lt-LT"/>
              </w:rPr>
              <w:t xml:space="preserve">Gydymą imatinibu atnaujinti 600 mg doze. </w:t>
            </w:r>
          </w:p>
          <w:p w14:paraId="267790F3" w14:textId="77777777" w:rsidR="00C014CA" w:rsidRPr="00776407" w:rsidRDefault="00C014CA" w:rsidP="00430A5A">
            <w:pPr>
              <w:autoSpaceDE w:val="0"/>
              <w:autoSpaceDN w:val="0"/>
              <w:adjustRightInd w:val="0"/>
              <w:ind w:left="567" w:hanging="567"/>
              <w:rPr>
                <w:sz w:val="22"/>
                <w:szCs w:val="22"/>
                <w:lang w:eastAsia="is-IS"/>
              </w:rPr>
            </w:pPr>
            <w:r w:rsidRPr="00776407">
              <w:rPr>
                <w:sz w:val="22"/>
                <w:szCs w:val="22"/>
              </w:rPr>
              <w:t xml:space="preserve">3. </w:t>
            </w:r>
            <w:r w:rsidRPr="00776407">
              <w:rPr>
                <w:sz w:val="22"/>
                <w:szCs w:val="22"/>
              </w:rPr>
              <w:tab/>
              <w:t>Kartotinai sumažėjus ANS &lt; 1,0 x 10</w:t>
            </w:r>
            <w:r w:rsidRPr="00776407">
              <w:rPr>
                <w:sz w:val="22"/>
                <w:szCs w:val="22"/>
                <w:vertAlign w:val="superscript"/>
              </w:rPr>
              <w:t>9</w:t>
            </w:r>
            <w:r w:rsidRPr="00776407">
              <w:rPr>
                <w:sz w:val="22"/>
                <w:szCs w:val="22"/>
              </w:rPr>
              <w:t>/l ir (ar) trombocitų &lt; 50 x 10</w:t>
            </w:r>
            <w:r w:rsidRPr="00776407">
              <w:rPr>
                <w:sz w:val="22"/>
                <w:szCs w:val="22"/>
                <w:vertAlign w:val="superscript"/>
              </w:rPr>
              <w:t>9</w:t>
            </w:r>
            <w:r w:rsidRPr="00776407">
              <w:rPr>
                <w:sz w:val="22"/>
                <w:szCs w:val="22"/>
              </w:rPr>
              <w:t xml:space="preserve">/l, kartoti nuo 1-ojo punkto ir gydymą imatinibu atnaujinti sumažinta 400 mg doze. </w:t>
            </w:r>
          </w:p>
        </w:tc>
      </w:tr>
      <w:tr w:rsidR="00430A5A" w:rsidRPr="00776407" w14:paraId="54F7073F" w14:textId="77777777" w:rsidTr="00430A5A">
        <w:tc>
          <w:tcPr>
            <w:tcW w:w="9546" w:type="dxa"/>
            <w:gridSpan w:val="3"/>
          </w:tcPr>
          <w:p w14:paraId="33DD847A" w14:textId="759B241D" w:rsidR="00430A5A" w:rsidRPr="00776407" w:rsidRDefault="00430A5A" w:rsidP="00430A5A">
            <w:pPr>
              <w:keepNext/>
              <w:autoSpaceDE w:val="0"/>
              <w:autoSpaceDN w:val="0"/>
              <w:adjustRightInd w:val="0"/>
              <w:rPr>
                <w:lang w:eastAsia="is-IS"/>
              </w:rPr>
            </w:pPr>
            <w:r w:rsidRPr="00776407">
              <w:rPr>
                <w:sz w:val="22"/>
                <w:szCs w:val="22"/>
                <w:lang w:eastAsia="is-IS"/>
              </w:rPr>
              <w:t>ANS</w:t>
            </w:r>
            <w:r w:rsidR="002B7610" w:rsidRPr="00776407">
              <w:rPr>
                <w:sz w:val="22"/>
                <w:szCs w:val="22"/>
                <w:lang w:eastAsia="is-IS"/>
              </w:rPr>
              <w:t> </w:t>
            </w:r>
            <w:r w:rsidRPr="00776407">
              <w:rPr>
                <w:sz w:val="22"/>
                <w:szCs w:val="22"/>
                <w:lang w:eastAsia="is-IS"/>
              </w:rPr>
              <w:t>=</w:t>
            </w:r>
            <w:r w:rsidR="002B7610" w:rsidRPr="00776407">
              <w:rPr>
                <w:sz w:val="22"/>
                <w:szCs w:val="22"/>
                <w:lang w:eastAsia="is-IS"/>
              </w:rPr>
              <w:t> </w:t>
            </w:r>
            <w:r w:rsidRPr="00776407">
              <w:rPr>
                <w:sz w:val="22"/>
                <w:szCs w:val="22"/>
                <w:lang w:eastAsia="is-IS"/>
              </w:rPr>
              <w:t>absoliutus neutrofilų skaičius</w:t>
            </w:r>
          </w:p>
          <w:p w14:paraId="54301DE0" w14:textId="77777777" w:rsidR="00430A5A" w:rsidRPr="00776407" w:rsidRDefault="00430A5A" w:rsidP="00430A5A">
            <w:pPr>
              <w:keepNext/>
              <w:autoSpaceDE w:val="0"/>
              <w:autoSpaceDN w:val="0"/>
              <w:adjustRightInd w:val="0"/>
              <w:rPr>
                <w:lang w:eastAsia="is-IS"/>
              </w:rPr>
            </w:pPr>
            <w:r w:rsidRPr="00776407">
              <w:rPr>
                <w:sz w:val="22"/>
                <w:szCs w:val="22"/>
                <w:vertAlign w:val="superscript"/>
                <w:lang w:eastAsia="is-IS"/>
              </w:rPr>
              <w:t>a</w:t>
            </w:r>
            <w:r w:rsidRPr="00776407">
              <w:rPr>
                <w:sz w:val="22"/>
                <w:szCs w:val="22"/>
                <w:lang w:eastAsia="is-IS"/>
              </w:rPr>
              <w:t xml:space="preserve"> atsiranda mažiausiai po 1 gydymo mėnesio</w:t>
            </w:r>
          </w:p>
        </w:tc>
      </w:tr>
    </w:tbl>
    <w:p w14:paraId="23DDD2CE" w14:textId="77777777" w:rsidR="00430A5A" w:rsidRPr="00776407" w:rsidRDefault="00430A5A" w:rsidP="00430A5A">
      <w:pPr>
        <w:autoSpaceDE w:val="0"/>
        <w:autoSpaceDN w:val="0"/>
        <w:adjustRightInd w:val="0"/>
        <w:rPr>
          <w:sz w:val="22"/>
          <w:szCs w:val="22"/>
        </w:rPr>
      </w:pPr>
    </w:p>
    <w:p w14:paraId="0FECF74A" w14:textId="77777777" w:rsidR="00430A5A" w:rsidRPr="00776407" w:rsidRDefault="006D07C3" w:rsidP="00430A5A">
      <w:pPr>
        <w:rPr>
          <w:sz w:val="22"/>
          <w:szCs w:val="22"/>
          <w:u w:val="single"/>
        </w:rPr>
      </w:pPr>
      <w:r w:rsidRPr="00776407">
        <w:rPr>
          <w:sz w:val="22"/>
          <w:szCs w:val="22"/>
          <w:u w:val="single"/>
        </w:rPr>
        <w:t>Ypatingos</w:t>
      </w:r>
      <w:r w:rsidR="00430A5A" w:rsidRPr="00776407">
        <w:rPr>
          <w:sz w:val="22"/>
          <w:szCs w:val="22"/>
          <w:u w:val="single"/>
        </w:rPr>
        <w:t xml:space="preserve"> populiacijos </w:t>
      </w:r>
    </w:p>
    <w:p w14:paraId="10D78C2E" w14:textId="77777777" w:rsidR="005B019C" w:rsidRPr="00776407" w:rsidRDefault="005B019C" w:rsidP="00430A5A">
      <w:pPr>
        <w:rPr>
          <w:sz w:val="22"/>
          <w:szCs w:val="22"/>
          <w:u w:val="single"/>
        </w:rPr>
      </w:pPr>
    </w:p>
    <w:p w14:paraId="38298053" w14:textId="77777777" w:rsidR="00102A19" w:rsidRPr="00776407" w:rsidRDefault="00102A19" w:rsidP="00102A19">
      <w:pPr>
        <w:rPr>
          <w:sz w:val="22"/>
          <w:szCs w:val="22"/>
        </w:rPr>
      </w:pPr>
      <w:r w:rsidRPr="00776407">
        <w:rPr>
          <w:i/>
          <w:iCs/>
          <w:sz w:val="22"/>
          <w:szCs w:val="22"/>
        </w:rPr>
        <w:t xml:space="preserve">Vaikams. </w:t>
      </w:r>
      <w:r w:rsidRPr="00776407">
        <w:rPr>
          <w:sz w:val="22"/>
          <w:szCs w:val="22"/>
        </w:rPr>
        <w:t>Vartojimo vaikams, jaunesniems kaip 2 metų ir sergantiems LML bei jaunesniems kaip 1 metų ir sergantiems Ph+ŪLL, patirties nėra (žr. 5.1 skyrių). Vartojimo patirtis vaikams, sergantiems MDS/MPL, DFSP ir HES/LEL, labai ribota.</w:t>
      </w:r>
    </w:p>
    <w:p w14:paraId="2B2CD229" w14:textId="77777777" w:rsidR="00102A19" w:rsidRPr="00776407" w:rsidRDefault="00102A19" w:rsidP="007C0B6C">
      <w:pPr>
        <w:rPr>
          <w:sz w:val="22"/>
          <w:szCs w:val="22"/>
        </w:rPr>
      </w:pPr>
    </w:p>
    <w:p w14:paraId="718738D9" w14:textId="77777777" w:rsidR="007C0B6C" w:rsidRPr="00776407" w:rsidRDefault="007C0B6C" w:rsidP="007C0B6C">
      <w:pPr>
        <w:rPr>
          <w:sz w:val="22"/>
          <w:szCs w:val="22"/>
        </w:rPr>
      </w:pPr>
      <w:r w:rsidRPr="00776407">
        <w:rPr>
          <w:sz w:val="22"/>
          <w:szCs w:val="22"/>
        </w:rPr>
        <w:t>Klinikinių tyrimų metu imatinibo saugumas ir veiksmingumas jaunesniems kaip 18 metų vaikams, sergantiems MDS/MPL, DFSP ir HES/LEL, neištirti. Turimi literatūros duomenys pateikiami 5.1 skyriuje, tačiau dozavimo rekomendacijų pateikti negalima.</w:t>
      </w:r>
    </w:p>
    <w:p w14:paraId="6B9CC162" w14:textId="77777777" w:rsidR="00430A5A" w:rsidRPr="00776407" w:rsidRDefault="00430A5A" w:rsidP="00430A5A">
      <w:pPr>
        <w:rPr>
          <w:sz w:val="22"/>
          <w:szCs w:val="22"/>
        </w:rPr>
      </w:pPr>
    </w:p>
    <w:p w14:paraId="77B3C3CF" w14:textId="77777777" w:rsidR="00430A5A" w:rsidRPr="00776407" w:rsidRDefault="00430A5A" w:rsidP="00430A5A">
      <w:pPr>
        <w:rPr>
          <w:sz w:val="22"/>
          <w:szCs w:val="22"/>
        </w:rPr>
      </w:pPr>
      <w:r w:rsidRPr="00776407">
        <w:rPr>
          <w:i/>
          <w:iCs/>
          <w:sz w:val="22"/>
          <w:szCs w:val="22"/>
        </w:rPr>
        <w:t xml:space="preserve">Kepenų nepakankamumas. </w:t>
      </w:r>
      <w:r w:rsidRPr="00776407">
        <w:rPr>
          <w:sz w:val="22"/>
          <w:szCs w:val="22"/>
        </w:rPr>
        <w:t>Daugiausia imatinibo metabolizuojama kepenyse. Pacientams, kuriems yra nedidelis, vidutinis ar didelis kepenų funkcijos sutrikimas, skirti mažiausią rekomenduojamą 400 mg paros dozę. Dozę galima mažinti, jeigu netoleruojama (žr. 4.4, 4.8 ir 5.2 skyrius).</w:t>
      </w:r>
    </w:p>
    <w:p w14:paraId="466BDC1A" w14:textId="77777777" w:rsidR="00430A5A" w:rsidRPr="00776407" w:rsidRDefault="00430A5A" w:rsidP="00430A5A">
      <w:pPr>
        <w:rPr>
          <w:sz w:val="22"/>
          <w:szCs w:val="22"/>
        </w:rPr>
      </w:pPr>
    </w:p>
    <w:p w14:paraId="32E7ADAF" w14:textId="77777777" w:rsidR="00430A5A" w:rsidRPr="00776407" w:rsidRDefault="00430A5A" w:rsidP="00430A5A">
      <w:pPr>
        <w:autoSpaceDE w:val="0"/>
        <w:autoSpaceDN w:val="0"/>
        <w:adjustRightInd w:val="0"/>
        <w:rPr>
          <w:sz w:val="22"/>
          <w:szCs w:val="22"/>
          <w:lang w:eastAsia="is-IS"/>
        </w:rPr>
      </w:pPr>
      <w:r w:rsidRPr="00776407">
        <w:rPr>
          <w:sz w:val="22"/>
          <w:szCs w:val="22"/>
          <w:lang w:eastAsia="is-IS"/>
        </w:rPr>
        <w:t>Kepenų funkcijos sutrikimų klasifikacija:</w:t>
      </w:r>
    </w:p>
    <w:p w14:paraId="7CFEDD0D" w14:textId="77777777" w:rsidR="00430A5A" w:rsidRPr="00776407" w:rsidRDefault="00430A5A" w:rsidP="00430A5A">
      <w:pPr>
        <w:autoSpaceDE w:val="0"/>
        <w:autoSpaceDN w:val="0"/>
        <w:adjustRightInd w:val="0"/>
        <w:rPr>
          <w:sz w:val="22"/>
          <w:szCs w:val="22"/>
          <w:lang w:eastAsia="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327"/>
      </w:tblGrid>
      <w:tr w:rsidR="00430A5A" w:rsidRPr="00776407" w14:paraId="1F1F4FFA" w14:textId="77777777" w:rsidTr="00430A5A">
        <w:tc>
          <w:tcPr>
            <w:tcW w:w="4219" w:type="dxa"/>
          </w:tcPr>
          <w:p w14:paraId="58732AB1" w14:textId="77777777" w:rsidR="00430A5A" w:rsidRPr="00776407" w:rsidRDefault="00430A5A" w:rsidP="00430A5A">
            <w:pPr>
              <w:autoSpaceDE w:val="0"/>
              <w:autoSpaceDN w:val="0"/>
              <w:adjustRightInd w:val="0"/>
              <w:rPr>
                <w:lang w:eastAsia="is-IS"/>
              </w:rPr>
            </w:pPr>
            <w:r w:rsidRPr="00776407">
              <w:rPr>
                <w:sz w:val="22"/>
                <w:szCs w:val="22"/>
                <w:lang w:eastAsia="is-IS"/>
              </w:rPr>
              <w:t>Kepenų funkcijos sutrikimas</w:t>
            </w:r>
          </w:p>
        </w:tc>
        <w:tc>
          <w:tcPr>
            <w:tcW w:w="5327" w:type="dxa"/>
          </w:tcPr>
          <w:p w14:paraId="5539A297" w14:textId="77777777" w:rsidR="00430A5A" w:rsidRPr="00776407" w:rsidRDefault="00430A5A" w:rsidP="00430A5A">
            <w:pPr>
              <w:autoSpaceDE w:val="0"/>
              <w:autoSpaceDN w:val="0"/>
              <w:adjustRightInd w:val="0"/>
              <w:rPr>
                <w:lang w:eastAsia="is-IS"/>
              </w:rPr>
            </w:pPr>
            <w:r w:rsidRPr="00776407">
              <w:rPr>
                <w:sz w:val="22"/>
                <w:szCs w:val="22"/>
                <w:lang w:eastAsia="is-IS"/>
              </w:rPr>
              <w:t>Kepenų funkcijos tyrimai</w:t>
            </w:r>
          </w:p>
        </w:tc>
      </w:tr>
      <w:tr w:rsidR="00430A5A" w:rsidRPr="00776407" w14:paraId="21A711D9" w14:textId="77777777" w:rsidTr="00430A5A">
        <w:tc>
          <w:tcPr>
            <w:tcW w:w="4219" w:type="dxa"/>
          </w:tcPr>
          <w:p w14:paraId="0F4BEA7D" w14:textId="77777777" w:rsidR="00430A5A" w:rsidRPr="00776407" w:rsidRDefault="006D07C3" w:rsidP="00430A5A">
            <w:pPr>
              <w:autoSpaceDE w:val="0"/>
              <w:autoSpaceDN w:val="0"/>
              <w:adjustRightInd w:val="0"/>
              <w:rPr>
                <w:lang w:eastAsia="is-IS"/>
              </w:rPr>
            </w:pPr>
            <w:r w:rsidRPr="00776407">
              <w:rPr>
                <w:sz w:val="22"/>
                <w:szCs w:val="22"/>
                <w:lang w:eastAsia="is-IS"/>
              </w:rPr>
              <w:t>Nesunkus</w:t>
            </w:r>
          </w:p>
        </w:tc>
        <w:tc>
          <w:tcPr>
            <w:tcW w:w="5327" w:type="dxa"/>
          </w:tcPr>
          <w:p w14:paraId="6E6F6784" w14:textId="5BC5538F" w:rsidR="00430A5A" w:rsidRPr="00776407" w:rsidRDefault="00430A5A" w:rsidP="00430A5A">
            <w:pPr>
              <w:autoSpaceDE w:val="0"/>
              <w:autoSpaceDN w:val="0"/>
              <w:adjustRightInd w:val="0"/>
              <w:rPr>
                <w:lang w:eastAsia="is-IS"/>
              </w:rPr>
            </w:pPr>
            <w:r w:rsidRPr="00776407">
              <w:rPr>
                <w:sz w:val="22"/>
                <w:szCs w:val="22"/>
                <w:lang w:eastAsia="is-IS"/>
              </w:rPr>
              <w:t>Bendras bilirubinas:</w:t>
            </w:r>
            <w:r w:rsidR="002B7610" w:rsidRPr="00776407">
              <w:rPr>
                <w:sz w:val="22"/>
                <w:szCs w:val="22"/>
                <w:lang w:eastAsia="is-IS"/>
              </w:rPr>
              <w:t> </w:t>
            </w:r>
            <w:r w:rsidRPr="00776407">
              <w:rPr>
                <w:sz w:val="22"/>
                <w:szCs w:val="22"/>
                <w:lang w:eastAsia="is-IS"/>
              </w:rPr>
              <w:t>= 1</w:t>
            </w:r>
            <w:r w:rsidR="006D07C3" w:rsidRPr="00776407">
              <w:rPr>
                <w:sz w:val="22"/>
                <w:szCs w:val="22"/>
                <w:lang w:eastAsia="is-IS"/>
              </w:rPr>
              <w:t>,</w:t>
            </w:r>
            <w:r w:rsidRPr="00776407">
              <w:rPr>
                <w:sz w:val="22"/>
                <w:szCs w:val="22"/>
                <w:lang w:eastAsia="is-IS"/>
              </w:rPr>
              <w:t>5 VNR</w:t>
            </w:r>
          </w:p>
          <w:p w14:paraId="42E3364D" w14:textId="77777777" w:rsidR="00430A5A" w:rsidRPr="00776407" w:rsidRDefault="00430A5A" w:rsidP="00430A5A">
            <w:pPr>
              <w:autoSpaceDE w:val="0"/>
              <w:autoSpaceDN w:val="0"/>
              <w:adjustRightInd w:val="0"/>
              <w:rPr>
                <w:lang w:eastAsia="is-IS"/>
              </w:rPr>
            </w:pPr>
            <w:r w:rsidRPr="00776407">
              <w:rPr>
                <w:sz w:val="22"/>
                <w:szCs w:val="22"/>
                <w:lang w:eastAsia="is-IS"/>
              </w:rPr>
              <w:t>AST: &gt;VNR (gali būti nenormali ar &lt;VNRjei bendras bilirubinas &gt;VNR)</w:t>
            </w:r>
          </w:p>
        </w:tc>
      </w:tr>
      <w:tr w:rsidR="00430A5A" w:rsidRPr="00776407" w14:paraId="77DB8279" w14:textId="77777777" w:rsidTr="00430A5A">
        <w:tc>
          <w:tcPr>
            <w:tcW w:w="4219" w:type="dxa"/>
          </w:tcPr>
          <w:p w14:paraId="21647E90" w14:textId="77777777" w:rsidR="00430A5A" w:rsidRPr="00776407" w:rsidRDefault="00430A5A" w:rsidP="00430A5A">
            <w:pPr>
              <w:autoSpaceDE w:val="0"/>
              <w:autoSpaceDN w:val="0"/>
              <w:adjustRightInd w:val="0"/>
              <w:rPr>
                <w:lang w:eastAsia="is-IS"/>
              </w:rPr>
            </w:pPr>
            <w:r w:rsidRPr="00776407">
              <w:rPr>
                <w:sz w:val="22"/>
                <w:szCs w:val="22"/>
                <w:lang w:eastAsia="is-IS"/>
              </w:rPr>
              <w:t>Vidutinis</w:t>
            </w:r>
          </w:p>
        </w:tc>
        <w:tc>
          <w:tcPr>
            <w:tcW w:w="5327" w:type="dxa"/>
          </w:tcPr>
          <w:p w14:paraId="27580DCA" w14:textId="77777777" w:rsidR="00430A5A" w:rsidRPr="00776407" w:rsidRDefault="00430A5A" w:rsidP="00430A5A">
            <w:pPr>
              <w:autoSpaceDE w:val="0"/>
              <w:autoSpaceDN w:val="0"/>
              <w:adjustRightInd w:val="0"/>
              <w:rPr>
                <w:lang w:eastAsia="is-IS"/>
              </w:rPr>
            </w:pPr>
            <w:r w:rsidRPr="00776407">
              <w:rPr>
                <w:sz w:val="22"/>
                <w:szCs w:val="22"/>
                <w:lang w:eastAsia="is-IS"/>
              </w:rPr>
              <w:t>Bendras bilirubinas: &gt;1</w:t>
            </w:r>
            <w:r w:rsidR="006D07C3" w:rsidRPr="00776407">
              <w:rPr>
                <w:sz w:val="22"/>
                <w:szCs w:val="22"/>
                <w:lang w:eastAsia="is-IS"/>
              </w:rPr>
              <w:t>,</w:t>
            </w:r>
            <w:r w:rsidRPr="00776407">
              <w:rPr>
                <w:sz w:val="22"/>
                <w:szCs w:val="22"/>
                <w:lang w:eastAsia="is-IS"/>
              </w:rPr>
              <w:t>5</w:t>
            </w:r>
            <w:r w:rsidRPr="00776407">
              <w:rPr>
                <w:sz w:val="22"/>
                <w:szCs w:val="22"/>
                <w:lang w:eastAsia="is-IS"/>
              </w:rPr>
              <w:noBreakHyphen/>
              <w:t>3</w:t>
            </w:r>
            <w:r w:rsidR="006D07C3" w:rsidRPr="00776407">
              <w:rPr>
                <w:sz w:val="22"/>
                <w:szCs w:val="22"/>
                <w:lang w:eastAsia="is-IS"/>
              </w:rPr>
              <w:t>,</w:t>
            </w:r>
            <w:r w:rsidRPr="00776407">
              <w:rPr>
                <w:sz w:val="22"/>
                <w:szCs w:val="22"/>
                <w:lang w:eastAsia="is-IS"/>
              </w:rPr>
              <w:t>0 VNR</w:t>
            </w:r>
          </w:p>
          <w:p w14:paraId="7815D00D" w14:textId="77777777" w:rsidR="00430A5A" w:rsidRPr="00776407" w:rsidRDefault="00430A5A" w:rsidP="00430A5A">
            <w:pPr>
              <w:autoSpaceDE w:val="0"/>
              <w:autoSpaceDN w:val="0"/>
              <w:adjustRightInd w:val="0"/>
              <w:rPr>
                <w:lang w:eastAsia="is-IS"/>
              </w:rPr>
            </w:pPr>
            <w:r w:rsidRPr="00776407">
              <w:rPr>
                <w:sz w:val="22"/>
                <w:szCs w:val="22"/>
                <w:lang w:eastAsia="is-IS"/>
              </w:rPr>
              <w:t>AST: bet kokia</w:t>
            </w:r>
          </w:p>
        </w:tc>
      </w:tr>
      <w:tr w:rsidR="00430A5A" w:rsidRPr="00776407" w14:paraId="22253B11" w14:textId="77777777" w:rsidTr="00430A5A">
        <w:tc>
          <w:tcPr>
            <w:tcW w:w="4219" w:type="dxa"/>
          </w:tcPr>
          <w:p w14:paraId="3B29509F" w14:textId="77777777" w:rsidR="00430A5A" w:rsidRPr="00776407" w:rsidRDefault="00430A5A" w:rsidP="00430A5A">
            <w:pPr>
              <w:autoSpaceDE w:val="0"/>
              <w:autoSpaceDN w:val="0"/>
              <w:adjustRightInd w:val="0"/>
              <w:rPr>
                <w:lang w:eastAsia="is-IS"/>
              </w:rPr>
            </w:pPr>
            <w:r w:rsidRPr="00776407">
              <w:rPr>
                <w:sz w:val="22"/>
                <w:szCs w:val="22"/>
                <w:lang w:eastAsia="is-IS"/>
              </w:rPr>
              <w:t>Sunkus</w:t>
            </w:r>
          </w:p>
        </w:tc>
        <w:tc>
          <w:tcPr>
            <w:tcW w:w="5327" w:type="dxa"/>
          </w:tcPr>
          <w:p w14:paraId="3B06B68F" w14:textId="77777777" w:rsidR="00430A5A" w:rsidRPr="00776407" w:rsidRDefault="00430A5A" w:rsidP="00430A5A">
            <w:pPr>
              <w:autoSpaceDE w:val="0"/>
              <w:autoSpaceDN w:val="0"/>
              <w:adjustRightInd w:val="0"/>
              <w:rPr>
                <w:lang w:eastAsia="is-IS"/>
              </w:rPr>
            </w:pPr>
            <w:r w:rsidRPr="00776407">
              <w:rPr>
                <w:sz w:val="22"/>
                <w:szCs w:val="22"/>
                <w:lang w:eastAsia="is-IS"/>
              </w:rPr>
              <w:t>Bendras bilirubinas: &gt;3</w:t>
            </w:r>
            <w:r w:rsidRPr="00776407">
              <w:rPr>
                <w:sz w:val="22"/>
                <w:szCs w:val="22"/>
                <w:lang w:eastAsia="is-IS"/>
              </w:rPr>
              <w:noBreakHyphen/>
              <w:t>10 VNR</w:t>
            </w:r>
          </w:p>
          <w:p w14:paraId="0B965AC7" w14:textId="77777777" w:rsidR="00430A5A" w:rsidRPr="00776407" w:rsidRDefault="00430A5A" w:rsidP="00430A5A">
            <w:pPr>
              <w:autoSpaceDE w:val="0"/>
              <w:autoSpaceDN w:val="0"/>
              <w:adjustRightInd w:val="0"/>
              <w:rPr>
                <w:lang w:eastAsia="is-IS"/>
              </w:rPr>
            </w:pPr>
            <w:r w:rsidRPr="00776407">
              <w:rPr>
                <w:sz w:val="22"/>
                <w:szCs w:val="22"/>
                <w:lang w:eastAsia="is-IS"/>
              </w:rPr>
              <w:t>AST: bet kokia</w:t>
            </w:r>
          </w:p>
        </w:tc>
      </w:tr>
    </w:tbl>
    <w:p w14:paraId="61A2EE3E" w14:textId="3C238BDC" w:rsidR="002B7610" w:rsidRPr="00776407" w:rsidRDefault="002B7610" w:rsidP="002B7610">
      <w:pPr>
        <w:autoSpaceDE w:val="0"/>
        <w:autoSpaceDN w:val="0"/>
        <w:adjustRightInd w:val="0"/>
        <w:rPr>
          <w:sz w:val="22"/>
          <w:szCs w:val="22"/>
          <w:lang w:eastAsia="is-IS"/>
        </w:rPr>
      </w:pPr>
      <w:r w:rsidRPr="00776407">
        <w:rPr>
          <w:sz w:val="22"/>
          <w:szCs w:val="22"/>
          <w:lang w:eastAsia="is-IS"/>
        </w:rPr>
        <w:t>VNR = viršutinė normos riba institucijoje</w:t>
      </w:r>
    </w:p>
    <w:p w14:paraId="429AB08B" w14:textId="3AB95AE0" w:rsidR="002B7610" w:rsidRPr="00776407" w:rsidRDefault="002B7610" w:rsidP="002B7610">
      <w:pPr>
        <w:rPr>
          <w:sz w:val="22"/>
          <w:szCs w:val="22"/>
          <w:lang w:eastAsia="is-IS"/>
        </w:rPr>
      </w:pPr>
      <w:r w:rsidRPr="00776407">
        <w:rPr>
          <w:sz w:val="22"/>
          <w:szCs w:val="22"/>
          <w:lang w:eastAsia="is-IS"/>
        </w:rPr>
        <w:t>AST = aspartataminotransferazė</w:t>
      </w:r>
    </w:p>
    <w:p w14:paraId="58F6035E" w14:textId="77777777" w:rsidR="00430A5A" w:rsidRPr="00776407" w:rsidRDefault="00430A5A" w:rsidP="00430A5A">
      <w:pPr>
        <w:rPr>
          <w:sz w:val="22"/>
          <w:szCs w:val="22"/>
          <w:lang w:eastAsia="is-IS"/>
        </w:rPr>
      </w:pPr>
    </w:p>
    <w:p w14:paraId="70EC1DC3" w14:textId="77777777" w:rsidR="00430A5A" w:rsidRPr="00776407" w:rsidRDefault="00430A5A" w:rsidP="00430A5A">
      <w:pPr>
        <w:rPr>
          <w:rFonts w:eastAsia="Calibri"/>
          <w:sz w:val="22"/>
          <w:szCs w:val="22"/>
        </w:rPr>
      </w:pPr>
      <w:r w:rsidRPr="00776407">
        <w:rPr>
          <w:rFonts w:eastAsia="Calibri"/>
          <w:i/>
          <w:iCs/>
          <w:sz w:val="22"/>
          <w:szCs w:val="22"/>
        </w:rPr>
        <w:t xml:space="preserve">Inkstų nepakankamumas. </w:t>
      </w:r>
      <w:r w:rsidR="00BD4BC1" w:rsidRPr="00776407">
        <w:rPr>
          <w:color w:val="000000"/>
          <w:sz w:val="22"/>
          <w:szCs w:val="22"/>
        </w:rPr>
        <w:t>Pacientams, kuriems yra inkstų funkcijos sutrikimas</w:t>
      </w:r>
      <w:r w:rsidR="00BD4BC1" w:rsidRPr="00776407">
        <w:rPr>
          <w:snapToGrid w:val="0"/>
          <w:color w:val="000000"/>
          <w:sz w:val="22"/>
          <w:szCs w:val="22"/>
        </w:rPr>
        <w:t xml:space="preserve"> ar atliekamos dializės</w:t>
      </w:r>
      <w:r w:rsidRPr="00776407">
        <w:rPr>
          <w:rFonts w:eastAsia="Calibri"/>
          <w:sz w:val="22"/>
          <w:szCs w:val="22"/>
        </w:rPr>
        <w:t>, iš pradžių turi būti skiriama mažiausia rekomenduojama 400 mg paros dozė. Tačiau rekomenduojama imtis atsargumo priemonių. Neto</w:t>
      </w:r>
      <w:r w:rsidR="00E01A4B" w:rsidRPr="00776407">
        <w:rPr>
          <w:rFonts w:eastAsia="Calibri"/>
          <w:sz w:val="22"/>
          <w:szCs w:val="22"/>
        </w:rPr>
        <w:t>leruojamą dozę galima mažinti, j</w:t>
      </w:r>
      <w:r w:rsidRPr="00776407">
        <w:rPr>
          <w:rFonts w:eastAsia="Calibri"/>
          <w:sz w:val="22"/>
          <w:szCs w:val="22"/>
        </w:rPr>
        <w:t xml:space="preserve">ei dozė yra neveiksminga – didinti (žr. 4.4 ir 5.2 skyrius). </w:t>
      </w:r>
    </w:p>
    <w:p w14:paraId="2D3EC245" w14:textId="77777777" w:rsidR="00430A5A" w:rsidRPr="00776407" w:rsidRDefault="00430A5A" w:rsidP="00430A5A">
      <w:pPr>
        <w:rPr>
          <w:rFonts w:eastAsia="Calibri"/>
          <w:sz w:val="22"/>
          <w:szCs w:val="22"/>
        </w:rPr>
      </w:pPr>
    </w:p>
    <w:p w14:paraId="5BAF916E" w14:textId="77777777" w:rsidR="00430A5A" w:rsidRPr="00776407" w:rsidRDefault="00430A5A" w:rsidP="00430A5A">
      <w:pPr>
        <w:rPr>
          <w:rFonts w:eastAsia="Calibri"/>
          <w:sz w:val="22"/>
          <w:szCs w:val="22"/>
        </w:rPr>
      </w:pPr>
      <w:r w:rsidRPr="00776407">
        <w:rPr>
          <w:rFonts w:eastAsia="Calibri"/>
          <w:i/>
          <w:iCs/>
          <w:sz w:val="22"/>
          <w:szCs w:val="22"/>
        </w:rPr>
        <w:t xml:space="preserve">Senyvi </w:t>
      </w:r>
      <w:r w:rsidR="00893547" w:rsidRPr="00776407">
        <w:rPr>
          <w:rFonts w:eastAsia="Calibri"/>
          <w:i/>
          <w:iCs/>
          <w:sz w:val="22"/>
          <w:szCs w:val="22"/>
        </w:rPr>
        <w:t>žmonės</w:t>
      </w:r>
      <w:r w:rsidRPr="00776407">
        <w:rPr>
          <w:rFonts w:eastAsia="Calibri"/>
          <w:i/>
          <w:iCs/>
          <w:sz w:val="22"/>
          <w:szCs w:val="22"/>
        </w:rPr>
        <w:t xml:space="preserve">. </w:t>
      </w:r>
      <w:r w:rsidRPr="00776407">
        <w:rPr>
          <w:rFonts w:eastAsia="Calibri"/>
          <w:sz w:val="22"/>
          <w:szCs w:val="22"/>
        </w:rPr>
        <w:t xml:space="preserve">Senyvų žmonių imatinibo farmakokinetika nebuvo specialiai tirta. Klinikinių tyrimų, kuriuose dalyvavo daugiau kaip 20 % 65 metų ir vyresnių pacientų, metu reikšmingų, su amžiumi susijusių farmakokinetikos pokyčių nestebėta. Senyviems asmenims specifinis dozavimas nerekomenduojamas. </w:t>
      </w:r>
    </w:p>
    <w:p w14:paraId="796B03EC" w14:textId="77777777" w:rsidR="00430A5A" w:rsidRPr="00776407" w:rsidRDefault="00430A5A" w:rsidP="00430A5A">
      <w:pPr>
        <w:rPr>
          <w:rFonts w:eastAsia="Calibri"/>
          <w:sz w:val="22"/>
          <w:szCs w:val="22"/>
        </w:rPr>
      </w:pPr>
    </w:p>
    <w:p w14:paraId="19826235" w14:textId="77777777" w:rsidR="00430A5A" w:rsidRPr="00776407" w:rsidRDefault="00430A5A" w:rsidP="00430A5A">
      <w:pPr>
        <w:rPr>
          <w:rFonts w:eastAsia="Calibri"/>
          <w:sz w:val="22"/>
          <w:szCs w:val="22"/>
          <w:u w:val="single"/>
        </w:rPr>
      </w:pPr>
      <w:r w:rsidRPr="00776407">
        <w:rPr>
          <w:rFonts w:eastAsia="Calibri"/>
          <w:sz w:val="22"/>
          <w:szCs w:val="22"/>
          <w:u w:val="single"/>
        </w:rPr>
        <w:t>Vartojimo metodas</w:t>
      </w:r>
    </w:p>
    <w:p w14:paraId="39FE4D44" w14:textId="77777777" w:rsidR="00430A5A" w:rsidRPr="00776407" w:rsidRDefault="00430A5A" w:rsidP="00430A5A">
      <w:pPr>
        <w:rPr>
          <w:rFonts w:eastAsia="Calibri"/>
          <w:sz w:val="22"/>
          <w:szCs w:val="22"/>
          <w:u w:val="single"/>
        </w:rPr>
      </w:pPr>
    </w:p>
    <w:p w14:paraId="6BE70484" w14:textId="77777777" w:rsidR="00E01A4B" w:rsidRPr="00776407" w:rsidRDefault="00E01A4B" w:rsidP="00430A5A">
      <w:pPr>
        <w:rPr>
          <w:rFonts w:eastAsia="Calibri"/>
          <w:sz w:val="22"/>
          <w:szCs w:val="22"/>
        </w:rPr>
      </w:pPr>
      <w:r w:rsidRPr="00776407">
        <w:rPr>
          <w:rFonts w:eastAsia="Calibri"/>
          <w:sz w:val="22"/>
          <w:szCs w:val="22"/>
        </w:rPr>
        <w:t>400 mg ir didesnėms dozėms (žr. dozavimą nurodytą toliau) skirta 400 mg tabletė (nedaloma).</w:t>
      </w:r>
    </w:p>
    <w:p w14:paraId="18A51B7D" w14:textId="77777777" w:rsidR="00190382" w:rsidRPr="00776407" w:rsidRDefault="00190382" w:rsidP="00190382">
      <w:pPr>
        <w:rPr>
          <w:color w:val="000000"/>
          <w:sz w:val="22"/>
          <w:szCs w:val="22"/>
        </w:rPr>
      </w:pPr>
      <w:r w:rsidRPr="00776407">
        <w:rPr>
          <w:color w:val="000000"/>
          <w:sz w:val="22"/>
          <w:szCs w:val="22"/>
        </w:rPr>
        <w:t>Kitokiai negu 400 mg ar 800 mg dozei (žr. dozavimo rekomendacijas toliau) išleidžiamos 100 mg dalijamos tabletės.</w:t>
      </w:r>
    </w:p>
    <w:p w14:paraId="111C54AB" w14:textId="77777777" w:rsidR="00E01A4B" w:rsidRPr="00776407" w:rsidRDefault="00E01A4B" w:rsidP="00430A5A">
      <w:pPr>
        <w:rPr>
          <w:rFonts w:eastAsia="Calibri"/>
          <w:sz w:val="22"/>
          <w:szCs w:val="22"/>
          <w:u w:val="single"/>
        </w:rPr>
      </w:pPr>
    </w:p>
    <w:p w14:paraId="06E8D7D3" w14:textId="77777777" w:rsidR="00430A5A" w:rsidRPr="00776407" w:rsidRDefault="00430A5A" w:rsidP="00430A5A">
      <w:pPr>
        <w:rPr>
          <w:sz w:val="22"/>
          <w:szCs w:val="22"/>
        </w:rPr>
      </w:pPr>
      <w:r w:rsidRPr="00776407">
        <w:rPr>
          <w:sz w:val="22"/>
          <w:szCs w:val="22"/>
        </w:rPr>
        <w:t xml:space="preserve">Paskirta dozė geriama valgant ir užgeriant didele stikline vandens, kad būtų sumažinta virškinimo trakto dirginimo rizika. 400 mg ar 600 mg dozę vartoti vieną kartą per parą, tuo tarpu 800 mg paros dozę reikėtų vartoti po 400 mg du kartus per parą, ryte ir vakare. </w:t>
      </w:r>
    </w:p>
    <w:p w14:paraId="2DAC79DE" w14:textId="77777777" w:rsidR="00430A5A" w:rsidRPr="00776407" w:rsidRDefault="00430A5A" w:rsidP="00430A5A">
      <w:pPr>
        <w:rPr>
          <w:sz w:val="22"/>
          <w:szCs w:val="22"/>
        </w:rPr>
      </w:pPr>
    </w:p>
    <w:p w14:paraId="4CCC06AD" w14:textId="77777777" w:rsidR="00430A5A" w:rsidRPr="00776407" w:rsidRDefault="00430A5A" w:rsidP="00430A5A">
      <w:pPr>
        <w:rPr>
          <w:sz w:val="22"/>
          <w:szCs w:val="22"/>
        </w:rPr>
      </w:pPr>
      <w:r w:rsidRPr="00776407">
        <w:rPr>
          <w:sz w:val="22"/>
          <w:szCs w:val="22"/>
        </w:rPr>
        <w:t xml:space="preserve">Pacientams, kurie negali nuryti </w:t>
      </w:r>
      <w:r w:rsidR="00E01A4B" w:rsidRPr="00776407">
        <w:rPr>
          <w:sz w:val="22"/>
          <w:szCs w:val="22"/>
        </w:rPr>
        <w:t>plėvele dengtų tablečių</w:t>
      </w:r>
      <w:r w:rsidRPr="00776407">
        <w:rPr>
          <w:sz w:val="22"/>
          <w:szCs w:val="22"/>
        </w:rPr>
        <w:t xml:space="preserve">, </w:t>
      </w:r>
      <w:r w:rsidR="000A0EAC" w:rsidRPr="00776407">
        <w:rPr>
          <w:sz w:val="22"/>
          <w:szCs w:val="22"/>
        </w:rPr>
        <w:t>jas galima ištirpinti</w:t>
      </w:r>
      <w:r w:rsidR="00893547" w:rsidRPr="00776407">
        <w:rPr>
          <w:sz w:val="22"/>
          <w:szCs w:val="22"/>
        </w:rPr>
        <w:t xml:space="preserve"> </w:t>
      </w:r>
      <w:r w:rsidR="000A0EAC" w:rsidRPr="00776407">
        <w:rPr>
          <w:sz w:val="22"/>
          <w:szCs w:val="22"/>
        </w:rPr>
        <w:t>ne</w:t>
      </w:r>
      <w:r w:rsidR="00E01A4B" w:rsidRPr="00776407">
        <w:rPr>
          <w:sz w:val="22"/>
          <w:szCs w:val="22"/>
        </w:rPr>
        <w:t>gazuoto vandens ar obuolių sulčių stiklinėje</w:t>
      </w:r>
      <w:r w:rsidR="000A0EAC" w:rsidRPr="00776407">
        <w:rPr>
          <w:sz w:val="22"/>
          <w:szCs w:val="22"/>
        </w:rPr>
        <w:t>. Reikiamą tablečių kiekį reikia</w:t>
      </w:r>
      <w:r w:rsidR="00E01A4B" w:rsidRPr="00776407">
        <w:rPr>
          <w:sz w:val="22"/>
          <w:szCs w:val="22"/>
        </w:rPr>
        <w:t xml:space="preserve"> įdėti į pakankamą gėrimo kiekį (apytikriai 50 ml 100 mg tabletei ir 200 ml 400 mg tabletei) ir </w:t>
      </w:r>
      <w:r w:rsidR="007578C4" w:rsidRPr="00776407">
        <w:rPr>
          <w:sz w:val="22"/>
          <w:szCs w:val="22"/>
        </w:rPr>
        <w:t>šauk</w:t>
      </w:r>
      <w:r w:rsidR="000A0EAC" w:rsidRPr="00776407">
        <w:rPr>
          <w:sz w:val="22"/>
          <w:szCs w:val="22"/>
        </w:rPr>
        <w:t>štu pamaišyti. Suspensiją reikia</w:t>
      </w:r>
      <w:r w:rsidR="007578C4" w:rsidRPr="00776407">
        <w:rPr>
          <w:sz w:val="22"/>
          <w:szCs w:val="22"/>
        </w:rPr>
        <w:t xml:space="preserve"> išgerti nedelsiant, kai tik suirs tabletė (-s).</w:t>
      </w:r>
    </w:p>
    <w:p w14:paraId="4A28EA32" w14:textId="77777777" w:rsidR="00430A5A" w:rsidRPr="00776407" w:rsidRDefault="00430A5A" w:rsidP="00430A5A">
      <w:pPr>
        <w:rPr>
          <w:rFonts w:eastAsia="Calibri"/>
          <w:sz w:val="22"/>
          <w:szCs w:val="22"/>
        </w:rPr>
      </w:pPr>
    </w:p>
    <w:p w14:paraId="1EAD67B8" w14:textId="77777777" w:rsidR="00430A5A" w:rsidRPr="00776407" w:rsidRDefault="00430A5A" w:rsidP="00864BE6">
      <w:pPr>
        <w:pStyle w:val="Listenabsatz"/>
        <w:keepNext/>
        <w:numPr>
          <w:ilvl w:val="1"/>
          <w:numId w:val="2"/>
        </w:numPr>
        <w:ind w:left="567" w:hanging="567"/>
        <w:rPr>
          <w:rFonts w:eastAsia="Calibri"/>
          <w:b/>
          <w:bCs/>
          <w:sz w:val="22"/>
          <w:szCs w:val="22"/>
        </w:rPr>
      </w:pPr>
      <w:r w:rsidRPr="00776407">
        <w:rPr>
          <w:rFonts w:eastAsia="Calibri"/>
          <w:b/>
          <w:bCs/>
          <w:sz w:val="22"/>
          <w:szCs w:val="22"/>
        </w:rPr>
        <w:t xml:space="preserve">Kontraindikacijos </w:t>
      </w:r>
    </w:p>
    <w:p w14:paraId="7D70B25D" w14:textId="77777777" w:rsidR="00430A5A" w:rsidRPr="00776407" w:rsidRDefault="00430A5A" w:rsidP="00430A5A">
      <w:pPr>
        <w:rPr>
          <w:rFonts w:eastAsia="Calibri"/>
          <w:sz w:val="22"/>
          <w:szCs w:val="22"/>
        </w:rPr>
      </w:pPr>
    </w:p>
    <w:p w14:paraId="6777A6A6" w14:textId="77777777" w:rsidR="00430A5A" w:rsidRPr="00776407" w:rsidRDefault="00430A5A" w:rsidP="00430A5A">
      <w:pPr>
        <w:rPr>
          <w:rFonts w:eastAsia="Calibri"/>
          <w:sz w:val="22"/>
          <w:szCs w:val="22"/>
        </w:rPr>
      </w:pPr>
      <w:r w:rsidRPr="00776407">
        <w:rPr>
          <w:rFonts w:eastAsia="Calibri"/>
          <w:sz w:val="22"/>
          <w:szCs w:val="22"/>
        </w:rPr>
        <w:t>Padidėjęs jautrumas veikliajai arba bet kuriai 6.1</w:t>
      </w:r>
      <w:r w:rsidR="00072EB7" w:rsidRPr="00776407">
        <w:rPr>
          <w:rFonts w:eastAsia="Calibri"/>
          <w:sz w:val="22"/>
          <w:szCs w:val="22"/>
        </w:rPr>
        <w:t> </w:t>
      </w:r>
      <w:r w:rsidRPr="00776407">
        <w:rPr>
          <w:rFonts w:eastAsia="Calibri"/>
          <w:sz w:val="22"/>
          <w:szCs w:val="22"/>
        </w:rPr>
        <w:t xml:space="preserve">skyriuje nurodytai pagalbinei medžiagai. </w:t>
      </w:r>
    </w:p>
    <w:p w14:paraId="74411AB9" w14:textId="77777777" w:rsidR="007578C4" w:rsidRPr="00776407" w:rsidRDefault="007578C4" w:rsidP="00430A5A">
      <w:pPr>
        <w:rPr>
          <w:rFonts w:eastAsia="Calibri"/>
          <w:sz w:val="22"/>
          <w:szCs w:val="22"/>
        </w:rPr>
      </w:pPr>
    </w:p>
    <w:p w14:paraId="00AB250B" w14:textId="77777777" w:rsidR="007578C4" w:rsidRPr="00776407" w:rsidRDefault="007578C4" w:rsidP="00430A5A">
      <w:pPr>
        <w:rPr>
          <w:rFonts w:eastAsia="Calibri"/>
          <w:sz w:val="22"/>
          <w:szCs w:val="22"/>
        </w:rPr>
      </w:pPr>
      <w:r w:rsidRPr="00776407">
        <w:rPr>
          <w:rFonts w:eastAsia="Calibri"/>
          <w:sz w:val="22"/>
          <w:szCs w:val="22"/>
        </w:rPr>
        <w:t>Padidėjęs jautrumas sojai ar riešutų sviestui.</w:t>
      </w:r>
    </w:p>
    <w:p w14:paraId="40B8D7F6" w14:textId="77777777" w:rsidR="00430A5A" w:rsidRPr="00776407" w:rsidRDefault="00430A5A" w:rsidP="00430A5A">
      <w:pPr>
        <w:rPr>
          <w:rFonts w:eastAsia="Calibri"/>
          <w:sz w:val="22"/>
          <w:szCs w:val="22"/>
        </w:rPr>
      </w:pPr>
    </w:p>
    <w:p w14:paraId="0E41BE5B" w14:textId="77777777" w:rsidR="00430A5A" w:rsidRPr="00776407" w:rsidRDefault="00430A5A" w:rsidP="00864BE6">
      <w:pPr>
        <w:pStyle w:val="Listenabsatz"/>
        <w:keepNext/>
        <w:numPr>
          <w:ilvl w:val="1"/>
          <w:numId w:val="2"/>
        </w:numPr>
        <w:ind w:left="567" w:hanging="567"/>
        <w:rPr>
          <w:rFonts w:eastAsia="Calibri"/>
          <w:b/>
          <w:sz w:val="22"/>
          <w:szCs w:val="22"/>
        </w:rPr>
      </w:pPr>
      <w:r w:rsidRPr="00776407">
        <w:rPr>
          <w:rFonts w:eastAsia="Calibri"/>
          <w:b/>
          <w:bCs/>
          <w:sz w:val="22"/>
          <w:szCs w:val="22"/>
        </w:rPr>
        <w:t xml:space="preserve">Specialūs įspėjimai ir atsargumo priemonės </w:t>
      </w:r>
    </w:p>
    <w:p w14:paraId="0B305AAA" w14:textId="77777777" w:rsidR="00430A5A" w:rsidRPr="00776407" w:rsidRDefault="00430A5A" w:rsidP="00430A5A">
      <w:pPr>
        <w:keepNext/>
        <w:rPr>
          <w:rFonts w:eastAsia="Calibri"/>
          <w:b/>
          <w:sz w:val="22"/>
          <w:szCs w:val="22"/>
        </w:rPr>
      </w:pPr>
    </w:p>
    <w:p w14:paraId="5912E8AC" w14:textId="77777777" w:rsidR="00430A5A" w:rsidRPr="00776407" w:rsidRDefault="00C21975" w:rsidP="00430A5A">
      <w:pPr>
        <w:rPr>
          <w:rFonts w:eastAsia="Calibri"/>
          <w:sz w:val="22"/>
          <w:szCs w:val="22"/>
        </w:rPr>
      </w:pPr>
      <w:r w:rsidRPr="00776407">
        <w:rPr>
          <w:rFonts w:eastAsia="Calibri"/>
          <w:sz w:val="22"/>
          <w:szCs w:val="22"/>
        </w:rPr>
        <w:t xml:space="preserve">Kai imatinibo vartojama kartu su kitais vaistiniais preparatais, yra </w:t>
      </w:r>
      <w:r w:rsidRPr="00776407">
        <w:rPr>
          <w:color w:val="000000"/>
          <w:sz w:val="22"/>
          <w:szCs w:val="22"/>
        </w:rPr>
        <w:t xml:space="preserve">vaistinių preparatų </w:t>
      </w:r>
      <w:r w:rsidRPr="00776407">
        <w:rPr>
          <w:rFonts w:eastAsia="Calibri"/>
          <w:sz w:val="22"/>
          <w:szCs w:val="22"/>
        </w:rPr>
        <w:t>sąveikos galimybė. Būtina laikytis atsargumo priemonių, kai imatinibo vartojama su ketokonazolu ar kitais stipriais CYP3A4 inhibitoriais, CYP3A4 substratais, kurių yra siaura terapinė platuma (pvz., ciklosporinas, pimozidas) ar CYP2C9 substratais, kurių yra siaura terapinė platuma (pvz., varfarinas ir kiti kumarino junginiai) (žr. 4.5 skyrių).</w:t>
      </w:r>
    </w:p>
    <w:p w14:paraId="4575022C" w14:textId="77777777" w:rsidR="00C21975" w:rsidRPr="00776407" w:rsidRDefault="00C21975" w:rsidP="00430A5A">
      <w:pPr>
        <w:rPr>
          <w:rFonts w:eastAsia="Calibri"/>
          <w:sz w:val="22"/>
          <w:szCs w:val="22"/>
        </w:rPr>
      </w:pPr>
    </w:p>
    <w:p w14:paraId="34E13D35" w14:textId="43738D2D" w:rsidR="00430A5A" w:rsidRPr="00776407" w:rsidRDefault="00430A5A" w:rsidP="00430A5A">
      <w:pPr>
        <w:rPr>
          <w:rFonts w:eastAsia="Calibri"/>
          <w:sz w:val="22"/>
          <w:szCs w:val="22"/>
        </w:rPr>
      </w:pPr>
      <w:r w:rsidRPr="00776407">
        <w:rPr>
          <w:rFonts w:eastAsia="Calibri"/>
          <w:sz w:val="22"/>
          <w:szCs w:val="22"/>
        </w:rPr>
        <w:t xml:space="preserve">Imatinibą vartojant kartu su medicininiais produktais, indukuojančiais CYP3A4 (pvz., deksametazonu, fenitoinu, karbamazepinu, rifampicinu, fenobarbitaliu ar </w:t>
      </w:r>
      <w:r w:rsidRPr="00776407">
        <w:rPr>
          <w:rFonts w:eastAsia="Calibri"/>
          <w:i/>
          <w:iCs/>
          <w:sz w:val="22"/>
          <w:szCs w:val="22"/>
        </w:rPr>
        <w:t>Hypericum perforatum</w:t>
      </w:r>
      <w:r w:rsidRPr="00776407">
        <w:rPr>
          <w:rFonts w:eastAsia="Calibri"/>
          <w:sz w:val="22"/>
          <w:szCs w:val="22"/>
        </w:rPr>
        <w:t>, t.</w:t>
      </w:r>
      <w:r w:rsidR="002B7610" w:rsidRPr="00776407">
        <w:rPr>
          <w:rFonts w:eastAsia="Calibri"/>
          <w:sz w:val="22"/>
          <w:szCs w:val="22"/>
        </w:rPr>
        <w:t> </w:t>
      </w:r>
      <w:r w:rsidRPr="00776407">
        <w:rPr>
          <w:rFonts w:eastAsia="Calibri"/>
          <w:sz w:val="22"/>
          <w:szCs w:val="22"/>
        </w:rPr>
        <w:t xml:space="preserve">y. jonažole), gali reikšmingai sumažėti imatinibo ekspozicija ir padidėti nesėkmingo gydymo tikimybė. Todėl reikia vengti imatinibą vartoti kartu su stipriais CYP3A4 induktoriais (žr. 4.5 skyrių). </w:t>
      </w:r>
    </w:p>
    <w:p w14:paraId="3FF5F152" w14:textId="77777777" w:rsidR="00430A5A" w:rsidRPr="00776407" w:rsidRDefault="00430A5A" w:rsidP="00430A5A">
      <w:pPr>
        <w:rPr>
          <w:rFonts w:eastAsia="Calibri"/>
          <w:sz w:val="22"/>
          <w:szCs w:val="22"/>
        </w:rPr>
      </w:pPr>
    </w:p>
    <w:p w14:paraId="5937B32D" w14:textId="77777777" w:rsidR="00430A5A" w:rsidRPr="00776407" w:rsidRDefault="00430A5A" w:rsidP="00430A5A">
      <w:pPr>
        <w:keepNext/>
        <w:rPr>
          <w:rFonts w:eastAsia="Calibri"/>
          <w:sz w:val="22"/>
          <w:szCs w:val="22"/>
          <w:u w:val="single"/>
        </w:rPr>
      </w:pPr>
      <w:r w:rsidRPr="00776407">
        <w:rPr>
          <w:rFonts w:eastAsia="Calibri"/>
          <w:sz w:val="22"/>
          <w:szCs w:val="22"/>
          <w:u w:val="single"/>
        </w:rPr>
        <w:t xml:space="preserve">Hipotiroidizmas </w:t>
      </w:r>
    </w:p>
    <w:p w14:paraId="48E19DC3" w14:textId="77777777" w:rsidR="00430A5A" w:rsidRPr="00776407" w:rsidRDefault="00430A5A" w:rsidP="00430A5A">
      <w:pPr>
        <w:rPr>
          <w:rFonts w:eastAsia="Calibri"/>
          <w:sz w:val="22"/>
          <w:szCs w:val="22"/>
        </w:rPr>
      </w:pPr>
      <w:r w:rsidRPr="00776407">
        <w:rPr>
          <w:rFonts w:eastAsia="Calibri"/>
          <w:sz w:val="22"/>
          <w:szCs w:val="22"/>
        </w:rPr>
        <w:t>Pastebėta klinikinių hipotireozės atvejų pacientams, kuriems pašalinta skydliaukė ir kuriems gydymo imatinibu metu buvo taikomas pakeičiamasis gydymas levotiroksinu (žr. 4.5 skyrių). Būtina stebėti tokių pacientų skydliaukės veiklą skatinančio hormono (TSH) koncentraciją.</w:t>
      </w:r>
    </w:p>
    <w:p w14:paraId="126E2892" w14:textId="77777777" w:rsidR="00430A5A" w:rsidRPr="00776407" w:rsidRDefault="00430A5A" w:rsidP="00430A5A">
      <w:pPr>
        <w:rPr>
          <w:rFonts w:eastAsia="Calibri"/>
          <w:sz w:val="22"/>
          <w:szCs w:val="22"/>
        </w:rPr>
      </w:pPr>
    </w:p>
    <w:p w14:paraId="27171DA4" w14:textId="77777777" w:rsidR="00430A5A" w:rsidRPr="00776407" w:rsidRDefault="00430A5A" w:rsidP="00430A5A">
      <w:pPr>
        <w:keepNext/>
        <w:rPr>
          <w:rFonts w:eastAsia="Calibri"/>
          <w:sz w:val="22"/>
          <w:szCs w:val="22"/>
          <w:u w:val="single"/>
        </w:rPr>
      </w:pPr>
      <w:r w:rsidRPr="00776407">
        <w:rPr>
          <w:rFonts w:eastAsia="Calibri"/>
          <w:sz w:val="22"/>
          <w:szCs w:val="22"/>
          <w:u w:val="single"/>
        </w:rPr>
        <w:t xml:space="preserve">Toksinis poveikis kepenims </w:t>
      </w:r>
    </w:p>
    <w:p w14:paraId="3CD8E3B0" w14:textId="77777777" w:rsidR="00475F83" w:rsidRPr="00776407" w:rsidRDefault="00475F83" w:rsidP="00475F83">
      <w:pPr>
        <w:rPr>
          <w:rFonts w:eastAsia="Calibri"/>
          <w:sz w:val="22"/>
          <w:szCs w:val="22"/>
        </w:rPr>
      </w:pPr>
      <w:r w:rsidRPr="00776407">
        <w:rPr>
          <w:rFonts w:eastAsia="Calibri"/>
          <w:sz w:val="22"/>
          <w:szCs w:val="22"/>
        </w:rPr>
        <w:t xml:space="preserve">Imatinibo daugiausia metabolizuojamas kepenyse ir tik 13 % jo išsiskiria pro inkstus. Pacientams, kuriems yra kepenų funkcijos sutrikimas (nedidelis, vidutinis ar sunkus) būtina atidžiai stebėti periferinio kraujo vaizdą ir kepenų fermentų koncentraciją (žr. 4.2, 4.8 ir 5.2 skyrius). </w:t>
      </w:r>
      <w:r w:rsidR="009418F8" w:rsidRPr="00776407">
        <w:rPr>
          <w:rFonts w:eastAsia="Calibri"/>
          <w:sz w:val="22"/>
          <w:szCs w:val="22"/>
        </w:rPr>
        <w:t>Reikia pažymėti, kad pacientams, kuriems diagnozuotas VTSN, gali būti metastazių kepenyse, kurios gali sąlygoti kepenų nepakankamumą.</w:t>
      </w:r>
    </w:p>
    <w:p w14:paraId="67A398DF" w14:textId="77777777" w:rsidR="00430A5A" w:rsidRPr="00776407" w:rsidRDefault="00430A5A" w:rsidP="00430A5A">
      <w:pPr>
        <w:rPr>
          <w:rFonts w:eastAsia="Calibri"/>
          <w:sz w:val="22"/>
          <w:szCs w:val="22"/>
        </w:rPr>
      </w:pPr>
    </w:p>
    <w:p w14:paraId="0A2C9D39" w14:textId="68735F60" w:rsidR="00430A5A" w:rsidRPr="00776407" w:rsidRDefault="00430A5A" w:rsidP="00430A5A">
      <w:pPr>
        <w:rPr>
          <w:rFonts w:eastAsia="Calibri"/>
          <w:sz w:val="22"/>
          <w:szCs w:val="22"/>
        </w:rPr>
      </w:pPr>
      <w:r w:rsidRPr="00776407">
        <w:rPr>
          <w:rFonts w:eastAsia="Calibri"/>
          <w:sz w:val="22"/>
          <w:szCs w:val="22"/>
        </w:rPr>
        <w:t xml:space="preserve">Vartojant imatinibą, kepenų pažeidimo atvejai, tame tarpe kepenų nepakankamumas ir kepenų nekrozė, yra registruoti. Imatinibą skiriant kartu su didelėmis chemoterapinių </w:t>
      </w:r>
      <w:r w:rsidR="002B7610" w:rsidRPr="00776407">
        <w:rPr>
          <w:rFonts w:eastAsia="Calibri"/>
          <w:sz w:val="22"/>
          <w:szCs w:val="22"/>
        </w:rPr>
        <w:t xml:space="preserve">vaistinių </w:t>
      </w:r>
      <w:r w:rsidRPr="00776407">
        <w:rPr>
          <w:rFonts w:eastAsia="Calibri"/>
          <w:sz w:val="22"/>
          <w:szCs w:val="22"/>
        </w:rPr>
        <w:t xml:space="preserve">preparatų dozėmis, nustatytas sunkių kepenų reakcijų padažnėjimas. Imatinibą skiriant kartu su kepenų funkciją galinčiais bloginti chemoterapiniais </w:t>
      </w:r>
      <w:r w:rsidR="002B7610" w:rsidRPr="00776407">
        <w:rPr>
          <w:rFonts w:eastAsia="Calibri"/>
          <w:sz w:val="22"/>
          <w:szCs w:val="22"/>
        </w:rPr>
        <w:t xml:space="preserve">vaistiniais </w:t>
      </w:r>
      <w:r w:rsidRPr="00776407">
        <w:rPr>
          <w:rFonts w:eastAsia="Calibri"/>
          <w:sz w:val="22"/>
          <w:szCs w:val="22"/>
        </w:rPr>
        <w:t xml:space="preserve">preparatais, reikia atidžiai stebėti kepenų funkciją (žr. 4.5 ir 4.8 skyrius). </w:t>
      </w:r>
    </w:p>
    <w:p w14:paraId="6C9850FF" w14:textId="77777777" w:rsidR="00430A5A" w:rsidRPr="00776407" w:rsidRDefault="00430A5A" w:rsidP="00430A5A">
      <w:pPr>
        <w:rPr>
          <w:rFonts w:eastAsia="Calibri"/>
          <w:sz w:val="22"/>
          <w:szCs w:val="22"/>
        </w:rPr>
      </w:pPr>
    </w:p>
    <w:p w14:paraId="2A6836CE" w14:textId="77777777" w:rsidR="00430A5A" w:rsidRPr="00776407" w:rsidRDefault="00430A5A" w:rsidP="00430A5A">
      <w:pPr>
        <w:keepNext/>
        <w:rPr>
          <w:rFonts w:eastAsia="Calibri"/>
          <w:sz w:val="22"/>
          <w:szCs w:val="22"/>
          <w:u w:val="single"/>
        </w:rPr>
      </w:pPr>
      <w:r w:rsidRPr="00776407">
        <w:rPr>
          <w:rFonts w:eastAsia="Calibri"/>
          <w:sz w:val="22"/>
          <w:szCs w:val="22"/>
          <w:u w:val="single"/>
        </w:rPr>
        <w:t xml:space="preserve">Skysčių susilaikymas </w:t>
      </w:r>
    </w:p>
    <w:p w14:paraId="7B0B5386" w14:textId="77777777" w:rsidR="00430A5A" w:rsidRPr="00776407" w:rsidRDefault="00430A5A" w:rsidP="00430A5A">
      <w:pPr>
        <w:rPr>
          <w:rFonts w:eastAsia="Calibri"/>
          <w:sz w:val="22"/>
          <w:szCs w:val="22"/>
        </w:rPr>
      </w:pPr>
      <w:r w:rsidRPr="00776407">
        <w:rPr>
          <w:rFonts w:eastAsia="Calibri"/>
          <w:sz w:val="22"/>
          <w:szCs w:val="22"/>
        </w:rPr>
        <w:t>Maždaug 2,5 % imatinib</w:t>
      </w:r>
      <w:r w:rsidR="00BD4BC1" w:rsidRPr="00776407">
        <w:rPr>
          <w:rFonts w:eastAsia="Calibri"/>
          <w:sz w:val="22"/>
          <w:szCs w:val="22"/>
        </w:rPr>
        <w:t>ą</w:t>
      </w:r>
      <w:r w:rsidRPr="00776407">
        <w:rPr>
          <w:rFonts w:eastAsia="Calibri"/>
          <w:sz w:val="22"/>
          <w:szCs w:val="22"/>
        </w:rPr>
        <w:t xml:space="preserve"> vartojusių pacientų, sergančių naujai diagnozuota LML, susilaikė daug skysčių organizme (skystis pleuros ertmėje, edema, plaučių edema, ascitas, paviršinė edema). Todėl privalu pacientus reguliariai sverti. Pacientą, kuriam kūno svoris neįtikėtinai greitai didėja, reikia atidžiai ištirti ir prireikus taikyti atitinkamas pagalbos ir gydymo priemones. Klinikinių tyrimų metu šių reiškinių dažniau buvo senyviems ir sergantiems širdies ligomis pacientams. Todėl </w:t>
      </w:r>
      <w:r w:rsidR="00BA110E" w:rsidRPr="00776407">
        <w:rPr>
          <w:color w:val="000000"/>
          <w:sz w:val="22"/>
          <w:szCs w:val="22"/>
        </w:rPr>
        <w:t xml:space="preserve">vaistinį preparatą </w:t>
      </w:r>
      <w:r w:rsidRPr="00776407">
        <w:rPr>
          <w:rFonts w:eastAsia="Calibri"/>
          <w:sz w:val="22"/>
          <w:szCs w:val="22"/>
        </w:rPr>
        <w:t xml:space="preserve">atsargiai skirti pacientams, kurių sutrikusi širdies funkcija. </w:t>
      </w:r>
    </w:p>
    <w:p w14:paraId="7C9041F3" w14:textId="77777777" w:rsidR="00430A5A" w:rsidRPr="00776407" w:rsidRDefault="00430A5A" w:rsidP="00430A5A">
      <w:pPr>
        <w:rPr>
          <w:rFonts w:eastAsia="Calibri"/>
          <w:sz w:val="22"/>
          <w:szCs w:val="22"/>
        </w:rPr>
      </w:pPr>
    </w:p>
    <w:p w14:paraId="453EF44C" w14:textId="77777777" w:rsidR="00430A5A" w:rsidRPr="00776407" w:rsidRDefault="00430A5A" w:rsidP="00430A5A">
      <w:pPr>
        <w:keepNext/>
        <w:rPr>
          <w:rFonts w:eastAsia="Calibri"/>
          <w:sz w:val="22"/>
          <w:szCs w:val="22"/>
          <w:u w:val="single"/>
        </w:rPr>
      </w:pPr>
      <w:r w:rsidRPr="00776407">
        <w:rPr>
          <w:rFonts w:eastAsia="Calibri"/>
          <w:sz w:val="22"/>
          <w:szCs w:val="22"/>
          <w:u w:val="single"/>
        </w:rPr>
        <w:t xml:space="preserve">Pacientai, sergantys širdies ligomis </w:t>
      </w:r>
    </w:p>
    <w:p w14:paraId="1B2EEC8A" w14:textId="77777777" w:rsidR="00430A5A" w:rsidRPr="00776407" w:rsidRDefault="00430A5A" w:rsidP="00430A5A">
      <w:pPr>
        <w:rPr>
          <w:rFonts w:eastAsia="Calibri"/>
          <w:sz w:val="22"/>
          <w:szCs w:val="22"/>
        </w:rPr>
      </w:pPr>
      <w:r w:rsidRPr="00776407">
        <w:rPr>
          <w:rFonts w:eastAsia="Calibri"/>
          <w:sz w:val="22"/>
          <w:szCs w:val="22"/>
        </w:rPr>
        <w:t xml:space="preserve">Pacientai su širdies ligomis, širdies nepakankamumo rizikos faktoriais ar sirgę inkstų nepakankamumu turi būti atidžiai stebimi, o bet kuris pacientas su širdies ar inkstų nepakankamumo požymiais arba simptomais turi būti įvertintas ir gydomas. </w:t>
      </w:r>
    </w:p>
    <w:p w14:paraId="7235374E" w14:textId="77777777" w:rsidR="00430A5A" w:rsidRPr="00776407" w:rsidRDefault="00430A5A" w:rsidP="00430A5A">
      <w:pPr>
        <w:rPr>
          <w:rFonts w:eastAsia="Calibri"/>
          <w:sz w:val="22"/>
          <w:szCs w:val="22"/>
        </w:rPr>
      </w:pPr>
    </w:p>
    <w:p w14:paraId="7E97AEFB" w14:textId="77777777" w:rsidR="00430A5A" w:rsidRPr="00776407" w:rsidRDefault="00430A5A" w:rsidP="00430A5A">
      <w:pPr>
        <w:rPr>
          <w:rFonts w:eastAsia="Calibri"/>
          <w:sz w:val="22"/>
          <w:szCs w:val="22"/>
        </w:rPr>
      </w:pPr>
      <w:r w:rsidRPr="00776407">
        <w:rPr>
          <w:rFonts w:eastAsia="Calibri"/>
          <w:sz w:val="22"/>
          <w:szCs w:val="22"/>
        </w:rPr>
        <w:t xml:space="preserve">Hipereozinofiliniu sindromu (HES) sergantiems pacientams su slapta HES ląstelių infiltracija miokarde, registruoti pavieniai kardiogeninio šoko ar kairiojo skilvelio disfunkcijos atvejai.Būklė gerėjo gydant sisteminio veikimo steroidiniais hormonais, palaikant kraujotaką ir laikinai nutraukiant imatinibo vartojimą. Kadangi nedažnai buvo pranešama apie nepageidaujamus poveikius širdžiai, vartojant imatinibą, prieš pradedant gydyti imatinibu pacientus, sergančius HES/LEL, turi būti atidžiai įvertintas gydymo imatinibu naudos ir rizikos santykis. </w:t>
      </w:r>
    </w:p>
    <w:p w14:paraId="1C20D8EF" w14:textId="77777777" w:rsidR="00430A5A" w:rsidRPr="00776407" w:rsidRDefault="00430A5A" w:rsidP="00430A5A">
      <w:pPr>
        <w:rPr>
          <w:rFonts w:eastAsia="Calibri"/>
          <w:sz w:val="22"/>
          <w:szCs w:val="22"/>
        </w:rPr>
      </w:pPr>
    </w:p>
    <w:p w14:paraId="332F0525" w14:textId="77777777" w:rsidR="00430A5A" w:rsidRPr="00776407" w:rsidRDefault="00430A5A" w:rsidP="00430A5A">
      <w:pPr>
        <w:rPr>
          <w:rFonts w:eastAsia="Calibri"/>
          <w:sz w:val="22"/>
          <w:szCs w:val="22"/>
        </w:rPr>
      </w:pPr>
      <w:r w:rsidRPr="00776407">
        <w:rPr>
          <w:rFonts w:eastAsia="Calibri"/>
          <w:sz w:val="22"/>
          <w:szCs w:val="22"/>
        </w:rPr>
        <w:t xml:space="preserve">Sergant mielodisplazinėmis ar mieloproliferacinėmis ligomis su PDGFR genų pakitimais gali būti padidėjęs eozinofilų kiekis. Prieš skiriant imatinibą pacientams, sergantiems HES ar LEL ir pacientams, sergantiems MDS/MDL, kuriems yra padidėjęs eozinofilų kiekis, reikalinga kardiologo konsultacija, taip pat reikia atlikti echokardiogramą ir nustatyti troponino koncentraciją serume. Jei bent vieno šių tyrimų rezultatai neatitinka normos, pirmąsias vieną ar dvi gydymo savaites, stebint kardiologui, kartu su imatinibu profilaktiškai galima skirti sisteminio veikimo steroidų (1-2 mg/kg dozę). </w:t>
      </w:r>
    </w:p>
    <w:p w14:paraId="2DE51863" w14:textId="77777777" w:rsidR="00430A5A" w:rsidRPr="00776407" w:rsidRDefault="00430A5A" w:rsidP="00430A5A">
      <w:pPr>
        <w:rPr>
          <w:rFonts w:eastAsia="Calibri"/>
          <w:sz w:val="22"/>
          <w:szCs w:val="22"/>
        </w:rPr>
      </w:pPr>
    </w:p>
    <w:p w14:paraId="48E54D6E" w14:textId="77777777" w:rsidR="00430A5A" w:rsidRPr="00776407" w:rsidRDefault="00430A5A" w:rsidP="00430A5A">
      <w:pPr>
        <w:keepNext/>
        <w:rPr>
          <w:rFonts w:eastAsia="Calibri"/>
          <w:sz w:val="22"/>
          <w:szCs w:val="22"/>
          <w:u w:val="single"/>
        </w:rPr>
      </w:pPr>
      <w:r w:rsidRPr="00776407">
        <w:rPr>
          <w:rFonts w:eastAsia="Calibri"/>
          <w:sz w:val="22"/>
          <w:szCs w:val="22"/>
          <w:u w:val="single"/>
        </w:rPr>
        <w:t xml:space="preserve">Kraujavimas iš virškinimo trakto </w:t>
      </w:r>
    </w:p>
    <w:p w14:paraId="1FD84908" w14:textId="77777777" w:rsidR="009418F8" w:rsidRPr="00776407" w:rsidRDefault="009418F8" w:rsidP="009418F8">
      <w:pPr>
        <w:rPr>
          <w:sz w:val="22"/>
          <w:szCs w:val="22"/>
        </w:rPr>
      </w:pPr>
      <w:r w:rsidRPr="00776407">
        <w:rPr>
          <w:sz w:val="22"/>
          <w:szCs w:val="22"/>
        </w:rPr>
        <w:t>Atlikto klinikinio tyrimo duomenimis, jame dalyvavusiems pacientams, kuriems buvo nerezekuotinas ir (ar) metastazavęs VTSN, pasitaikė ir virškinimo trakto bei vidunavikinių kraujavimų (žr. 4.8 skyrių). Turimi duomenys neatskleidė predisponuojančių veiksnių (pvz., naviko dydžio, naviko lokalizacijos, krešėjimo sutrikimų), dėl kurių padidėtų pacientų, sergančių VTSN, bet kokio kraujavimo rizika. Padidėjęs kraujagyslinis tinklas bei polinkis į kraujavimą iš dalies yra prigimtiniai ir būdingi klinikinei VTSN eigai, todėl visiems pacientams būtina taikyti įprastines priemones ir procedūras kraujavimui stebėti ir gydyti.</w:t>
      </w:r>
    </w:p>
    <w:p w14:paraId="47768A1A" w14:textId="77777777" w:rsidR="009418F8" w:rsidRPr="00776407" w:rsidRDefault="009418F8" w:rsidP="009418F8">
      <w:pPr>
        <w:rPr>
          <w:sz w:val="22"/>
          <w:szCs w:val="22"/>
        </w:rPr>
      </w:pPr>
      <w:r w:rsidRPr="00776407">
        <w:rPr>
          <w:sz w:val="22"/>
          <w:szCs w:val="22"/>
        </w:rPr>
        <w:t>Be to, vaistiniam preparatui patekus į rinką, buvo gauta pranešimų apie prievarčio kraujagyslių išsiplėtimą (</w:t>
      </w:r>
      <w:r w:rsidRPr="00776407">
        <w:rPr>
          <w:i/>
          <w:sz w:val="22"/>
          <w:szCs w:val="22"/>
        </w:rPr>
        <w:t>angl.</w:t>
      </w:r>
      <w:r w:rsidRPr="00776407">
        <w:rPr>
          <w:sz w:val="22"/>
          <w:szCs w:val="22"/>
        </w:rPr>
        <w:t xml:space="preserve"> gastric antral vascular ectasia [GAVE]) </w:t>
      </w:r>
      <w:r w:rsidRPr="00776407">
        <w:rPr>
          <w:sz w:val="22"/>
          <w:szCs w:val="22"/>
        </w:rPr>
        <w:sym w:font="Symbol" w:char="F02D"/>
      </w:r>
      <w:r w:rsidRPr="00776407">
        <w:rPr>
          <w:sz w:val="22"/>
          <w:szCs w:val="22"/>
        </w:rPr>
        <w:t xml:space="preserve"> retą kraujavimo iš virškinimo priežastį </w:t>
      </w:r>
      <w:r w:rsidRPr="00776407">
        <w:rPr>
          <w:sz w:val="22"/>
          <w:szCs w:val="22"/>
        </w:rPr>
        <w:sym w:font="Symbol" w:char="F02D"/>
      </w:r>
      <w:r w:rsidRPr="00776407">
        <w:rPr>
          <w:sz w:val="22"/>
          <w:szCs w:val="22"/>
        </w:rPr>
        <w:t xml:space="preserve"> pacientams, sergantiems LML, ŪLL ir kitomis ligomis (žr 4.8 skyrių). Jei reikia, turi būti apsvarstytas gydymo imatinibu nutraukimas.</w:t>
      </w:r>
    </w:p>
    <w:p w14:paraId="299CEB40" w14:textId="77777777" w:rsidR="001D2F82" w:rsidRPr="00776407" w:rsidRDefault="001D2F82" w:rsidP="00430A5A">
      <w:pPr>
        <w:rPr>
          <w:rFonts w:eastAsia="Calibri"/>
          <w:sz w:val="22"/>
          <w:szCs w:val="22"/>
          <w:u w:val="single"/>
        </w:rPr>
      </w:pPr>
    </w:p>
    <w:p w14:paraId="03F9CDFF" w14:textId="77777777" w:rsidR="00430A5A" w:rsidRPr="00776407" w:rsidRDefault="006D07C3" w:rsidP="00430A5A">
      <w:pPr>
        <w:keepNext/>
        <w:rPr>
          <w:rFonts w:eastAsia="Calibri"/>
          <w:sz w:val="22"/>
          <w:szCs w:val="22"/>
          <w:u w:val="single"/>
        </w:rPr>
      </w:pPr>
      <w:r w:rsidRPr="00776407">
        <w:rPr>
          <w:rFonts w:eastAsia="Calibri"/>
          <w:sz w:val="22"/>
          <w:szCs w:val="22"/>
          <w:u w:val="single"/>
        </w:rPr>
        <w:t>Naviko</w:t>
      </w:r>
      <w:r w:rsidR="00430A5A" w:rsidRPr="00776407">
        <w:rPr>
          <w:rFonts w:eastAsia="Calibri"/>
          <w:sz w:val="22"/>
          <w:szCs w:val="22"/>
          <w:u w:val="single"/>
        </w:rPr>
        <w:t xml:space="preserve"> irimo sindromas </w:t>
      </w:r>
    </w:p>
    <w:p w14:paraId="216057A7" w14:textId="77777777" w:rsidR="00430A5A" w:rsidRPr="00776407" w:rsidRDefault="00430A5A" w:rsidP="00430A5A">
      <w:pPr>
        <w:rPr>
          <w:rFonts w:eastAsia="Calibri"/>
          <w:sz w:val="22"/>
          <w:szCs w:val="22"/>
        </w:rPr>
      </w:pPr>
      <w:r w:rsidRPr="00776407">
        <w:rPr>
          <w:rFonts w:eastAsia="Calibri"/>
          <w:sz w:val="22"/>
          <w:szCs w:val="22"/>
        </w:rPr>
        <w:t xml:space="preserve">Dėl galimų </w:t>
      </w:r>
      <w:r w:rsidR="006D07C3" w:rsidRPr="00776407">
        <w:rPr>
          <w:rFonts w:eastAsia="Calibri"/>
          <w:sz w:val="22"/>
          <w:szCs w:val="22"/>
        </w:rPr>
        <w:t>naviko</w:t>
      </w:r>
      <w:r w:rsidRPr="00776407">
        <w:rPr>
          <w:rFonts w:eastAsia="Calibri"/>
          <w:sz w:val="22"/>
          <w:szCs w:val="22"/>
        </w:rPr>
        <w:t xml:space="preserve"> irimo sindromo (AIS) atvejų, pradedant vartoti </w:t>
      </w:r>
      <w:r w:rsidR="00072EB7" w:rsidRPr="00776407">
        <w:rPr>
          <w:rFonts w:eastAsia="Calibri"/>
          <w:sz w:val="22"/>
          <w:szCs w:val="22"/>
        </w:rPr>
        <w:t>imatinibą</w:t>
      </w:r>
      <w:r w:rsidRPr="00776407">
        <w:rPr>
          <w:rFonts w:eastAsia="Calibri"/>
          <w:sz w:val="22"/>
          <w:szCs w:val="22"/>
        </w:rPr>
        <w:t xml:space="preserve"> pirmiausia rekomenduojamas kliniškai reikšmingos dehidracijos lygio atstatymas ir didelio šlapimo rūgšties kiekio gydymas (žr. 4.8 skyrių).</w:t>
      </w:r>
    </w:p>
    <w:p w14:paraId="080F54FF" w14:textId="77777777" w:rsidR="00B203CC" w:rsidRPr="00776407" w:rsidRDefault="00B203CC" w:rsidP="00430A5A">
      <w:pPr>
        <w:rPr>
          <w:rFonts w:eastAsia="Calibri"/>
          <w:sz w:val="22"/>
          <w:szCs w:val="22"/>
        </w:rPr>
      </w:pPr>
    </w:p>
    <w:p w14:paraId="4F3C7E5F" w14:textId="77777777" w:rsidR="00B203CC" w:rsidRPr="00776407" w:rsidRDefault="00B203CC" w:rsidP="00B203CC">
      <w:pPr>
        <w:rPr>
          <w:rFonts w:eastAsia="Calibri"/>
          <w:sz w:val="22"/>
          <w:szCs w:val="22"/>
          <w:u w:val="single"/>
        </w:rPr>
      </w:pPr>
      <w:r w:rsidRPr="00776407">
        <w:rPr>
          <w:rFonts w:eastAsia="Calibri"/>
          <w:sz w:val="22"/>
          <w:szCs w:val="22"/>
          <w:u w:val="single"/>
        </w:rPr>
        <w:t xml:space="preserve">Hepatito B reaktyvacija </w:t>
      </w:r>
    </w:p>
    <w:p w14:paraId="5EC8E424" w14:textId="77777777" w:rsidR="00B203CC" w:rsidRPr="00776407" w:rsidRDefault="00B203CC" w:rsidP="00B203CC">
      <w:pPr>
        <w:rPr>
          <w:rFonts w:eastAsia="Calibri"/>
          <w:sz w:val="22"/>
          <w:szCs w:val="22"/>
        </w:rPr>
      </w:pPr>
      <w:r w:rsidRPr="00776407">
        <w:rPr>
          <w:rFonts w:eastAsia="Calibri"/>
          <w:sz w:val="22"/>
          <w:szCs w:val="22"/>
        </w:rPr>
        <w:t xml:space="preserve">Hepatito B reaktyvacijos atvejų nustatyta pacientams, kurie yra ilgalaikiai šio viruso nešiotojai, po to, kai šie pacientai pavartojo BCR-ABL tirozinkinazės inhibitorių. Kai kuriais atvejais tai sukėlė ūminį kepenų nepakankamumą arba žaibinį hepatitą, dėl kurio pacientui teko persodinti kepenis arba pacientas mirė. </w:t>
      </w:r>
    </w:p>
    <w:p w14:paraId="5BE52CEA" w14:textId="77777777" w:rsidR="00430A5A" w:rsidRPr="00776407" w:rsidRDefault="00B203CC" w:rsidP="00430A5A">
      <w:pPr>
        <w:rPr>
          <w:rFonts w:eastAsia="Calibri"/>
          <w:sz w:val="22"/>
          <w:szCs w:val="22"/>
        </w:rPr>
      </w:pPr>
      <w:r w:rsidRPr="00776407">
        <w:rPr>
          <w:rFonts w:eastAsia="Calibri"/>
          <w:sz w:val="22"/>
          <w:szCs w:val="22"/>
        </w:rPr>
        <w:t>Prieš pradedant gydymą Imatinib Actavis, reikia ištirti, ar pacientas neužsikrėtęs HBV. Prieš pradedant gydyti pacientus, kuriems nustatytas serologiškai teigiamas hepatitas B (įskaitant aktyvia liga sergančius pacientus), ir dėl pacientų, kuriems gydymo laikotarpiu nustatyta HBV infekcija, reikia pasitarti su kepenų ligų ekspertais ir hepatitą B gydančiais gydytojais specialistais. Terapijos laikotarpiu ir kelis mėnesius po terapijos pabaigos reikia atidžiai stebėti, ar HBV nešiotojams, kuriems būtinas gydymas Imatinib Actavis, nepasireiškia aktyvios HBV infekcijos požymiai ir simptomai (žr. 4.8 skyrių).</w:t>
      </w:r>
    </w:p>
    <w:p w14:paraId="01F9062C" w14:textId="77777777" w:rsidR="00475F83" w:rsidRPr="00776407" w:rsidRDefault="00475F83" w:rsidP="00475F83">
      <w:pPr>
        <w:rPr>
          <w:rFonts w:eastAsia="Calibri"/>
          <w:sz w:val="22"/>
          <w:szCs w:val="22"/>
        </w:rPr>
      </w:pPr>
    </w:p>
    <w:p w14:paraId="496E6E72" w14:textId="77777777" w:rsidR="00475F83" w:rsidRPr="00776407" w:rsidRDefault="00475F83" w:rsidP="00475F83">
      <w:pPr>
        <w:keepNext/>
        <w:widowControl w:val="0"/>
        <w:rPr>
          <w:snapToGrid w:val="0"/>
          <w:color w:val="000000"/>
          <w:sz w:val="22"/>
          <w:szCs w:val="22"/>
          <w:u w:val="single"/>
        </w:rPr>
      </w:pPr>
      <w:r w:rsidRPr="00776407">
        <w:rPr>
          <w:snapToGrid w:val="0"/>
          <w:color w:val="000000"/>
          <w:sz w:val="22"/>
          <w:szCs w:val="22"/>
          <w:u w:val="single"/>
        </w:rPr>
        <w:t>Fototoksiškumas</w:t>
      </w:r>
    </w:p>
    <w:p w14:paraId="7B8B0C20" w14:textId="77777777" w:rsidR="002B7610" w:rsidRPr="00776407" w:rsidRDefault="002B7610" w:rsidP="002B7610">
      <w:pPr>
        <w:rPr>
          <w:snapToGrid w:val="0"/>
          <w:color w:val="000000"/>
          <w:sz w:val="22"/>
          <w:szCs w:val="22"/>
        </w:rPr>
      </w:pPr>
      <w:r w:rsidRPr="00776407">
        <w:rPr>
          <w:snapToGrid w:val="0"/>
          <w:color w:val="000000"/>
          <w:sz w:val="22"/>
          <w:szCs w:val="22"/>
        </w:rPr>
        <w:t>Reikia vengti tiesioginių saulės spindulių ekspozicijos arba ją sumažinti iki minimumo dėl fototoksinio poveikio rizikos, susijusios su gydymu imatinibu. Pacientams reikia nurodyti naudoti apsauginius drabužius ir preparatą nuo saulės nudegimo, kurio aukštas apsaugos faktorius (SPF).</w:t>
      </w:r>
    </w:p>
    <w:p w14:paraId="080E64C3" w14:textId="77777777" w:rsidR="002B7610" w:rsidRPr="00776407" w:rsidRDefault="002B7610" w:rsidP="001C1204">
      <w:pPr>
        <w:rPr>
          <w:rFonts w:eastAsia="Calibri"/>
          <w:sz w:val="22"/>
          <w:szCs w:val="22"/>
          <w:u w:val="single"/>
        </w:rPr>
      </w:pPr>
    </w:p>
    <w:p w14:paraId="571C3565" w14:textId="30214986" w:rsidR="001C1204" w:rsidRPr="00776407" w:rsidRDefault="001C1204" w:rsidP="001C1204">
      <w:pPr>
        <w:rPr>
          <w:rFonts w:eastAsia="Calibri"/>
          <w:sz w:val="22"/>
          <w:szCs w:val="22"/>
          <w:u w:val="single"/>
        </w:rPr>
      </w:pPr>
      <w:r w:rsidRPr="00776407">
        <w:rPr>
          <w:rFonts w:eastAsia="Calibri"/>
          <w:sz w:val="22"/>
          <w:szCs w:val="22"/>
          <w:u w:val="single"/>
        </w:rPr>
        <w:t>Trombinė mikroangiopatija</w:t>
      </w:r>
    </w:p>
    <w:p w14:paraId="70394339" w14:textId="77777777" w:rsidR="001C1204" w:rsidRPr="00776407" w:rsidRDefault="001C1204" w:rsidP="001C1204">
      <w:pPr>
        <w:rPr>
          <w:rFonts w:eastAsia="Calibri"/>
          <w:sz w:val="22"/>
          <w:szCs w:val="22"/>
        </w:rPr>
      </w:pPr>
      <w:r w:rsidRPr="00776407">
        <w:rPr>
          <w:rFonts w:eastAsia="Calibri"/>
          <w:sz w:val="22"/>
          <w:szCs w:val="22"/>
        </w:rPr>
        <w:t xml:space="preserve">BCR-ABL tirozinkinazės inhibitorių (TKI) vartojimas buvo susijęs su trombinės mikroangiopatijos (TMA) pasireiškimu, įskaitant pranešimus apie atskirus jos atvejus vartojant Imatinib Actavis (žr. 4.8 skyrių). Jeigu Imatinib Actavis vartojančiam pacientui nustatoma laboratorinių ar klinikinių duomenų, susijusių su TMA požymiais, gydymą reikia nutraukti, o paciento būklę išsamiai ištirti dėl TMA tikimybės, įskaitant ADAMTS13 aktyvumo vertinimą ir anti-ADAMTS13 antikūnų nustatymą. Jeigu nustatomas padidėjęs anti-ADAMTS13 antikūnų kiekis kartu su sumažėjusiu ADAMTS13 aktyvumu, gydymo </w:t>
      </w:r>
      <w:r w:rsidR="00754AB6" w:rsidRPr="00776407">
        <w:rPr>
          <w:rFonts w:eastAsia="Calibri"/>
          <w:sz w:val="22"/>
          <w:szCs w:val="22"/>
        </w:rPr>
        <w:t>Imatinib Actavis</w:t>
      </w:r>
      <w:r w:rsidRPr="00776407">
        <w:rPr>
          <w:rFonts w:eastAsia="Calibri"/>
          <w:sz w:val="22"/>
          <w:szCs w:val="22"/>
        </w:rPr>
        <w:t xml:space="preserve"> atnaujinti negalima.</w:t>
      </w:r>
    </w:p>
    <w:p w14:paraId="5FD4D23F" w14:textId="77777777" w:rsidR="00475F83" w:rsidRPr="00776407" w:rsidRDefault="00475F83" w:rsidP="00475F83">
      <w:pPr>
        <w:rPr>
          <w:rFonts w:eastAsia="Calibri"/>
          <w:sz w:val="22"/>
          <w:szCs w:val="22"/>
        </w:rPr>
      </w:pPr>
    </w:p>
    <w:p w14:paraId="0292B480" w14:textId="77777777" w:rsidR="00430A5A" w:rsidRPr="00776407" w:rsidRDefault="00430A5A" w:rsidP="00430A5A">
      <w:pPr>
        <w:keepNext/>
        <w:rPr>
          <w:rFonts w:eastAsia="Calibri"/>
          <w:sz w:val="22"/>
          <w:szCs w:val="22"/>
          <w:u w:val="single"/>
        </w:rPr>
      </w:pPr>
      <w:r w:rsidRPr="00776407">
        <w:rPr>
          <w:rFonts w:eastAsia="Calibri"/>
          <w:sz w:val="22"/>
          <w:szCs w:val="22"/>
          <w:u w:val="single"/>
        </w:rPr>
        <w:t xml:space="preserve">Laboratoriniai tyrimai </w:t>
      </w:r>
    </w:p>
    <w:p w14:paraId="51233E68" w14:textId="77777777" w:rsidR="00430A5A" w:rsidRPr="00776407" w:rsidRDefault="00430A5A" w:rsidP="00430A5A">
      <w:pPr>
        <w:rPr>
          <w:rFonts w:eastAsia="Calibri"/>
          <w:sz w:val="22"/>
          <w:szCs w:val="22"/>
        </w:rPr>
      </w:pPr>
      <w:r w:rsidRPr="00776407">
        <w:rPr>
          <w:rFonts w:eastAsia="Calibri"/>
          <w:sz w:val="22"/>
          <w:szCs w:val="22"/>
        </w:rPr>
        <w:t xml:space="preserve">Gydant imatinibu, reikia reguliariai atlikti išsamų kraujo tyrimą. Kai yra LML, gydymas imatinibu yra susijęs su neutropenija ir trombocitopenija. Tačiau šios citopenijos gali priklausyti nuo gydomos ligos stadijos ir dažniau būna pacientams, kuriems yra LML akceleracijos fazė ar blastinė krizė, negu tiems, kuriems yra lėtinė LML fazė. Gydymas imatinibu gali būti pertrauktas arba gali būti sumažinta </w:t>
      </w:r>
      <w:r w:rsidR="00BA110E" w:rsidRPr="00776407">
        <w:rPr>
          <w:color w:val="000000"/>
          <w:sz w:val="22"/>
          <w:szCs w:val="22"/>
        </w:rPr>
        <w:t xml:space="preserve">vaistinio preparato </w:t>
      </w:r>
      <w:r w:rsidRPr="00776407">
        <w:rPr>
          <w:rFonts w:eastAsia="Calibri"/>
          <w:sz w:val="22"/>
          <w:szCs w:val="22"/>
        </w:rPr>
        <w:t xml:space="preserve">dozė kaip rekomenduojama 4.2 skyriuje. </w:t>
      </w:r>
    </w:p>
    <w:p w14:paraId="501E068E" w14:textId="77777777" w:rsidR="00430A5A" w:rsidRPr="00776407" w:rsidRDefault="00430A5A" w:rsidP="00430A5A">
      <w:pPr>
        <w:rPr>
          <w:rFonts w:eastAsia="Calibri"/>
          <w:sz w:val="22"/>
          <w:szCs w:val="22"/>
        </w:rPr>
      </w:pPr>
    </w:p>
    <w:p w14:paraId="2AEE6036" w14:textId="77777777" w:rsidR="00430A5A" w:rsidRPr="00776407" w:rsidRDefault="00430A5A" w:rsidP="00430A5A">
      <w:pPr>
        <w:rPr>
          <w:rFonts w:eastAsia="Calibri"/>
          <w:sz w:val="22"/>
          <w:szCs w:val="22"/>
        </w:rPr>
      </w:pPr>
      <w:r w:rsidRPr="00776407">
        <w:rPr>
          <w:rFonts w:eastAsia="Calibri"/>
          <w:sz w:val="22"/>
          <w:szCs w:val="22"/>
        </w:rPr>
        <w:t>Būtina reguliariai tirti imatinib</w:t>
      </w:r>
      <w:r w:rsidR="00BD4BC1" w:rsidRPr="00776407">
        <w:rPr>
          <w:rFonts w:eastAsia="Calibri"/>
          <w:sz w:val="22"/>
          <w:szCs w:val="22"/>
        </w:rPr>
        <w:t>ą</w:t>
      </w:r>
      <w:r w:rsidRPr="00776407">
        <w:rPr>
          <w:rFonts w:eastAsia="Calibri"/>
          <w:sz w:val="22"/>
          <w:szCs w:val="22"/>
        </w:rPr>
        <w:t xml:space="preserve"> vartojančių pacientų kepenų funkciją (transaminazių, bilirubino, šarminės fosfatazės koncentraciją). </w:t>
      </w:r>
    </w:p>
    <w:p w14:paraId="15EDBD4E" w14:textId="77777777" w:rsidR="00430A5A" w:rsidRPr="00776407" w:rsidRDefault="00430A5A" w:rsidP="00430A5A">
      <w:pPr>
        <w:rPr>
          <w:rFonts w:eastAsia="Calibri"/>
          <w:sz w:val="22"/>
          <w:szCs w:val="22"/>
        </w:rPr>
      </w:pPr>
    </w:p>
    <w:p w14:paraId="5C8409F7" w14:textId="77777777" w:rsidR="00430A5A" w:rsidRPr="00776407" w:rsidRDefault="00430A5A" w:rsidP="00430A5A">
      <w:pPr>
        <w:rPr>
          <w:rFonts w:eastAsia="Calibri"/>
          <w:sz w:val="22"/>
          <w:szCs w:val="22"/>
        </w:rPr>
      </w:pPr>
      <w:r w:rsidRPr="00776407">
        <w:rPr>
          <w:rFonts w:eastAsia="Calibri"/>
          <w:sz w:val="22"/>
          <w:szCs w:val="22"/>
        </w:rPr>
        <w:t xml:space="preserve">Atrodo, kad pacientų, kurių inkstų funkcija susilpnėjusi, imatinibo ekspozicija plazmoje yra didesnė nei pacientų, kurių inkstų funkcija normali. Tikriausiai tai lemia imatinibą surišančio baltymo alfarūgščiojo glikoproteino (AGP) kiekis plazmoje, kuris yra didesnis pacientams, kurių inkstų funkcija sutrikusi. Pacientams, sergantiems inkstų funkcijos nepakankamumu, turi būti skiriama mažiausia pradinė dozė. Pacientus, sergančius sunkiu inkstų funkcijos nepakankamumu, reikia gydyti ypač atsargiai. Dozė gali būti mažinama, jei blogai toleruojama (žr. 4.2 ir 5.2 skyrius). </w:t>
      </w:r>
    </w:p>
    <w:p w14:paraId="507F1E26" w14:textId="77777777" w:rsidR="001D2F82" w:rsidRPr="00776407" w:rsidRDefault="001D2F82" w:rsidP="001D2F82">
      <w:pPr>
        <w:rPr>
          <w:rFonts w:eastAsia="Calibri"/>
          <w:sz w:val="22"/>
          <w:szCs w:val="22"/>
        </w:rPr>
      </w:pPr>
    </w:p>
    <w:p w14:paraId="37B47458" w14:textId="77777777" w:rsidR="001D2F82" w:rsidRPr="00776407" w:rsidRDefault="001D2F82" w:rsidP="001D2F82">
      <w:pPr>
        <w:rPr>
          <w:rFonts w:eastAsia="Calibri"/>
          <w:sz w:val="22"/>
          <w:szCs w:val="22"/>
        </w:rPr>
      </w:pPr>
      <w:r w:rsidRPr="00776407">
        <w:rPr>
          <w:rFonts w:eastAsia="Calibri"/>
          <w:sz w:val="22"/>
          <w:szCs w:val="22"/>
        </w:rPr>
        <w:t>Ilgalaikis gydymas imatinibu gali būti susijęs su kliniškai reikšmingai pablogėjusia inkstų funkcija. Prieš pradedant gydymą imatinibu, inkstų funkcija turėtų būti įvertinta ir atidžiai stebima gydymo metu, ypač tų pacientų, kuriems yra rizikos veiksnių dėl inkstų funkcijos sutrikimo. Jei nustatytas inkstų funkcijos sutrikimas, turi būti skiriamas reikiamas gydymas laikantis standartinių gydymo rekomendacijų.</w:t>
      </w:r>
    </w:p>
    <w:p w14:paraId="20E013F6" w14:textId="77777777" w:rsidR="00430A5A" w:rsidRPr="00776407" w:rsidRDefault="00430A5A" w:rsidP="00430A5A">
      <w:pPr>
        <w:rPr>
          <w:rFonts w:eastAsia="Calibri"/>
          <w:sz w:val="22"/>
          <w:szCs w:val="22"/>
        </w:rPr>
      </w:pPr>
    </w:p>
    <w:p w14:paraId="4F6A7C7D" w14:textId="77777777" w:rsidR="00430A5A" w:rsidRPr="00776407" w:rsidRDefault="005B019C" w:rsidP="00430A5A">
      <w:pPr>
        <w:keepNext/>
        <w:rPr>
          <w:rFonts w:eastAsia="Calibri"/>
          <w:sz w:val="22"/>
          <w:szCs w:val="22"/>
          <w:u w:val="single"/>
        </w:rPr>
      </w:pPr>
      <w:r w:rsidRPr="00776407">
        <w:rPr>
          <w:rFonts w:eastAsia="Calibri"/>
          <w:sz w:val="22"/>
          <w:szCs w:val="22"/>
          <w:u w:val="single"/>
        </w:rPr>
        <w:t xml:space="preserve">Pediatrinė </w:t>
      </w:r>
      <w:r w:rsidR="00430A5A" w:rsidRPr="00776407">
        <w:rPr>
          <w:rFonts w:eastAsia="Calibri"/>
          <w:sz w:val="22"/>
          <w:szCs w:val="22"/>
          <w:u w:val="single"/>
        </w:rPr>
        <w:t xml:space="preserve">populiacija </w:t>
      </w:r>
    </w:p>
    <w:p w14:paraId="4336A31F" w14:textId="77777777" w:rsidR="00430A5A" w:rsidRPr="00776407" w:rsidRDefault="00430A5A" w:rsidP="00430A5A">
      <w:pPr>
        <w:rPr>
          <w:rFonts w:eastAsia="Calibri"/>
          <w:sz w:val="22"/>
          <w:szCs w:val="22"/>
        </w:rPr>
      </w:pPr>
      <w:r w:rsidRPr="00776407">
        <w:rPr>
          <w:rFonts w:eastAsia="Calibri"/>
          <w:sz w:val="22"/>
          <w:szCs w:val="22"/>
        </w:rPr>
        <w:t xml:space="preserve">Gauta pranešimų apie </w:t>
      </w:r>
      <w:r w:rsidR="00BA110E" w:rsidRPr="00776407">
        <w:rPr>
          <w:color w:val="000000"/>
          <w:sz w:val="22"/>
          <w:szCs w:val="22"/>
        </w:rPr>
        <w:t xml:space="preserve">augimo sulėtėjimą jaunesniems kaip 12 metų vaikams, vartojusiems imatinibą. </w:t>
      </w:r>
      <w:r w:rsidR="00BA110E" w:rsidRPr="00776407">
        <w:rPr>
          <w:sz w:val="22"/>
          <w:szCs w:val="22"/>
        </w:rPr>
        <w:t>LML sergančių vaikų populiacijoje, atlikto stebėjimo tyrimo duomenimis, buvo pastebėta statistiškai reikšmingos (bet neaiškios klinikinės reikšmės) ūgio standartinio nuokrypio balų medianos sumažėjimas po 12 ir 24 gydymo mėnesių dviejuose mažuose pogrupiuose, nepriklausomai nuo lytinio brendimo ar lyties.</w:t>
      </w:r>
      <w:r w:rsidR="00BA110E" w:rsidRPr="00776407">
        <w:rPr>
          <w:color w:val="000000"/>
          <w:sz w:val="22"/>
          <w:szCs w:val="22"/>
        </w:rPr>
        <w:t xml:space="preserve"> </w:t>
      </w:r>
      <w:r w:rsidR="00475F83" w:rsidRPr="00776407">
        <w:rPr>
          <w:color w:val="000000"/>
          <w:sz w:val="22"/>
          <w:szCs w:val="22"/>
        </w:rPr>
        <w:t>R</w:t>
      </w:r>
      <w:r w:rsidR="00475F83" w:rsidRPr="00776407">
        <w:rPr>
          <w:rFonts w:eastAsia="Calibri"/>
          <w:sz w:val="22"/>
          <w:szCs w:val="22"/>
        </w:rPr>
        <w:t>ekomenduojama atidžiai stebėti vaikų augimą gydant imatinibu (žr. 4.8 skyrių).</w:t>
      </w:r>
      <w:r w:rsidRPr="00776407">
        <w:rPr>
          <w:rFonts w:eastAsia="Calibri"/>
          <w:sz w:val="22"/>
          <w:szCs w:val="22"/>
        </w:rPr>
        <w:t xml:space="preserve"> </w:t>
      </w:r>
    </w:p>
    <w:p w14:paraId="221CC2B1" w14:textId="77777777" w:rsidR="00430A5A" w:rsidRPr="00776407" w:rsidRDefault="00430A5A" w:rsidP="00430A5A">
      <w:pPr>
        <w:rPr>
          <w:rFonts w:eastAsia="Calibri"/>
          <w:sz w:val="22"/>
          <w:szCs w:val="22"/>
        </w:rPr>
      </w:pPr>
    </w:p>
    <w:p w14:paraId="4465BF64" w14:textId="77777777" w:rsidR="00754AB6" w:rsidRPr="00776407" w:rsidRDefault="00754AB6" w:rsidP="00754AB6">
      <w:pPr>
        <w:rPr>
          <w:rFonts w:eastAsia="Calibri"/>
          <w:sz w:val="22"/>
          <w:szCs w:val="22"/>
          <w:u w:val="single"/>
        </w:rPr>
      </w:pPr>
      <w:r w:rsidRPr="00776407">
        <w:rPr>
          <w:rFonts w:eastAsia="Calibri"/>
          <w:sz w:val="22"/>
          <w:szCs w:val="22"/>
          <w:u w:val="single"/>
        </w:rPr>
        <w:t>Pagalbinės medžiagos</w:t>
      </w:r>
    </w:p>
    <w:p w14:paraId="0E6C36EC" w14:textId="77777777" w:rsidR="00754AB6" w:rsidRPr="00776407" w:rsidRDefault="00754AB6" w:rsidP="00754AB6">
      <w:pPr>
        <w:rPr>
          <w:rFonts w:eastAsia="Calibri"/>
          <w:sz w:val="22"/>
          <w:szCs w:val="22"/>
        </w:rPr>
      </w:pPr>
    </w:p>
    <w:p w14:paraId="6883BC2C" w14:textId="77777777" w:rsidR="00754AB6" w:rsidRPr="00776407" w:rsidRDefault="00754AB6" w:rsidP="00754AB6">
      <w:pPr>
        <w:rPr>
          <w:rFonts w:eastAsia="Calibri"/>
          <w:i/>
          <w:sz w:val="22"/>
          <w:szCs w:val="22"/>
        </w:rPr>
      </w:pPr>
      <w:r w:rsidRPr="00776407">
        <w:rPr>
          <w:rFonts w:eastAsia="Calibri"/>
          <w:i/>
          <w:sz w:val="22"/>
          <w:szCs w:val="22"/>
        </w:rPr>
        <w:t>Lecitinas (sojų)</w:t>
      </w:r>
    </w:p>
    <w:p w14:paraId="20D6C5EB" w14:textId="77777777" w:rsidR="00754AB6" w:rsidRPr="00776407" w:rsidRDefault="00754AB6" w:rsidP="00754AB6">
      <w:pPr>
        <w:rPr>
          <w:rFonts w:eastAsia="Calibri"/>
          <w:sz w:val="22"/>
          <w:szCs w:val="22"/>
        </w:rPr>
      </w:pPr>
      <w:r w:rsidRPr="00776407">
        <w:rPr>
          <w:rFonts w:eastAsia="Calibri"/>
          <w:sz w:val="22"/>
          <w:szCs w:val="22"/>
        </w:rPr>
        <w:t xml:space="preserve">Šio vaisto </w:t>
      </w:r>
      <w:r w:rsidR="0023389A" w:rsidRPr="00776407">
        <w:rPr>
          <w:rFonts w:eastAsia="Calibri"/>
          <w:sz w:val="22"/>
          <w:szCs w:val="22"/>
        </w:rPr>
        <w:t>sudėtyje yra lecitino (sojų). Žemės riešutams arba sojai alergiškiems pacientams šio vaisto vartoti negalima.</w:t>
      </w:r>
    </w:p>
    <w:p w14:paraId="6A738B5B" w14:textId="77777777" w:rsidR="00754AB6" w:rsidRPr="00776407" w:rsidRDefault="00754AB6" w:rsidP="00754AB6">
      <w:pPr>
        <w:rPr>
          <w:rFonts w:eastAsia="Calibri"/>
          <w:sz w:val="22"/>
          <w:szCs w:val="22"/>
        </w:rPr>
      </w:pPr>
    </w:p>
    <w:p w14:paraId="6DB60ABB" w14:textId="77777777" w:rsidR="00754AB6" w:rsidRPr="00776407" w:rsidRDefault="00754AB6" w:rsidP="00754AB6">
      <w:pPr>
        <w:rPr>
          <w:rFonts w:eastAsia="Calibri"/>
          <w:i/>
          <w:sz w:val="22"/>
          <w:szCs w:val="22"/>
        </w:rPr>
      </w:pPr>
      <w:r w:rsidRPr="00776407">
        <w:rPr>
          <w:rFonts w:eastAsia="Calibri"/>
          <w:i/>
          <w:sz w:val="22"/>
          <w:szCs w:val="22"/>
        </w:rPr>
        <w:t>Natris</w:t>
      </w:r>
    </w:p>
    <w:p w14:paraId="7BC69E9E" w14:textId="77777777" w:rsidR="00754AB6" w:rsidRPr="00776407" w:rsidRDefault="00754AB6" w:rsidP="00754AB6">
      <w:pPr>
        <w:rPr>
          <w:rFonts w:eastAsia="Calibri"/>
          <w:sz w:val="22"/>
          <w:szCs w:val="22"/>
        </w:rPr>
      </w:pPr>
      <w:r w:rsidRPr="00776407">
        <w:rPr>
          <w:rFonts w:eastAsia="Calibri"/>
          <w:sz w:val="22"/>
          <w:szCs w:val="22"/>
        </w:rPr>
        <w:t xml:space="preserve">Šio vaisto vienoje </w:t>
      </w:r>
      <w:r w:rsidR="0023389A" w:rsidRPr="00776407">
        <w:rPr>
          <w:rFonts w:eastAsia="Calibri"/>
          <w:sz w:val="22"/>
          <w:szCs w:val="22"/>
        </w:rPr>
        <w:t>plėvele dengtoje tabletėje</w:t>
      </w:r>
      <w:r w:rsidRPr="00776407">
        <w:rPr>
          <w:rFonts w:eastAsia="Calibri"/>
          <w:sz w:val="22"/>
          <w:szCs w:val="22"/>
        </w:rPr>
        <w:t xml:space="preserve"> yra mažiau kaip 1 mmol (23 mg) natrio, t. y. jis beveik neturi reikšmės.</w:t>
      </w:r>
    </w:p>
    <w:p w14:paraId="0DC008D1" w14:textId="77777777" w:rsidR="00754AB6" w:rsidRPr="00776407" w:rsidRDefault="00754AB6" w:rsidP="00430A5A">
      <w:pPr>
        <w:rPr>
          <w:rFonts w:eastAsia="Calibri"/>
          <w:sz w:val="22"/>
          <w:szCs w:val="22"/>
        </w:rPr>
      </w:pPr>
    </w:p>
    <w:p w14:paraId="1B1EDF51" w14:textId="77777777" w:rsidR="00430A5A" w:rsidRPr="00776407" w:rsidRDefault="00430A5A" w:rsidP="00864BE6">
      <w:pPr>
        <w:pStyle w:val="Listenabsatz"/>
        <w:keepNext/>
        <w:numPr>
          <w:ilvl w:val="1"/>
          <w:numId w:val="2"/>
        </w:numPr>
        <w:ind w:left="567" w:hanging="567"/>
        <w:rPr>
          <w:rFonts w:eastAsia="Calibri"/>
          <w:b/>
          <w:bCs/>
          <w:sz w:val="22"/>
          <w:szCs w:val="22"/>
        </w:rPr>
      </w:pPr>
      <w:r w:rsidRPr="00776407">
        <w:rPr>
          <w:rFonts w:eastAsia="Calibri"/>
          <w:b/>
          <w:bCs/>
          <w:sz w:val="22"/>
          <w:szCs w:val="22"/>
        </w:rPr>
        <w:t xml:space="preserve">Sąveika su kitais vaistiniais preparatais ir kitokia sąveika </w:t>
      </w:r>
    </w:p>
    <w:p w14:paraId="0A69F268" w14:textId="77777777" w:rsidR="00430A5A" w:rsidRPr="00776407" w:rsidRDefault="00430A5A" w:rsidP="00430A5A">
      <w:pPr>
        <w:rPr>
          <w:rFonts w:eastAsia="Calibri"/>
          <w:sz w:val="22"/>
          <w:szCs w:val="22"/>
        </w:rPr>
      </w:pPr>
    </w:p>
    <w:p w14:paraId="1D853A4D" w14:textId="77777777" w:rsidR="00430A5A" w:rsidRPr="00776407" w:rsidRDefault="00430A5A" w:rsidP="00430A5A">
      <w:pPr>
        <w:rPr>
          <w:rFonts w:eastAsia="Calibri"/>
          <w:sz w:val="22"/>
          <w:szCs w:val="22"/>
          <w:u w:val="single"/>
        </w:rPr>
      </w:pPr>
      <w:r w:rsidRPr="00776407">
        <w:rPr>
          <w:rFonts w:eastAsia="Calibri"/>
          <w:sz w:val="22"/>
          <w:szCs w:val="22"/>
          <w:u w:val="single"/>
        </w:rPr>
        <w:t xml:space="preserve">Veikliosios medžiagos, kurios gali </w:t>
      </w:r>
      <w:r w:rsidRPr="00776407">
        <w:rPr>
          <w:rFonts w:eastAsia="Calibri"/>
          <w:b/>
          <w:bCs/>
          <w:sz w:val="22"/>
          <w:szCs w:val="22"/>
          <w:u w:val="single"/>
        </w:rPr>
        <w:t xml:space="preserve">didinti </w:t>
      </w:r>
      <w:r w:rsidRPr="00776407">
        <w:rPr>
          <w:rFonts w:eastAsia="Calibri"/>
          <w:sz w:val="22"/>
          <w:szCs w:val="22"/>
          <w:u w:val="single"/>
        </w:rPr>
        <w:t xml:space="preserve">imatinibo koncentraciją plazmoje: </w:t>
      </w:r>
    </w:p>
    <w:p w14:paraId="1B1A707F" w14:textId="77777777" w:rsidR="00430A5A" w:rsidRPr="00776407" w:rsidRDefault="00430A5A" w:rsidP="00430A5A">
      <w:pPr>
        <w:rPr>
          <w:rFonts w:eastAsia="Calibri"/>
          <w:sz w:val="22"/>
          <w:szCs w:val="22"/>
        </w:rPr>
      </w:pPr>
      <w:r w:rsidRPr="00776407">
        <w:rPr>
          <w:rFonts w:eastAsia="Calibri"/>
          <w:sz w:val="22"/>
          <w:szCs w:val="22"/>
        </w:rPr>
        <w:t xml:space="preserve">Medžiagos, kurios slopina citochromo P450 izofermento CYP3A4 aktyvumą </w:t>
      </w:r>
      <w:r w:rsidR="00BD4BC1" w:rsidRPr="00776407">
        <w:rPr>
          <w:color w:val="000000"/>
          <w:sz w:val="22"/>
          <w:szCs w:val="22"/>
        </w:rPr>
        <w:t>(pvz., proteazės inhibitoriai, tokie kaip indinaviras, lopinaviras/ritonaviras, ritonaviras, sakvinaviras, telapreviras, nelfinaviras, bocepreviras; priešgrybeliniai azolo dariniai, įskaitant ketokonazolą, itrakonazolą, posakonazolą, vorikonazolą; tam tikri makrolidai, tokie kaip eritromicinas, klaritromicinas ir telitromicinas)</w:t>
      </w:r>
      <w:r w:rsidRPr="00776407">
        <w:rPr>
          <w:rFonts w:eastAsia="Calibri"/>
          <w:sz w:val="22"/>
          <w:szCs w:val="22"/>
        </w:rPr>
        <w:t>, gali slopinti imatinibo metabolizmą ir padidinti jo koncentraciją. Nustatyta reikšmingai padidėjusi imatinibo ekspozicija (vidutinė imatinibo C</w:t>
      </w:r>
      <w:r w:rsidRPr="00776407">
        <w:rPr>
          <w:rFonts w:eastAsia="Calibri"/>
          <w:sz w:val="22"/>
          <w:szCs w:val="22"/>
          <w:vertAlign w:val="subscript"/>
        </w:rPr>
        <w:t>max</w:t>
      </w:r>
      <w:r w:rsidRPr="00776407">
        <w:rPr>
          <w:rFonts w:eastAsia="Calibri"/>
          <w:sz w:val="22"/>
          <w:szCs w:val="22"/>
        </w:rPr>
        <w:t xml:space="preserve"> ir AUC padidėjo atitinkamai 26 % ir 40 %) sveikiems savanoriams, kurie kartu vartojo vienkartinę ketokonazolio (CYP3A4 inhibitoriaus) dozę. Būtina laikytis atsargumo priemonių, kai imatinibo skiriama kartu su CYP3A4 šeimos inhibitoriais. </w:t>
      </w:r>
    </w:p>
    <w:p w14:paraId="605A676A" w14:textId="77777777" w:rsidR="00430A5A" w:rsidRPr="00776407" w:rsidRDefault="00430A5A" w:rsidP="00430A5A">
      <w:pPr>
        <w:rPr>
          <w:rFonts w:eastAsia="Calibri"/>
          <w:sz w:val="22"/>
          <w:szCs w:val="22"/>
        </w:rPr>
      </w:pPr>
    </w:p>
    <w:p w14:paraId="073E3EF4" w14:textId="77777777" w:rsidR="00430A5A" w:rsidRPr="00776407" w:rsidRDefault="00430A5A" w:rsidP="00430A5A">
      <w:pPr>
        <w:rPr>
          <w:rFonts w:eastAsia="Calibri"/>
          <w:sz w:val="22"/>
          <w:szCs w:val="22"/>
          <w:u w:val="single"/>
        </w:rPr>
      </w:pPr>
      <w:r w:rsidRPr="00776407">
        <w:rPr>
          <w:rFonts w:eastAsia="Calibri"/>
          <w:sz w:val="22"/>
          <w:szCs w:val="22"/>
          <w:u w:val="single"/>
        </w:rPr>
        <w:t xml:space="preserve">Veikliosios medžiagos, kurios gali </w:t>
      </w:r>
      <w:r w:rsidRPr="00776407">
        <w:rPr>
          <w:rFonts w:eastAsia="Calibri"/>
          <w:b/>
          <w:bCs/>
          <w:sz w:val="22"/>
          <w:szCs w:val="22"/>
          <w:u w:val="single"/>
        </w:rPr>
        <w:t xml:space="preserve">mažinti </w:t>
      </w:r>
      <w:r w:rsidRPr="00776407">
        <w:rPr>
          <w:rFonts w:eastAsia="Calibri"/>
          <w:sz w:val="22"/>
          <w:szCs w:val="22"/>
          <w:u w:val="single"/>
        </w:rPr>
        <w:t xml:space="preserve">imatinibo koncentraciją plazmoje: </w:t>
      </w:r>
    </w:p>
    <w:p w14:paraId="7A01CA43" w14:textId="2B3C4078" w:rsidR="00430A5A" w:rsidRPr="00776407" w:rsidRDefault="00430A5A" w:rsidP="00430A5A">
      <w:pPr>
        <w:rPr>
          <w:rFonts w:eastAsia="Calibri"/>
          <w:sz w:val="22"/>
          <w:szCs w:val="22"/>
        </w:rPr>
      </w:pPr>
      <w:r w:rsidRPr="00776407">
        <w:rPr>
          <w:rFonts w:eastAsia="Calibri"/>
          <w:sz w:val="22"/>
          <w:szCs w:val="22"/>
        </w:rPr>
        <w:t xml:space="preserve">Medžiagos, kurios indukuoja CYP3A4 aktyvumą (pvz., deksametazonas, fenitoinas, karbamazepinas, rifampicinas, fenobarbitalis, fosfenitoinas, primidonas ar </w:t>
      </w:r>
      <w:r w:rsidRPr="00776407">
        <w:rPr>
          <w:rFonts w:eastAsia="Calibri"/>
          <w:i/>
          <w:iCs/>
          <w:sz w:val="22"/>
          <w:szCs w:val="22"/>
        </w:rPr>
        <w:t>Hypericum perforatum</w:t>
      </w:r>
      <w:r w:rsidRPr="00776407">
        <w:rPr>
          <w:rFonts w:eastAsia="Calibri"/>
          <w:sz w:val="22"/>
          <w:szCs w:val="22"/>
        </w:rPr>
        <w:t>, t.</w:t>
      </w:r>
      <w:r w:rsidR="002B7610" w:rsidRPr="00776407">
        <w:rPr>
          <w:rFonts w:eastAsia="Calibri"/>
          <w:sz w:val="22"/>
          <w:szCs w:val="22"/>
        </w:rPr>
        <w:t> </w:t>
      </w:r>
      <w:r w:rsidRPr="00776407">
        <w:rPr>
          <w:rFonts w:eastAsia="Calibri"/>
          <w:sz w:val="22"/>
          <w:szCs w:val="22"/>
        </w:rPr>
        <w:t>y. jonažolė), gali reikšmingai sumažinti imatinibo ekspoziciją ir padidinti nesėkmingo gydymo tikimybę. Po iš pradžių skirto gydymo daugkartinėmis rifampicino 600 mg dozėmis, suvartojus vienkartinę 400 mg imatinibo dozę, imatinibo C</w:t>
      </w:r>
      <w:r w:rsidRPr="00776407">
        <w:rPr>
          <w:rFonts w:eastAsia="Calibri"/>
          <w:sz w:val="22"/>
          <w:szCs w:val="22"/>
          <w:vertAlign w:val="subscript"/>
        </w:rPr>
        <w:t>max</w:t>
      </w:r>
      <w:r w:rsidRPr="00776407">
        <w:rPr>
          <w:rFonts w:eastAsia="Calibri"/>
          <w:sz w:val="22"/>
          <w:szCs w:val="22"/>
        </w:rPr>
        <w:t xml:space="preserve"> ir AUC</w:t>
      </w:r>
      <w:r w:rsidRPr="00776407">
        <w:rPr>
          <w:rFonts w:eastAsia="Calibri"/>
          <w:sz w:val="22"/>
          <w:szCs w:val="22"/>
          <w:vertAlign w:val="subscript"/>
        </w:rPr>
        <w:t>(0-∞)</w:t>
      </w:r>
      <w:r w:rsidRPr="00776407">
        <w:rPr>
          <w:rFonts w:eastAsia="Calibri"/>
          <w:sz w:val="22"/>
          <w:szCs w:val="22"/>
        </w:rPr>
        <w:t xml:space="preserve"> sumažėjo atitinkamai 54 % ir 74 % lyginant su atitinkamais duomenimis be rifampicino vartojimo. Panašūs rezultatai pastebėti imatinibo skyrus piktybinėmis gliomomis sergantiems pacientams, vartojusiems fermentus indukuojančius vaist</w:t>
      </w:r>
      <w:r w:rsidR="005B019C" w:rsidRPr="00776407">
        <w:rPr>
          <w:rFonts w:eastAsia="Calibri"/>
          <w:sz w:val="22"/>
          <w:szCs w:val="22"/>
        </w:rPr>
        <w:t>ini</w:t>
      </w:r>
      <w:r w:rsidR="00082246" w:rsidRPr="00776407">
        <w:rPr>
          <w:rFonts w:eastAsia="Calibri"/>
          <w:sz w:val="22"/>
          <w:szCs w:val="22"/>
        </w:rPr>
        <w:t>u</w:t>
      </w:r>
      <w:r w:rsidR="005B019C" w:rsidRPr="00776407">
        <w:rPr>
          <w:rFonts w:eastAsia="Calibri"/>
          <w:sz w:val="22"/>
          <w:szCs w:val="22"/>
        </w:rPr>
        <w:t>s preparat</w:t>
      </w:r>
      <w:r w:rsidR="00082246" w:rsidRPr="00776407">
        <w:rPr>
          <w:rFonts w:eastAsia="Calibri"/>
          <w:sz w:val="22"/>
          <w:szCs w:val="22"/>
        </w:rPr>
        <w:t>u</w:t>
      </w:r>
      <w:r w:rsidR="005B019C" w:rsidRPr="00776407">
        <w:rPr>
          <w:rFonts w:eastAsia="Calibri"/>
          <w:sz w:val="22"/>
          <w:szCs w:val="22"/>
        </w:rPr>
        <w:t>s</w:t>
      </w:r>
      <w:r w:rsidRPr="00776407">
        <w:rPr>
          <w:rFonts w:eastAsia="Calibri"/>
          <w:sz w:val="22"/>
          <w:szCs w:val="22"/>
        </w:rPr>
        <w:t xml:space="preserve"> nuo epilepsijos (FIVNE), pavyzdžiui, karbamazepiną, oksakarbazepiną ir fenitoiną. Lyginant su FIVNE nevartojusiais pacientais, vartojant FIVNE, plotas po imatinibo koncentracijos plazmoje kreive AUC sumažėjo 73 %. Reikia vengti imatinibą vartoti kartu su rifampicinu ar kitais stipriais CYP3A4 induktoriais.</w:t>
      </w:r>
    </w:p>
    <w:p w14:paraId="31B97250" w14:textId="77777777" w:rsidR="007578C4" w:rsidRPr="00776407" w:rsidRDefault="007578C4" w:rsidP="00430A5A">
      <w:pPr>
        <w:rPr>
          <w:rFonts w:eastAsia="Calibri"/>
          <w:sz w:val="22"/>
          <w:szCs w:val="22"/>
        </w:rPr>
      </w:pPr>
    </w:p>
    <w:p w14:paraId="32633836" w14:textId="77777777" w:rsidR="00430A5A" w:rsidRPr="00776407" w:rsidRDefault="00430A5A" w:rsidP="00430A5A">
      <w:pPr>
        <w:keepNext/>
        <w:rPr>
          <w:rFonts w:eastAsia="Calibri"/>
          <w:sz w:val="22"/>
          <w:szCs w:val="22"/>
          <w:u w:val="single"/>
        </w:rPr>
      </w:pPr>
      <w:r w:rsidRPr="00776407">
        <w:rPr>
          <w:rFonts w:eastAsia="Calibri"/>
          <w:sz w:val="22"/>
          <w:szCs w:val="22"/>
          <w:u w:val="single"/>
        </w:rPr>
        <w:t>Veikliosios medžiagos, kurių koncentraciją plazmoje gali keisti imatinibas</w:t>
      </w:r>
      <w:r w:rsidR="00475F83" w:rsidRPr="00776407">
        <w:rPr>
          <w:rFonts w:eastAsia="Calibri"/>
          <w:sz w:val="22"/>
          <w:szCs w:val="22"/>
          <w:u w:val="single"/>
        </w:rPr>
        <w:t>:</w:t>
      </w:r>
      <w:r w:rsidRPr="00776407">
        <w:rPr>
          <w:rFonts w:eastAsia="Calibri"/>
          <w:sz w:val="22"/>
          <w:szCs w:val="22"/>
          <w:u w:val="single"/>
        </w:rPr>
        <w:t xml:space="preserve"> </w:t>
      </w:r>
    </w:p>
    <w:p w14:paraId="23703E98" w14:textId="4181F4D7" w:rsidR="00475F83" w:rsidRPr="00776407" w:rsidRDefault="00475F83" w:rsidP="00475F83">
      <w:pPr>
        <w:rPr>
          <w:rFonts w:eastAsia="Calibri"/>
          <w:sz w:val="22"/>
          <w:szCs w:val="22"/>
        </w:rPr>
      </w:pPr>
      <w:r w:rsidRPr="00776407">
        <w:rPr>
          <w:rFonts w:eastAsia="Calibri"/>
          <w:sz w:val="22"/>
          <w:szCs w:val="22"/>
        </w:rPr>
        <w:t>Imatinibas padidina simvastatino (CYP3A4 substrato) C</w:t>
      </w:r>
      <w:r w:rsidRPr="00776407">
        <w:rPr>
          <w:rFonts w:eastAsia="Calibri"/>
          <w:sz w:val="22"/>
          <w:szCs w:val="22"/>
          <w:vertAlign w:val="subscript"/>
        </w:rPr>
        <w:t>max</w:t>
      </w:r>
      <w:r w:rsidRPr="00776407">
        <w:rPr>
          <w:rFonts w:eastAsia="Calibri"/>
          <w:sz w:val="22"/>
          <w:szCs w:val="22"/>
        </w:rPr>
        <w:t xml:space="preserve"> ir AUC atitinkamai 2 kartus ir 3,5 karto. Tai rodo, kad imatinibas slopina CYP3A4. Todėl būtina laikytis atsargumo priemonių, kai imatinibo vartojama kartu su CYP3A4 substratais, kurių yra siaura terapinė platuma (pvz., ciklosporinu ar pimozidu). Imatinibas gali padidinti kitų CYP3A4 metabolizuojamų </w:t>
      </w:r>
      <w:r w:rsidR="00C7429F" w:rsidRPr="00776407">
        <w:rPr>
          <w:rFonts w:eastAsia="Calibri"/>
          <w:sz w:val="22"/>
          <w:szCs w:val="22"/>
        </w:rPr>
        <w:t xml:space="preserve">vaistinių preparatų </w:t>
      </w:r>
      <w:r w:rsidRPr="00776407">
        <w:rPr>
          <w:rFonts w:eastAsia="Calibri"/>
          <w:sz w:val="22"/>
          <w:szCs w:val="22"/>
        </w:rPr>
        <w:t>(pvz., triazolo grupės benzodiazepinų, dihidropiridino grupės kalcio kanalų blokatorių, tam tikrų HMG-KoA reduktazės inhibitorių, t.</w:t>
      </w:r>
      <w:r w:rsidR="002B7610" w:rsidRPr="00776407">
        <w:rPr>
          <w:rFonts w:eastAsia="Calibri"/>
          <w:sz w:val="22"/>
          <w:szCs w:val="22"/>
        </w:rPr>
        <w:t> </w:t>
      </w:r>
      <w:r w:rsidRPr="00776407">
        <w:rPr>
          <w:rFonts w:eastAsia="Calibri"/>
          <w:sz w:val="22"/>
          <w:szCs w:val="22"/>
        </w:rPr>
        <w:t>y. statinų, ir kt.) koncentraciją plazmoje.</w:t>
      </w:r>
    </w:p>
    <w:p w14:paraId="241E11EE" w14:textId="77777777" w:rsidR="00430A5A" w:rsidRPr="00776407" w:rsidRDefault="00430A5A" w:rsidP="00430A5A">
      <w:pPr>
        <w:rPr>
          <w:rFonts w:eastAsia="Calibri"/>
          <w:sz w:val="22"/>
          <w:szCs w:val="22"/>
        </w:rPr>
      </w:pPr>
    </w:p>
    <w:p w14:paraId="30A2A098" w14:textId="77777777" w:rsidR="00430A5A" w:rsidRPr="00776407" w:rsidRDefault="00430A5A" w:rsidP="00430A5A">
      <w:pPr>
        <w:rPr>
          <w:rFonts w:eastAsia="Calibri"/>
          <w:sz w:val="22"/>
          <w:szCs w:val="22"/>
        </w:rPr>
      </w:pPr>
      <w:r w:rsidRPr="00776407">
        <w:rPr>
          <w:rFonts w:eastAsia="Calibri"/>
          <w:sz w:val="22"/>
          <w:szCs w:val="22"/>
        </w:rPr>
        <w:t xml:space="preserve">Dėl žinomos padidėjusios kraujavimo rizikos, pacientams, kuriuos reikia gydyti antikoaguliantais, vietoj kumarino darinių, tokių kaip varfarinas, reikėtų skirti mažos molekulinės masės ar standartinio heparino. </w:t>
      </w:r>
    </w:p>
    <w:p w14:paraId="69F7A57B" w14:textId="77777777" w:rsidR="00430A5A" w:rsidRPr="00776407" w:rsidRDefault="00430A5A" w:rsidP="00430A5A">
      <w:pPr>
        <w:rPr>
          <w:rFonts w:eastAsia="Calibri"/>
          <w:sz w:val="22"/>
          <w:szCs w:val="22"/>
        </w:rPr>
      </w:pPr>
    </w:p>
    <w:p w14:paraId="5C945DB6" w14:textId="77777777" w:rsidR="00430A5A" w:rsidRPr="00776407" w:rsidRDefault="00430A5A" w:rsidP="00430A5A">
      <w:pPr>
        <w:rPr>
          <w:rFonts w:eastAsia="Calibri"/>
          <w:sz w:val="22"/>
          <w:szCs w:val="22"/>
        </w:rPr>
      </w:pPr>
      <w:r w:rsidRPr="00776407">
        <w:rPr>
          <w:rFonts w:eastAsia="Calibri"/>
          <w:i/>
          <w:iCs/>
          <w:sz w:val="22"/>
          <w:szCs w:val="22"/>
        </w:rPr>
        <w:t xml:space="preserve">In vitro </w:t>
      </w:r>
      <w:r w:rsidRPr="00776407">
        <w:rPr>
          <w:rFonts w:eastAsia="Calibri"/>
          <w:sz w:val="22"/>
          <w:szCs w:val="22"/>
        </w:rPr>
        <w:t>imatinibas slopina citochromo P450 izofermento CYP2D6 aktyvumą, kai jo koncentracija yra panaši į tą, kuri veikia CYP3A4 akt</w:t>
      </w:r>
      <w:r w:rsidR="00072EB7" w:rsidRPr="00776407">
        <w:rPr>
          <w:rFonts w:eastAsia="Calibri"/>
          <w:sz w:val="22"/>
          <w:szCs w:val="22"/>
        </w:rPr>
        <w:t xml:space="preserve">yvumą. Imatinibas, vartojant </w:t>
      </w:r>
      <w:r w:rsidRPr="00776407">
        <w:rPr>
          <w:rFonts w:eastAsia="Calibri"/>
          <w:sz w:val="22"/>
          <w:szCs w:val="22"/>
        </w:rPr>
        <w:t>400 </w:t>
      </w:r>
      <w:r w:rsidR="00072EB7" w:rsidRPr="00776407">
        <w:rPr>
          <w:rFonts w:eastAsia="Calibri"/>
          <w:sz w:val="22"/>
          <w:szCs w:val="22"/>
        </w:rPr>
        <w:t>mg dozę</w:t>
      </w:r>
      <w:r w:rsidRPr="00776407">
        <w:rPr>
          <w:rFonts w:eastAsia="Calibri"/>
          <w:sz w:val="22"/>
          <w:szCs w:val="22"/>
        </w:rPr>
        <w:t xml:space="preserve"> du kartus per parą, slopina metaprololio metabolizmą CYP2D6 fermentų sistemoje, kai metaprololio C</w:t>
      </w:r>
      <w:r w:rsidRPr="00776407">
        <w:rPr>
          <w:rFonts w:eastAsia="Calibri"/>
          <w:sz w:val="22"/>
          <w:szCs w:val="22"/>
          <w:vertAlign w:val="subscript"/>
        </w:rPr>
        <w:t xml:space="preserve">max </w:t>
      </w:r>
      <w:r w:rsidRPr="00776407">
        <w:rPr>
          <w:rFonts w:eastAsia="Calibri"/>
          <w:sz w:val="22"/>
          <w:szCs w:val="22"/>
        </w:rPr>
        <w:t xml:space="preserve">ir AUC padidėjo maždaug 23 % (90 % PI [1,16-1,30]). Kai imatinibas yra vartojamas kartu su CYP2D6 substratais, dozės koreguoti nereikėtų, tačiau būtina laikytis atsargumo priemonių, kai skiriami siauro terapinio </w:t>
      </w:r>
      <w:r w:rsidR="00072EB7" w:rsidRPr="00776407">
        <w:rPr>
          <w:rFonts w:eastAsia="Calibri"/>
          <w:sz w:val="22"/>
          <w:szCs w:val="22"/>
        </w:rPr>
        <w:t>intervalo</w:t>
      </w:r>
      <w:r w:rsidRPr="00776407">
        <w:rPr>
          <w:rFonts w:eastAsia="Calibri"/>
          <w:sz w:val="22"/>
          <w:szCs w:val="22"/>
        </w:rPr>
        <w:t xml:space="preserve"> CYP2D6 substratai, tokie kaip metoprololis. Metoprololiu gydomus pacientus patariama atidžiai stebėti. </w:t>
      </w:r>
    </w:p>
    <w:p w14:paraId="42DBFCE3" w14:textId="77777777" w:rsidR="00430A5A" w:rsidRPr="00776407" w:rsidRDefault="00430A5A" w:rsidP="00430A5A">
      <w:pPr>
        <w:rPr>
          <w:rFonts w:eastAsia="Calibri"/>
          <w:sz w:val="22"/>
          <w:szCs w:val="22"/>
        </w:rPr>
      </w:pPr>
    </w:p>
    <w:p w14:paraId="0C816E47" w14:textId="77777777" w:rsidR="00430A5A" w:rsidRPr="00776407" w:rsidRDefault="00430A5A" w:rsidP="00430A5A">
      <w:pPr>
        <w:rPr>
          <w:rFonts w:eastAsia="Calibri"/>
          <w:sz w:val="22"/>
          <w:szCs w:val="22"/>
        </w:rPr>
      </w:pPr>
      <w:r w:rsidRPr="00776407">
        <w:rPr>
          <w:rFonts w:eastAsia="Calibri"/>
          <w:i/>
          <w:iCs/>
          <w:sz w:val="22"/>
          <w:szCs w:val="22"/>
        </w:rPr>
        <w:t xml:space="preserve">In vitro </w:t>
      </w:r>
      <w:r w:rsidRPr="00776407">
        <w:rPr>
          <w:rFonts w:eastAsia="Calibri"/>
          <w:sz w:val="22"/>
          <w:szCs w:val="22"/>
        </w:rPr>
        <w:t>imatinibas slopina paracetamolio O</w:t>
      </w:r>
      <w:r w:rsidR="007578C4" w:rsidRPr="00776407">
        <w:rPr>
          <w:rFonts w:eastAsia="Calibri"/>
          <w:sz w:val="22"/>
          <w:szCs w:val="22"/>
        </w:rPr>
        <w:noBreakHyphen/>
      </w:r>
      <w:r w:rsidRPr="00776407">
        <w:rPr>
          <w:rFonts w:eastAsia="Calibri"/>
          <w:sz w:val="22"/>
          <w:szCs w:val="22"/>
        </w:rPr>
        <w:t xml:space="preserve">gliukuroninimą, kai Ki vertė yra 58,5 mikromol/l. Po vartojimo imatinibo 400 mg ir paracetamolio 1000 mg </w:t>
      </w:r>
      <w:r w:rsidRPr="00776407">
        <w:rPr>
          <w:rFonts w:eastAsia="Calibri"/>
          <w:i/>
          <w:iCs/>
          <w:sz w:val="22"/>
          <w:szCs w:val="22"/>
        </w:rPr>
        <w:t xml:space="preserve">in vivo </w:t>
      </w:r>
      <w:r w:rsidRPr="00776407">
        <w:rPr>
          <w:rFonts w:eastAsia="Calibri"/>
          <w:sz w:val="22"/>
          <w:szCs w:val="22"/>
        </w:rPr>
        <w:t xml:space="preserve">tokio slopinimo nustatyta. Dėl didesnių imatinibo ir paracetamolio dozių vartojimo tyrimų neatlikta. </w:t>
      </w:r>
    </w:p>
    <w:p w14:paraId="5C705D27" w14:textId="77777777" w:rsidR="00430A5A" w:rsidRPr="00776407" w:rsidRDefault="00430A5A" w:rsidP="00430A5A">
      <w:pPr>
        <w:rPr>
          <w:rFonts w:eastAsia="Calibri"/>
          <w:sz w:val="22"/>
          <w:szCs w:val="22"/>
        </w:rPr>
      </w:pPr>
    </w:p>
    <w:p w14:paraId="5DB28652" w14:textId="77777777" w:rsidR="00430A5A" w:rsidRPr="00776407" w:rsidRDefault="00430A5A" w:rsidP="00430A5A">
      <w:pPr>
        <w:rPr>
          <w:rFonts w:eastAsia="Calibri"/>
          <w:sz w:val="22"/>
          <w:szCs w:val="22"/>
        </w:rPr>
      </w:pPr>
      <w:r w:rsidRPr="00776407">
        <w:rPr>
          <w:rFonts w:eastAsia="Calibri"/>
          <w:sz w:val="22"/>
          <w:szCs w:val="22"/>
        </w:rPr>
        <w:t xml:space="preserve">Todėl reikia atsargiai vartoti dideles imatinibo dozes kartu su paracetamoliu. </w:t>
      </w:r>
    </w:p>
    <w:p w14:paraId="24D7D9DF" w14:textId="77777777" w:rsidR="00430A5A" w:rsidRPr="00776407" w:rsidRDefault="00430A5A" w:rsidP="00430A5A">
      <w:pPr>
        <w:rPr>
          <w:rFonts w:eastAsia="Calibri"/>
          <w:sz w:val="22"/>
          <w:szCs w:val="22"/>
        </w:rPr>
      </w:pPr>
    </w:p>
    <w:p w14:paraId="07CE10F0" w14:textId="77777777" w:rsidR="00430A5A" w:rsidRPr="00776407" w:rsidRDefault="00430A5A" w:rsidP="00430A5A">
      <w:pPr>
        <w:rPr>
          <w:rFonts w:eastAsia="Calibri"/>
          <w:sz w:val="22"/>
          <w:szCs w:val="22"/>
        </w:rPr>
      </w:pPr>
      <w:r w:rsidRPr="00776407">
        <w:rPr>
          <w:rFonts w:eastAsia="Calibri"/>
          <w:sz w:val="22"/>
          <w:szCs w:val="22"/>
        </w:rPr>
        <w:t xml:space="preserve">Pacientams, gydomiems levotiroksinu po skydliaukės pašalinimo ir kartu skiriant imatinibo, gali sumažėti levotiroksino kiekis plazmoje (žr. 4.4 skyrių), todėl rekomenduojamos atsargumo priemonės. Vis dėlto stebėtos sąveikos mechanizmas iki šiol nežinomas. </w:t>
      </w:r>
    </w:p>
    <w:p w14:paraId="076C8143" w14:textId="77777777" w:rsidR="00430A5A" w:rsidRPr="00776407" w:rsidRDefault="00430A5A" w:rsidP="00430A5A">
      <w:pPr>
        <w:rPr>
          <w:rFonts w:eastAsia="Calibri"/>
          <w:sz w:val="22"/>
          <w:szCs w:val="22"/>
        </w:rPr>
      </w:pPr>
    </w:p>
    <w:p w14:paraId="68A7920C" w14:textId="77777777" w:rsidR="00430A5A" w:rsidRPr="00776407" w:rsidRDefault="00430A5A" w:rsidP="00430A5A">
      <w:pPr>
        <w:rPr>
          <w:rFonts w:eastAsia="Calibri"/>
          <w:sz w:val="22"/>
          <w:szCs w:val="22"/>
        </w:rPr>
      </w:pPr>
      <w:r w:rsidRPr="00776407">
        <w:rPr>
          <w:rFonts w:eastAsia="Calibri"/>
          <w:sz w:val="22"/>
          <w:szCs w:val="22"/>
        </w:rPr>
        <w:t xml:space="preserve">Yra klinikinės patirties kartu vartojant imatinibą ir chemoterapiją pacientų, sergančiųjų Ph+ ŪLL, tarpe (žr. 5.1 skyrių), bet </w:t>
      </w:r>
      <w:r w:rsidR="00082246" w:rsidRPr="00776407">
        <w:rPr>
          <w:color w:val="000000"/>
          <w:sz w:val="22"/>
          <w:szCs w:val="22"/>
        </w:rPr>
        <w:t xml:space="preserve">vaistinio preparato </w:t>
      </w:r>
      <w:r w:rsidRPr="00776407">
        <w:rPr>
          <w:rFonts w:eastAsia="Calibri"/>
          <w:sz w:val="22"/>
          <w:szCs w:val="22"/>
        </w:rPr>
        <w:t>-</w:t>
      </w:r>
      <w:r w:rsidR="00082246" w:rsidRPr="00776407">
        <w:rPr>
          <w:color w:val="000000"/>
          <w:sz w:val="22"/>
          <w:szCs w:val="22"/>
        </w:rPr>
        <w:t xml:space="preserve"> vaistinio preparato </w:t>
      </w:r>
      <w:r w:rsidRPr="00776407">
        <w:rPr>
          <w:rFonts w:eastAsia="Calibri"/>
          <w:sz w:val="22"/>
          <w:szCs w:val="22"/>
        </w:rPr>
        <w:t xml:space="preserve">sąveikos tarp imatinibo ir chemoterapijos kontrolės nėra gerai aprašytos. Imatinibo sukeliamų nepageidaujamų reiškinių, pvz., hepatotoksiškumo, kaulų čiulpų supresijos arba kitų, gali daugėti ir pranešta, kad kartu vartojant L-asparaginazės, gali padidėti hepatotoksiškumas (žr. 4.8 skyrių). Todėl, kartu su imatinibu vartojant kitų </w:t>
      </w:r>
      <w:r w:rsidR="00082246" w:rsidRPr="00776407">
        <w:rPr>
          <w:color w:val="000000"/>
          <w:sz w:val="22"/>
          <w:szCs w:val="22"/>
        </w:rPr>
        <w:t>vaistinių preparatų</w:t>
      </w:r>
      <w:r w:rsidRPr="00776407">
        <w:rPr>
          <w:rFonts w:eastAsia="Calibri"/>
          <w:sz w:val="22"/>
          <w:szCs w:val="22"/>
        </w:rPr>
        <w:t xml:space="preserve">, reikia specialių atsargumo priemonių. </w:t>
      </w:r>
    </w:p>
    <w:p w14:paraId="7F9AC4BA" w14:textId="77777777" w:rsidR="00430A5A" w:rsidRPr="00776407" w:rsidRDefault="00430A5A" w:rsidP="00430A5A">
      <w:pPr>
        <w:rPr>
          <w:rFonts w:eastAsia="Calibri"/>
          <w:sz w:val="22"/>
          <w:szCs w:val="22"/>
        </w:rPr>
      </w:pPr>
    </w:p>
    <w:p w14:paraId="6F7A02C3" w14:textId="77777777" w:rsidR="00430A5A" w:rsidRPr="00776407" w:rsidRDefault="00430A5A" w:rsidP="00864BE6">
      <w:pPr>
        <w:pStyle w:val="Listenabsatz"/>
        <w:numPr>
          <w:ilvl w:val="1"/>
          <w:numId w:val="2"/>
        </w:numPr>
        <w:ind w:left="567" w:hanging="567"/>
        <w:rPr>
          <w:rFonts w:eastAsia="Calibri"/>
          <w:b/>
          <w:sz w:val="22"/>
          <w:szCs w:val="22"/>
        </w:rPr>
      </w:pPr>
      <w:r w:rsidRPr="00776407">
        <w:rPr>
          <w:rFonts w:eastAsia="Calibri"/>
          <w:b/>
          <w:sz w:val="22"/>
          <w:szCs w:val="22"/>
        </w:rPr>
        <w:t xml:space="preserve">Vaisingumas, nėštumo ir žindymo laikotarpis </w:t>
      </w:r>
    </w:p>
    <w:p w14:paraId="36C8E1F6" w14:textId="77777777" w:rsidR="00430A5A" w:rsidRPr="00776407" w:rsidRDefault="00430A5A" w:rsidP="00430A5A">
      <w:pPr>
        <w:rPr>
          <w:rFonts w:eastAsia="Calibri"/>
          <w:sz w:val="22"/>
          <w:szCs w:val="22"/>
        </w:rPr>
      </w:pPr>
    </w:p>
    <w:p w14:paraId="53915C3A" w14:textId="77777777" w:rsidR="00BB5F74" w:rsidRPr="00776407" w:rsidRDefault="00BB5F74" w:rsidP="00BB5F74">
      <w:pPr>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Vaisingo amžiaus moterys </w:t>
      </w:r>
    </w:p>
    <w:p w14:paraId="15F56597" w14:textId="34DB72C9" w:rsidR="002B7610" w:rsidRPr="00776407" w:rsidRDefault="002B7610" w:rsidP="002B7610">
      <w:pPr>
        <w:rPr>
          <w:rFonts w:eastAsia="Calibri"/>
          <w:sz w:val="22"/>
          <w:szCs w:val="22"/>
        </w:rPr>
      </w:pPr>
      <w:r w:rsidRPr="00776407">
        <w:rPr>
          <w:rFonts w:eastAsia="Calibri"/>
          <w:color w:val="000000"/>
          <w:sz w:val="22"/>
          <w:szCs w:val="22"/>
        </w:rPr>
        <w:t>Vaisingo amžiaus moteris būtina informuoti, kad gydymo metu ir mažiausiai 15 dienų po gydymo Imatinib Actavis nutraukimo jos turi naudoti veiksmingą kontracepcijos metodą.</w:t>
      </w:r>
    </w:p>
    <w:p w14:paraId="3A5A8E7A" w14:textId="77777777" w:rsidR="00BB5F74" w:rsidRPr="00776407" w:rsidRDefault="00BB5F74" w:rsidP="00430A5A">
      <w:pPr>
        <w:rPr>
          <w:rFonts w:eastAsia="Calibri"/>
          <w:sz w:val="22"/>
          <w:szCs w:val="22"/>
        </w:rPr>
      </w:pPr>
    </w:p>
    <w:p w14:paraId="3F18A7C0" w14:textId="77777777" w:rsidR="00430A5A" w:rsidRPr="00776407" w:rsidRDefault="00430A5A" w:rsidP="00430A5A">
      <w:pPr>
        <w:rPr>
          <w:rFonts w:eastAsia="Calibri"/>
          <w:sz w:val="22"/>
          <w:szCs w:val="22"/>
          <w:u w:val="single"/>
        </w:rPr>
      </w:pPr>
      <w:r w:rsidRPr="00776407">
        <w:rPr>
          <w:rFonts w:eastAsia="Calibri"/>
          <w:sz w:val="22"/>
          <w:szCs w:val="22"/>
          <w:u w:val="single"/>
        </w:rPr>
        <w:t xml:space="preserve">Nėštumas </w:t>
      </w:r>
    </w:p>
    <w:p w14:paraId="2FE84AE4" w14:textId="77777777" w:rsidR="00430A5A" w:rsidRPr="00776407" w:rsidRDefault="00430A5A" w:rsidP="00430A5A">
      <w:pPr>
        <w:rPr>
          <w:sz w:val="22"/>
          <w:szCs w:val="22"/>
        </w:rPr>
      </w:pPr>
      <w:r w:rsidRPr="00776407">
        <w:rPr>
          <w:rFonts w:eastAsia="Calibri"/>
          <w:sz w:val="22"/>
          <w:szCs w:val="22"/>
        </w:rPr>
        <w:t xml:space="preserve">Duomenų apie imatinibo vartojimą nėštumo metu nepakanka. </w:t>
      </w:r>
      <w:r w:rsidR="00325C2F" w:rsidRPr="00776407">
        <w:rPr>
          <w:rFonts w:eastAsia="Calibri"/>
          <w:sz w:val="22"/>
          <w:szCs w:val="22"/>
        </w:rPr>
        <w:t>Vaistiniam preparatui patekus į rinką gauta pranešimų apie imatinibą vartojusioms moterims pasireiškusius spontaninių abortų atvejus ir įgimtas kūdikių anomalijas.</w:t>
      </w:r>
      <w:r w:rsidR="00A90A07" w:rsidRPr="00776407">
        <w:rPr>
          <w:rFonts w:eastAsia="Calibri"/>
          <w:sz w:val="22"/>
          <w:szCs w:val="22"/>
        </w:rPr>
        <w:t xml:space="preserve"> </w:t>
      </w:r>
      <w:r w:rsidRPr="00776407">
        <w:rPr>
          <w:rFonts w:eastAsia="Calibri"/>
          <w:sz w:val="22"/>
          <w:szCs w:val="22"/>
        </w:rPr>
        <w:t xml:space="preserve">Tačiau su gyvūnais atlikti tyrimai parodė toksinį poveikį reprodukcijai (žr. 5.3 skyrių), todėl galimas pavojus vaisiui nežinomas. Imatinibo nėštumo metu vartoti negalima, išskyrus neabejotinai būtinus atvejus. Nėščiąją, kuriai skiriama </w:t>
      </w:r>
      <w:r w:rsidR="00082246" w:rsidRPr="00776407">
        <w:rPr>
          <w:color w:val="000000"/>
          <w:sz w:val="22"/>
          <w:szCs w:val="22"/>
        </w:rPr>
        <w:t>vaistinio preparato</w:t>
      </w:r>
      <w:r w:rsidRPr="00776407">
        <w:rPr>
          <w:rFonts w:eastAsia="Calibri"/>
          <w:sz w:val="22"/>
          <w:szCs w:val="22"/>
        </w:rPr>
        <w:t xml:space="preserve">, reikia informuoti apie galimą riziką vaisiui. </w:t>
      </w:r>
    </w:p>
    <w:p w14:paraId="7D8DD402" w14:textId="77777777" w:rsidR="00430A5A" w:rsidRPr="00776407" w:rsidRDefault="00430A5A" w:rsidP="00430A5A">
      <w:pPr>
        <w:rPr>
          <w:sz w:val="22"/>
          <w:szCs w:val="22"/>
        </w:rPr>
      </w:pPr>
    </w:p>
    <w:p w14:paraId="450B3FFF" w14:textId="77777777" w:rsidR="00430A5A" w:rsidRPr="00776407" w:rsidRDefault="00430A5A" w:rsidP="00430A5A">
      <w:pPr>
        <w:rPr>
          <w:rFonts w:eastAsia="Calibri"/>
          <w:sz w:val="22"/>
          <w:szCs w:val="22"/>
          <w:u w:val="single"/>
        </w:rPr>
      </w:pPr>
      <w:r w:rsidRPr="00776407">
        <w:rPr>
          <w:rFonts w:eastAsia="Calibri"/>
          <w:sz w:val="22"/>
          <w:szCs w:val="22"/>
          <w:u w:val="single"/>
        </w:rPr>
        <w:t xml:space="preserve">Žindymas </w:t>
      </w:r>
    </w:p>
    <w:p w14:paraId="7C3981CD" w14:textId="61CF45C9" w:rsidR="002B7610" w:rsidRPr="00776407" w:rsidRDefault="002B7610" w:rsidP="002B7610">
      <w:pPr>
        <w:rPr>
          <w:rFonts w:eastAsia="Calibri"/>
          <w:sz w:val="22"/>
          <w:szCs w:val="22"/>
        </w:rPr>
      </w:pPr>
      <w:r w:rsidRPr="00776407">
        <w:rPr>
          <w:rFonts w:eastAsia="Calibri"/>
          <w:sz w:val="22"/>
          <w:szCs w:val="22"/>
        </w:rPr>
        <w:t xml:space="preserve">Yra mažai duomenų apie imatinibo išsiskirimą į motinos pieną. Abi žindančių moterų studijos parodė, kad tiek imatinibo, tiek jo aktyvaus metabolito gali išsiskirti į žindyvės pieną. Nustatyta, kad imatinibo ir jo metabolito koncentracijų piene ir kraujo plazmoje santykis, vienai pacientei tenka, atitinkamai, 0,5 ir 0,9; tai rodo, kad į pieną daugiau išsiskiria </w:t>
      </w:r>
      <w:r w:rsidRPr="00776407">
        <w:rPr>
          <w:sz w:val="22"/>
          <w:szCs w:val="22"/>
        </w:rPr>
        <w:t xml:space="preserve">vaistinio preparato </w:t>
      </w:r>
      <w:r w:rsidRPr="00776407">
        <w:rPr>
          <w:rFonts w:eastAsia="Calibri"/>
          <w:sz w:val="22"/>
          <w:szCs w:val="22"/>
        </w:rPr>
        <w:t xml:space="preserve">metabolito. Atsižvelgiant į suminę imatinibo ir jo metabolito koncentraciją bei didžiausią kūdikio suvartojamą pieno kiekį per parą, tikėtina, kad bendroji ekspozicija galėtų būti nedidelė (~10 % terapinės dozės). Tačiau, kadangi nedidelės imatinibo dozės poveikis kūdikiui nežinomas, gydymo metu </w:t>
      </w:r>
      <w:r w:rsidRPr="00776407">
        <w:rPr>
          <w:rFonts w:eastAsia="Calibri"/>
          <w:color w:val="000000"/>
          <w:sz w:val="22"/>
          <w:szCs w:val="22"/>
        </w:rPr>
        <w:t>ir mažiausiai 15 dienų po gydymo Imatinib Actavis nutraukimo</w:t>
      </w:r>
      <w:r w:rsidRPr="00776407">
        <w:rPr>
          <w:rFonts w:eastAsia="Calibri"/>
          <w:sz w:val="22"/>
          <w:szCs w:val="22"/>
        </w:rPr>
        <w:t xml:space="preserve"> moterims žindyti negalima. </w:t>
      </w:r>
    </w:p>
    <w:p w14:paraId="13E23253" w14:textId="77777777" w:rsidR="00430A5A" w:rsidRPr="00776407" w:rsidRDefault="00430A5A" w:rsidP="00430A5A">
      <w:pPr>
        <w:rPr>
          <w:rFonts w:eastAsia="Calibri"/>
          <w:sz w:val="22"/>
          <w:szCs w:val="22"/>
        </w:rPr>
      </w:pPr>
    </w:p>
    <w:p w14:paraId="67B15C50" w14:textId="77777777" w:rsidR="00430A5A" w:rsidRPr="00776407" w:rsidRDefault="00430A5A" w:rsidP="00430A5A">
      <w:pPr>
        <w:rPr>
          <w:rFonts w:eastAsia="Calibri"/>
          <w:sz w:val="22"/>
          <w:szCs w:val="22"/>
          <w:u w:val="single"/>
        </w:rPr>
      </w:pPr>
      <w:r w:rsidRPr="00776407">
        <w:rPr>
          <w:rFonts w:eastAsia="Calibri"/>
          <w:sz w:val="22"/>
          <w:szCs w:val="22"/>
          <w:u w:val="single"/>
        </w:rPr>
        <w:t xml:space="preserve">Vaisingumas </w:t>
      </w:r>
    </w:p>
    <w:p w14:paraId="201D699D" w14:textId="1EE07AFA" w:rsidR="002B7610" w:rsidRPr="00776407" w:rsidRDefault="002B7610" w:rsidP="002B7610">
      <w:pPr>
        <w:rPr>
          <w:rFonts w:eastAsia="Calibri"/>
          <w:sz w:val="22"/>
          <w:szCs w:val="22"/>
        </w:rPr>
      </w:pPr>
      <w:r w:rsidRPr="00776407">
        <w:rPr>
          <w:rFonts w:eastAsia="Calibri"/>
          <w:sz w:val="22"/>
          <w:szCs w:val="22"/>
        </w:rPr>
        <w:t xml:space="preserve">Ikiklinikinių tyrimų metu, žiurkių patinų ir patelių vaisingumas nepakito, nors poveikis reprodukciniams parametrams buvo pastebėtas (žr. 5.3 skyrių). Nebuvo atlikta tyrimų, imatiniba skiriant pacientams, taigi </w:t>
      </w:r>
      <w:r w:rsidRPr="00776407">
        <w:rPr>
          <w:sz w:val="22"/>
          <w:szCs w:val="22"/>
        </w:rPr>
        <w:t xml:space="preserve">vaistinio preparato </w:t>
      </w:r>
      <w:r w:rsidRPr="00776407">
        <w:rPr>
          <w:rFonts w:eastAsia="Calibri"/>
          <w:sz w:val="22"/>
          <w:szCs w:val="22"/>
        </w:rPr>
        <w:t xml:space="preserve">poveikis vaisingumui ir gametogenezei nebuvo ištirtas. Dėl gydymo imatinibu poveikio vaisingumui, pacientams reikėtų pasitarti su gydytoju. </w:t>
      </w:r>
    </w:p>
    <w:p w14:paraId="24626FDB" w14:textId="77777777" w:rsidR="00430A5A" w:rsidRPr="00776407" w:rsidRDefault="00430A5A" w:rsidP="00430A5A">
      <w:pPr>
        <w:rPr>
          <w:rFonts w:eastAsia="Calibri"/>
          <w:sz w:val="22"/>
          <w:szCs w:val="22"/>
        </w:rPr>
      </w:pPr>
    </w:p>
    <w:p w14:paraId="6F69EF7C" w14:textId="77777777" w:rsidR="00430A5A" w:rsidRPr="00776407" w:rsidRDefault="00430A5A" w:rsidP="00864BE6">
      <w:pPr>
        <w:pStyle w:val="Listenabsatz"/>
        <w:keepNext/>
        <w:numPr>
          <w:ilvl w:val="1"/>
          <w:numId w:val="2"/>
        </w:numPr>
        <w:ind w:left="567" w:hanging="567"/>
        <w:rPr>
          <w:rFonts w:eastAsia="Calibri"/>
          <w:b/>
          <w:sz w:val="22"/>
          <w:szCs w:val="22"/>
        </w:rPr>
      </w:pPr>
      <w:r w:rsidRPr="00776407">
        <w:rPr>
          <w:rFonts w:eastAsia="Calibri"/>
          <w:b/>
          <w:bCs/>
          <w:sz w:val="22"/>
          <w:szCs w:val="22"/>
        </w:rPr>
        <w:t xml:space="preserve">Poveikis gebėjimui vairuoti ir valdyti mechanizmus </w:t>
      </w:r>
    </w:p>
    <w:p w14:paraId="4E155A76" w14:textId="77777777" w:rsidR="00430A5A" w:rsidRPr="00776407" w:rsidRDefault="00430A5A" w:rsidP="00430A5A">
      <w:pPr>
        <w:rPr>
          <w:rFonts w:eastAsia="Calibri"/>
          <w:b/>
          <w:sz w:val="22"/>
          <w:szCs w:val="22"/>
        </w:rPr>
      </w:pPr>
    </w:p>
    <w:p w14:paraId="243C48CB" w14:textId="77777777" w:rsidR="00475F83" w:rsidRPr="00776407" w:rsidRDefault="00475F83" w:rsidP="00475F83">
      <w:pPr>
        <w:rPr>
          <w:rFonts w:eastAsia="Calibri"/>
          <w:sz w:val="22"/>
          <w:szCs w:val="22"/>
        </w:rPr>
      </w:pPr>
      <w:r w:rsidRPr="00776407">
        <w:rPr>
          <w:rFonts w:eastAsia="Calibri"/>
          <w:sz w:val="22"/>
          <w:szCs w:val="22"/>
        </w:rPr>
        <w:t>Pacientams reikia nurodyti, kad vartojant imatinibą gali būti nepageidaujamų reiškinių, pvz., galvos svaigimas, neryškus matymas ar mieguistumas. Todėl vairuojant ar valdant mechanizmus būtina laikytis atsargumo priemonių.</w:t>
      </w:r>
    </w:p>
    <w:p w14:paraId="37C16B1D" w14:textId="77777777" w:rsidR="00430A5A" w:rsidRPr="00776407" w:rsidRDefault="00430A5A" w:rsidP="00430A5A">
      <w:pPr>
        <w:rPr>
          <w:rFonts w:eastAsia="Calibri"/>
          <w:sz w:val="22"/>
          <w:szCs w:val="22"/>
        </w:rPr>
      </w:pPr>
    </w:p>
    <w:p w14:paraId="1237096F" w14:textId="77777777" w:rsidR="00430A5A" w:rsidRPr="00776407" w:rsidRDefault="00430A5A" w:rsidP="00864BE6">
      <w:pPr>
        <w:pStyle w:val="Listenabsatz"/>
        <w:keepNext/>
        <w:numPr>
          <w:ilvl w:val="1"/>
          <w:numId w:val="2"/>
        </w:numPr>
        <w:ind w:left="567" w:hanging="567"/>
        <w:rPr>
          <w:rFonts w:eastAsia="Calibri"/>
          <w:b/>
          <w:sz w:val="22"/>
          <w:szCs w:val="22"/>
        </w:rPr>
      </w:pPr>
      <w:r w:rsidRPr="00776407">
        <w:rPr>
          <w:rFonts w:eastAsia="Calibri"/>
          <w:b/>
          <w:bCs/>
          <w:sz w:val="22"/>
          <w:szCs w:val="22"/>
        </w:rPr>
        <w:t xml:space="preserve">Nepageidaujamas poveikis </w:t>
      </w:r>
    </w:p>
    <w:p w14:paraId="6471AF41" w14:textId="77777777" w:rsidR="00430A5A" w:rsidRPr="00776407" w:rsidRDefault="00430A5A" w:rsidP="00430A5A">
      <w:pPr>
        <w:keepNext/>
        <w:rPr>
          <w:rFonts w:eastAsia="Calibri"/>
          <w:sz w:val="22"/>
          <w:szCs w:val="22"/>
        </w:rPr>
      </w:pPr>
    </w:p>
    <w:p w14:paraId="785D38D6" w14:textId="77777777" w:rsidR="00BB5F74" w:rsidRPr="00776407" w:rsidRDefault="00BB5F74" w:rsidP="00430A5A">
      <w:pPr>
        <w:keepNext/>
        <w:rPr>
          <w:rFonts w:eastAsia="Calibri"/>
          <w:sz w:val="22"/>
          <w:szCs w:val="22"/>
          <w:u w:val="single"/>
        </w:rPr>
      </w:pPr>
      <w:r w:rsidRPr="00776407">
        <w:rPr>
          <w:rFonts w:eastAsia="Calibri"/>
          <w:sz w:val="22"/>
          <w:szCs w:val="22"/>
          <w:u w:val="single"/>
        </w:rPr>
        <w:t>Saugumo duomenų santrauka</w:t>
      </w:r>
    </w:p>
    <w:p w14:paraId="2B5A5CFC" w14:textId="77777777" w:rsidR="00430A5A" w:rsidRPr="00776407" w:rsidRDefault="00430A5A" w:rsidP="00430A5A">
      <w:pPr>
        <w:rPr>
          <w:rFonts w:eastAsia="Calibri"/>
          <w:sz w:val="22"/>
          <w:szCs w:val="22"/>
        </w:rPr>
      </w:pPr>
      <w:r w:rsidRPr="00776407">
        <w:rPr>
          <w:rFonts w:eastAsia="Calibri"/>
          <w:sz w:val="22"/>
          <w:szCs w:val="22"/>
        </w:rPr>
        <w:t xml:space="preserve">Pacientams, sergantiems piktybiniais navikais, gali būti kitų sveikatos būklių, dėl kurių sunkiau nustatyti nepageidaujamų reiškinių priežastis dėl įvairių simptomų, susijusių su esančia liga, jos progresavimu ir dėl kitų kartu vartojamų vaistinių preparatų. </w:t>
      </w:r>
    </w:p>
    <w:p w14:paraId="44ADF11C" w14:textId="77777777" w:rsidR="00430A5A" w:rsidRPr="00776407" w:rsidRDefault="00430A5A" w:rsidP="00430A5A">
      <w:pPr>
        <w:rPr>
          <w:rFonts w:eastAsia="Calibri"/>
          <w:sz w:val="22"/>
          <w:szCs w:val="22"/>
        </w:rPr>
      </w:pPr>
    </w:p>
    <w:p w14:paraId="60079689" w14:textId="77777777" w:rsidR="00C7429F" w:rsidRPr="00776407" w:rsidRDefault="00C7429F" w:rsidP="00C7429F">
      <w:pPr>
        <w:rPr>
          <w:rFonts w:eastAsia="Calibri"/>
          <w:sz w:val="22"/>
          <w:szCs w:val="22"/>
        </w:rPr>
      </w:pPr>
      <w:r w:rsidRPr="00776407">
        <w:rPr>
          <w:rFonts w:eastAsia="Calibri"/>
          <w:sz w:val="22"/>
          <w:szCs w:val="22"/>
        </w:rPr>
        <w:t xml:space="preserve">Klinikinių LML tyrimų metu dėl nepageidaujamų su vaistiniu preparatu susijusių reakcijų vaistinio preparato vartojimą teko nutraukti 2,4 % pacientų, kuriems buvo naujai diagnozuota liga, 4 % pacientų, kuriems buvo vėlyvoji lėtinė ligos fazė po nesėkmingo gydymo interferonu, 4 % – kuriems buvo akceleracijos fazė po nesėkmingo gydymo interferonu ir 5 % – kuriems buvo blastinė krizė po nesėkmingo gydymo interferonu. VTSN tyrimų metu dėl vaistinio preparato sukeltų nepageidaujamų reakcijų vaistinį preparatą teko nutraukti 4 % pacientų. </w:t>
      </w:r>
    </w:p>
    <w:p w14:paraId="1E26FE08" w14:textId="77777777" w:rsidR="00C7429F" w:rsidRPr="00776407" w:rsidRDefault="00C7429F" w:rsidP="00C7429F">
      <w:pPr>
        <w:rPr>
          <w:rFonts w:eastAsia="Calibri"/>
          <w:sz w:val="22"/>
          <w:szCs w:val="22"/>
        </w:rPr>
      </w:pPr>
    </w:p>
    <w:p w14:paraId="58EC40D6" w14:textId="77777777" w:rsidR="00475F83" w:rsidRPr="00776407" w:rsidRDefault="00C7429F" w:rsidP="00C7429F">
      <w:pPr>
        <w:rPr>
          <w:rFonts w:eastAsia="Calibri"/>
          <w:sz w:val="22"/>
          <w:szCs w:val="22"/>
        </w:rPr>
      </w:pPr>
      <w:r w:rsidRPr="00776407">
        <w:rPr>
          <w:rFonts w:eastAsia="Calibri"/>
          <w:sz w:val="22"/>
          <w:szCs w:val="22"/>
        </w:rPr>
        <w:t xml:space="preserve">Visomis minėtomis ligomis sergantiems pacientams nepageidaujamos reakcijos buvo panašios, išskyrus dvi išimtis. Sergant LML, dažniau stebėta mielosupresija, galinti priklausyti nuo esančios ligos. Klinikinio tyrimo duomenimis, iš jame dalyvavusių pacientų, kuriems buvo nerezekuotinas ir (ar) metastazavęs VTSN, 7 (5 %) pacientams buvo CTC ¾ laipsnio kraujavimas iš virškinimo trakto (3 pacientams), vidunavikinis kraujavimas (3 pacientams) ar abu požymiai (1 pacientui). Virškinimo trakte gali kraujuoti iš naviko (žr. 4.4 skyrių). Retkarčiais kraujavimas iš virškinimo trakto ar naviko gali būti mirtinas. Dažniausi (≥ 10 %) su vaistiniu preparatu susiję nepageidaujami reiškiniai abiem ligomis sergantiems pacientams buvo nestiprus pykinimas, vėmimas, viduriavimas, pilvo skausmas, nuovargis, mialgija, raumenų mėšlungis ir bėrimas. Visų tyrimų metu dažnai stebėta paviršinių edemų, dažniausiai – apie akis ar kojų. Tačiau retai šios edemos būna sunkios, jas galima koreguoti diuretikais, kitomis pagalbinėmis priemonėmis ar sumažinus imatinibo dozę. </w:t>
      </w:r>
      <w:r w:rsidR="00475F83" w:rsidRPr="00776407">
        <w:rPr>
          <w:rFonts w:eastAsia="Calibri"/>
          <w:sz w:val="22"/>
          <w:szCs w:val="22"/>
        </w:rPr>
        <w:t xml:space="preserve"> </w:t>
      </w:r>
    </w:p>
    <w:p w14:paraId="7A8039F7" w14:textId="77777777" w:rsidR="00475F83" w:rsidRPr="00776407" w:rsidRDefault="00475F83" w:rsidP="00475F83">
      <w:pPr>
        <w:rPr>
          <w:rFonts w:eastAsia="Calibri"/>
          <w:sz w:val="22"/>
          <w:szCs w:val="22"/>
        </w:rPr>
      </w:pPr>
    </w:p>
    <w:p w14:paraId="243CABF9" w14:textId="77777777" w:rsidR="00475F83" w:rsidRPr="00776407" w:rsidRDefault="00475F83" w:rsidP="00475F83">
      <w:pPr>
        <w:pStyle w:val="Text"/>
        <w:widowControl w:val="0"/>
        <w:jc w:val="left"/>
        <w:rPr>
          <w:rFonts w:eastAsia="Calibri"/>
          <w:sz w:val="22"/>
          <w:szCs w:val="22"/>
        </w:rPr>
      </w:pPr>
      <w:r w:rsidRPr="00776407">
        <w:rPr>
          <w:rFonts w:eastAsia="Calibri"/>
          <w:sz w:val="22"/>
          <w:szCs w:val="22"/>
        </w:rPr>
        <w:t xml:space="preserve">Ph+ ŪLL sergantiems pacientams, vartojusiems imatinibą kartu su didelėmis chemoterapinių preparatų dozėmis, stebėtas laikinas toksinis poveikis kepenims, pasireiškęs transaminazių aktyvumo padidėjimu ir hiperbilirubinemija. </w:t>
      </w:r>
      <w:r w:rsidR="00C7429F" w:rsidRPr="00776407">
        <w:rPr>
          <w:rFonts w:eastAsia="Calibri"/>
          <w:sz w:val="22"/>
          <w:szCs w:val="22"/>
        </w:rPr>
        <w:t>Atsižvelgiant į ribotus saugumo duomenis, iki šiol vaikams pasireiškusių nepageidaujamų reiškinių pobūdis atitinka žinomus saugumo savybių duomenis Ph+ ŪLL sergantiems suaugusiesiems. Duomenys apie saugumo savybes Ph+ ŪLL sergantiems vaikams yra labai riboti, vis dėlto naujų nerimą keliančių saugumo duomenų nustatyta nebuvo.</w:t>
      </w:r>
    </w:p>
    <w:p w14:paraId="469E3105" w14:textId="77777777" w:rsidR="00430A5A" w:rsidRPr="00776407" w:rsidRDefault="00430A5A" w:rsidP="00430A5A">
      <w:pPr>
        <w:rPr>
          <w:rFonts w:eastAsia="Calibri"/>
          <w:sz w:val="22"/>
          <w:szCs w:val="22"/>
        </w:rPr>
      </w:pPr>
    </w:p>
    <w:p w14:paraId="3DCB642F" w14:textId="77777777" w:rsidR="00430A5A" w:rsidRPr="00776407" w:rsidRDefault="00430A5A" w:rsidP="00430A5A">
      <w:pPr>
        <w:rPr>
          <w:rFonts w:eastAsia="Calibri"/>
          <w:sz w:val="22"/>
          <w:szCs w:val="22"/>
        </w:rPr>
      </w:pPr>
      <w:r w:rsidRPr="00776407">
        <w:rPr>
          <w:rFonts w:eastAsia="Calibri"/>
          <w:sz w:val="22"/>
          <w:szCs w:val="22"/>
        </w:rPr>
        <w:t>Įvairios nepageidaujamos reakcijos, pvz., skystis pleuros ertmėje, ascitas, plaučių edema ar greitai didėjantis kūno svoris su paviršine edema ar be jos, gali būti bendrai vadinamos “skysčių susilaikymu”. Šias reakcijas galima gydyti laikinai nutraukiant imatinibo vartojimą ir diuretikais, ir kitomis tinkamomis pagalbos priemonėmis. Tačiau kai kurie šių reiškinių gali būti sunkūs ir grėsti gyvybei. Keli pacientai, kuriems buvo blastinė krizė, mirė. Jų ligos istorija buvo sudėtinė: skystis pleuros ertmėje, stazinis širdies nepakankamumas ir inkstų nepakankamumas. Vaikų klinikinių tyrimų metu ypatingų saugumo reiškinių nenustatyta.</w:t>
      </w:r>
    </w:p>
    <w:p w14:paraId="3ECF30F9" w14:textId="77777777" w:rsidR="00430A5A" w:rsidRPr="00776407" w:rsidRDefault="00430A5A" w:rsidP="00430A5A">
      <w:pPr>
        <w:rPr>
          <w:rFonts w:eastAsia="Calibri"/>
          <w:sz w:val="22"/>
          <w:szCs w:val="22"/>
        </w:rPr>
      </w:pPr>
    </w:p>
    <w:p w14:paraId="2D968864" w14:textId="77777777" w:rsidR="00430A5A" w:rsidRPr="00776407" w:rsidRDefault="00430A5A" w:rsidP="00430A5A">
      <w:pPr>
        <w:keepNext/>
        <w:autoSpaceDE w:val="0"/>
        <w:autoSpaceDN w:val="0"/>
        <w:adjustRightInd w:val="0"/>
        <w:rPr>
          <w:rFonts w:eastAsia="Calibri"/>
          <w:color w:val="000000"/>
          <w:sz w:val="22"/>
          <w:szCs w:val="22"/>
          <w:u w:val="single"/>
        </w:rPr>
      </w:pPr>
      <w:r w:rsidRPr="00776407">
        <w:rPr>
          <w:rFonts w:eastAsia="Calibri"/>
          <w:bCs/>
          <w:color w:val="000000"/>
          <w:sz w:val="22"/>
          <w:szCs w:val="22"/>
          <w:u w:val="single"/>
        </w:rPr>
        <w:t xml:space="preserve">Nepageidaujamos reakcijos </w:t>
      </w:r>
    </w:p>
    <w:p w14:paraId="02FB2632"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Nepageidaujamos reakcijos, pasireiškusios dažniau negu pavieniais atvejais, išvardytos žemiau pagal organų sistemas ir dažnį. Nepageidaujamų reiškinių dažnis nurodomas naudojant tokius dažnių apibūdinimus: labai dažni (≥1/10), dažni (nuo ≥1/100 iki &lt;1/10), nedažni (nuo ≥1/1</w:t>
      </w:r>
      <w:r w:rsidR="000B03BF" w:rsidRPr="00776407">
        <w:rPr>
          <w:rFonts w:eastAsia="Calibri"/>
          <w:color w:val="000000"/>
          <w:sz w:val="22"/>
          <w:szCs w:val="22"/>
        </w:rPr>
        <w:t> </w:t>
      </w:r>
      <w:r w:rsidRPr="00776407">
        <w:rPr>
          <w:rFonts w:eastAsia="Calibri"/>
          <w:color w:val="000000"/>
          <w:sz w:val="22"/>
          <w:szCs w:val="22"/>
        </w:rPr>
        <w:t>000 iki &lt;1/100), reti (nuo ≥1/10</w:t>
      </w:r>
      <w:r w:rsidR="000B03BF" w:rsidRPr="00776407">
        <w:rPr>
          <w:rFonts w:eastAsia="Calibri"/>
          <w:color w:val="000000"/>
          <w:sz w:val="22"/>
          <w:szCs w:val="22"/>
        </w:rPr>
        <w:t> </w:t>
      </w:r>
      <w:r w:rsidRPr="00776407">
        <w:rPr>
          <w:rFonts w:eastAsia="Calibri"/>
          <w:color w:val="000000"/>
          <w:sz w:val="22"/>
          <w:szCs w:val="22"/>
        </w:rPr>
        <w:t>000 iki &lt;1/1</w:t>
      </w:r>
      <w:r w:rsidR="000B03BF" w:rsidRPr="00776407">
        <w:rPr>
          <w:rFonts w:eastAsia="Calibri"/>
          <w:color w:val="000000"/>
          <w:sz w:val="22"/>
          <w:szCs w:val="22"/>
        </w:rPr>
        <w:t> </w:t>
      </w:r>
      <w:r w:rsidRPr="00776407">
        <w:rPr>
          <w:rFonts w:eastAsia="Calibri"/>
          <w:color w:val="000000"/>
          <w:sz w:val="22"/>
          <w:szCs w:val="22"/>
        </w:rPr>
        <w:t>000), labai reti (&lt;1/10</w:t>
      </w:r>
      <w:r w:rsidR="000B03BF" w:rsidRPr="00776407">
        <w:rPr>
          <w:rFonts w:eastAsia="Calibri"/>
          <w:color w:val="000000"/>
          <w:sz w:val="22"/>
          <w:szCs w:val="22"/>
        </w:rPr>
        <w:t> </w:t>
      </w:r>
      <w:r w:rsidRPr="00776407">
        <w:rPr>
          <w:rFonts w:eastAsia="Calibri"/>
          <w:color w:val="000000"/>
          <w:sz w:val="22"/>
          <w:szCs w:val="22"/>
        </w:rPr>
        <w:t xml:space="preserve">000), dažnis nežinomas (negali būti </w:t>
      </w:r>
      <w:r w:rsidR="006D07C3" w:rsidRPr="00776407">
        <w:rPr>
          <w:rFonts w:eastAsia="Calibri"/>
          <w:color w:val="000000"/>
          <w:sz w:val="22"/>
          <w:szCs w:val="22"/>
        </w:rPr>
        <w:t>apskaičiuotas</w:t>
      </w:r>
      <w:r w:rsidRPr="00776407">
        <w:rPr>
          <w:rFonts w:eastAsia="Calibri"/>
          <w:color w:val="000000"/>
          <w:sz w:val="22"/>
          <w:szCs w:val="22"/>
        </w:rPr>
        <w:t xml:space="preserve"> pagal turimus duomenis). </w:t>
      </w:r>
    </w:p>
    <w:p w14:paraId="77F4F2AD" w14:textId="77777777" w:rsidR="00430A5A" w:rsidRPr="00776407" w:rsidRDefault="00430A5A" w:rsidP="00430A5A">
      <w:pPr>
        <w:autoSpaceDE w:val="0"/>
        <w:autoSpaceDN w:val="0"/>
        <w:adjustRightInd w:val="0"/>
        <w:rPr>
          <w:rFonts w:eastAsia="Calibri"/>
          <w:color w:val="000000"/>
          <w:sz w:val="22"/>
          <w:szCs w:val="22"/>
        </w:rPr>
      </w:pPr>
    </w:p>
    <w:p w14:paraId="0B0EBEA1"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1 lentelėje išvardintos nepageidaujamos reakcijos ir jų pasireiškimo dažnumas nurodyti, remiantis pagrindinių registracijos tyrimų duomenimis. </w:t>
      </w:r>
    </w:p>
    <w:p w14:paraId="4FB3E08F" w14:textId="77777777" w:rsidR="00430A5A" w:rsidRPr="00776407" w:rsidRDefault="00430A5A" w:rsidP="00430A5A">
      <w:pPr>
        <w:autoSpaceDE w:val="0"/>
        <w:autoSpaceDN w:val="0"/>
        <w:adjustRightInd w:val="0"/>
        <w:rPr>
          <w:rFonts w:eastAsia="Calibri"/>
          <w:color w:val="000000"/>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2376"/>
        <w:gridCol w:w="6656"/>
        <w:gridCol w:w="39"/>
      </w:tblGrid>
      <w:tr w:rsidR="00430A5A" w:rsidRPr="00776407" w14:paraId="43CA0745" w14:textId="77777777" w:rsidTr="00430A5A">
        <w:trPr>
          <w:gridAfter w:val="1"/>
          <w:wAfter w:w="39" w:type="dxa"/>
          <w:trHeight w:val="98"/>
        </w:trPr>
        <w:tc>
          <w:tcPr>
            <w:tcW w:w="9032" w:type="dxa"/>
            <w:gridSpan w:val="2"/>
            <w:tcBorders>
              <w:bottom w:val="single" w:sz="4" w:space="0" w:color="auto"/>
            </w:tcBorders>
          </w:tcPr>
          <w:p w14:paraId="42BA9F06" w14:textId="77777777" w:rsidR="00430A5A" w:rsidRPr="00776407" w:rsidRDefault="00430A5A" w:rsidP="00430A5A">
            <w:pPr>
              <w:keepNext/>
              <w:autoSpaceDE w:val="0"/>
              <w:autoSpaceDN w:val="0"/>
              <w:adjustRightInd w:val="0"/>
              <w:rPr>
                <w:rFonts w:eastAsia="Calibri"/>
                <w:b/>
                <w:bCs/>
                <w:color w:val="000000"/>
              </w:rPr>
            </w:pPr>
            <w:r w:rsidRPr="00776407">
              <w:rPr>
                <w:rFonts w:eastAsia="Calibri"/>
                <w:b/>
                <w:bCs/>
                <w:color w:val="000000"/>
                <w:sz w:val="22"/>
                <w:szCs w:val="22"/>
              </w:rPr>
              <w:t xml:space="preserve">1 lentelė </w:t>
            </w:r>
            <w:r w:rsidR="001D2F82" w:rsidRPr="00776407">
              <w:rPr>
                <w:rFonts w:eastAsia="Calibri"/>
                <w:b/>
                <w:bCs/>
                <w:color w:val="000000"/>
                <w:sz w:val="22"/>
                <w:szCs w:val="22"/>
              </w:rPr>
              <w:t>Nepageidaujamų reakcijų santrauka</w:t>
            </w:r>
            <w:r w:rsidRPr="00776407">
              <w:rPr>
                <w:rFonts w:eastAsia="Calibri"/>
                <w:b/>
                <w:bCs/>
                <w:color w:val="000000"/>
                <w:sz w:val="22"/>
                <w:szCs w:val="22"/>
              </w:rPr>
              <w:t xml:space="preserve"> </w:t>
            </w:r>
            <w:r w:rsidR="00BD4BC1" w:rsidRPr="00776407">
              <w:rPr>
                <w:rFonts w:eastAsia="Calibri"/>
                <w:b/>
                <w:bCs/>
                <w:color w:val="000000"/>
                <w:sz w:val="22"/>
                <w:szCs w:val="22"/>
              </w:rPr>
              <w:t>lentelėje</w:t>
            </w:r>
          </w:p>
          <w:p w14:paraId="0C737130" w14:textId="77777777" w:rsidR="00430A5A" w:rsidRPr="00776407" w:rsidRDefault="00430A5A" w:rsidP="00430A5A">
            <w:pPr>
              <w:keepNext/>
              <w:autoSpaceDE w:val="0"/>
              <w:autoSpaceDN w:val="0"/>
              <w:adjustRightInd w:val="0"/>
              <w:rPr>
                <w:rFonts w:eastAsia="Calibri"/>
                <w:b/>
                <w:bCs/>
                <w:color w:val="000000"/>
              </w:rPr>
            </w:pPr>
          </w:p>
        </w:tc>
      </w:tr>
      <w:tr w:rsidR="00430A5A" w:rsidRPr="00776407" w14:paraId="7AF72270" w14:textId="77777777" w:rsidTr="00430A5A">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3885AAD3" w14:textId="77777777" w:rsidR="00430A5A" w:rsidRPr="00776407" w:rsidRDefault="00430A5A" w:rsidP="00430A5A">
            <w:pPr>
              <w:autoSpaceDE w:val="0"/>
              <w:autoSpaceDN w:val="0"/>
              <w:adjustRightInd w:val="0"/>
              <w:rPr>
                <w:rFonts w:eastAsia="Calibri"/>
                <w:color w:val="000000"/>
              </w:rPr>
            </w:pPr>
            <w:r w:rsidRPr="00776407">
              <w:rPr>
                <w:rFonts w:eastAsia="Calibri"/>
                <w:b/>
                <w:bCs/>
                <w:color w:val="000000"/>
                <w:sz w:val="22"/>
                <w:szCs w:val="22"/>
              </w:rPr>
              <w:t xml:space="preserve">Infekcijos ir infestacijos </w:t>
            </w:r>
          </w:p>
        </w:tc>
      </w:tr>
      <w:tr w:rsidR="00430A5A" w:rsidRPr="00776407" w14:paraId="5DE01EEB" w14:textId="77777777" w:rsidTr="00430A5A">
        <w:trPr>
          <w:gridAfter w:val="1"/>
          <w:wAfter w:w="39" w:type="dxa"/>
          <w:trHeight w:val="382"/>
        </w:trPr>
        <w:tc>
          <w:tcPr>
            <w:tcW w:w="2376" w:type="dxa"/>
            <w:tcBorders>
              <w:top w:val="single" w:sz="4" w:space="0" w:color="auto"/>
              <w:left w:val="single" w:sz="4" w:space="0" w:color="auto"/>
              <w:bottom w:val="single" w:sz="4" w:space="0" w:color="auto"/>
              <w:right w:val="single" w:sz="4" w:space="0" w:color="auto"/>
            </w:tcBorders>
          </w:tcPr>
          <w:p w14:paraId="75F10EF5" w14:textId="77777777" w:rsidR="00430A5A" w:rsidRPr="00776407" w:rsidRDefault="00430A5A" w:rsidP="00430A5A">
            <w:pPr>
              <w:autoSpaceDE w:val="0"/>
              <w:autoSpaceDN w:val="0"/>
              <w:adjustRightInd w:val="0"/>
              <w:rPr>
                <w:rFonts w:eastAsia="Calibri"/>
                <w:color w:val="000000"/>
              </w:rPr>
            </w:pPr>
            <w:r w:rsidRPr="00776407">
              <w:rPr>
                <w:rFonts w:eastAsia="Calibri"/>
                <w:i/>
                <w:iCs/>
                <w:color w:val="000000"/>
                <w:sz w:val="22"/>
                <w:szCs w:val="22"/>
              </w:rPr>
              <w:t>Nedažnos</w:t>
            </w:r>
          </w:p>
        </w:tc>
        <w:tc>
          <w:tcPr>
            <w:tcW w:w="6656" w:type="dxa"/>
            <w:tcBorders>
              <w:top w:val="single" w:sz="4" w:space="0" w:color="auto"/>
              <w:left w:val="single" w:sz="4" w:space="0" w:color="auto"/>
              <w:bottom w:val="single" w:sz="4" w:space="0" w:color="auto"/>
              <w:right w:val="single" w:sz="4" w:space="0" w:color="auto"/>
            </w:tcBorders>
          </w:tcPr>
          <w:p w14:paraId="3BD7B8FA" w14:textId="77777777" w:rsidR="00430A5A" w:rsidRPr="00776407" w:rsidRDefault="00430A5A" w:rsidP="00430A5A">
            <w:pPr>
              <w:autoSpaceDE w:val="0"/>
              <w:autoSpaceDN w:val="0"/>
              <w:adjustRightInd w:val="0"/>
              <w:rPr>
                <w:rFonts w:eastAsia="Calibri"/>
                <w:color w:val="000000"/>
              </w:rPr>
            </w:pPr>
            <w:r w:rsidRPr="00776407">
              <w:rPr>
                <w:rFonts w:eastAsia="Calibri"/>
                <w:i/>
                <w:iCs/>
                <w:color w:val="000000"/>
                <w:sz w:val="22"/>
                <w:szCs w:val="22"/>
              </w:rPr>
              <w:t>Herpes zoster</w:t>
            </w:r>
            <w:r w:rsidRPr="00776407">
              <w:rPr>
                <w:rFonts w:eastAsia="Calibri"/>
                <w:color w:val="000000"/>
                <w:sz w:val="22"/>
                <w:szCs w:val="22"/>
              </w:rPr>
              <w:t xml:space="preserve">, </w:t>
            </w:r>
            <w:r w:rsidRPr="00776407">
              <w:rPr>
                <w:rFonts w:eastAsia="Calibri"/>
                <w:i/>
                <w:iCs/>
                <w:color w:val="000000"/>
                <w:sz w:val="22"/>
                <w:szCs w:val="22"/>
              </w:rPr>
              <w:t>herpes simplex</w:t>
            </w:r>
            <w:r w:rsidRPr="00776407">
              <w:rPr>
                <w:rFonts w:eastAsia="Calibri"/>
                <w:color w:val="000000"/>
                <w:sz w:val="22"/>
                <w:szCs w:val="22"/>
              </w:rPr>
              <w:t>, nosiaryklės uždegimas, pneumonija</w:t>
            </w:r>
            <w:r w:rsidRPr="00776407">
              <w:rPr>
                <w:rFonts w:eastAsia="Calibri"/>
                <w:color w:val="000000"/>
                <w:sz w:val="14"/>
                <w:szCs w:val="14"/>
                <w:vertAlign w:val="superscript"/>
              </w:rPr>
              <w:t>1</w:t>
            </w:r>
            <w:r w:rsidRPr="00776407">
              <w:rPr>
                <w:rFonts w:eastAsia="Calibri"/>
                <w:color w:val="000000"/>
                <w:sz w:val="22"/>
                <w:szCs w:val="22"/>
              </w:rPr>
              <w:t xml:space="preserve">, sinusitas, puriojo ląstelyno uždegimas, viršutinių kvėpavimo takų infekcija, gripas, šlapimo takų infekcija, gastroenteritas, sepsis </w:t>
            </w:r>
          </w:p>
        </w:tc>
      </w:tr>
      <w:tr w:rsidR="00430A5A" w:rsidRPr="00776407" w14:paraId="0DDC549F"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7A0EFDE0" w14:textId="77777777" w:rsidR="00430A5A" w:rsidRPr="00776407" w:rsidRDefault="00430A5A" w:rsidP="00430A5A">
            <w:pPr>
              <w:autoSpaceDE w:val="0"/>
              <w:autoSpaceDN w:val="0"/>
              <w:adjustRightInd w:val="0"/>
              <w:rPr>
                <w:rFonts w:eastAsia="Calibri"/>
                <w:color w:val="000000"/>
              </w:rPr>
            </w:pPr>
            <w:r w:rsidRPr="00776407">
              <w:rPr>
                <w:rFonts w:eastAsia="Calibri"/>
                <w:i/>
                <w:iCs/>
                <w:color w:val="000000"/>
                <w:sz w:val="22"/>
                <w:szCs w:val="22"/>
              </w:rPr>
              <w:t>Retos</w:t>
            </w:r>
          </w:p>
        </w:tc>
        <w:tc>
          <w:tcPr>
            <w:tcW w:w="6656" w:type="dxa"/>
            <w:tcBorders>
              <w:top w:val="single" w:sz="4" w:space="0" w:color="auto"/>
              <w:left w:val="single" w:sz="4" w:space="0" w:color="auto"/>
              <w:bottom w:val="single" w:sz="4" w:space="0" w:color="auto"/>
              <w:right w:val="single" w:sz="4" w:space="0" w:color="auto"/>
            </w:tcBorders>
          </w:tcPr>
          <w:p w14:paraId="2C2E78C8" w14:textId="77777777" w:rsidR="00430A5A" w:rsidRPr="00776407" w:rsidRDefault="00430A5A" w:rsidP="00430A5A">
            <w:pPr>
              <w:autoSpaceDE w:val="0"/>
              <w:autoSpaceDN w:val="0"/>
              <w:adjustRightInd w:val="0"/>
              <w:rPr>
                <w:rFonts w:eastAsia="Calibri"/>
                <w:color w:val="000000"/>
              </w:rPr>
            </w:pPr>
            <w:r w:rsidRPr="00776407">
              <w:rPr>
                <w:rFonts w:eastAsia="Calibri"/>
                <w:color w:val="000000"/>
                <w:sz w:val="22"/>
                <w:szCs w:val="22"/>
              </w:rPr>
              <w:t xml:space="preserve">Grybelinė infekcija </w:t>
            </w:r>
          </w:p>
        </w:tc>
      </w:tr>
      <w:tr w:rsidR="009335E4" w:rsidRPr="00776407" w14:paraId="46500CDF"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58A70192" w14:textId="77777777" w:rsidR="009335E4" w:rsidRPr="00776407" w:rsidRDefault="009335E4" w:rsidP="00430A5A">
            <w:pPr>
              <w:autoSpaceDE w:val="0"/>
              <w:autoSpaceDN w:val="0"/>
              <w:adjustRightInd w:val="0"/>
              <w:rPr>
                <w:rFonts w:eastAsia="Calibri"/>
                <w:i/>
                <w:iCs/>
                <w:color w:val="000000"/>
                <w:sz w:val="22"/>
                <w:szCs w:val="22"/>
              </w:rPr>
            </w:pPr>
            <w:r w:rsidRPr="00776407">
              <w:rPr>
                <w:rFonts w:eastAsia="Calibri"/>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19F42585" w14:textId="77777777" w:rsidR="009335E4" w:rsidRPr="00776407" w:rsidRDefault="009335E4" w:rsidP="00430A5A">
            <w:pPr>
              <w:autoSpaceDE w:val="0"/>
              <w:autoSpaceDN w:val="0"/>
              <w:adjustRightInd w:val="0"/>
              <w:rPr>
                <w:rFonts w:eastAsia="Calibri"/>
                <w:color w:val="000000"/>
                <w:sz w:val="22"/>
                <w:szCs w:val="22"/>
              </w:rPr>
            </w:pPr>
            <w:r w:rsidRPr="00776407">
              <w:rPr>
                <w:rFonts w:eastAsia="Calibri"/>
                <w:color w:val="000000"/>
                <w:sz w:val="22"/>
                <w:szCs w:val="22"/>
              </w:rPr>
              <w:t>Hepatito B reaktyvacija</w:t>
            </w:r>
            <w:r w:rsidR="006D52A1" w:rsidRPr="00776407">
              <w:rPr>
                <w:vertAlign w:val="superscript"/>
              </w:rPr>
              <w:t>*</w:t>
            </w:r>
          </w:p>
        </w:tc>
      </w:tr>
      <w:tr w:rsidR="009335E4" w:rsidRPr="00776407" w14:paraId="1D4D7FE7" w14:textId="77777777" w:rsidTr="00430A5A">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080AB1A3"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Gerybiniai, piktybiniai ir nepatikslinti navikai (tarp jų cistos ir polipai) </w:t>
            </w:r>
          </w:p>
        </w:tc>
      </w:tr>
      <w:tr w:rsidR="009335E4" w:rsidRPr="00776407" w14:paraId="3CB5C954"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4130718C"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56" w:type="dxa"/>
            <w:tcBorders>
              <w:top w:val="single" w:sz="4" w:space="0" w:color="auto"/>
              <w:left w:val="single" w:sz="4" w:space="0" w:color="auto"/>
              <w:bottom w:val="single" w:sz="4" w:space="0" w:color="auto"/>
              <w:right w:val="single" w:sz="4" w:space="0" w:color="auto"/>
            </w:tcBorders>
          </w:tcPr>
          <w:p w14:paraId="7A80DD46" w14:textId="77777777" w:rsidR="009335E4" w:rsidRPr="00776407" w:rsidRDefault="009F4021" w:rsidP="00430A5A">
            <w:pPr>
              <w:autoSpaceDE w:val="0"/>
              <w:autoSpaceDN w:val="0"/>
              <w:adjustRightInd w:val="0"/>
              <w:rPr>
                <w:rFonts w:eastAsia="Calibri"/>
                <w:color w:val="000000"/>
              </w:rPr>
            </w:pPr>
            <w:r w:rsidRPr="00776407">
              <w:rPr>
                <w:rFonts w:eastAsia="Calibri"/>
                <w:color w:val="000000"/>
                <w:sz w:val="22"/>
                <w:szCs w:val="22"/>
              </w:rPr>
              <w:t>Naviko</w:t>
            </w:r>
            <w:r w:rsidR="009335E4" w:rsidRPr="00776407">
              <w:rPr>
                <w:rFonts w:eastAsia="Calibri"/>
                <w:color w:val="000000"/>
                <w:sz w:val="22"/>
                <w:szCs w:val="22"/>
              </w:rPr>
              <w:t xml:space="preserve"> irimo sindromas </w:t>
            </w:r>
          </w:p>
        </w:tc>
      </w:tr>
      <w:tr w:rsidR="009335E4" w:rsidRPr="00776407" w14:paraId="3D705DF4"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24F981F2" w14:textId="77777777" w:rsidR="009335E4" w:rsidRPr="00776407" w:rsidRDefault="009335E4" w:rsidP="00430A5A">
            <w:pPr>
              <w:autoSpaceDE w:val="0"/>
              <w:autoSpaceDN w:val="0"/>
              <w:adjustRightInd w:val="0"/>
              <w:rPr>
                <w:rFonts w:eastAsia="Calibri"/>
                <w:i/>
                <w:iCs/>
                <w:color w:val="000000"/>
                <w:sz w:val="22"/>
                <w:szCs w:val="22"/>
              </w:rPr>
            </w:pPr>
            <w:r w:rsidRPr="00776407">
              <w:rPr>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12FAE002" w14:textId="77777777" w:rsidR="009335E4" w:rsidRPr="00776407" w:rsidRDefault="009335E4" w:rsidP="00430A5A">
            <w:pPr>
              <w:autoSpaceDE w:val="0"/>
              <w:autoSpaceDN w:val="0"/>
              <w:adjustRightInd w:val="0"/>
              <w:rPr>
                <w:rFonts w:eastAsia="Calibri"/>
                <w:color w:val="000000"/>
                <w:sz w:val="22"/>
                <w:szCs w:val="22"/>
              </w:rPr>
            </w:pPr>
            <w:r w:rsidRPr="00776407">
              <w:rPr>
                <w:color w:val="000000"/>
                <w:sz w:val="22"/>
                <w:szCs w:val="22"/>
              </w:rPr>
              <w:t>Naviko kraujosruva/naviko nekrozė*</w:t>
            </w:r>
          </w:p>
        </w:tc>
      </w:tr>
      <w:tr w:rsidR="009335E4" w:rsidRPr="00776407" w14:paraId="68A210FB" w14:textId="77777777" w:rsidTr="004B600B">
        <w:trPr>
          <w:gridAfter w:val="1"/>
          <w:wAfter w:w="39" w:type="dxa"/>
          <w:trHeight w:val="100"/>
        </w:trPr>
        <w:tc>
          <w:tcPr>
            <w:tcW w:w="9032" w:type="dxa"/>
            <w:gridSpan w:val="2"/>
            <w:tcBorders>
              <w:top w:val="single" w:sz="4" w:space="0" w:color="auto"/>
              <w:left w:val="single" w:sz="4" w:space="0" w:color="auto"/>
              <w:bottom w:val="single" w:sz="4" w:space="0" w:color="auto"/>
              <w:right w:val="single" w:sz="4" w:space="0" w:color="auto"/>
            </w:tcBorders>
          </w:tcPr>
          <w:p w14:paraId="1AD14072" w14:textId="77777777" w:rsidR="009335E4" w:rsidRPr="00776407" w:rsidRDefault="009335E4" w:rsidP="00430A5A">
            <w:pPr>
              <w:autoSpaceDE w:val="0"/>
              <w:autoSpaceDN w:val="0"/>
              <w:adjustRightInd w:val="0"/>
              <w:rPr>
                <w:rFonts w:eastAsia="Calibri"/>
                <w:color w:val="000000"/>
                <w:sz w:val="22"/>
                <w:szCs w:val="22"/>
              </w:rPr>
            </w:pPr>
            <w:r w:rsidRPr="00776407">
              <w:rPr>
                <w:b/>
                <w:color w:val="000000"/>
                <w:sz w:val="22"/>
                <w:szCs w:val="22"/>
              </w:rPr>
              <w:t>Imuninės sistemos sutrikimai</w:t>
            </w:r>
          </w:p>
        </w:tc>
      </w:tr>
      <w:tr w:rsidR="009335E4" w:rsidRPr="00776407" w14:paraId="60675DF3"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2C725689" w14:textId="77777777" w:rsidR="009335E4" w:rsidRPr="00776407" w:rsidRDefault="009335E4" w:rsidP="00430A5A">
            <w:pPr>
              <w:autoSpaceDE w:val="0"/>
              <w:autoSpaceDN w:val="0"/>
              <w:adjustRightInd w:val="0"/>
              <w:rPr>
                <w:rFonts w:eastAsia="Calibri"/>
                <w:i/>
                <w:iCs/>
                <w:color w:val="000000"/>
                <w:sz w:val="22"/>
                <w:szCs w:val="22"/>
              </w:rPr>
            </w:pPr>
            <w:r w:rsidRPr="00776407">
              <w:rPr>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396E8815" w14:textId="77777777" w:rsidR="009335E4" w:rsidRPr="00776407" w:rsidRDefault="009335E4" w:rsidP="00430A5A">
            <w:pPr>
              <w:autoSpaceDE w:val="0"/>
              <w:autoSpaceDN w:val="0"/>
              <w:adjustRightInd w:val="0"/>
              <w:rPr>
                <w:rFonts w:eastAsia="Calibri"/>
                <w:color w:val="000000"/>
                <w:sz w:val="22"/>
                <w:szCs w:val="22"/>
              </w:rPr>
            </w:pPr>
            <w:r w:rsidRPr="00776407">
              <w:rPr>
                <w:color w:val="000000"/>
                <w:sz w:val="22"/>
                <w:szCs w:val="22"/>
              </w:rPr>
              <w:t>Anafilaksinis šokas*</w:t>
            </w:r>
          </w:p>
        </w:tc>
      </w:tr>
      <w:tr w:rsidR="009335E4" w:rsidRPr="00776407" w14:paraId="3401D9FB" w14:textId="77777777" w:rsidTr="00430A5A">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788C28B0"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Kraujo ir limfinės sistemos sutrikimai </w:t>
            </w:r>
          </w:p>
        </w:tc>
      </w:tr>
      <w:tr w:rsidR="009335E4" w:rsidRPr="00776407" w14:paraId="4A7481C3"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46143758"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Labai dažnos </w:t>
            </w:r>
          </w:p>
        </w:tc>
        <w:tc>
          <w:tcPr>
            <w:tcW w:w="6656" w:type="dxa"/>
            <w:tcBorders>
              <w:top w:val="single" w:sz="4" w:space="0" w:color="auto"/>
              <w:left w:val="single" w:sz="4" w:space="0" w:color="auto"/>
              <w:bottom w:val="single" w:sz="4" w:space="0" w:color="auto"/>
              <w:right w:val="single" w:sz="4" w:space="0" w:color="auto"/>
            </w:tcBorders>
          </w:tcPr>
          <w:p w14:paraId="109BF78C"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Neutropenija, trombocitopenija, anemija </w:t>
            </w:r>
          </w:p>
        </w:tc>
      </w:tr>
      <w:tr w:rsidR="009335E4" w:rsidRPr="00776407" w14:paraId="49CE9C75"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72A2EFC0"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56" w:type="dxa"/>
            <w:tcBorders>
              <w:top w:val="single" w:sz="4" w:space="0" w:color="auto"/>
              <w:left w:val="single" w:sz="4" w:space="0" w:color="auto"/>
              <w:bottom w:val="single" w:sz="4" w:space="0" w:color="auto"/>
              <w:right w:val="single" w:sz="4" w:space="0" w:color="auto"/>
            </w:tcBorders>
          </w:tcPr>
          <w:p w14:paraId="6FD497C0"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Pancitopenija, febrili neutropenija </w:t>
            </w:r>
          </w:p>
        </w:tc>
      </w:tr>
      <w:tr w:rsidR="009335E4" w:rsidRPr="00776407" w14:paraId="76749E16" w14:textId="77777777" w:rsidTr="00430A5A">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16550A26"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Nedažno: </w:t>
            </w:r>
          </w:p>
        </w:tc>
        <w:tc>
          <w:tcPr>
            <w:tcW w:w="6656" w:type="dxa"/>
            <w:tcBorders>
              <w:top w:val="single" w:sz="4" w:space="0" w:color="auto"/>
              <w:left w:val="single" w:sz="4" w:space="0" w:color="auto"/>
              <w:bottom w:val="single" w:sz="4" w:space="0" w:color="auto"/>
              <w:right w:val="single" w:sz="4" w:space="0" w:color="auto"/>
            </w:tcBorders>
          </w:tcPr>
          <w:p w14:paraId="57731EE2"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Trombocitopenija, limfocitopenija, kaulų čiulpų slopinimas, eozinofilija, limfodenopatija </w:t>
            </w:r>
          </w:p>
        </w:tc>
      </w:tr>
      <w:tr w:rsidR="009335E4" w:rsidRPr="00776407" w14:paraId="421439CA"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72E1B7F6"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56" w:type="dxa"/>
            <w:tcBorders>
              <w:top w:val="single" w:sz="4" w:space="0" w:color="auto"/>
              <w:left w:val="single" w:sz="4" w:space="0" w:color="auto"/>
              <w:bottom w:val="single" w:sz="4" w:space="0" w:color="auto"/>
              <w:right w:val="single" w:sz="4" w:space="0" w:color="auto"/>
            </w:tcBorders>
          </w:tcPr>
          <w:p w14:paraId="585B4FE0" w14:textId="39C07D98"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Hemolizinė anemija</w:t>
            </w:r>
            <w:r w:rsidR="0023389A" w:rsidRPr="00776407">
              <w:rPr>
                <w:rFonts w:eastAsia="Calibri"/>
                <w:color w:val="000000"/>
                <w:sz w:val="22"/>
                <w:szCs w:val="22"/>
              </w:rPr>
              <w:t>, trombinė mikroangiopatija</w:t>
            </w:r>
          </w:p>
        </w:tc>
      </w:tr>
      <w:tr w:rsidR="009335E4" w:rsidRPr="00776407" w14:paraId="353018D3" w14:textId="77777777" w:rsidTr="00430A5A">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1CF9C610"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Metabolizmo ir mitybos sutrikimai </w:t>
            </w:r>
          </w:p>
        </w:tc>
      </w:tr>
      <w:tr w:rsidR="009335E4" w:rsidRPr="00776407" w14:paraId="638E7F7E"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1135154C"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56" w:type="dxa"/>
            <w:tcBorders>
              <w:top w:val="single" w:sz="4" w:space="0" w:color="auto"/>
              <w:left w:val="single" w:sz="4" w:space="0" w:color="auto"/>
              <w:bottom w:val="single" w:sz="4" w:space="0" w:color="auto"/>
              <w:right w:val="single" w:sz="4" w:space="0" w:color="auto"/>
            </w:tcBorders>
          </w:tcPr>
          <w:p w14:paraId="3C7EB264"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Anoreksija </w:t>
            </w:r>
          </w:p>
        </w:tc>
      </w:tr>
      <w:tr w:rsidR="009335E4" w:rsidRPr="00776407" w14:paraId="25D9829E" w14:textId="77777777" w:rsidTr="00430A5A">
        <w:trPr>
          <w:gridAfter w:val="1"/>
          <w:wAfter w:w="39" w:type="dxa"/>
          <w:trHeight w:val="360"/>
        </w:trPr>
        <w:tc>
          <w:tcPr>
            <w:tcW w:w="2376" w:type="dxa"/>
            <w:tcBorders>
              <w:top w:val="single" w:sz="4" w:space="0" w:color="auto"/>
              <w:left w:val="single" w:sz="4" w:space="0" w:color="auto"/>
              <w:bottom w:val="single" w:sz="4" w:space="0" w:color="auto"/>
              <w:right w:val="single" w:sz="4" w:space="0" w:color="auto"/>
            </w:tcBorders>
          </w:tcPr>
          <w:p w14:paraId="6CBDE474"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56" w:type="dxa"/>
            <w:tcBorders>
              <w:top w:val="single" w:sz="4" w:space="0" w:color="auto"/>
              <w:left w:val="single" w:sz="4" w:space="0" w:color="auto"/>
              <w:bottom w:val="single" w:sz="4" w:space="0" w:color="auto"/>
              <w:right w:val="single" w:sz="4" w:space="0" w:color="auto"/>
            </w:tcBorders>
          </w:tcPr>
          <w:p w14:paraId="4BF2349F"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Hipokalemija, padidėjęs apetitas, hipofosfatemija, sumažėjęs apetitas, dehidracija, podagra, hiperurikemija, hiperkalcemija, hiperglikemija, hiponatremija </w:t>
            </w:r>
          </w:p>
        </w:tc>
      </w:tr>
      <w:tr w:rsidR="009335E4" w:rsidRPr="00776407" w14:paraId="337CBB0E"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2474AC7C"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56" w:type="dxa"/>
            <w:tcBorders>
              <w:top w:val="single" w:sz="4" w:space="0" w:color="auto"/>
              <w:left w:val="single" w:sz="4" w:space="0" w:color="auto"/>
              <w:bottom w:val="single" w:sz="4" w:space="0" w:color="auto"/>
              <w:right w:val="single" w:sz="4" w:space="0" w:color="auto"/>
            </w:tcBorders>
          </w:tcPr>
          <w:p w14:paraId="2B09D6A8"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Hiperkalemija, hipomagnemija </w:t>
            </w:r>
          </w:p>
        </w:tc>
      </w:tr>
      <w:tr w:rsidR="009335E4" w:rsidRPr="00776407" w14:paraId="2F7C934A" w14:textId="77777777" w:rsidTr="00430A5A">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5320E1A0"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Psichikos sutrikimai </w:t>
            </w:r>
          </w:p>
        </w:tc>
      </w:tr>
      <w:tr w:rsidR="009335E4" w:rsidRPr="00776407" w14:paraId="0AAFBEB7"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592B4164"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56" w:type="dxa"/>
            <w:tcBorders>
              <w:top w:val="single" w:sz="4" w:space="0" w:color="auto"/>
              <w:left w:val="single" w:sz="4" w:space="0" w:color="auto"/>
              <w:bottom w:val="single" w:sz="4" w:space="0" w:color="auto"/>
              <w:right w:val="single" w:sz="4" w:space="0" w:color="auto"/>
            </w:tcBorders>
          </w:tcPr>
          <w:p w14:paraId="6B788C6A"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Nemiga </w:t>
            </w:r>
          </w:p>
        </w:tc>
      </w:tr>
      <w:tr w:rsidR="009335E4" w:rsidRPr="00776407" w14:paraId="7EE28F0B"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13341DDE"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56" w:type="dxa"/>
            <w:tcBorders>
              <w:top w:val="single" w:sz="4" w:space="0" w:color="auto"/>
              <w:left w:val="single" w:sz="4" w:space="0" w:color="auto"/>
              <w:bottom w:val="single" w:sz="4" w:space="0" w:color="auto"/>
              <w:right w:val="single" w:sz="4" w:space="0" w:color="auto"/>
            </w:tcBorders>
          </w:tcPr>
          <w:p w14:paraId="516A87A4"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Depresija, sumažėjęs lytinis potraukis, nerimas </w:t>
            </w:r>
          </w:p>
        </w:tc>
      </w:tr>
      <w:tr w:rsidR="009335E4" w:rsidRPr="00776407" w14:paraId="66E4CAEC"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54968B7C"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56" w:type="dxa"/>
            <w:tcBorders>
              <w:top w:val="single" w:sz="4" w:space="0" w:color="auto"/>
              <w:left w:val="single" w:sz="4" w:space="0" w:color="auto"/>
              <w:bottom w:val="single" w:sz="4" w:space="0" w:color="auto"/>
              <w:right w:val="single" w:sz="4" w:space="0" w:color="auto"/>
            </w:tcBorders>
          </w:tcPr>
          <w:p w14:paraId="2E7202DE"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Sumišimo būklė </w:t>
            </w:r>
          </w:p>
        </w:tc>
      </w:tr>
      <w:tr w:rsidR="009335E4" w:rsidRPr="00776407" w14:paraId="11D0F1D0" w14:textId="77777777" w:rsidTr="00430A5A">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7249BC7D"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Nervų sistemos sutrikimai </w:t>
            </w:r>
          </w:p>
        </w:tc>
      </w:tr>
      <w:tr w:rsidR="009335E4" w:rsidRPr="00776407" w14:paraId="5FDCDEA9" w14:textId="77777777" w:rsidTr="00430A5A">
        <w:trPr>
          <w:gridAfter w:val="1"/>
          <w:wAfter w:w="39" w:type="dxa"/>
          <w:trHeight w:val="122"/>
        </w:trPr>
        <w:tc>
          <w:tcPr>
            <w:tcW w:w="2376" w:type="dxa"/>
            <w:tcBorders>
              <w:top w:val="single" w:sz="4" w:space="0" w:color="auto"/>
              <w:left w:val="single" w:sz="4" w:space="0" w:color="auto"/>
              <w:bottom w:val="single" w:sz="4" w:space="0" w:color="auto"/>
              <w:right w:val="single" w:sz="4" w:space="0" w:color="auto"/>
            </w:tcBorders>
          </w:tcPr>
          <w:p w14:paraId="17D96958"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Labai dažnos </w:t>
            </w:r>
          </w:p>
        </w:tc>
        <w:tc>
          <w:tcPr>
            <w:tcW w:w="6656" w:type="dxa"/>
            <w:tcBorders>
              <w:top w:val="single" w:sz="4" w:space="0" w:color="auto"/>
              <w:left w:val="single" w:sz="4" w:space="0" w:color="auto"/>
              <w:bottom w:val="single" w:sz="4" w:space="0" w:color="auto"/>
              <w:right w:val="single" w:sz="4" w:space="0" w:color="auto"/>
            </w:tcBorders>
          </w:tcPr>
          <w:p w14:paraId="0AAB11F7"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Galvos skausmas</w:t>
            </w:r>
            <w:r w:rsidRPr="00776407">
              <w:rPr>
                <w:rFonts w:eastAsia="Calibri"/>
                <w:color w:val="000000"/>
                <w:sz w:val="22"/>
                <w:szCs w:val="22"/>
                <w:vertAlign w:val="superscript"/>
              </w:rPr>
              <w:t>2</w:t>
            </w:r>
            <w:r w:rsidRPr="00776407">
              <w:rPr>
                <w:rFonts w:eastAsia="Calibri"/>
                <w:color w:val="000000"/>
                <w:sz w:val="22"/>
                <w:szCs w:val="22"/>
              </w:rPr>
              <w:t xml:space="preserve"> </w:t>
            </w:r>
          </w:p>
        </w:tc>
      </w:tr>
      <w:tr w:rsidR="009335E4" w:rsidRPr="00776407" w14:paraId="6766E9A1"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3756E07F"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56" w:type="dxa"/>
            <w:tcBorders>
              <w:top w:val="single" w:sz="4" w:space="0" w:color="auto"/>
              <w:left w:val="single" w:sz="4" w:space="0" w:color="auto"/>
              <w:bottom w:val="single" w:sz="4" w:space="0" w:color="auto"/>
              <w:right w:val="single" w:sz="4" w:space="0" w:color="auto"/>
            </w:tcBorders>
          </w:tcPr>
          <w:p w14:paraId="1AEF3F95"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Galvos svaigimas, parestezija, sutrikęs skonio jutimas, hipoestezija </w:t>
            </w:r>
          </w:p>
        </w:tc>
      </w:tr>
      <w:tr w:rsidR="009335E4" w:rsidRPr="00776407" w14:paraId="3959D5FE" w14:textId="77777777" w:rsidTr="00430A5A">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721DAFA9"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56" w:type="dxa"/>
            <w:tcBorders>
              <w:top w:val="single" w:sz="4" w:space="0" w:color="auto"/>
              <w:left w:val="single" w:sz="4" w:space="0" w:color="auto"/>
              <w:bottom w:val="single" w:sz="4" w:space="0" w:color="auto"/>
              <w:right w:val="single" w:sz="4" w:space="0" w:color="auto"/>
            </w:tcBorders>
          </w:tcPr>
          <w:p w14:paraId="77E8CEFE"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Migrena, mieguistumas, sinkopė, periferinė neuropatija, atminties sutrikimai, išialgija, neramių kojų sindromas, tremoras, smegenų kraujosruvos </w:t>
            </w:r>
          </w:p>
        </w:tc>
      </w:tr>
      <w:tr w:rsidR="009335E4" w:rsidRPr="00776407" w14:paraId="783D8943"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46734485" w14:textId="77777777" w:rsidR="009335E4" w:rsidRPr="00776407" w:rsidRDefault="009335E4" w:rsidP="005B019C">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56" w:type="dxa"/>
            <w:tcBorders>
              <w:top w:val="single" w:sz="4" w:space="0" w:color="auto"/>
              <w:left w:val="single" w:sz="4" w:space="0" w:color="auto"/>
              <w:bottom w:val="single" w:sz="4" w:space="0" w:color="auto"/>
              <w:right w:val="single" w:sz="4" w:space="0" w:color="auto"/>
            </w:tcBorders>
          </w:tcPr>
          <w:p w14:paraId="4F187496"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Padidėjęs intrakranijinis spaudimas, traukuliai, regos nervo uždegimas </w:t>
            </w:r>
          </w:p>
        </w:tc>
      </w:tr>
      <w:tr w:rsidR="009335E4" w:rsidRPr="00776407" w14:paraId="48D0CB29"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6BC7C952" w14:textId="77777777" w:rsidR="009335E4" w:rsidRPr="00776407" w:rsidRDefault="009335E4" w:rsidP="005B019C">
            <w:pPr>
              <w:autoSpaceDE w:val="0"/>
              <w:autoSpaceDN w:val="0"/>
              <w:adjustRightInd w:val="0"/>
              <w:rPr>
                <w:rFonts w:eastAsia="Calibri"/>
                <w:i/>
                <w:iCs/>
                <w:color w:val="000000"/>
                <w:sz w:val="22"/>
                <w:szCs w:val="22"/>
              </w:rPr>
            </w:pPr>
            <w:r w:rsidRPr="00776407">
              <w:rPr>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6A8343E6" w14:textId="77777777" w:rsidR="009335E4" w:rsidRPr="00776407" w:rsidRDefault="009335E4" w:rsidP="00430A5A">
            <w:pPr>
              <w:autoSpaceDE w:val="0"/>
              <w:autoSpaceDN w:val="0"/>
              <w:adjustRightInd w:val="0"/>
              <w:rPr>
                <w:rFonts w:eastAsia="Calibri"/>
                <w:color w:val="000000"/>
                <w:sz w:val="22"/>
                <w:szCs w:val="22"/>
              </w:rPr>
            </w:pPr>
            <w:r w:rsidRPr="00776407">
              <w:rPr>
                <w:color w:val="000000"/>
                <w:sz w:val="22"/>
                <w:szCs w:val="22"/>
              </w:rPr>
              <w:t>Smegenų edema*</w:t>
            </w:r>
          </w:p>
        </w:tc>
      </w:tr>
      <w:tr w:rsidR="009335E4" w:rsidRPr="00776407" w14:paraId="09F64272" w14:textId="77777777" w:rsidTr="00430A5A">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0D0EC05C"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Akių sutrikimai </w:t>
            </w:r>
          </w:p>
        </w:tc>
      </w:tr>
      <w:tr w:rsidR="009335E4" w:rsidRPr="00776407" w14:paraId="55314B19" w14:textId="77777777" w:rsidTr="00430A5A">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475FCBA8"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56" w:type="dxa"/>
            <w:tcBorders>
              <w:top w:val="single" w:sz="4" w:space="0" w:color="auto"/>
              <w:left w:val="single" w:sz="4" w:space="0" w:color="auto"/>
              <w:bottom w:val="single" w:sz="4" w:space="0" w:color="auto"/>
              <w:right w:val="single" w:sz="4" w:space="0" w:color="auto"/>
            </w:tcBorders>
          </w:tcPr>
          <w:p w14:paraId="4114C75E"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Akių vokų edema, padidėjęs ašarojimas, junginės kraujosruvos, konjunktyvitas, akių sausmė, neryškus matymas </w:t>
            </w:r>
          </w:p>
        </w:tc>
      </w:tr>
      <w:tr w:rsidR="009335E4" w:rsidRPr="00776407" w14:paraId="35D76623" w14:textId="77777777" w:rsidTr="00430A5A">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5F1AD1C6"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56" w:type="dxa"/>
            <w:tcBorders>
              <w:top w:val="single" w:sz="4" w:space="0" w:color="auto"/>
              <w:left w:val="single" w:sz="4" w:space="0" w:color="auto"/>
              <w:bottom w:val="single" w:sz="4" w:space="0" w:color="auto"/>
              <w:right w:val="single" w:sz="4" w:space="0" w:color="auto"/>
            </w:tcBorders>
          </w:tcPr>
          <w:p w14:paraId="22EE9503"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Akių dirginimas, akių skausmas, akiduobės edema, odenos kraujosruvos, tinklainės kraujosruvos, blefaritas, geltonosios dėmės edema </w:t>
            </w:r>
          </w:p>
        </w:tc>
      </w:tr>
      <w:tr w:rsidR="009335E4" w:rsidRPr="00776407" w14:paraId="1D6DBC2A"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23762296"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56" w:type="dxa"/>
            <w:tcBorders>
              <w:top w:val="single" w:sz="4" w:space="0" w:color="auto"/>
              <w:left w:val="single" w:sz="4" w:space="0" w:color="auto"/>
              <w:bottom w:val="single" w:sz="4" w:space="0" w:color="auto"/>
              <w:right w:val="single" w:sz="4" w:space="0" w:color="auto"/>
            </w:tcBorders>
          </w:tcPr>
          <w:p w14:paraId="06198E1E"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Katarakta, glaukoma, regos nervo disko edema </w:t>
            </w:r>
          </w:p>
        </w:tc>
      </w:tr>
      <w:tr w:rsidR="009335E4" w:rsidRPr="00776407" w14:paraId="3B66146D"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15D851A1" w14:textId="77777777" w:rsidR="009335E4" w:rsidRPr="00776407" w:rsidRDefault="009335E4" w:rsidP="00430A5A">
            <w:pPr>
              <w:autoSpaceDE w:val="0"/>
              <w:autoSpaceDN w:val="0"/>
              <w:adjustRightInd w:val="0"/>
              <w:rPr>
                <w:rFonts w:eastAsia="Calibri"/>
                <w:i/>
                <w:iCs/>
                <w:color w:val="000000"/>
                <w:sz w:val="22"/>
                <w:szCs w:val="22"/>
              </w:rPr>
            </w:pPr>
            <w:r w:rsidRPr="00776407">
              <w:rPr>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26C05413" w14:textId="77777777" w:rsidR="009335E4" w:rsidRPr="00776407" w:rsidRDefault="009335E4" w:rsidP="00430A5A">
            <w:pPr>
              <w:autoSpaceDE w:val="0"/>
              <w:autoSpaceDN w:val="0"/>
              <w:adjustRightInd w:val="0"/>
              <w:rPr>
                <w:rFonts w:eastAsia="Calibri"/>
                <w:color w:val="000000"/>
                <w:sz w:val="22"/>
                <w:szCs w:val="22"/>
              </w:rPr>
            </w:pPr>
            <w:r w:rsidRPr="00776407">
              <w:rPr>
                <w:color w:val="000000"/>
                <w:sz w:val="22"/>
                <w:szCs w:val="22"/>
              </w:rPr>
              <w:t>Stiklakūnio kraujosruva*</w:t>
            </w:r>
          </w:p>
        </w:tc>
      </w:tr>
      <w:tr w:rsidR="009335E4" w:rsidRPr="00776407" w14:paraId="33485C22" w14:textId="77777777" w:rsidTr="00430A5A">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562A63ED"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Ausų ir labirintų sutrikimai </w:t>
            </w:r>
          </w:p>
        </w:tc>
      </w:tr>
      <w:tr w:rsidR="009335E4" w:rsidRPr="00776407" w14:paraId="576077D4"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7A034071" w14:textId="77777777" w:rsidR="009335E4" w:rsidRPr="00776407" w:rsidRDefault="009335E4" w:rsidP="005B019C">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56" w:type="dxa"/>
            <w:tcBorders>
              <w:top w:val="single" w:sz="4" w:space="0" w:color="auto"/>
              <w:left w:val="single" w:sz="4" w:space="0" w:color="auto"/>
              <w:bottom w:val="single" w:sz="4" w:space="0" w:color="auto"/>
              <w:right w:val="single" w:sz="4" w:space="0" w:color="auto"/>
            </w:tcBorders>
          </w:tcPr>
          <w:p w14:paraId="69CC22D0"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Svaigulys, ūžimas ausyse, apkurtimas </w:t>
            </w:r>
          </w:p>
        </w:tc>
      </w:tr>
      <w:tr w:rsidR="009335E4" w:rsidRPr="00776407" w14:paraId="3572581A" w14:textId="77777777" w:rsidTr="00430A5A">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2AE1D9EE"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Širdies sutrikimai </w:t>
            </w:r>
          </w:p>
        </w:tc>
      </w:tr>
      <w:tr w:rsidR="009335E4" w:rsidRPr="00776407" w14:paraId="38DF1EEF" w14:textId="77777777" w:rsidTr="00430A5A">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7EAAB2B6" w14:textId="77777777" w:rsidR="009335E4" w:rsidRPr="00776407" w:rsidRDefault="009335E4" w:rsidP="005B019C">
            <w:pPr>
              <w:autoSpaceDE w:val="0"/>
              <w:autoSpaceDN w:val="0"/>
              <w:adjustRightInd w:val="0"/>
              <w:rPr>
                <w:rFonts w:eastAsia="Calibri"/>
                <w:color w:val="000000"/>
              </w:rPr>
            </w:pPr>
            <w:r w:rsidRPr="00776407">
              <w:rPr>
                <w:rFonts w:eastAsia="Calibri"/>
                <w:i/>
                <w:iCs/>
                <w:color w:val="000000"/>
                <w:sz w:val="22"/>
                <w:szCs w:val="22"/>
              </w:rPr>
              <w:t>Nedažnos:</w:t>
            </w:r>
          </w:p>
        </w:tc>
        <w:tc>
          <w:tcPr>
            <w:tcW w:w="6656" w:type="dxa"/>
            <w:tcBorders>
              <w:top w:val="single" w:sz="4" w:space="0" w:color="auto"/>
              <w:left w:val="single" w:sz="4" w:space="0" w:color="auto"/>
              <w:bottom w:val="single" w:sz="4" w:space="0" w:color="auto"/>
              <w:right w:val="single" w:sz="4" w:space="0" w:color="auto"/>
            </w:tcBorders>
          </w:tcPr>
          <w:p w14:paraId="7596E514"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Stiprus ir greitas širdies plakimas, tachikardija, stazinis širdies nepakankamumas</w:t>
            </w:r>
            <w:r w:rsidRPr="00776407">
              <w:rPr>
                <w:rFonts w:eastAsia="Calibri"/>
                <w:color w:val="000000"/>
                <w:sz w:val="22"/>
                <w:szCs w:val="22"/>
                <w:vertAlign w:val="superscript"/>
              </w:rPr>
              <w:t>3</w:t>
            </w:r>
            <w:r w:rsidRPr="00776407">
              <w:rPr>
                <w:rFonts w:eastAsia="Calibri"/>
                <w:color w:val="000000"/>
                <w:sz w:val="22"/>
                <w:szCs w:val="22"/>
              </w:rPr>
              <w:t xml:space="preserve">, plaučių edema </w:t>
            </w:r>
          </w:p>
        </w:tc>
      </w:tr>
      <w:tr w:rsidR="009335E4" w:rsidRPr="00776407" w14:paraId="4DD40863" w14:textId="77777777" w:rsidTr="00430A5A">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62B29B9A" w14:textId="77777777" w:rsidR="009335E4" w:rsidRPr="00776407" w:rsidRDefault="009335E4" w:rsidP="005B019C">
            <w:pPr>
              <w:autoSpaceDE w:val="0"/>
              <w:autoSpaceDN w:val="0"/>
              <w:adjustRightInd w:val="0"/>
              <w:rPr>
                <w:rFonts w:eastAsia="Calibri"/>
                <w:color w:val="000000"/>
              </w:rPr>
            </w:pPr>
            <w:r w:rsidRPr="00776407">
              <w:rPr>
                <w:rFonts w:eastAsia="Calibri"/>
                <w:i/>
                <w:iCs/>
                <w:color w:val="000000"/>
                <w:sz w:val="22"/>
                <w:szCs w:val="22"/>
              </w:rPr>
              <w:t>Retos:</w:t>
            </w:r>
          </w:p>
        </w:tc>
        <w:tc>
          <w:tcPr>
            <w:tcW w:w="6656" w:type="dxa"/>
            <w:tcBorders>
              <w:top w:val="single" w:sz="4" w:space="0" w:color="auto"/>
              <w:left w:val="single" w:sz="4" w:space="0" w:color="auto"/>
              <w:bottom w:val="single" w:sz="4" w:space="0" w:color="auto"/>
              <w:right w:val="single" w:sz="4" w:space="0" w:color="auto"/>
            </w:tcBorders>
          </w:tcPr>
          <w:p w14:paraId="7908488B"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Aritmija, prieširdžių virpėjimas, širdies sustojimas, miokardo infarktas, krūtinės angina, skystis perikarde </w:t>
            </w:r>
          </w:p>
        </w:tc>
      </w:tr>
      <w:tr w:rsidR="009335E4" w:rsidRPr="00776407" w14:paraId="150D4C9F" w14:textId="77777777" w:rsidTr="00430A5A">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5A529C99" w14:textId="77777777" w:rsidR="009335E4" w:rsidRPr="00776407" w:rsidRDefault="009335E4" w:rsidP="005B019C">
            <w:pPr>
              <w:autoSpaceDE w:val="0"/>
              <w:autoSpaceDN w:val="0"/>
              <w:adjustRightInd w:val="0"/>
              <w:rPr>
                <w:rFonts w:eastAsia="Calibri"/>
                <w:i/>
                <w:iCs/>
                <w:color w:val="000000"/>
                <w:sz w:val="22"/>
                <w:szCs w:val="22"/>
              </w:rPr>
            </w:pPr>
            <w:r w:rsidRPr="00776407">
              <w:rPr>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2E4E833B" w14:textId="77777777" w:rsidR="009335E4" w:rsidRPr="00776407" w:rsidRDefault="009335E4" w:rsidP="00430A5A">
            <w:pPr>
              <w:autoSpaceDE w:val="0"/>
              <w:autoSpaceDN w:val="0"/>
              <w:adjustRightInd w:val="0"/>
              <w:rPr>
                <w:rFonts w:eastAsia="Calibri"/>
                <w:color w:val="000000"/>
                <w:sz w:val="22"/>
                <w:szCs w:val="22"/>
              </w:rPr>
            </w:pPr>
            <w:r w:rsidRPr="00776407">
              <w:rPr>
                <w:color w:val="000000"/>
                <w:sz w:val="22"/>
                <w:szCs w:val="22"/>
              </w:rPr>
              <w:t>Perikarditas*, širdies tamponada*</w:t>
            </w:r>
          </w:p>
        </w:tc>
      </w:tr>
      <w:tr w:rsidR="009335E4" w:rsidRPr="00776407" w14:paraId="71CBF77E" w14:textId="77777777" w:rsidTr="00430A5A">
        <w:trPr>
          <w:gridAfter w:val="1"/>
          <w:wAfter w:w="39" w:type="dxa"/>
          <w:trHeight w:val="121"/>
        </w:trPr>
        <w:tc>
          <w:tcPr>
            <w:tcW w:w="9032" w:type="dxa"/>
            <w:gridSpan w:val="2"/>
            <w:tcBorders>
              <w:top w:val="single" w:sz="4" w:space="0" w:color="auto"/>
              <w:left w:val="single" w:sz="4" w:space="0" w:color="auto"/>
              <w:bottom w:val="single" w:sz="4" w:space="0" w:color="auto"/>
              <w:right w:val="single" w:sz="4" w:space="0" w:color="auto"/>
            </w:tcBorders>
          </w:tcPr>
          <w:p w14:paraId="3A412F9A"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Kraujagyslių sutrikimai </w:t>
            </w:r>
          </w:p>
        </w:tc>
      </w:tr>
      <w:tr w:rsidR="009335E4" w:rsidRPr="00776407" w14:paraId="68802E1F"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38E280BB" w14:textId="77777777" w:rsidR="009335E4" w:rsidRPr="00776407" w:rsidRDefault="009335E4" w:rsidP="005B019C">
            <w:pPr>
              <w:autoSpaceDE w:val="0"/>
              <w:autoSpaceDN w:val="0"/>
              <w:adjustRightInd w:val="0"/>
              <w:rPr>
                <w:rFonts w:eastAsia="Calibri"/>
                <w:color w:val="000000"/>
              </w:rPr>
            </w:pPr>
            <w:r w:rsidRPr="00776407">
              <w:rPr>
                <w:rFonts w:eastAsia="Calibri"/>
                <w:i/>
                <w:iCs/>
                <w:color w:val="000000"/>
                <w:sz w:val="22"/>
                <w:szCs w:val="22"/>
              </w:rPr>
              <w:t>Dažnos:</w:t>
            </w:r>
          </w:p>
        </w:tc>
        <w:tc>
          <w:tcPr>
            <w:tcW w:w="6656" w:type="dxa"/>
            <w:tcBorders>
              <w:top w:val="single" w:sz="4" w:space="0" w:color="auto"/>
              <w:left w:val="single" w:sz="4" w:space="0" w:color="auto"/>
              <w:bottom w:val="single" w:sz="4" w:space="0" w:color="auto"/>
              <w:right w:val="single" w:sz="4" w:space="0" w:color="auto"/>
            </w:tcBorders>
          </w:tcPr>
          <w:p w14:paraId="64714565"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Raudonis, hemoragija </w:t>
            </w:r>
          </w:p>
        </w:tc>
      </w:tr>
      <w:tr w:rsidR="009335E4" w:rsidRPr="00776407" w14:paraId="0D040777" w14:textId="77777777" w:rsidTr="00430A5A">
        <w:trPr>
          <w:gridAfter w:val="1"/>
          <w:wAfter w:w="39" w:type="dxa"/>
          <w:trHeight w:val="231"/>
        </w:trPr>
        <w:tc>
          <w:tcPr>
            <w:tcW w:w="2376" w:type="dxa"/>
            <w:tcBorders>
              <w:top w:val="single" w:sz="4" w:space="0" w:color="auto"/>
              <w:left w:val="single" w:sz="4" w:space="0" w:color="auto"/>
              <w:bottom w:val="single" w:sz="4" w:space="0" w:color="auto"/>
              <w:right w:val="single" w:sz="4" w:space="0" w:color="auto"/>
            </w:tcBorders>
          </w:tcPr>
          <w:p w14:paraId="187653D3" w14:textId="77777777" w:rsidR="009335E4" w:rsidRPr="00776407" w:rsidRDefault="009335E4" w:rsidP="005B019C">
            <w:pPr>
              <w:autoSpaceDE w:val="0"/>
              <w:autoSpaceDN w:val="0"/>
              <w:adjustRightInd w:val="0"/>
              <w:rPr>
                <w:rFonts w:eastAsia="Calibri"/>
                <w:color w:val="000000"/>
              </w:rPr>
            </w:pPr>
            <w:r w:rsidRPr="00776407">
              <w:rPr>
                <w:rFonts w:eastAsia="Calibri"/>
                <w:i/>
                <w:iCs/>
                <w:color w:val="000000"/>
                <w:sz w:val="22"/>
                <w:szCs w:val="22"/>
              </w:rPr>
              <w:t>Nedažnos</w:t>
            </w:r>
          </w:p>
        </w:tc>
        <w:tc>
          <w:tcPr>
            <w:tcW w:w="6656" w:type="dxa"/>
            <w:tcBorders>
              <w:top w:val="single" w:sz="4" w:space="0" w:color="auto"/>
              <w:left w:val="single" w:sz="4" w:space="0" w:color="auto"/>
              <w:bottom w:val="single" w:sz="4" w:space="0" w:color="auto"/>
              <w:right w:val="single" w:sz="4" w:space="0" w:color="auto"/>
            </w:tcBorders>
          </w:tcPr>
          <w:p w14:paraId="0E7A8319"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Hipertenzija, hematoma, subdurinė hematoma, periferinis šalimas, hipotenzija, Reino fenomenas </w:t>
            </w:r>
          </w:p>
        </w:tc>
      </w:tr>
      <w:tr w:rsidR="009335E4" w:rsidRPr="00776407" w14:paraId="773D5DCA" w14:textId="77777777" w:rsidTr="00430A5A">
        <w:trPr>
          <w:gridAfter w:val="1"/>
          <w:wAfter w:w="39" w:type="dxa"/>
          <w:trHeight w:val="231"/>
        </w:trPr>
        <w:tc>
          <w:tcPr>
            <w:tcW w:w="2376" w:type="dxa"/>
            <w:tcBorders>
              <w:top w:val="single" w:sz="4" w:space="0" w:color="auto"/>
              <w:left w:val="single" w:sz="4" w:space="0" w:color="auto"/>
              <w:bottom w:val="single" w:sz="4" w:space="0" w:color="auto"/>
              <w:right w:val="single" w:sz="4" w:space="0" w:color="auto"/>
            </w:tcBorders>
          </w:tcPr>
          <w:p w14:paraId="6E9F083D" w14:textId="77777777" w:rsidR="009335E4" w:rsidRPr="00776407" w:rsidRDefault="009335E4" w:rsidP="005B019C">
            <w:pPr>
              <w:autoSpaceDE w:val="0"/>
              <w:autoSpaceDN w:val="0"/>
              <w:adjustRightInd w:val="0"/>
              <w:rPr>
                <w:rFonts w:eastAsia="Calibri"/>
                <w:i/>
                <w:iCs/>
                <w:color w:val="000000"/>
                <w:sz w:val="22"/>
                <w:szCs w:val="22"/>
              </w:rPr>
            </w:pPr>
            <w:r w:rsidRPr="00776407">
              <w:rPr>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660C0C36" w14:textId="77777777" w:rsidR="009335E4" w:rsidRPr="00776407" w:rsidRDefault="009335E4" w:rsidP="00430A5A">
            <w:pPr>
              <w:autoSpaceDE w:val="0"/>
              <w:autoSpaceDN w:val="0"/>
              <w:adjustRightInd w:val="0"/>
              <w:rPr>
                <w:rFonts w:eastAsia="Calibri"/>
                <w:color w:val="000000"/>
                <w:sz w:val="22"/>
                <w:szCs w:val="22"/>
              </w:rPr>
            </w:pPr>
            <w:r w:rsidRPr="00776407">
              <w:rPr>
                <w:color w:val="000000"/>
                <w:sz w:val="22"/>
                <w:szCs w:val="22"/>
              </w:rPr>
              <w:t>Trombozė/embolija*</w:t>
            </w:r>
          </w:p>
        </w:tc>
      </w:tr>
      <w:tr w:rsidR="009335E4" w:rsidRPr="00776407" w14:paraId="3266EAE7" w14:textId="77777777" w:rsidTr="00430A5A">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0843F6FD"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Kvėpavimo sistemos, krūtinės ląstos ir tarpuplaučio sutrikimai </w:t>
            </w:r>
          </w:p>
        </w:tc>
      </w:tr>
      <w:tr w:rsidR="009335E4" w:rsidRPr="00776407" w14:paraId="47998FED"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314E7317"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56" w:type="dxa"/>
            <w:tcBorders>
              <w:top w:val="single" w:sz="4" w:space="0" w:color="auto"/>
              <w:left w:val="single" w:sz="4" w:space="0" w:color="auto"/>
              <w:bottom w:val="single" w:sz="4" w:space="0" w:color="auto"/>
              <w:right w:val="single" w:sz="4" w:space="0" w:color="auto"/>
            </w:tcBorders>
          </w:tcPr>
          <w:p w14:paraId="29A204A9"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Dusulys, kraujavimas iš nosies, kosulys </w:t>
            </w:r>
          </w:p>
        </w:tc>
      </w:tr>
      <w:tr w:rsidR="009335E4" w:rsidRPr="00776407" w14:paraId="7CBBE2EE" w14:textId="77777777" w:rsidTr="00430A5A">
        <w:trPr>
          <w:gridAfter w:val="1"/>
          <w:wAfter w:w="39" w:type="dxa"/>
          <w:trHeight w:val="122"/>
        </w:trPr>
        <w:tc>
          <w:tcPr>
            <w:tcW w:w="2376" w:type="dxa"/>
            <w:tcBorders>
              <w:top w:val="single" w:sz="4" w:space="0" w:color="auto"/>
              <w:left w:val="single" w:sz="4" w:space="0" w:color="auto"/>
              <w:bottom w:val="single" w:sz="4" w:space="0" w:color="auto"/>
              <w:right w:val="single" w:sz="4" w:space="0" w:color="auto"/>
            </w:tcBorders>
          </w:tcPr>
          <w:p w14:paraId="69334A57"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56" w:type="dxa"/>
            <w:tcBorders>
              <w:top w:val="single" w:sz="4" w:space="0" w:color="auto"/>
              <w:left w:val="single" w:sz="4" w:space="0" w:color="auto"/>
              <w:bottom w:val="single" w:sz="4" w:space="0" w:color="auto"/>
              <w:right w:val="single" w:sz="4" w:space="0" w:color="auto"/>
            </w:tcBorders>
          </w:tcPr>
          <w:p w14:paraId="6FB7E43D"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Skystis pleuros ertmėje</w:t>
            </w:r>
            <w:r w:rsidRPr="00776407">
              <w:rPr>
                <w:rFonts w:eastAsia="Calibri"/>
                <w:color w:val="000000"/>
                <w:sz w:val="22"/>
                <w:szCs w:val="22"/>
                <w:vertAlign w:val="superscript"/>
              </w:rPr>
              <w:t>5</w:t>
            </w:r>
            <w:r w:rsidRPr="00776407">
              <w:rPr>
                <w:rFonts w:eastAsia="Calibri"/>
                <w:color w:val="000000"/>
                <w:sz w:val="22"/>
                <w:szCs w:val="22"/>
              </w:rPr>
              <w:t xml:space="preserve">, ryklės ir gerklų skausmas, faringitas </w:t>
            </w:r>
          </w:p>
        </w:tc>
      </w:tr>
      <w:tr w:rsidR="009335E4" w:rsidRPr="00776407" w14:paraId="6F906D2F" w14:textId="77777777" w:rsidTr="00430A5A">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4EFDBE85"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56" w:type="dxa"/>
            <w:tcBorders>
              <w:top w:val="single" w:sz="4" w:space="0" w:color="auto"/>
              <w:left w:val="single" w:sz="4" w:space="0" w:color="auto"/>
              <w:bottom w:val="single" w:sz="4" w:space="0" w:color="auto"/>
              <w:right w:val="single" w:sz="4" w:space="0" w:color="auto"/>
            </w:tcBorders>
          </w:tcPr>
          <w:p w14:paraId="7782CA1B"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Pleuritinis skausmas, plaučių fibrozė, plaučių hipertenzija, kraujavimas iš plaučių </w:t>
            </w:r>
          </w:p>
        </w:tc>
      </w:tr>
      <w:tr w:rsidR="009335E4" w:rsidRPr="00776407" w14:paraId="0626274E" w14:textId="77777777" w:rsidTr="00430A5A">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12B99C30" w14:textId="77777777" w:rsidR="009335E4" w:rsidRPr="00776407" w:rsidRDefault="009335E4" w:rsidP="00430A5A">
            <w:pPr>
              <w:autoSpaceDE w:val="0"/>
              <w:autoSpaceDN w:val="0"/>
              <w:adjustRightInd w:val="0"/>
              <w:rPr>
                <w:rFonts w:eastAsia="Calibri"/>
                <w:i/>
                <w:iCs/>
                <w:color w:val="000000"/>
                <w:sz w:val="22"/>
                <w:szCs w:val="22"/>
              </w:rPr>
            </w:pPr>
            <w:r w:rsidRPr="00776407">
              <w:rPr>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75A99781" w14:textId="77777777" w:rsidR="009335E4" w:rsidRPr="00776407" w:rsidRDefault="009335E4" w:rsidP="00430A5A">
            <w:pPr>
              <w:autoSpaceDE w:val="0"/>
              <w:autoSpaceDN w:val="0"/>
              <w:adjustRightInd w:val="0"/>
              <w:rPr>
                <w:rFonts w:eastAsia="Calibri"/>
                <w:color w:val="000000"/>
                <w:sz w:val="22"/>
                <w:szCs w:val="22"/>
              </w:rPr>
            </w:pPr>
            <w:r w:rsidRPr="00776407">
              <w:rPr>
                <w:color w:val="000000"/>
                <w:sz w:val="22"/>
                <w:szCs w:val="22"/>
              </w:rPr>
              <w:t>Ūminis kvėpavimo nepakankamumas</w:t>
            </w:r>
            <w:r w:rsidRPr="00776407">
              <w:rPr>
                <w:color w:val="000000"/>
                <w:sz w:val="22"/>
                <w:szCs w:val="22"/>
                <w:vertAlign w:val="superscript"/>
              </w:rPr>
              <w:t>1</w:t>
            </w:r>
            <w:r w:rsidR="006D52A1" w:rsidRPr="00776407">
              <w:rPr>
                <w:color w:val="000000"/>
                <w:sz w:val="22"/>
                <w:szCs w:val="22"/>
                <w:vertAlign w:val="superscript"/>
              </w:rPr>
              <w:t>1</w:t>
            </w:r>
            <w:r w:rsidRPr="00776407">
              <w:rPr>
                <w:color w:val="000000"/>
                <w:sz w:val="22"/>
                <w:szCs w:val="22"/>
              </w:rPr>
              <w:t>*, intersticinė plaučių liga*</w:t>
            </w:r>
          </w:p>
        </w:tc>
      </w:tr>
      <w:tr w:rsidR="009335E4" w:rsidRPr="00776407" w14:paraId="26D331C2" w14:textId="77777777" w:rsidTr="00430A5A">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00BE7D22"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Virškinimo trakto sutrikimai </w:t>
            </w:r>
          </w:p>
        </w:tc>
      </w:tr>
      <w:tr w:rsidR="009335E4" w:rsidRPr="00776407" w14:paraId="0ECF4794" w14:textId="77777777" w:rsidTr="00430A5A">
        <w:trPr>
          <w:gridAfter w:val="1"/>
          <w:wAfter w:w="39" w:type="dxa"/>
          <w:trHeight w:val="122"/>
        </w:trPr>
        <w:tc>
          <w:tcPr>
            <w:tcW w:w="2376" w:type="dxa"/>
            <w:tcBorders>
              <w:top w:val="single" w:sz="4" w:space="0" w:color="auto"/>
              <w:left w:val="single" w:sz="4" w:space="0" w:color="auto"/>
              <w:bottom w:val="single" w:sz="4" w:space="0" w:color="auto"/>
              <w:right w:val="single" w:sz="4" w:space="0" w:color="auto"/>
            </w:tcBorders>
          </w:tcPr>
          <w:p w14:paraId="0F289FFF"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Labai dažnos </w:t>
            </w:r>
          </w:p>
        </w:tc>
        <w:tc>
          <w:tcPr>
            <w:tcW w:w="6656" w:type="dxa"/>
            <w:tcBorders>
              <w:top w:val="single" w:sz="4" w:space="0" w:color="auto"/>
              <w:left w:val="single" w:sz="4" w:space="0" w:color="auto"/>
              <w:bottom w:val="single" w:sz="4" w:space="0" w:color="auto"/>
              <w:right w:val="single" w:sz="4" w:space="0" w:color="auto"/>
            </w:tcBorders>
          </w:tcPr>
          <w:p w14:paraId="248EA150" w14:textId="77777777" w:rsidR="009335E4" w:rsidRPr="00776407" w:rsidRDefault="009335E4" w:rsidP="00430A5A">
            <w:pPr>
              <w:autoSpaceDE w:val="0"/>
              <w:autoSpaceDN w:val="0"/>
              <w:adjustRightInd w:val="0"/>
              <w:rPr>
                <w:rFonts w:eastAsia="Calibri"/>
                <w:color w:val="000000"/>
                <w:sz w:val="14"/>
                <w:szCs w:val="14"/>
              </w:rPr>
            </w:pPr>
            <w:r w:rsidRPr="00776407">
              <w:rPr>
                <w:rFonts w:eastAsia="Calibri"/>
                <w:color w:val="000000"/>
                <w:sz w:val="22"/>
                <w:szCs w:val="22"/>
              </w:rPr>
              <w:t>Pykinimas, viduriavimas, vėmimas, dispepsija, pilvo skausmas</w:t>
            </w:r>
            <w:r w:rsidRPr="00776407">
              <w:rPr>
                <w:rFonts w:eastAsia="Calibri"/>
                <w:color w:val="000000"/>
                <w:sz w:val="22"/>
                <w:szCs w:val="22"/>
                <w:vertAlign w:val="superscript"/>
              </w:rPr>
              <w:t xml:space="preserve">6 </w:t>
            </w:r>
          </w:p>
        </w:tc>
      </w:tr>
      <w:tr w:rsidR="009335E4" w:rsidRPr="00776407" w14:paraId="36A1CDCC" w14:textId="77777777" w:rsidTr="00430A5A">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40F9BBDD"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56" w:type="dxa"/>
            <w:tcBorders>
              <w:top w:val="single" w:sz="4" w:space="0" w:color="auto"/>
              <w:left w:val="single" w:sz="4" w:space="0" w:color="auto"/>
              <w:bottom w:val="single" w:sz="4" w:space="0" w:color="auto"/>
              <w:right w:val="single" w:sz="4" w:space="0" w:color="auto"/>
            </w:tcBorders>
          </w:tcPr>
          <w:p w14:paraId="47A8ED3B"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Dujų susikaupimas žarnyne, pilvo pūtimas, gastroezofaginis refliuksas, vidurių užkietėjimas, burnos džiūvimas, gastritas </w:t>
            </w:r>
          </w:p>
        </w:tc>
      </w:tr>
      <w:tr w:rsidR="009335E4" w:rsidRPr="00776407" w14:paraId="6811987F" w14:textId="77777777" w:rsidTr="00430A5A">
        <w:trPr>
          <w:gridAfter w:val="1"/>
          <w:wAfter w:w="39" w:type="dxa"/>
          <w:trHeight w:val="382"/>
        </w:trPr>
        <w:tc>
          <w:tcPr>
            <w:tcW w:w="2376" w:type="dxa"/>
            <w:tcBorders>
              <w:top w:val="single" w:sz="4" w:space="0" w:color="auto"/>
              <w:left w:val="single" w:sz="4" w:space="0" w:color="auto"/>
              <w:bottom w:val="single" w:sz="4" w:space="0" w:color="auto"/>
              <w:right w:val="single" w:sz="4" w:space="0" w:color="auto"/>
            </w:tcBorders>
          </w:tcPr>
          <w:p w14:paraId="7860CB05"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56" w:type="dxa"/>
            <w:tcBorders>
              <w:top w:val="single" w:sz="4" w:space="0" w:color="auto"/>
              <w:left w:val="single" w:sz="4" w:space="0" w:color="auto"/>
              <w:bottom w:val="single" w:sz="4" w:space="0" w:color="auto"/>
              <w:right w:val="single" w:sz="4" w:space="0" w:color="auto"/>
            </w:tcBorders>
          </w:tcPr>
          <w:p w14:paraId="34597CB2"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Stomatitas, burnos išopėjimas, kraujavimas iš virškinimo trakto</w:t>
            </w:r>
            <w:r w:rsidRPr="00776407">
              <w:rPr>
                <w:rFonts w:eastAsia="Calibri"/>
                <w:color w:val="000000"/>
                <w:sz w:val="22"/>
                <w:szCs w:val="22"/>
                <w:vertAlign w:val="superscript"/>
              </w:rPr>
              <w:t>7</w:t>
            </w:r>
            <w:r w:rsidRPr="00776407">
              <w:rPr>
                <w:rFonts w:eastAsia="Calibri"/>
                <w:color w:val="000000"/>
                <w:sz w:val="22"/>
                <w:szCs w:val="22"/>
              </w:rPr>
              <w:t xml:space="preserve">, raugulys, melena, ezofagitas, ascitas, skrandžio opa, hematemezė, lūpos uždegimas, disfagija, pankreatitas </w:t>
            </w:r>
          </w:p>
        </w:tc>
      </w:tr>
      <w:tr w:rsidR="009335E4" w:rsidRPr="00776407" w14:paraId="6D25F057"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06142631"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56" w:type="dxa"/>
            <w:tcBorders>
              <w:top w:val="single" w:sz="4" w:space="0" w:color="auto"/>
              <w:left w:val="single" w:sz="4" w:space="0" w:color="auto"/>
              <w:bottom w:val="single" w:sz="4" w:space="0" w:color="auto"/>
              <w:right w:val="single" w:sz="4" w:space="0" w:color="auto"/>
            </w:tcBorders>
          </w:tcPr>
          <w:p w14:paraId="4E09E869"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Kolitas, žarnų nepraeinamumas, uždegiminė žarnų liga </w:t>
            </w:r>
          </w:p>
        </w:tc>
      </w:tr>
      <w:tr w:rsidR="009335E4" w:rsidRPr="00776407" w14:paraId="7C171311"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63821E88" w14:textId="77777777" w:rsidR="009335E4" w:rsidRPr="00776407" w:rsidRDefault="009335E4" w:rsidP="00430A5A">
            <w:pPr>
              <w:autoSpaceDE w:val="0"/>
              <w:autoSpaceDN w:val="0"/>
              <w:adjustRightInd w:val="0"/>
              <w:rPr>
                <w:rFonts w:eastAsia="Calibri"/>
                <w:i/>
                <w:iCs/>
                <w:color w:val="000000"/>
                <w:sz w:val="22"/>
                <w:szCs w:val="22"/>
              </w:rPr>
            </w:pPr>
            <w:r w:rsidRPr="00776407">
              <w:rPr>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11DA3B06" w14:textId="77777777" w:rsidR="009335E4" w:rsidRPr="00776407" w:rsidRDefault="009335E4" w:rsidP="00430A5A">
            <w:pPr>
              <w:autoSpaceDE w:val="0"/>
              <w:autoSpaceDN w:val="0"/>
              <w:adjustRightInd w:val="0"/>
              <w:rPr>
                <w:rFonts w:eastAsia="Calibri"/>
                <w:color w:val="000000"/>
                <w:sz w:val="22"/>
                <w:szCs w:val="22"/>
              </w:rPr>
            </w:pPr>
            <w:r w:rsidRPr="00776407">
              <w:rPr>
                <w:color w:val="000000"/>
                <w:sz w:val="22"/>
                <w:szCs w:val="22"/>
              </w:rPr>
              <w:t>Žarnų nepraeinamumas/žarnų obstrukcija*, virškinimo trakto perforacija*</w:t>
            </w:r>
            <w:r w:rsidRPr="00776407">
              <w:rPr>
                <w:snapToGrid w:val="0"/>
                <w:color w:val="000000"/>
                <w:sz w:val="22"/>
                <w:szCs w:val="22"/>
              </w:rPr>
              <w:t>, divertikulitas*, prievarčio kraujagyslių išsiplėtimas (GAVE)*</w:t>
            </w:r>
          </w:p>
        </w:tc>
      </w:tr>
      <w:tr w:rsidR="009335E4" w:rsidRPr="00776407" w14:paraId="62E1DFA8" w14:textId="77777777" w:rsidTr="00430A5A">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1C4374BB"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Kepenų, tulžies pūslės ir latakų sutrikimai </w:t>
            </w:r>
          </w:p>
        </w:tc>
      </w:tr>
      <w:tr w:rsidR="009335E4" w:rsidRPr="00776407" w14:paraId="060CFCBD"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0E4E12F1"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56" w:type="dxa"/>
            <w:tcBorders>
              <w:top w:val="single" w:sz="4" w:space="0" w:color="auto"/>
              <w:left w:val="single" w:sz="4" w:space="0" w:color="auto"/>
              <w:bottom w:val="single" w:sz="4" w:space="0" w:color="auto"/>
              <w:right w:val="single" w:sz="4" w:space="0" w:color="auto"/>
            </w:tcBorders>
          </w:tcPr>
          <w:p w14:paraId="64395209"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Padidėjusi kepenų fermentų koncentracija </w:t>
            </w:r>
          </w:p>
        </w:tc>
      </w:tr>
      <w:tr w:rsidR="009335E4" w:rsidRPr="00776407" w14:paraId="77C27C21"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3B488D7E"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56" w:type="dxa"/>
            <w:tcBorders>
              <w:top w:val="single" w:sz="4" w:space="0" w:color="auto"/>
              <w:left w:val="single" w:sz="4" w:space="0" w:color="auto"/>
              <w:bottom w:val="single" w:sz="4" w:space="0" w:color="auto"/>
              <w:right w:val="single" w:sz="4" w:space="0" w:color="auto"/>
            </w:tcBorders>
          </w:tcPr>
          <w:p w14:paraId="6968E267"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Hiperbilirubinemija, hepatitas, gelta </w:t>
            </w:r>
          </w:p>
        </w:tc>
      </w:tr>
      <w:tr w:rsidR="009335E4" w:rsidRPr="00776407" w14:paraId="38E87F06" w14:textId="77777777" w:rsidTr="00430A5A">
        <w:trPr>
          <w:gridAfter w:val="1"/>
          <w:wAfter w:w="39" w:type="dxa"/>
          <w:trHeight w:val="122"/>
        </w:trPr>
        <w:tc>
          <w:tcPr>
            <w:tcW w:w="2376" w:type="dxa"/>
            <w:tcBorders>
              <w:top w:val="single" w:sz="4" w:space="0" w:color="auto"/>
              <w:left w:val="single" w:sz="4" w:space="0" w:color="auto"/>
              <w:bottom w:val="single" w:sz="4" w:space="0" w:color="auto"/>
              <w:right w:val="single" w:sz="4" w:space="0" w:color="auto"/>
            </w:tcBorders>
          </w:tcPr>
          <w:p w14:paraId="7B2101B5"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56" w:type="dxa"/>
            <w:tcBorders>
              <w:top w:val="single" w:sz="4" w:space="0" w:color="auto"/>
              <w:left w:val="single" w:sz="4" w:space="0" w:color="auto"/>
              <w:bottom w:val="single" w:sz="4" w:space="0" w:color="auto"/>
              <w:right w:val="single" w:sz="4" w:space="0" w:color="auto"/>
            </w:tcBorders>
          </w:tcPr>
          <w:p w14:paraId="3C4B898B"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Kepenų nepakankamumas</w:t>
            </w:r>
            <w:r w:rsidRPr="00776407">
              <w:rPr>
                <w:rFonts w:eastAsia="Calibri"/>
                <w:color w:val="000000"/>
                <w:sz w:val="22"/>
                <w:szCs w:val="22"/>
                <w:vertAlign w:val="superscript"/>
              </w:rPr>
              <w:t>8</w:t>
            </w:r>
            <w:r w:rsidRPr="00776407">
              <w:rPr>
                <w:rFonts w:eastAsia="Calibri"/>
                <w:color w:val="000000"/>
                <w:sz w:val="22"/>
                <w:szCs w:val="22"/>
              </w:rPr>
              <w:t xml:space="preserve">, kepenų nekrozė </w:t>
            </w:r>
          </w:p>
        </w:tc>
      </w:tr>
      <w:tr w:rsidR="009335E4" w:rsidRPr="00776407" w14:paraId="0F902058" w14:textId="77777777" w:rsidTr="00430A5A">
        <w:trPr>
          <w:gridAfter w:val="1"/>
          <w:wAfter w:w="39" w:type="dxa"/>
          <w:trHeight w:val="98"/>
        </w:trPr>
        <w:tc>
          <w:tcPr>
            <w:tcW w:w="9032" w:type="dxa"/>
            <w:gridSpan w:val="2"/>
            <w:tcBorders>
              <w:top w:val="single" w:sz="4" w:space="0" w:color="auto"/>
              <w:left w:val="single" w:sz="4" w:space="0" w:color="auto"/>
              <w:bottom w:val="single" w:sz="4" w:space="0" w:color="auto"/>
              <w:right w:val="single" w:sz="4" w:space="0" w:color="auto"/>
            </w:tcBorders>
          </w:tcPr>
          <w:p w14:paraId="4A5DE7BD"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Odos ir poodinio audinio sutrikimai </w:t>
            </w:r>
          </w:p>
        </w:tc>
      </w:tr>
      <w:tr w:rsidR="009335E4" w:rsidRPr="00776407" w14:paraId="1A06A907" w14:textId="77777777" w:rsidTr="00430A5A">
        <w:trPr>
          <w:gridAfter w:val="1"/>
          <w:wAfter w:w="39" w:type="dxa"/>
          <w:trHeight w:val="100"/>
        </w:trPr>
        <w:tc>
          <w:tcPr>
            <w:tcW w:w="2376" w:type="dxa"/>
            <w:tcBorders>
              <w:top w:val="single" w:sz="4" w:space="0" w:color="auto"/>
              <w:left w:val="single" w:sz="4" w:space="0" w:color="auto"/>
              <w:bottom w:val="single" w:sz="4" w:space="0" w:color="auto"/>
              <w:right w:val="single" w:sz="4" w:space="0" w:color="auto"/>
            </w:tcBorders>
          </w:tcPr>
          <w:p w14:paraId="27358BEA"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Labai dažnos </w:t>
            </w:r>
          </w:p>
        </w:tc>
        <w:tc>
          <w:tcPr>
            <w:tcW w:w="6656" w:type="dxa"/>
            <w:tcBorders>
              <w:top w:val="single" w:sz="4" w:space="0" w:color="auto"/>
              <w:left w:val="single" w:sz="4" w:space="0" w:color="auto"/>
              <w:bottom w:val="single" w:sz="4" w:space="0" w:color="auto"/>
              <w:right w:val="single" w:sz="4" w:space="0" w:color="auto"/>
            </w:tcBorders>
          </w:tcPr>
          <w:p w14:paraId="4C454F79"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Edema apie akis, dermatitas/egzema/bėrimas </w:t>
            </w:r>
          </w:p>
        </w:tc>
      </w:tr>
      <w:tr w:rsidR="009335E4" w:rsidRPr="00776407" w14:paraId="350DE5F9" w14:textId="77777777" w:rsidTr="00430A5A">
        <w:trPr>
          <w:gridAfter w:val="1"/>
          <w:wAfter w:w="39" w:type="dxa"/>
          <w:trHeight w:val="230"/>
        </w:trPr>
        <w:tc>
          <w:tcPr>
            <w:tcW w:w="2376" w:type="dxa"/>
            <w:tcBorders>
              <w:top w:val="single" w:sz="4" w:space="0" w:color="auto"/>
              <w:left w:val="single" w:sz="4" w:space="0" w:color="auto"/>
              <w:bottom w:val="single" w:sz="4" w:space="0" w:color="auto"/>
              <w:right w:val="single" w:sz="4" w:space="0" w:color="auto"/>
            </w:tcBorders>
          </w:tcPr>
          <w:p w14:paraId="0C8F43BE"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56" w:type="dxa"/>
            <w:tcBorders>
              <w:top w:val="single" w:sz="4" w:space="0" w:color="auto"/>
              <w:left w:val="single" w:sz="4" w:space="0" w:color="auto"/>
              <w:bottom w:val="single" w:sz="4" w:space="0" w:color="auto"/>
              <w:right w:val="single" w:sz="4" w:space="0" w:color="auto"/>
            </w:tcBorders>
          </w:tcPr>
          <w:p w14:paraId="6F268D76"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Niežulys, veido edema, sausa oda, eritema, alopecija, naktinis prakaitavimas, fotosensibilizacijos reakcija </w:t>
            </w:r>
          </w:p>
        </w:tc>
      </w:tr>
      <w:tr w:rsidR="009335E4" w:rsidRPr="00776407" w14:paraId="6D847850" w14:textId="77777777" w:rsidTr="00430A5A">
        <w:trPr>
          <w:gridAfter w:val="1"/>
          <w:wAfter w:w="39" w:type="dxa"/>
          <w:trHeight w:val="490"/>
        </w:trPr>
        <w:tc>
          <w:tcPr>
            <w:tcW w:w="2376" w:type="dxa"/>
            <w:tcBorders>
              <w:top w:val="single" w:sz="4" w:space="0" w:color="auto"/>
              <w:left w:val="single" w:sz="4" w:space="0" w:color="auto"/>
              <w:bottom w:val="single" w:sz="4" w:space="0" w:color="auto"/>
              <w:right w:val="single" w:sz="4" w:space="0" w:color="auto"/>
            </w:tcBorders>
          </w:tcPr>
          <w:p w14:paraId="713C4FE7"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Nedažnos</w:t>
            </w:r>
          </w:p>
        </w:tc>
        <w:tc>
          <w:tcPr>
            <w:tcW w:w="6656" w:type="dxa"/>
            <w:tcBorders>
              <w:top w:val="single" w:sz="4" w:space="0" w:color="auto"/>
              <w:left w:val="single" w:sz="4" w:space="0" w:color="auto"/>
              <w:bottom w:val="single" w:sz="4" w:space="0" w:color="auto"/>
              <w:right w:val="single" w:sz="4" w:space="0" w:color="auto"/>
            </w:tcBorders>
          </w:tcPr>
          <w:p w14:paraId="31D257F1"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Pustulinis bėrimas, sumušimas, padidėjęs prakaitavimas, dilgėlinė, ekchimozė, padidėjęs polinkis į mėlynes, sumažėjęs plaukuotumas, odos hipopigmentacija, eksfoliacinis dermatitas, nagų lūžinėjimas, folikulitas, petechijos, psoriazė, purpura, odos hiperpigmentacija, pūslinis bėrimas </w:t>
            </w:r>
          </w:p>
        </w:tc>
      </w:tr>
      <w:tr w:rsidR="009335E4" w:rsidRPr="00776407" w14:paraId="68D6F0BB" w14:textId="77777777" w:rsidTr="00430A5A">
        <w:trPr>
          <w:gridAfter w:val="1"/>
          <w:wAfter w:w="39" w:type="dxa"/>
          <w:trHeight w:val="490"/>
        </w:trPr>
        <w:tc>
          <w:tcPr>
            <w:tcW w:w="2376" w:type="dxa"/>
            <w:tcBorders>
              <w:top w:val="single" w:sz="4" w:space="0" w:color="auto"/>
              <w:left w:val="single" w:sz="4" w:space="0" w:color="auto"/>
              <w:bottom w:val="single" w:sz="4" w:space="0" w:color="auto"/>
              <w:right w:val="single" w:sz="4" w:space="0" w:color="auto"/>
            </w:tcBorders>
          </w:tcPr>
          <w:p w14:paraId="0E088502"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56" w:type="dxa"/>
            <w:tcBorders>
              <w:top w:val="single" w:sz="4" w:space="0" w:color="auto"/>
              <w:left w:val="single" w:sz="4" w:space="0" w:color="auto"/>
              <w:bottom w:val="single" w:sz="4" w:space="0" w:color="auto"/>
              <w:right w:val="single" w:sz="4" w:space="0" w:color="auto"/>
            </w:tcBorders>
          </w:tcPr>
          <w:p w14:paraId="77E35F96" w14:textId="77777777" w:rsidR="009335E4" w:rsidRPr="00776407" w:rsidRDefault="00475F83" w:rsidP="00F303FB">
            <w:pPr>
              <w:autoSpaceDE w:val="0"/>
              <w:autoSpaceDN w:val="0"/>
              <w:adjustRightInd w:val="0"/>
              <w:rPr>
                <w:rFonts w:eastAsia="Calibri"/>
                <w:color w:val="000000"/>
              </w:rPr>
            </w:pPr>
            <w:r w:rsidRPr="00776407">
              <w:rPr>
                <w:rFonts w:eastAsia="Calibri"/>
                <w:color w:val="000000"/>
                <w:sz w:val="22"/>
                <w:szCs w:val="22"/>
              </w:rPr>
              <w:t>Ūminė febrilinė neutrofilinė dermatozė (</w:t>
            </w:r>
            <w:r w:rsidRPr="00776407">
              <w:rPr>
                <w:rFonts w:eastAsia="Calibri"/>
                <w:i/>
                <w:color w:val="000000"/>
                <w:sz w:val="22"/>
                <w:szCs w:val="22"/>
              </w:rPr>
              <w:t>Sweet</w:t>
            </w:r>
            <w:r w:rsidRPr="00776407">
              <w:rPr>
                <w:rFonts w:eastAsia="Calibri"/>
                <w:color w:val="000000"/>
                <w:sz w:val="22"/>
                <w:szCs w:val="22"/>
              </w:rPr>
              <w:t xml:space="preserve"> sindromas), nagų spalvos pakitimas, angioneurozinė edema, pūslelinis bėrimas, daugiaformė eritema, leukocitoklastinis vaskulitas, </w:t>
            </w:r>
            <w:r w:rsidRPr="00776407">
              <w:rPr>
                <w:rFonts w:eastAsia="Calibri"/>
                <w:i/>
                <w:color w:val="000000"/>
                <w:sz w:val="22"/>
                <w:szCs w:val="22"/>
              </w:rPr>
              <w:t>Stevens-Johnson</w:t>
            </w:r>
            <w:r w:rsidRPr="00776407">
              <w:rPr>
                <w:rFonts w:eastAsia="Calibri"/>
                <w:color w:val="000000"/>
                <w:sz w:val="22"/>
                <w:szCs w:val="22"/>
              </w:rPr>
              <w:t xml:space="preserve"> sindromas, ūminė generalizuota egzanteminė pustuliozė (ŪGEP)</w:t>
            </w:r>
          </w:p>
        </w:tc>
      </w:tr>
      <w:tr w:rsidR="009335E4" w:rsidRPr="00776407" w14:paraId="6C43E0C7" w14:textId="77777777" w:rsidTr="00430A5A">
        <w:trPr>
          <w:gridAfter w:val="1"/>
          <w:wAfter w:w="39" w:type="dxa"/>
          <w:trHeight w:val="490"/>
        </w:trPr>
        <w:tc>
          <w:tcPr>
            <w:tcW w:w="2376" w:type="dxa"/>
            <w:tcBorders>
              <w:top w:val="single" w:sz="4" w:space="0" w:color="auto"/>
              <w:left w:val="single" w:sz="4" w:space="0" w:color="auto"/>
              <w:bottom w:val="single" w:sz="4" w:space="0" w:color="auto"/>
              <w:right w:val="single" w:sz="4" w:space="0" w:color="auto"/>
            </w:tcBorders>
          </w:tcPr>
          <w:p w14:paraId="18DE1DDD" w14:textId="77777777" w:rsidR="009335E4" w:rsidRPr="00776407" w:rsidRDefault="009335E4" w:rsidP="00430A5A">
            <w:pPr>
              <w:autoSpaceDE w:val="0"/>
              <w:autoSpaceDN w:val="0"/>
              <w:adjustRightInd w:val="0"/>
              <w:rPr>
                <w:rFonts w:eastAsia="Calibri"/>
                <w:i/>
                <w:iCs/>
                <w:color w:val="000000"/>
                <w:sz w:val="22"/>
                <w:szCs w:val="22"/>
              </w:rPr>
            </w:pPr>
            <w:r w:rsidRPr="00776407">
              <w:rPr>
                <w:i/>
                <w:iCs/>
                <w:color w:val="000000"/>
                <w:sz w:val="22"/>
                <w:szCs w:val="22"/>
              </w:rPr>
              <w:t>Dažnis nežinomas:</w:t>
            </w:r>
          </w:p>
        </w:tc>
        <w:tc>
          <w:tcPr>
            <w:tcW w:w="6656" w:type="dxa"/>
            <w:tcBorders>
              <w:top w:val="single" w:sz="4" w:space="0" w:color="auto"/>
              <w:left w:val="single" w:sz="4" w:space="0" w:color="auto"/>
              <w:bottom w:val="single" w:sz="4" w:space="0" w:color="auto"/>
              <w:right w:val="single" w:sz="4" w:space="0" w:color="auto"/>
            </w:tcBorders>
          </w:tcPr>
          <w:p w14:paraId="1C2C584A" w14:textId="77777777" w:rsidR="009335E4" w:rsidRPr="00776407" w:rsidRDefault="009335E4" w:rsidP="00430A5A">
            <w:pPr>
              <w:autoSpaceDE w:val="0"/>
              <w:autoSpaceDN w:val="0"/>
              <w:adjustRightInd w:val="0"/>
              <w:rPr>
                <w:rFonts w:eastAsia="Calibri"/>
                <w:color w:val="000000"/>
                <w:sz w:val="22"/>
                <w:szCs w:val="22"/>
              </w:rPr>
            </w:pPr>
            <w:r w:rsidRPr="00776407">
              <w:rPr>
                <w:color w:val="000000"/>
                <w:sz w:val="22"/>
                <w:szCs w:val="22"/>
              </w:rPr>
              <w:t xml:space="preserve">Delnų ir padų eritrodizestezijos sindromas*, lichenoidinė keratozė*, plokščioji kerpligė*, toksinė epidermio nekrolizė*, medikamentinis išbėrimas su eozinofilija ir sisteminiais simptomais </w:t>
            </w:r>
            <w:r w:rsidRPr="00776407">
              <w:rPr>
                <w:i/>
                <w:color w:val="000000"/>
                <w:sz w:val="22"/>
                <w:szCs w:val="22"/>
              </w:rPr>
              <w:t>(DRESS)</w:t>
            </w:r>
            <w:r w:rsidRPr="00776407">
              <w:rPr>
                <w:color w:val="000000"/>
                <w:sz w:val="22"/>
                <w:szCs w:val="22"/>
              </w:rPr>
              <w:t>*</w:t>
            </w:r>
            <w:r w:rsidR="00F303FB" w:rsidRPr="00776407">
              <w:rPr>
                <w:rFonts w:eastAsia="Calibri"/>
                <w:color w:val="000000"/>
                <w:sz w:val="22"/>
                <w:szCs w:val="22"/>
              </w:rPr>
              <w:t>, pseudoporfirija*</w:t>
            </w:r>
          </w:p>
        </w:tc>
      </w:tr>
      <w:tr w:rsidR="009335E4" w:rsidRPr="00776407" w14:paraId="0FD602B9" w14:textId="77777777" w:rsidTr="00430A5A">
        <w:trPr>
          <w:trHeight w:val="98"/>
        </w:trPr>
        <w:tc>
          <w:tcPr>
            <w:tcW w:w="9071" w:type="dxa"/>
            <w:gridSpan w:val="3"/>
            <w:tcBorders>
              <w:top w:val="single" w:sz="4" w:space="0" w:color="auto"/>
              <w:left w:val="single" w:sz="4" w:space="0" w:color="auto"/>
              <w:bottom w:val="single" w:sz="4" w:space="0" w:color="auto"/>
              <w:right w:val="single" w:sz="4" w:space="0" w:color="auto"/>
            </w:tcBorders>
          </w:tcPr>
          <w:p w14:paraId="03132097"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Skeleto, raumenų ir jungiamojo audinio sutrikimai </w:t>
            </w:r>
          </w:p>
        </w:tc>
      </w:tr>
      <w:tr w:rsidR="009335E4" w:rsidRPr="00776407" w14:paraId="26FB087E" w14:textId="77777777" w:rsidTr="00430A5A">
        <w:trPr>
          <w:trHeight w:val="230"/>
        </w:trPr>
        <w:tc>
          <w:tcPr>
            <w:tcW w:w="2376" w:type="dxa"/>
            <w:tcBorders>
              <w:top w:val="single" w:sz="4" w:space="0" w:color="auto"/>
              <w:left w:val="single" w:sz="4" w:space="0" w:color="auto"/>
              <w:bottom w:val="single" w:sz="4" w:space="0" w:color="auto"/>
              <w:right w:val="single" w:sz="4" w:space="0" w:color="auto"/>
            </w:tcBorders>
          </w:tcPr>
          <w:p w14:paraId="203319BA"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Labai dažnos </w:t>
            </w:r>
          </w:p>
        </w:tc>
        <w:tc>
          <w:tcPr>
            <w:tcW w:w="6695" w:type="dxa"/>
            <w:gridSpan w:val="2"/>
            <w:tcBorders>
              <w:top w:val="single" w:sz="4" w:space="0" w:color="auto"/>
              <w:left w:val="single" w:sz="4" w:space="0" w:color="auto"/>
              <w:bottom w:val="single" w:sz="4" w:space="0" w:color="auto"/>
              <w:right w:val="single" w:sz="4" w:space="0" w:color="auto"/>
            </w:tcBorders>
          </w:tcPr>
          <w:p w14:paraId="636EA69F" w14:textId="77777777" w:rsidR="009335E4" w:rsidRPr="00776407" w:rsidRDefault="009335E4" w:rsidP="00430A5A">
            <w:pPr>
              <w:autoSpaceDE w:val="0"/>
              <w:autoSpaceDN w:val="0"/>
              <w:adjustRightInd w:val="0"/>
              <w:rPr>
                <w:rFonts w:eastAsia="Calibri"/>
                <w:color w:val="000000"/>
                <w:sz w:val="14"/>
                <w:szCs w:val="14"/>
              </w:rPr>
            </w:pPr>
            <w:r w:rsidRPr="00776407">
              <w:rPr>
                <w:rFonts w:eastAsia="Calibri"/>
                <w:color w:val="000000"/>
                <w:sz w:val="22"/>
                <w:szCs w:val="22"/>
              </w:rPr>
              <w:t>Raumenų spazmas ir mėšlungis, skeleto ir raumenų skausmas, taip pat mialgija</w:t>
            </w:r>
            <w:r w:rsidR="006D52A1" w:rsidRPr="00776407">
              <w:rPr>
                <w:vertAlign w:val="superscript"/>
              </w:rPr>
              <w:t>9</w:t>
            </w:r>
            <w:r w:rsidRPr="00776407">
              <w:rPr>
                <w:rFonts w:eastAsia="Calibri"/>
                <w:color w:val="000000"/>
                <w:sz w:val="22"/>
                <w:szCs w:val="22"/>
              </w:rPr>
              <w:t>, artralgija, kaulų skausmas</w:t>
            </w:r>
            <w:r w:rsidR="006D52A1" w:rsidRPr="00776407">
              <w:rPr>
                <w:rFonts w:eastAsia="Calibri"/>
                <w:color w:val="000000"/>
                <w:sz w:val="22"/>
                <w:szCs w:val="22"/>
                <w:vertAlign w:val="superscript"/>
              </w:rPr>
              <w:t>10</w:t>
            </w:r>
          </w:p>
        </w:tc>
      </w:tr>
      <w:tr w:rsidR="009335E4" w:rsidRPr="00776407" w14:paraId="7CD8587B" w14:textId="77777777" w:rsidTr="00430A5A">
        <w:trPr>
          <w:trHeight w:val="100"/>
        </w:trPr>
        <w:tc>
          <w:tcPr>
            <w:tcW w:w="2376" w:type="dxa"/>
            <w:tcBorders>
              <w:top w:val="single" w:sz="4" w:space="0" w:color="auto"/>
              <w:left w:val="single" w:sz="4" w:space="0" w:color="auto"/>
              <w:bottom w:val="single" w:sz="4" w:space="0" w:color="auto"/>
              <w:right w:val="single" w:sz="4" w:space="0" w:color="auto"/>
            </w:tcBorders>
          </w:tcPr>
          <w:p w14:paraId="07817E60"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95" w:type="dxa"/>
            <w:gridSpan w:val="2"/>
            <w:tcBorders>
              <w:top w:val="single" w:sz="4" w:space="0" w:color="auto"/>
              <w:left w:val="single" w:sz="4" w:space="0" w:color="auto"/>
              <w:bottom w:val="single" w:sz="4" w:space="0" w:color="auto"/>
              <w:right w:val="single" w:sz="4" w:space="0" w:color="auto"/>
            </w:tcBorders>
          </w:tcPr>
          <w:p w14:paraId="0DD9EFFC"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Sąnarių tinimas </w:t>
            </w:r>
          </w:p>
        </w:tc>
      </w:tr>
      <w:tr w:rsidR="009335E4" w:rsidRPr="00776407" w14:paraId="07B8B4BA" w14:textId="77777777" w:rsidTr="00430A5A">
        <w:trPr>
          <w:trHeight w:val="100"/>
        </w:trPr>
        <w:tc>
          <w:tcPr>
            <w:tcW w:w="2376" w:type="dxa"/>
            <w:tcBorders>
              <w:top w:val="single" w:sz="4" w:space="0" w:color="auto"/>
              <w:left w:val="single" w:sz="4" w:space="0" w:color="auto"/>
              <w:bottom w:val="single" w:sz="4" w:space="0" w:color="auto"/>
              <w:right w:val="single" w:sz="4" w:space="0" w:color="auto"/>
            </w:tcBorders>
          </w:tcPr>
          <w:p w14:paraId="12C760E5"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95" w:type="dxa"/>
            <w:gridSpan w:val="2"/>
            <w:tcBorders>
              <w:top w:val="single" w:sz="4" w:space="0" w:color="auto"/>
              <w:left w:val="single" w:sz="4" w:space="0" w:color="auto"/>
              <w:bottom w:val="single" w:sz="4" w:space="0" w:color="auto"/>
              <w:right w:val="single" w:sz="4" w:space="0" w:color="auto"/>
            </w:tcBorders>
          </w:tcPr>
          <w:p w14:paraId="05DCEE90"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Sąnarių ir raumenų sąstingis </w:t>
            </w:r>
          </w:p>
        </w:tc>
      </w:tr>
      <w:tr w:rsidR="009335E4" w:rsidRPr="00776407" w14:paraId="277AD803" w14:textId="77777777" w:rsidTr="00430A5A">
        <w:trPr>
          <w:trHeight w:val="100"/>
        </w:trPr>
        <w:tc>
          <w:tcPr>
            <w:tcW w:w="2376" w:type="dxa"/>
            <w:tcBorders>
              <w:top w:val="single" w:sz="4" w:space="0" w:color="auto"/>
              <w:left w:val="single" w:sz="4" w:space="0" w:color="auto"/>
              <w:bottom w:val="single" w:sz="4" w:space="0" w:color="auto"/>
              <w:right w:val="single" w:sz="4" w:space="0" w:color="auto"/>
            </w:tcBorders>
          </w:tcPr>
          <w:p w14:paraId="53F9EFB4"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95" w:type="dxa"/>
            <w:gridSpan w:val="2"/>
            <w:tcBorders>
              <w:top w:val="single" w:sz="4" w:space="0" w:color="auto"/>
              <w:left w:val="single" w:sz="4" w:space="0" w:color="auto"/>
              <w:bottom w:val="single" w:sz="4" w:space="0" w:color="auto"/>
              <w:right w:val="single" w:sz="4" w:space="0" w:color="auto"/>
            </w:tcBorders>
          </w:tcPr>
          <w:p w14:paraId="366DA5B5"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Raumenų silpnumas, artritas, rabdomiolizė ar miopatija </w:t>
            </w:r>
          </w:p>
        </w:tc>
      </w:tr>
      <w:tr w:rsidR="009335E4" w:rsidRPr="00776407" w14:paraId="6C34DE48" w14:textId="77777777" w:rsidTr="00430A5A">
        <w:trPr>
          <w:trHeight w:val="100"/>
        </w:trPr>
        <w:tc>
          <w:tcPr>
            <w:tcW w:w="2376" w:type="dxa"/>
            <w:tcBorders>
              <w:top w:val="single" w:sz="4" w:space="0" w:color="auto"/>
              <w:left w:val="single" w:sz="4" w:space="0" w:color="auto"/>
              <w:bottom w:val="single" w:sz="4" w:space="0" w:color="auto"/>
              <w:right w:val="single" w:sz="4" w:space="0" w:color="auto"/>
            </w:tcBorders>
          </w:tcPr>
          <w:p w14:paraId="2EBDBAF7" w14:textId="77777777" w:rsidR="009335E4" w:rsidRPr="00776407" w:rsidRDefault="009335E4" w:rsidP="00430A5A">
            <w:pPr>
              <w:autoSpaceDE w:val="0"/>
              <w:autoSpaceDN w:val="0"/>
              <w:adjustRightInd w:val="0"/>
              <w:rPr>
                <w:rFonts w:eastAsia="Calibri"/>
                <w:i/>
                <w:iCs/>
                <w:color w:val="000000"/>
                <w:sz w:val="22"/>
                <w:szCs w:val="22"/>
              </w:rPr>
            </w:pPr>
            <w:r w:rsidRPr="00776407">
              <w:rPr>
                <w:i/>
                <w:iCs/>
                <w:color w:val="000000"/>
                <w:sz w:val="22"/>
                <w:szCs w:val="22"/>
              </w:rPr>
              <w:t>Dažnis nežinomas:</w:t>
            </w:r>
          </w:p>
        </w:tc>
        <w:tc>
          <w:tcPr>
            <w:tcW w:w="6695" w:type="dxa"/>
            <w:gridSpan w:val="2"/>
            <w:tcBorders>
              <w:top w:val="single" w:sz="4" w:space="0" w:color="auto"/>
              <w:left w:val="single" w:sz="4" w:space="0" w:color="auto"/>
              <w:bottom w:val="single" w:sz="4" w:space="0" w:color="auto"/>
              <w:right w:val="single" w:sz="4" w:space="0" w:color="auto"/>
            </w:tcBorders>
          </w:tcPr>
          <w:p w14:paraId="3FBA6155" w14:textId="77777777" w:rsidR="009335E4" w:rsidRPr="00776407" w:rsidRDefault="009335E4" w:rsidP="00430A5A">
            <w:pPr>
              <w:autoSpaceDE w:val="0"/>
              <w:autoSpaceDN w:val="0"/>
              <w:adjustRightInd w:val="0"/>
              <w:rPr>
                <w:rFonts w:eastAsia="Calibri"/>
                <w:color w:val="000000"/>
                <w:sz w:val="22"/>
                <w:szCs w:val="22"/>
              </w:rPr>
            </w:pPr>
            <w:r w:rsidRPr="00776407">
              <w:rPr>
                <w:color w:val="000000"/>
                <w:sz w:val="22"/>
                <w:szCs w:val="22"/>
              </w:rPr>
              <w:t>Nevaskulinė nekrozė/šlaunikaulio galvutės nekrozė*, v</w:t>
            </w:r>
            <w:r w:rsidRPr="00776407">
              <w:rPr>
                <w:bCs/>
                <w:color w:val="000000"/>
                <w:sz w:val="22"/>
                <w:szCs w:val="22"/>
              </w:rPr>
              <w:t>aikų augimo sulėtėjimas</w:t>
            </w:r>
            <w:r w:rsidRPr="00776407">
              <w:rPr>
                <w:color w:val="000000"/>
                <w:sz w:val="22"/>
                <w:szCs w:val="22"/>
              </w:rPr>
              <w:t>*</w:t>
            </w:r>
          </w:p>
        </w:tc>
      </w:tr>
      <w:tr w:rsidR="009335E4" w:rsidRPr="00776407" w14:paraId="16ADF301" w14:textId="77777777" w:rsidTr="00430A5A">
        <w:trPr>
          <w:trHeight w:val="98"/>
        </w:trPr>
        <w:tc>
          <w:tcPr>
            <w:tcW w:w="9071" w:type="dxa"/>
            <w:gridSpan w:val="3"/>
            <w:tcBorders>
              <w:top w:val="single" w:sz="4" w:space="0" w:color="auto"/>
              <w:left w:val="single" w:sz="4" w:space="0" w:color="auto"/>
              <w:bottom w:val="single" w:sz="4" w:space="0" w:color="auto"/>
              <w:right w:val="single" w:sz="4" w:space="0" w:color="auto"/>
            </w:tcBorders>
          </w:tcPr>
          <w:p w14:paraId="43405948"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Inkstų ir šlapimo takų sutrikimai </w:t>
            </w:r>
          </w:p>
        </w:tc>
      </w:tr>
      <w:tr w:rsidR="009335E4" w:rsidRPr="00776407" w14:paraId="586E405C" w14:textId="77777777" w:rsidTr="00430A5A">
        <w:trPr>
          <w:trHeight w:val="230"/>
        </w:trPr>
        <w:tc>
          <w:tcPr>
            <w:tcW w:w="2376" w:type="dxa"/>
            <w:tcBorders>
              <w:top w:val="single" w:sz="4" w:space="0" w:color="auto"/>
              <w:left w:val="single" w:sz="4" w:space="0" w:color="auto"/>
              <w:bottom w:val="single" w:sz="4" w:space="0" w:color="auto"/>
              <w:right w:val="single" w:sz="4" w:space="0" w:color="auto"/>
            </w:tcBorders>
          </w:tcPr>
          <w:p w14:paraId="2A502AA8"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95" w:type="dxa"/>
            <w:gridSpan w:val="2"/>
            <w:tcBorders>
              <w:top w:val="single" w:sz="4" w:space="0" w:color="auto"/>
              <w:left w:val="single" w:sz="4" w:space="0" w:color="auto"/>
              <w:bottom w:val="single" w:sz="4" w:space="0" w:color="auto"/>
              <w:right w:val="single" w:sz="4" w:space="0" w:color="auto"/>
            </w:tcBorders>
          </w:tcPr>
          <w:p w14:paraId="608138D5"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Inkstų skausmas, hematurija, ūminis inkstų nepakankamumas, padažnėjęs šlapinimasis </w:t>
            </w:r>
          </w:p>
        </w:tc>
      </w:tr>
      <w:tr w:rsidR="009335E4" w:rsidRPr="00776407" w14:paraId="571E7CCA" w14:textId="77777777" w:rsidTr="00430A5A">
        <w:trPr>
          <w:trHeight w:val="230"/>
        </w:trPr>
        <w:tc>
          <w:tcPr>
            <w:tcW w:w="2376" w:type="dxa"/>
            <w:tcBorders>
              <w:top w:val="single" w:sz="4" w:space="0" w:color="auto"/>
              <w:left w:val="single" w:sz="4" w:space="0" w:color="auto"/>
              <w:bottom w:val="single" w:sz="4" w:space="0" w:color="auto"/>
              <w:right w:val="single" w:sz="4" w:space="0" w:color="auto"/>
            </w:tcBorders>
          </w:tcPr>
          <w:p w14:paraId="18A7E25D" w14:textId="77777777" w:rsidR="009335E4" w:rsidRPr="00776407" w:rsidRDefault="009335E4" w:rsidP="00430A5A">
            <w:pPr>
              <w:autoSpaceDE w:val="0"/>
              <w:autoSpaceDN w:val="0"/>
              <w:adjustRightInd w:val="0"/>
              <w:rPr>
                <w:rFonts w:eastAsia="Calibri"/>
                <w:i/>
                <w:iCs/>
                <w:color w:val="000000"/>
                <w:sz w:val="22"/>
                <w:szCs w:val="22"/>
              </w:rPr>
            </w:pPr>
            <w:r w:rsidRPr="00776407">
              <w:rPr>
                <w:i/>
                <w:iCs/>
                <w:color w:val="000000"/>
                <w:sz w:val="22"/>
                <w:szCs w:val="22"/>
              </w:rPr>
              <w:t>Dažnis nežinomas:</w:t>
            </w:r>
          </w:p>
        </w:tc>
        <w:tc>
          <w:tcPr>
            <w:tcW w:w="6695" w:type="dxa"/>
            <w:gridSpan w:val="2"/>
            <w:tcBorders>
              <w:top w:val="single" w:sz="4" w:space="0" w:color="auto"/>
              <w:left w:val="single" w:sz="4" w:space="0" w:color="auto"/>
              <w:bottom w:val="single" w:sz="4" w:space="0" w:color="auto"/>
              <w:right w:val="single" w:sz="4" w:space="0" w:color="auto"/>
            </w:tcBorders>
          </w:tcPr>
          <w:p w14:paraId="7BA3D48F" w14:textId="77777777" w:rsidR="009335E4" w:rsidRPr="00776407" w:rsidRDefault="009335E4" w:rsidP="00430A5A">
            <w:pPr>
              <w:autoSpaceDE w:val="0"/>
              <w:autoSpaceDN w:val="0"/>
              <w:adjustRightInd w:val="0"/>
              <w:rPr>
                <w:rFonts w:eastAsia="Calibri"/>
                <w:color w:val="000000"/>
                <w:sz w:val="22"/>
                <w:szCs w:val="22"/>
              </w:rPr>
            </w:pPr>
            <w:r w:rsidRPr="00776407">
              <w:rPr>
                <w:color w:val="000000"/>
                <w:sz w:val="22"/>
                <w:szCs w:val="22"/>
              </w:rPr>
              <w:t>Lėtinis inkstų nepakankamumas</w:t>
            </w:r>
          </w:p>
        </w:tc>
      </w:tr>
      <w:tr w:rsidR="009335E4" w:rsidRPr="00776407" w14:paraId="502D94D7" w14:textId="77777777" w:rsidTr="00430A5A">
        <w:trPr>
          <w:trHeight w:val="98"/>
        </w:trPr>
        <w:tc>
          <w:tcPr>
            <w:tcW w:w="9071" w:type="dxa"/>
            <w:gridSpan w:val="3"/>
            <w:tcBorders>
              <w:top w:val="single" w:sz="4" w:space="0" w:color="auto"/>
              <w:left w:val="single" w:sz="4" w:space="0" w:color="auto"/>
              <w:bottom w:val="single" w:sz="4" w:space="0" w:color="auto"/>
              <w:right w:val="single" w:sz="4" w:space="0" w:color="auto"/>
            </w:tcBorders>
          </w:tcPr>
          <w:p w14:paraId="47A6418D"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Lytinės sistemos ir krūties sutrikimai </w:t>
            </w:r>
          </w:p>
        </w:tc>
      </w:tr>
      <w:tr w:rsidR="009335E4" w:rsidRPr="00776407" w14:paraId="0D3C3B59" w14:textId="77777777" w:rsidTr="00430A5A">
        <w:trPr>
          <w:trHeight w:val="361"/>
        </w:trPr>
        <w:tc>
          <w:tcPr>
            <w:tcW w:w="2376" w:type="dxa"/>
            <w:tcBorders>
              <w:top w:val="single" w:sz="4" w:space="0" w:color="auto"/>
              <w:left w:val="single" w:sz="4" w:space="0" w:color="auto"/>
              <w:bottom w:val="single" w:sz="4" w:space="0" w:color="auto"/>
              <w:right w:val="single" w:sz="4" w:space="0" w:color="auto"/>
            </w:tcBorders>
          </w:tcPr>
          <w:p w14:paraId="7FB3D50B"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95" w:type="dxa"/>
            <w:gridSpan w:val="2"/>
            <w:tcBorders>
              <w:top w:val="single" w:sz="4" w:space="0" w:color="auto"/>
              <w:left w:val="single" w:sz="4" w:space="0" w:color="auto"/>
              <w:bottom w:val="single" w:sz="4" w:space="0" w:color="auto"/>
              <w:right w:val="single" w:sz="4" w:space="0" w:color="auto"/>
            </w:tcBorders>
          </w:tcPr>
          <w:p w14:paraId="3100F824"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Ginekomastija, erekcijos sutrikimas, menoragija, menstruacijų ciklo sutrikimas, lytinė disfunkcija, spenelio skausmas, krūtų padidėjimas, kapšelio edema </w:t>
            </w:r>
          </w:p>
        </w:tc>
      </w:tr>
      <w:tr w:rsidR="009335E4" w:rsidRPr="00776407" w14:paraId="26403B93" w14:textId="77777777" w:rsidTr="00430A5A">
        <w:trPr>
          <w:trHeight w:val="100"/>
        </w:trPr>
        <w:tc>
          <w:tcPr>
            <w:tcW w:w="2376" w:type="dxa"/>
            <w:tcBorders>
              <w:top w:val="single" w:sz="4" w:space="0" w:color="auto"/>
              <w:left w:val="single" w:sz="4" w:space="0" w:color="auto"/>
              <w:bottom w:val="single" w:sz="4" w:space="0" w:color="auto"/>
              <w:right w:val="single" w:sz="4" w:space="0" w:color="auto"/>
            </w:tcBorders>
          </w:tcPr>
          <w:p w14:paraId="5ABD76A2"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95" w:type="dxa"/>
            <w:gridSpan w:val="2"/>
            <w:tcBorders>
              <w:top w:val="single" w:sz="4" w:space="0" w:color="auto"/>
              <w:left w:val="single" w:sz="4" w:space="0" w:color="auto"/>
              <w:bottom w:val="single" w:sz="4" w:space="0" w:color="auto"/>
              <w:right w:val="single" w:sz="4" w:space="0" w:color="auto"/>
            </w:tcBorders>
          </w:tcPr>
          <w:p w14:paraId="317D129F"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Geltonkūnio hemoragija ar hemoraginė kiaušidžių cista </w:t>
            </w:r>
          </w:p>
        </w:tc>
      </w:tr>
      <w:tr w:rsidR="009335E4" w:rsidRPr="00776407" w14:paraId="19C6D2FF" w14:textId="77777777" w:rsidTr="00430A5A">
        <w:trPr>
          <w:trHeight w:val="98"/>
        </w:trPr>
        <w:tc>
          <w:tcPr>
            <w:tcW w:w="9071" w:type="dxa"/>
            <w:gridSpan w:val="3"/>
            <w:tcBorders>
              <w:top w:val="single" w:sz="4" w:space="0" w:color="auto"/>
              <w:left w:val="single" w:sz="4" w:space="0" w:color="auto"/>
              <w:bottom w:val="single" w:sz="4" w:space="0" w:color="auto"/>
              <w:right w:val="single" w:sz="4" w:space="0" w:color="auto"/>
            </w:tcBorders>
          </w:tcPr>
          <w:p w14:paraId="093A39C4"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Bendrieji sutrikimai ir vartojimo vietos pažeidimai </w:t>
            </w:r>
          </w:p>
        </w:tc>
      </w:tr>
      <w:tr w:rsidR="009335E4" w:rsidRPr="00776407" w14:paraId="517C609E" w14:textId="77777777" w:rsidTr="00430A5A">
        <w:trPr>
          <w:trHeight w:val="100"/>
        </w:trPr>
        <w:tc>
          <w:tcPr>
            <w:tcW w:w="2376" w:type="dxa"/>
            <w:tcBorders>
              <w:top w:val="single" w:sz="4" w:space="0" w:color="auto"/>
              <w:left w:val="single" w:sz="4" w:space="0" w:color="auto"/>
              <w:bottom w:val="single" w:sz="4" w:space="0" w:color="auto"/>
              <w:right w:val="single" w:sz="4" w:space="0" w:color="auto"/>
            </w:tcBorders>
          </w:tcPr>
          <w:p w14:paraId="7B993C5A"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Labai dažnos </w:t>
            </w:r>
          </w:p>
        </w:tc>
        <w:tc>
          <w:tcPr>
            <w:tcW w:w="6695" w:type="dxa"/>
            <w:gridSpan w:val="2"/>
            <w:tcBorders>
              <w:top w:val="single" w:sz="4" w:space="0" w:color="auto"/>
              <w:left w:val="single" w:sz="4" w:space="0" w:color="auto"/>
              <w:bottom w:val="single" w:sz="4" w:space="0" w:color="auto"/>
              <w:right w:val="single" w:sz="4" w:space="0" w:color="auto"/>
            </w:tcBorders>
          </w:tcPr>
          <w:p w14:paraId="40AD3FFB"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Skysčių susilaikymas ir edema, nuovargis </w:t>
            </w:r>
          </w:p>
        </w:tc>
      </w:tr>
      <w:tr w:rsidR="009335E4" w:rsidRPr="00776407" w14:paraId="311D3F90" w14:textId="77777777" w:rsidTr="00430A5A">
        <w:trPr>
          <w:trHeight w:val="100"/>
        </w:trPr>
        <w:tc>
          <w:tcPr>
            <w:tcW w:w="2376" w:type="dxa"/>
            <w:tcBorders>
              <w:top w:val="single" w:sz="4" w:space="0" w:color="auto"/>
              <w:left w:val="single" w:sz="4" w:space="0" w:color="auto"/>
              <w:bottom w:val="single" w:sz="4" w:space="0" w:color="auto"/>
              <w:right w:val="single" w:sz="4" w:space="0" w:color="auto"/>
            </w:tcBorders>
          </w:tcPr>
          <w:p w14:paraId="2B935E79"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95" w:type="dxa"/>
            <w:gridSpan w:val="2"/>
            <w:tcBorders>
              <w:top w:val="single" w:sz="4" w:space="0" w:color="auto"/>
              <w:left w:val="single" w:sz="4" w:space="0" w:color="auto"/>
              <w:bottom w:val="single" w:sz="4" w:space="0" w:color="auto"/>
              <w:right w:val="single" w:sz="4" w:space="0" w:color="auto"/>
            </w:tcBorders>
          </w:tcPr>
          <w:p w14:paraId="4F9C0FF6"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Silpnumas, karščiavimas, odos vandenė, šaltkrėtis, sąstingis </w:t>
            </w:r>
          </w:p>
        </w:tc>
      </w:tr>
      <w:tr w:rsidR="009335E4" w:rsidRPr="00776407" w14:paraId="065CC06D" w14:textId="77777777" w:rsidTr="00430A5A">
        <w:trPr>
          <w:trHeight w:val="100"/>
        </w:trPr>
        <w:tc>
          <w:tcPr>
            <w:tcW w:w="2376" w:type="dxa"/>
            <w:tcBorders>
              <w:top w:val="single" w:sz="4" w:space="0" w:color="auto"/>
              <w:left w:val="single" w:sz="4" w:space="0" w:color="auto"/>
              <w:bottom w:val="single" w:sz="4" w:space="0" w:color="auto"/>
              <w:right w:val="single" w:sz="4" w:space="0" w:color="auto"/>
            </w:tcBorders>
          </w:tcPr>
          <w:p w14:paraId="4A1C4011"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95" w:type="dxa"/>
            <w:gridSpan w:val="2"/>
            <w:tcBorders>
              <w:top w:val="single" w:sz="4" w:space="0" w:color="auto"/>
              <w:left w:val="single" w:sz="4" w:space="0" w:color="auto"/>
              <w:bottom w:val="single" w:sz="4" w:space="0" w:color="auto"/>
              <w:right w:val="single" w:sz="4" w:space="0" w:color="auto"/>
            </w:tcBorders>
          </w:tcPr>
          <w:p w14:paraId="38D2B454"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Skausmas krūtinėje, bloga savijauta </w:t>
            </w:r>
          </w:p>
        </w:tc>
      </w:tr>
      <w:tr w:rsidR="009335E4" w:rsidRPr="00776407" w14:paraId="7F397067" w14:textId="77777777" w:rsidTr="00430A5A">
        <w:trPr>
          <w:trHeight w:val="98"/>
        </w:trPr>
        <w:tc>
          <w:tcPr>
            <w:tcW w:w="9071" w:type="dxa"/>
            <w:gridSpan w:val="3"/>
            <w:tcBorders>
              <w:top w:val="single" w:sz="4" w:space="0" w:color="auto"/>
              <w:left w:val="single" w:sz="4" w:space="0" w:color="auto"/>
              <w:bottom w:val="single" w:sz="4" w:space="0" w:color="auto"/>
              <w:right w:val="single" w:sz="4" w:space="0" w:color="auto"/>
            </w:tcBorders>
          </w:tcPr>
          <w:p w14:paraId="2F4EDB22" w14:textId="77777777" w:rsidR="009335E4" w:rsidRPr="00776407" w:rsidRDefault="009335E4" w:rsidP="00430A5A">
            <w:pPr>
              <w:autoSpaceDE w:val="0"/>
              <w:autoSpaceDN w:val="0"/>
              <w:adjustRightInd w:val="0"/>
              <w:rPr>
                <w:rFonts w:eastAsia="Calibri"/>
                <w:color w:val="000000"/>
              </w:rPr>
            </w:pPr>
            <w:r w:rsidRPr="00776407">
              <w:rPr>
                <w:rFonts w:eastAsia="Calibri"/>
                <w:b/>
                <w:bCs/>
                <w:color w:val="000000"/>
                <w:sz w:val="22"/>
                <w:szCs w:val="22"/>
              </w:rPr>
              <w:t xml:space="preserve">Tyrimai </w:t>
            </w:r>
          </w:p>
        </w:tc>
      </w:tr>
      <w:tr w:rsidR="009335E4" w:rsidRPr="00776407" w14:paraId="23DD9BE2" w14:textId="77777777" w:rsidTr="00430A5A">
        <w:trPr>
          <w:trHeight w:val="100"/>
        </w:trPr>
        <w:tc>
          <w:tcPr>
            <w:tcW w:w="2376" w:type="dxa"/>
            <w:tcBorders>
              <w:top w:val="single" w:sz="4" w:space="0" w:color="auto"/>
              <w:left w:val="single" w:sz="4" w:space="0" w:color="auto"/>
              <w:bottom w:val="single" w:sz="4" w:space="0" w:color="auto"/>
              <w:right w:val="single" w:sz="4" w:space="0" w:color="auto"/>
            </w:tcBorders>
          </w:tcPr>
          <w:p w14:paraId="599A2371"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Labai dažnos </w:t>
            </w:r>
          </w:p>
        </w:tc>
        <w:tc>
          <w:tcPr>
            <w:tcW w:w="6695" w:type="dxa"/>
            <w:gridSpan w:val="2"/>
            <w:tcBorders>
              <w:top w:val="single" w:sz="4" w:space="0" w:color="auto"/>
              <w:left w:val="single" w:sz="4" w:space="0" w:color="auto"/>
              <w:bottom w:val="single" w:sz="4" w:space="0" w:color="auto"/>
              <w:right w:val="single" w:sz="4" w:space="0" w:color="auto"/>
            </w:tcBorders>
          </w:tcPr>
          <w:p w14:paraId="094E81FE"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Padidėjęs kūno svoris </w:t>
            </w:r>
          </w:p>
        </w:tc>
      </w:tr>
      <w:tr w:rsidR="009335E4" w:rsidRPr="00776407" w14:paraId="56F7022B" w14:textId="77777777" w:rsidTr="00430A5A">
        <w:trPr>
          <w:trHeight w:val="100"/>
        </w:trPr>
        <w:tc>
          <w:tcPr>
            <w:tcW w:w="2376" w:type="dxa"/>
            <w:tcBorders>
              <w:top w:val="single" w:sz="4" w:space="0" w:color="auto"/>
              <w:left w:val="single" w:sz="4" w:space="0" w:color="auto"/>
              <w:bottom w:val="single" w:sz="4" w:space="0" w:color="auto"/>
              <w:right w:val="single" w:sz="4" w:space="0" w:color="auto"/>
            </w:tcBorders>
          </w:tcPr>
          <w:p w14:paraId="07B1DFD5"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Dažnos </w:t>
            </w:r>
          </w:p>
        </w:tc>
        <w:tc>
          <w:tcPr>
            <w:tcW w:w="6695" w:type="dxa"/>
            <w:gridSpan w:val="2"/>
            <w:tcBorders>
              <w:top w:val="single" w:sz="4" w:space="0" w:color="auto"/>
              <w:left w:val="single" w:sz="4" w:space="0" w:color="auto"/>
              <w:bottom w:val="single" w:sz="4" w:space="0" w:color="auto"/>
              <w:right w:val="single" w:sz="4" w:space="0" w:color="auto"/>
            </w:tcBorders>
          </w:tcPr>
          <w:p w14:paraId="4DE4A0BB"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Sumažėjęs kūno svoris </w:t>
            </w:r>
          </w:p>
        </w:tc>
      </w:tr>
      <w:tr w:rsidR="009335E4" w:rsidRPr="00776407" w14:paraId="028EF0F6" w14:textId="77777777" w:rsidTr="00430A5A">
        <w:trPr>
          <w:trHeight w:val="360"/>
        </w:trPr>
        <w:tc>
          <w:tcPr>
            <w:tcW w:w="2376" w:type="dxa"/>
            <w:tcBorders>
              <w:top w:val="single" w:sz="4" w:space="0" w:color="auto"/>
              <w:left w:val="single" w:sz="4" w:space="0" w:color="auto"/>
              <w:bottom w:val="single" w:sz="4" w:space="0" w:color="auto"/>
              <w:right w:val="single" w:sz="4" w:space="0" w:color="auto"/>
            </w:tcBorders>
          </w:tcPr>
          <w:p w14:paraId="5D1B1C76" w14:textId="77777777" w:rsidR="009335E4" w:rsidRPr="00776407" w:rsidRDefault="009335E4" w:rsidP="0043141D">
            <w:pPr>
              <w:autoSpaceDE w:val="0"/>
              <w:autoSpaceDN w:val="0"/>
              <w:adjustRightInd w:val="0"/>
              <w:rPr>
                <w:rFonts w:eastAsia="Calibri"/>
                <w:color w:val="000000"/>
              </w:rPr>
            </w:pPr>
            <w:r w:rsidRPr="00776407">
              <w:rPr>
                <w:rFonts w:eastAsia="Calibri"/>
                <w:i/>
                <w:iCs/>
                <w:color w:val="000000"/>
                <w:sz w:val="22"/>
                <w:szCs w:val="22"/>
              </w:rPr>
              <w:t xml:space="preserve">Nedažnos </w:t>
            </w:r>
          </w:p>
        </w:tc>
        <w:tc>
          <w:tcPr>
            <w:tcW w:w="6695" w:type="dxa"/>
            <w:gridSpan w:val="2"/>
            <w:tcBorders>
              <w:top w:val="single" w:sz="4" w:space="0" w:color="auto"/>
              <w:left w:val="single" w:sz="4" w:space="0" w:color="auto"/>
              <w:bottom w:val="single" w:sz="4" w:space="0" w:color="auto"/>
              <w:right w:val="single" w:sz="4" w:space="0" w:color="auto"/>
            </w:tcBorders>
          </w:tcPr>
          <w:p w14:paraId="741FC9D5"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Padidėjusi kreatinino koncentracija kraujyje, padidėjusi kreatinfosfokinazės koncentracija kraujyje, padidėjusi laktatdehidrogenazės koncentracija kraujyje, padidėjusi šarminės fosfatazės koncentracija kraujyje </w:t>
            </w:r>
          </w:p>
        </w:tc>
      </w:tr>
      <w:tr w:rsidR="009335E4" w:rsidRPr="00776407" w14:paraId="6638FE86" w14:textId="77777777" w:rsidTr="00430A5A">
        <w:trPr>
          <w:trHeight w:val="100"/>
        </w:trPr>
        <w:tc>
          <w:tcPr>
            <w:tcW w:w="2376" w:type="dxa"/>
            <w:tcBorders>
              <w:top w:val="single" w:sz="4" w:space="0" w:color="auto"/>
              <w:left w:val="single" w:sz="4" w:space="0" w:color="auto"/>
              <w:bottom w:val="single" w:sz="4" w:space="0" w:color="auto"/>
              <w:right w:val="single" w:sz="4" w:space="0" w:color="auto"/>
            </w:tcBorders>
          </w:tcPr>
          <w:p w14:paraId="40BEB528" w14:textId="77777777" w:rsidR="009335E4" w:rsidRPr="00776407" w:rsidRDefault="009335E4" w:rsidP="00430A5A">
            <w:pPr>
              <w:autoSpaceDE w:val="0"/>
              <w:autoSpaceDN w:val="0"/>
              <w:adjustRightInd w:val="0"/>
              <w:rPr>
                <w:rFonts w:eastAsia="Calibri"/>
                <w:color w:val="000000"/>
              </w:rPr>
            </w:pPr>
            <w:r w:rsidRPr="00776407">
              <w:rPr>
                <w:rFonts w:eastAsia="Calibri"/>
                <w:i/>
                <w:iCs/>
                <w:color w:val="000000"/>
                <w:sz w:val="22"/>
                <w:szCs w:val="22"/>
              </w:rPr>
              <w:t xml:space="preserve">Retos </w:t>
            </w:r>
          </w:p>
        </w:tc>
        <w:tc>
          <w:tcPr>
            <w:tcW w:w="6695" w:type="dxa"/>
            <w:gridSpan w:val="2"/>
            <w:tcBorders>
              <w:top w:val="single" w:sz="4" w:space="0" w:color="auto"/>
              <w:left w:val="single" w:sz="4" w:space="0" w:color="auto"/>
              <w:bottom w:val="single" w:sz="4" w:space="0" w:color="auto"/>
              <w:right w:val="single" w:sz="4" w:space="0" w:color="auto"/>
            </w:tcBorders>
          </w:tcPr>
          <w:p w14:paraId="6F388451" w14:textId="77777777" w:rsidR="009335E4" w:rsidRPr="00776407" w:rsidRDefault="009335E4" w:rsidP="00430A5A">
            <w:pPr>
              <w:autoSpaceDE w:val="0"/>
              <w:autoSpaceDN w:val="0"/>
              <w:adjustRightInd w:val="0"/>
              <w:rPr>
                <w:rFonts w:eastAsia="Calibri"/>
                <w:color w:val="000000"/>
              </w:rPr>
            </w:pPr>
            <w:r w:rsidRPr="00776407">
              <w:rPr>
                <w:rFonts w:eastAsia="Calibri"/>
                <w:color w:val="000000"/>
                <w:sz w:val="22"/>
                <w:szCs w:val="22"/>
              </w:rPr>
              <w:t xml:space="preserve">Padidėjusi amilazės koncentracija kraujyje </w:t>
            </w:r>
          </w:p>
        </w:tc>
      </w:tr>
    </w:tbl>
    <w:p w14:paraId="3389587C" w14:textId="77777777" w:rsidR="00430A5A" w:rsidRPr="00776407" w:rsidRDefault="00430A5A" w:rsidP="00430A5A">
      <w:pPr>
        <w:rPr>
          <w:sz w:val="22"/>
          <w:szCs w:val="22"/>
        </w:rPr>
      </w:pPr>
    </w:p>
    <w:p w14:paraId="371465EA" w14:textId="77777777" w:rsidR="001D2F82" w:rsidRPr="00776407" w:rsidRDefault="001D2F82" w:rsidP="007E026D">
      <w:pPr>
        <w:ind w:left="720" w:hanging="720"/>
        <w:rPr>
          <w:sz w:val="22"/>
          <w:szCs w:val="22"/>
        </w:rPr>
      </w:pPr>
      <w:r w:rsidRPr="00776407">
        <w:rPr>
          <w:sz w:val="22"/>
          <w:szCs w:val="22"/>
        </w:rPr>
        <w:t>*</w:t>
      </w:r>
      <w:r w:rsidRPr="00776407">
        <w:rPr>
          <w:sz w:val="22"/>
          <w:szCs w:val="22"/>
        </w:rPr>
        <w:tab/>
        <w:t xml:space="preserve">Šių reakcijų tipai daugiausiai registruoti po </w:t>
      </w:r>
      <w:r w:rsidR="009A486B" w:rsidRPr="00776407">
        <w:rPr>
          <w:sz w:val="22"/>
          <w:szCs w:val="22"/>
        </w:rPr>
        <w:t>imatinibo</w:t>
      </w:r>
      <w:r w:rsidRPr="00776407">
        <w:rPr>
          <w:sz w:val="22"/>
          <w:szCs w:val="22"/>
        </w:rPr>
        <w:t xml:space="preserve"> pateikimo į rinką. Tai nepageidaujamos reakcijos, apie kurias pranešta spontaniniuose pranešimuose, taip pat sunkūs nepageidaujami reiškiniai, stebėti tebevykstančių tyrimų, išplėstinių gydymo programų, klinikinių farmakologinių tyrimų ir bandomųjų nepatvirtintų indikacijų tyrimų metu. Kadangi šios reakcijos registruotos neaiškaus dydžio populiacijoje, ne visuomet galima patikimai įvertinti jų dažnumą arba nustatyti priežastinį ryšį su imatinibo ekspozicija.</w:t>
      </w:r>
    </w:p>
    <w:p w14:paraId="249685D2" w14:textId="77777777" w:rsidR="00430A5A" w:rsidRPr="00776407" w:rsidRDefault="00430A5A" w:rsidP="007E026D">
      <w:pPr>
        <w:autoSpaceDE w:val="0"/>
        <w:autoSpaceDN w:val="0"/>
        <w:adjustRightInd w:val="0"/>
        <w:ind w:left="720" w:hanging="720"/>
        <w:rPr>
          <w:rFonts w:eastAsia="Calibri"/>
          <w:color w:val="000000"/>
          <w:sz w:val="22"/>
          <w:szCs w:val="22"/>
        </w:rPr>
      </w:pPr>
      <w:r w:rsidRPr="00776407">
        <w:rPr>
          <w:rFonts w:eastAsia="Calibri"/>
          <w:color w:val="000000"/>
          <w:sz w:val="22"/>
          <w:szCs w:val="22"/>
        </w:rPr>
        <w:t>1</w:t>
      </w:r>
      <w:r w:rsidR="001D2F82" w:rsidRPr="00776407">
        <w:rPr>
          <w:rFonts w:eastAsia="Calibri"/>
          <w:color w:val="000000"/>
          <w:sz w:val="22"/>
          <w:szCs w:val="22"/>
        </w:rPr>
        <w:tab/>
      </w:r>
      <w:r w:rsidRPr="00776407">
        <w:rPr>
          <w:rFonts w:eastAsia="Calibri"/>
          <w:color w:val="000000"/>
          <w:sz w:val="22"/>
          <w:szCs w:val="22"/>
        </w:rPr>
        <w:t xml:space="preserve">Pneumonija dažniausiai registruota pacientams, kuriems buvo transformuota LML, ir pacientams, kuriems buvo VTSN. </w:t>
      </w:r>
    </w:p>
    <w:p w14:paraId="3D988B87"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2</w:t>
      </w:r>
      <w:r w:rsidR="001D2F82" w:rsidRPr="00776407">
        <w:rPr>
          <w:rFonts w:eastAsia="Calibri"/>
          <w:color w:val="000000"/>
          <w:sz w:val="22"/>
          <w:szCs w:val="22"/>
        </w:rPr>
        <w:tab/>
      </w:r>
      <w:r w:rsidRPr="00776407">
        <w:rPr>
          <w:rFonts w:eastAsia="Calibri"/>
          <w:color w:val="000000"/>
          <w:sz w:val="22"/>
          <w:szCs w:val="22"/>
        </w:rPr>
        <w:t xml:space="preserve">Galvos skausmas dažniausiai pasireiškė pacientams, kuriems buvo VTSN. </w:t>
      </w:r>
    </w:p>
    <w:p w14:paraId="202D8366" w14:textId="77777777" w:rsidR="00430A5A" w:rsidRPr="00776407" w:rsidRDefault="00430A5A" w:rsidP="007E026D">
      <w:pPr>
        <w:autoSpaceDE w:val="0"/>
        <w:autoSpaceDN w:val="0"/>
        <w:adjustRightInd w:val="0"/>
        <w:ind w:left="720" w:hanging="720"/>
        <w:rPr>
          <w:rFonts w:eastAsia="Calibri"/>
          <w:color w:val="000000"/>
          <w:sz w:val="22"/>
          <w:szCs w:val="22"/>
        </w:rPr>
      </w:pPr>
      <w:r w:rsidRPr="00776407">
        <w:rPr>
          <w:rFonts w:eastAsia="Calibri"/>
          <w:color w:val="000000"/>
          <w:sz w:val="22"/>
          <w:szCs w:val="22"/>
        </w:rPr>
        <w:t>3</w:t>
      </w:r>
      <w:r w:rsidR="001D2F82" w:rsidRPr="00776407">
        <w:rPr>
          <w:rFonts w:eastAsia="Calibri"/>
          <w:color w:val="000000"/>
          <w:sz w:val="22"/>
          <w:szCs w:val="22"/>
        </w:rPr>
        <w:tab/>
      </w:r>
      <w:r w:rsidRPr="00776407">
        <w:rPr>
          <w:rFonts w:eastAsia="Calibri"/>
          <w:color w:val="000000"/>
          <w:sz w:val="22"/>
          <w:szCs w:val="22"/>
        </w:rPr>
        <w:t xml:space="preserve">Vertinant pagal pacientų metus </w:t>
      </w:r>
      <w:r w:rsidRPr="00776407">
        <w:rPr>
          <w:rFonts w:eastAsia="Calibri"/>
          <w:i/>
          <w:iCs/>
          <w:color w:val="000000"/>
          <w:sz w:val="22"/>
          <w:szCs w:val="22"/>
        </w:rPr>
        <w:t>(angl. patient-years</w:t>
      </w:r>
      <w:r w:rsidRPr="00776407">
        <w:rPr>
          <w:rFonts w:eastAsia="Calibri"/>
          <w:color w:val="000000"/>
          <w:sz w:val="22"/>
          <w:szCs w:val="22"/>
        </w:rPr>
        <w:t xml:space="preserve">), kardiologiniai reiškiniai, įskaitant stazinį širdies nepakankamumą, dažniau stebėti pacientams, kuriems buvo transformuota LML, nei pacientams, sergantiems lėtine LML. </w:t>
      </w:r>
    </w:p>
    <w:p w14:paraId="0D16B33B" w14:textId="77777777" w:rsidR="00430A5A" w:rsidRPr="00776407" w:rsidRDefault="00430A5A" w:rsidP="007E026D">
      <w:pPr>
        <w:autoSpaceDE w:val="0"/>
        <w:autoSpaceDN w:val="0"/>
        <w:adjustRightInd w:val="0"/>
        <w:ind w:left="720" w:hanging="720"/>
        <w:rPr>
          <w:rFonts w:eastAsia="Calibri"/>
          <w:color w:val="000000"/>
          <w:sz w:val="22"/>
          <w:szCs w:val="22"/>
        </w:rPr>
      </w:pPr>
      <w:r w:rsidRPr="00776407">
        <w:rPr>
          <w:rFonts w:eastAsia="Calibri"/>
          <w:color w:val="000000"/>
          <w:sz w:val="22"/>
          <w:szCs w:val="22"/>
        </w:rPr>
        <w:t>4</w:t>
      </w:r>
      <w:r w:rsidR="001D2F82" w:rsidRPr="00776407">
        <w:rPr>
          <w:rFonts w:eastAsia="Calibri"/>
          <w:color w:val="000000"/>
          <w:sz w:val="22"/>
          <w:szCs w:val="22"/>
        </w:rPr>
        <w:tab/>
      </w:r>
      <w:r w:rsidRPr="00776407">
        <w:rPr>
          <w:rFonts w:eastAsia="Calibri"/>
          <w:color w:val="000000"/>
          <w:sz w:val="22"/>
          <w:szCs w:val="22"/>
        </w:rPr>
        <w:t xml:space="preserve">Raudonis dažniausiai pasireiškė pacientams, kuriems buvo VTSN, o kraujavimas (hematoma, hemoragija) – pacientams, kuriems buvo VTSN, ir pacientams, kuriems buvo transformuota LML (LML-AF ir LML-BK). </w:t>
      </w:r>
    </w:p>
    <w:p w14:paraId="3AE68360" w14:textId="77777777" w:rsidR="00430A5A" w:rsidRPr="00776407" w:rsidRDefault="00430A5A" w:rsidP="007E026D">
      <w:pPr>
        <w:autoSpaceDE w:val="0"/>
        <w:autoSpaceDN w:val="0"/>
        <w:adjustRightInd w:val="0"/>
        <w:ind w:left="720" w:hanging="720"/>
        <w:rPr>
          <w:rFonts w:eastAsia="Calibri"/>
          <w:color w:val="000000"/>
          <w:sz w:val="22"/>
          <w:szCs w:val="22"/>
        </w:rPr>
      </w:pPr>
      <w:r w:rsidRPr="00776407">
        <w:rPr>
          <w:rFonts w:eastAsia="Calibri"/>
          <w:color w:val="000000"/>
          <w:sz w:val="22"/>
          <w:szCs w:val="22"/>
        </w:rPr>
        <w:t>5</w:t>
      </w:r>
      <w:r w:rsidR="001D2F82" w:rsidRPr="00776407">
        <w:rPr>
          <w:rFonts w:eastAsia="Calibri"/>
          <w:color w:val="000000"/>
          <w:sz w:val="22"/>
          <w:szCs w:val="22"/>
        </w:rPr>
        <w:tab/>
      </w:r>
      <w:r w:rsidRPr="00776407">
        <w:rPr>
          <w:rFonts w:eastAsia="Calibri"/>
          <w:color w:val="000000"/>
          <w:sz w:val="22"/>
          <w:szCs w:val="22"/>
        </w:rPr>
        <w:t xml:space="preserve">Skystis pleuros ertmėje dažniau registruotas pacientams, kuriems buvo VTSN, ir pacientams, kuriems buvo transformuota LML (LML-AF ir LML-BK), nei pacientams, sergantiems lėtine LML. </w:t>
      </w:r>
    </w:p>
    <w:p w14:paraId="384AC268" w14:textId="77777777" w:rsidR="00430A5A" w:rsidRPr="00776407" w:rsidRDefault="00430A5A" w:rsidP="007E026D">
      <w:pPr>
        <w:autoSpaceDE w:val="0"/>
        <w:autoSpaceDN w:val="0"/>
        <w:adjustRightInd w:val="0"/>
        <w:ind w:left="720" w:hanging="720"/>
        <w:rPr>
          <w:rFonts w:eastAsia="Calibri"/>
          <w:color w:val="000000"/>
          <w:sz w:val="22"/>
          <w:szCs w:val="22"/>
        </w:rPr>
      </w:pPr>
      <w:r w:rsidRPr="00776407">
        <w:rPr>
          <w:rFonts w:eastAsia="Calibri"/>
          <w:color w:val="000000"/>
          <w:sz w:val="22"/>
          <w:szCs w:val="22"/>
        </w:rPr>
        <w:t>6+7</w:t>
      </w:r>
      <w:r w:rsidR="001D2F82" w:rsidRPr="00776407">
        <w:rPr>
          <w:rFonts w:eastAsia="Calibri"/>
          <w:color w:val="000000"/>
          <w:sz w:val="22"/>
          <w:szCs w:val="22"/>
        </w:rPr>
        <w:tab/>
      </w:r>
      <w:r w:rsidRPr="00776407">
        <w:rPr>
          <w:rFonts w:eastAsia="Calibri"/>
          <w:color w:val="000000"/>
          <w:sz w:val="22"/>
          <w:szCs w:val="22"/>
        </w:rPr>
        <w:t xml:space="preserve">Pilvo skausmas ir kraujavimas iš virškinimo trakto dažniausiai stebėtas pacientams, kuriems buvo VTSN. </w:t>
      </w:r>
    </w:p>
    <w:p w14:paraId="2710E307"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8</w:t>
      </w:r>
      <w:r w:rsidR="001D2F82" w:rsidRPr="00776407">
        <w:rPr>
          <w:rFonts w:eastAsia="Calibri"/>
          <w:color w:val="000000"/>
          <w:sz w:val="22"/>
          <w:szCs w:val="22"/>
        </w:rPr>
        <w:tab/>
      </w:r>
      <w:r w:rsidRPr="00776407">
        <w:rPr>
          <w:rFonts w:eastAsia="Calibri"/>
          <w:color w:val="000000"/>
          <w:sz w:val="22"/>
          <w:szCs w:val="22"/>
        </w:rPr>
        <w:t xml:space="preserve">Registruoti keli mirtini kepenų nepakankamumo ir kepenų nekrozės atvejai. </w:t>
      </w:r>
    </w:p>
    <w:p w14:paraId="4DE255D0" w14:textId="77777777" w:rsidR="006D52A1" w:rsidRPr="00776407" w:rsidRDefault="006D52A1" w:rsidP="006D52A1">
      <w:pPr>
        <w:autoSpaceDE w:val="0"/>
        <w:autoSpaceDN w:val="0"/>
        <w:adjustRightInd w:val="0"/>
        <w:ind w:left="709" w:hanging="709"/>
        <w:rPr>
          <w:rFonts w:eastAsia="Calibri"/>
          <w:sz w:val="22"/>
          <w:szCs w:val="22"/>
        </w:rPr>
      </w:pPr>
      <w:r w:rsidRPr="00776407">
        <w:rPr>
          <w:rFonts w:eastAsia="Calibri"/>
          <w:sz w:val="22"/>
          <w:szCs w:val="22"/>
        </w:rPr>
        <w:t>9</w:t>
      </w:r>
      <w:r w:rsidRPr="00776407">
        <w:rPr>
          <w:rFonts w:eastAsia="Calibri"/>
          <w:sz w:val="22"/>
          <w:szCs w:val="22"/>
        </w:rPr>
        <w:tab/>
      </w:r>
      <w:r w:rsidR="00190382" w:rsidRPr="00776407">
        <w:rPr>
          <w:rFonts w:eastAsia="Calibri"/>
          <w:sz w:val="22"/>
          <w:szCs w:val="22"/>
        </w:rPr>
        <w:t>Po registracijos, gauta pranešimų apie skeleto ir raumenų skausmo atvejus pacientams, kurie pastebėti gydymo imatinibu metu arba po jo vartojimo nutraukimo.</w:t>
      </w:r>
    </w:p>
    <w:p w14:paraId="7F02F755" w14:textId="77777777" w:rsidR="00430A5A" w:rsidRPr="00776407" w:rsidRDefault="006D52A1" w:rsidP="007E026D">
      <w:pPr>
        <w:autoSpaceDE w:val="0"/>
        <w:autoSpaceDN w:val="0"/>
        <w:adjustRightInd w:val="0"/>
        <w:ind w:left="720" w:hanging="720"/>
        <w:rPr>
          <w:rFonts w:eastAsia="Calibri"/>
          <w:color w:val="000000"/>
          <w:sz w:val="22"/>
          <w:szCs w:val="22"/>
        </w:rPr>
      </w:pPr>
      <w:r w:rsidRPr="00776407">
        <w:rPr>
          <w:rFonts w:eastAsia="Calibri"/>
          <w:color w:val="000000"/>
          <w:sz w:val="22"/>
          <w:szCs w:val="22"/>
        </w:rPr>
        <w:t>10</w:t>
      </w:r>
      <w:r w:rsidR="001D2F82" w:rsidRPr="00776407">
        <w:rPr>
          <w:rFonts w:eastAsia="Calibri"/>
          <w:color w:val="000000"/>
          <w:sz w:val="22"/>
          <w:szCs w:val="22"/>
        </w:rPr>
        <w:tab/>
      </w:r>
      <w:r w:rsidR="00430A5A" w:rsidRPr="00776407">
        <w:rPr>
          <w:rFonts w:eastAsia="Calibri"/>
          <w:color w:val="000000"/>
          <w:sz w:val="22"/>
          <w:szCs w:val="22"/>
        </w:rPr>
        <w:t xml:space="preserve">Skeleto ir raumenų skausmas bei susiję reiškiniai dažniau stebėti pacientams, sergantiems LML, nei pacientams, kuriems buvo VTSN. </w:t>
      </w:r>
    </w:p>
    <w:p w14:paraId="2FD771DD" w14:textId="77777777" w:rsidR="001D2F82" w:rsidRPr="00776407" w:rsidRDefault="001D2F82" w:rsidP="007E026D">
      <w:pPr>
        <w:autoSpaceDE w:val="0"/>
        <w:autoSpaceDN w:val="0"/>
        <w:adjustRightInd w:val="0"/>
        <w:ind w:left="720" w:hanging="720"/>
        <w:rPr>
          <w:rFonts w:eastAsia="Calibri"/>
          <w:color w:val="000000"/>
          <w:sz w:val="22"/>
          <w:szCs w:val="22"/>
        </w:rPr>
      </w:pPr>
      <w:r w:rsidRPr="00776407">
        <w:rPr>
          <w:rFonts w:eastAsia="Calibri"/>
          <w:color w:val="000000"/>
          <w:sz w:val="22"/>
          <w:szCs w:val="22"/>
        </w:rPr>
        <w:t>1</w:t>
      </w:r>
      <w:r w:rsidR="006D52A1" w:rsidRPr="00776407">
        <w:rPr>
          <w:rFonts w:eastAsia="Calibri"/>
          <w:color w:val="000000"/>
          <w:sz w:val="22"/>
          <w:szCs w:val="22"/>
        </w:rPr>
        <w:t>1</w:t>
      </w:r>
      <w:r w:rsidRPr="00776407">
        <w:rPr>
          <w:rFonts w:eastAsia="Calibri"/>
          <w:color w:val="000000"/>
          <w:sz w:val="22"/>
          <w:szCs w:val="22"/>
        </w:rPr>
        <w:tab/>
        <w:t>Buvo praneštas apie mirties atvejus pacientams, kuriems yra progresavusi liga, sunkių infekcijų, sunki neutropenija ir kitų sunkių gretutinių ligų.</w:t>
      </w:r>
    </w:p>
    <w:p w14:paraId="7737FA08" w14:textId="77777777" w:rsidR="001D2F82" w:rsidRPr="00776407" w:rsidRDefault="001D2F82" w:rsidP="00430A5A">
      <w:pPr>
        <w:autoSpaceDE w:val="0"/>
        <w:autoSpaceDN w:val="0"/>
        <w:adjustRightInd w:val="0"/>
        <w:rPr>
          <w:rFonts w:eastAsia="Calibri"/>
          <w:i/>
          <w:color w:val="000000"/>
          <w:sz w:val="22"/>
          <w:szCs w:val="22"/>
          <w:u w:val="single"/>
        </w:rPr>
      </w:pPr>
    </w:p>
    <w:p w14:paraId="39800170" w14:textId="77777777" w:rsidR="00430A5A" w:rsidRPr="00776407" w:rsidRDefault="00430A5A" w:rsidP="00430A5A">
      <w:pPr>
        <w:autoSpaceDE w:val="0"/>
        <w:autoSpaceDN w:val="0"/>
        <w:adjustRightInd w:val="0"/>
        <w:rPr>
          <w:rFonts w:eastAsia="Calibri"/>
          <w:i/>
          <w:color w:val="000000"/>
          <w:sz w:val="22"/>
          <w:szCs w:val="22"/>
          <w:u w:val="single"/>
        </w:rPr>
      </w:pPr>
      <w:r w:rsidRPr="00776407">
        <w:rPr>
          <w:rFonts w:eastAsia="Calibri"/>
          <w:i/>
          <w:color w:val="000000"/>
          <w:sz w:val="22"/>
          <w:szCs w:val="22"/>
          <w:u w:val="single"/>
        </w:rPr>
        <w:t xml:space="preserve">Pakitę laboratoriniai testai </w:t>
      </w:r>
    </w:p>
    <w:p w14:paraId="7EC3FB54"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i/>
          <w:iCs/>
          <w:color w:val="000000"/>
          <w:sz w:val="22"/>
          <w:szCs w:val="22"/>
        </w:rPr>
        <w:t xml:space="preserve">Hematologija </w:t>
      </w:r>
    </w:p>
    <w:p w14:paraId="3F8DB6F5"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Visų tyrimų metu LML sergantiems pacientams stebėta citopenija, ypač neutropenija ir trombocitopenija, dažniau vartojant dideles </w:t>
      </w:r>
      <w:r w:rsidRPr="00776407">
        <w:t xml:space="preserve">≥ 750 mg </w:t>
      </w:r>
      <w:r w:rsidRPr="00776407">
        <w:rPr>
          <w:rFonts w:eastAsia="Calibri"/>
          <w:color w:val="000000"/>
          <w:sz w:val="22"/>
          <w:szCs w:val="22"/>
        </w:rPr>
        <w:t>dozes (I fazės tyrimas). Tačiau citopenijos aiškiai priklauso nuo ligos stadijos, III-IV laipsnio neutropenija (ANS &lt; 1,0 x 10</w:t>
      </w:r>
      <w:r w:rsidRPr="00776407">
        <w:rPr>
          <w:rFonts w:eastAsia="Calibri"/>
          <w:color w:val="000000"/>
          <w:sz w:val="22"/>
          <w:szCs w:val="22"/>
          <w:vertAlign w:val="superscript"/>
        </w:rPr>
        <w:t>9</w:t>
      </w:r>
      <w:r w:rsidRPr="00776407">
        <w:rPr>
          <w:rFonts w:eastAsia="Calibri"/>
          <w:color w:val="000000"/>
          <w:sz w:val="22"/>
          <w:szCs w:val="22"/>
        </w:rPr>
        <w:t>/l) ir trombocitopenija (trombocitų &lt; 50 x 10</w:t>
      </w:r>
      <w:r w:rsidRPr="00776407">
        <w:rPr>
          <w:rFonts w:eastAsia="Calibri"/>
          <w:color w:val="000000"/>
          <w:sz w:val="22"/>
          <w:szCs w:val="22"/>
          <w:vertAlign w:val="superscript"/>
        </w:rPr>
        <w:t>9</w:t>
      </w:r>
      <w:r w:rsidRPr="00776407">
        <w:rPr>
          <w:rFonts w:eastAsia="Calibri"/>
          <w:color w:val="000000"/>
          <w:sz w:val="22"/>
          <w:szCs w:val="22"/>
        </w:rPr>
        <w:t>/l) buvo 4–6 kartus dažniau nustatyta pacientams, kuriems buvo blastinė krizė ar akceleracijos fazė (neutropenija ir trombocitopenija atitinkamai 59–64 % ir 44–63 %), lyginant su pacientais, kuriems buvo naujai diagnozuota lėtinė LML fazė (16,7 % neutropenija ir 8,9 % trombocitopenija). Naujai diagnozuotos lėtinės LML fazės metu IV</w:t>
      </w:r>
      <w:r w:rsidRPr="00776407">
        <w:rPr>
          <w:rFonts w:eastAsia="Calibri"/>
        </w:rPr>
        <w:t> </w:t>
      </w:r>
      <w:r w:rsidRPr="00776407">
        <w:rPr>
          <w:rFonts w:eastAsia="Calibri"/>
          <w:color w:val="000000"/>
          <w:sz w:val="22"/>
          <w:szCs w:val="22"/>
        </w:rPr>
        <w:t>laipsnio neutropenija (ANS &lt; 0,5 x 10</w:t>
      </w:r>
      <w:r w:rsidRPr="00776407">
        <w:rPr>
          <w:rFonts w:eastAsia="Calibri"/>
          <w:color w:val="000000"/>
          <w:sz w:val="22"/>
          <w:szCs w:val="22"/>
          <w:vertAlign w:val="superscript"/>
        </w:rPr>
        <w:t>9</w:t>
      </w:r>
      <w:r w:rsidRPr="00776407">
        <w:rPr>
          <w:rFonts w:eastAsia="Calibri"/>
          <w:color w:val="000000"/>
          <w:sz w:val="22"/>
          <w:szCs w:val="22"/>
        </w:rPr>
        <w:t>/l) ir trombocitopenija (trombocitų &lt; 50 x 10</w:t>
      </w:r>
      <w:r w:rsidRPr="00776407">
        <w:rPr>
          <w:rFonts w:eastAsia="Calibri"/>
          <w:color w:val="000000"/>
          <w:sz w:val="22"/>
          <w:szCs w:val="22"/>
          <w:vertAlign w:val="superscript"/>
        </w:rPr>
        <w:t>9</w:t>
      </w:r>
      <w:r w:rsidRPr="00776407">
        <w:rPr>
          <w:rFonts w:eastAsia="Calibri"/>
          <w:color w:val="000000"/>
          <w:sz w:val="22"/>
          <w:szCs w:val="22"/>
        </w:rPr>
        <w:t xml:space="preserve">/l) stebėta atitinkamai 3,6  % ir &lt; 1 % pacientų. Vidurinė neutropenijos ir trombocitopenijos epizodų trukmė paprastai yra atitinkamai 2–3 savaitės ir 3–4 savaitės. Šiuos reiškinius dažniausiai galima kontroliuoti sumažinus imatinibo dozę ar laikinai jį nutraukus, tačiau retai tenka gydymą visiškai nutraukti. Vaikų, sergančių LML, tarpe dažniausiai stebėtas nepageidaujamas poveikis buvo III-IV laipsnio citopenijos, įskaitant neutropeniją, trombocitopeniją ir anemiją. Paprastai jos pasireiškė per pirmus gydymo mėnesius. </w:t>
      </w:r>
    </w:p>
    <w:p w14:paraId="3AB0AF25" w14:textId="77777777" w:rsidR="00430A5A" w:rsidRPr="00776407" w:rsidRDefault="00430A5A" w:rsidP="00430A5A">
      <w:pPr>
        <w:autoSpaceDE w:val="0"/>
        <w:autoSpaceDN w:val="0"/>
        <w:adjustRightInd w:val="0"/>
        <w:rPr>
          <w:rFonts w:eastAsia="Calibri"/>
          <w:color w:val="000000"/>
          <w:sz w:val="22"/>
          <w:szCs w:val="22"/>
        </w:rPr>
      </w:pPr>
    </w:p>
    <w:p w14:paraId="273BE5A0" w14:textId="77777777" w:rsidR="00430A5A" w:rsidRPr="00776407" w:rsidRDefault="00430A5A" w:rsidP="00430A5A">
      <w:pPr>
        <w:rPr>
          <w:rFonts w:eastAsia="Calibri"/>
          <w:color w:val="000000"/>
          <w:sz w:val="22"/>
          <w:szCs w:val="22"/>
        </w:rPr>
      </w:pPr>
      <w:r w:rsidRPr="00776407">
        <w:rPr>
          <w:rFonts w:eastAsia="Calibri"/>
          <w:color w:val="000000"/>
          <w:sz w:val="22"/>
          <w:szCs w:val="22"/>
        </w:rPr>
        <w:t>Atlikto klinikinio tyrimo duomenimis, jame dalyvavusiems pacientams, kuriems buvo nerezekuotinas ir (ar) metastazavęs VTSN, III–IV laipsnio anemija pasitaikė atitinkamai 5,4 % ir 0,7 %. Ji gali būti susijusi su virškinimo trakto ir vidunavikiniu kraujavimu, bent jau kai kuriems pacientams. III–IV laipsnio neutropenija stebėta atitinkamai 7,5 % ir 2,7 % pacientų, o III laipsnio trombocitopenija – 0,7 % pacientų. Nė vienam pacientui nepasireiškė IV laipsnio trombocitopenija. Leukocitų (baltųjų kraujo kūnelių, BKK) ir neutrofilų daugiausia sumažėjo per pirmąsias šešias gydymo savaites, paskui jų kiekis santykinai nekito.</w:t>
      </w:r>
    </w:p>
    <w:p w14:paraId="3FE4F408" w14:textId="77777777" w:rsidR="00430A5A" w:rsidRPr="00776407" w:rsidRDefault="00430A5A" w:rsidP="00430A5A">
      <w:pPr>
        <w:rPr>
          <w:rFonts w:eastAsia="Calibri"/>
          <w:color w:val="000000"/>
          <w:sz w:val="22"/>
          <w:szCs w:val="22"/>
        </w:rPr>
      </w:pPr>
    </w:p>
    <w:p w14:paraId="4D72A6A1"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i/>
          <w:iCs/>
          <w:color w:val="000000"/>
          <w:sz w:val="22"/>
          <w:szCs w:val="22"/>
        </w:rPr>
        <w:t xml:space="preserve">Biochemija </w:t>
      </w:r>
    </w:p>
    <w:p w14:paraId="426F5285"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LML sergantiems pacientams stebėta labai padidėjusi transaminazių (&lt; 5 %) ar bilirubino (&lt; 1 %) koncentracija, kuri paprastai sumažėdavo sumažinus dozę ar laikinai nutraukus gydymą (šių epizodų trukmės mediana buvo maždaug viena savaitė). Dėl pakitusių kepenų funkcijos laboratorinių rodiklių gydymą visiškai reikėjo nutraukti mažiau kaip 1 % LML sirgusių pacientų. 6,8 % VTSN sergančių pacientų (tyrimas B2222) buvo stebėtas 3 ar 4 laipsnio ALT (alanino aminotransferazių) koncentracijos padidėjimas ir 4,8 % - 3 ar 4 laipsnio AST (aspartataminotransferazių) padidėjimas. Bilirubino koncentracija didėjo mažiau kaip 3 %. </w:t>
      </w:r>
    </w:p>
    <w:p w14:paraId="43BD7E99" w14:textId="77777777" w:rsidR="00430A5A" w:rsidRPr="00776407" w:rsidRDefault="00430A5A" w:rsidP="00430A5A">
      <w:pPr>
        <w:autoSpaceDE w:val="0"/>
        <w:autoSpaceDN w:val="0"/>
        <w:adjustRightInd w:val="0"/>
        <w:rPr>
          <w:rFonts w:eastAsia="Calibri"/>
          <w:color w:val="000000"/>
          <w:sz w:val="22"/>
          <w:szCs w:val="22"/>
        </w:rPr>
      </w:pPr>
    </w:p>
    <w:p w14:paraId="57AE9BF5"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Pasitaikė citolizinio bei cholestazinio hepatito ir kepenų nepakankamumo atvejų, kai kurie iš jų baig</w:t>
      </w:r>
      <w:r w:rsidR="00EA0CA9" w:rsidRPr="00776407">
        <w:rPr>
          <w:rFonts w:eastAsia="Calibri"/>
          <w:color w:val="000000"/>
          <w:sz w:val="22"/>
          <w:szCs w:val="22"/>
        </w:rPr>
        <w:t xml:space="preserve">ėsi mirtimi (vienam pacientui, </w:t>
      </w:r>
      <w:r w:rsidRPr="00776407">
        <w:rPr>
          <w:rFonts w:eastAsia="Calibri"/>
          <w:color w:val="000000"/>
          <w:sz w:val="22"/>
          <w:szCs w:val="22"/>
        </w:rPr>
        <w:t xml:space="preserve">vartojusiam didelę paracetamolio dozę). </w:t>
      </w:r>
    </w:p>
    <w:p w14:paraId="60A1E0D1" w14:textId="77777777" w:rsidR="00893547" w:rsidRPr="00776407" w:rsidRDefault="00893547" w:rsidP="00893547">
      <w:pPr>
        <w:autoSpaceDE w:val="0"/>
        <w:autoSpaceDN w:val="0"/>
        <w:adjustRightInd w:val="0"/>
        <w:jc w:val="both"/>
        <w:rPr>
          <w:sz w:val="22"/>
          <w:szCs w:val="22"/>
          <w:u w:val="single"/>
        </w:rPr>
      </w:pPr>
    </w:p>
    <w:p w14:paraId="3D3A9176" w14:textId="77777777" w:rsidR="00190382" w:rsidRPr="00776407" w:rsidRDefault="00190382" w:rsidP="00190382">
      <w:pPr>
        <w:keepNext/>
        <w:rPr>
          <w:color w:val="222222"/>
          <w:sz w:val="22"/>
          <w:szCs w:val="20"/>
          <w:u w:val="single"/>
        </w:rPr>
      </w:pPr>
      <w:r w:rsidRPr="00776407">
        <w:rPr>
          <w:color w:val="222222"/>
          <w:sz w:val="22"/>
          <w:szCs w:val="20"/>
          <w:u w:val="single"/>
        </w:rPr>
        <w:t>Atrinktų nepageidaujamų reakcijų apibūdinimas</w:t>
      </w:r>
    </w:p>
    <w:p w14:paraId="0AEB260D" w14:textId="77777777" w:rsidR="00190382" w:rsidRPr="00776407" w:rsidRDefault="00190382" w:rsidP="00190382">
      <w:pPr>
        <w:keepNext/>
        <w:rPr>
          <w:i/>
          <w:color w:val="222222"/>
          <w:sz w:val="22"/>
          <w:szCs w:val="20"/>
          <w:u w:val="single"/>
        </w:rPr>
      </w:pPr>
      <w:r w:rsidRPr="00776407">
        <w:rPr>
          <w:i/>
          <w:color w:val="222222"/>
          <w:sz w:val="22"/>
          <w:szCs w:val="20"/>
          <w:u w:val="single"/>
        </w:rPr>
        <w:t>Hepatito B reaktyvacija</w:t>
      </w:r>
    </w:p>
    <w:p w14:paraId="7A1F6D74" w14:textId="77777777" w:rsidR="00190382" w:rsidRPr="00776407" w:rsidRDefault="00190382" w:rsidP="00190382">
      <w:pPr>
        <w:rPr>
          <w:color w:val="222222"/>
          <w:sz w:val="22"/>
          <w:szCs w:val="20"/>
        </w:rPr>
      </w:pPr>
      <w:r w:rsidRPr="00776407">
        <w:rPr>
          <w:color w:val="222222"/>
          <w:sz w:val="22"/>
          <w:szCs w:val="20"/>
        </w:rPr>
        <w:t>Pranešta kad hepatito B reaktyvacijos atvejai buvo susiję su BCR-ABL tirozinkinazės inhibitorių (TKI) vartojimu. Kai kuriais atvejais tai sukėlė ūminį kepenų nepakankamumą arba žaibinį hepatitą, dėl kurio pacientui teko persodinti kepenis arba pacientas mirė (žr. 4.4 skyrių).</w:t>
      </w:r>
    </w:p>
    <w:p w14:paraId="22B6E5D7" w14:textId="77777777" w:rsidR="006D52A1" w:rsidRPr="00776407" w:rsidRDefault="006D52A1" w:rsidP="00893547">
      <w:pPr>
        <w:autoSpaceDE w:val="0"/>
        <w:autoSpaceDN w:val="0"/>
        <w:adjustRightInd w:val="0"/>
        <w:jc w:val="both"/>
        <w:rPr>
          <w:sz w:val="22"/>
          <w:szCs w:val="22"/>
          <w:u w:val="single"/>
        </w:rPr>
      </w:pPr>
    </w:p>
    <w:p w14:paraId="5D9C35C1" w14:textId="77777777" w:rsidR="00893547" w:rsidRPr="00776407" w:rsidRDefault="00893547" w:rsidP="00893547">
      <w:pPr>
        <w:autoSpaceDE w:val="0"/>
        <w:autoSpaceDN w:val="0"/>
        <w:adjustRightInd w:val="0"/>
        <w:jc w:val="both"/>
        <w:rPr>
          <w:sz w:val="22"/>
          <w:szCs w:val="22"/>
          <w:u w:val="single"/>
        </w:rPr>
      </w:pPr>
      <w:r w:rsidRPr="00776407">
        <w:rPr>
          <w:sz w:val="22"/>
          <w:szCs w:val="22"/>
          <w:u w:val="single"/>
        </w:rPr>
        <w:t>Pranešimas apie įtariamas nepageidaujamas reakcijas</w:t>
      </w:r>
    </w:p>
    <w:p w14:paraId="4CC72659" w14:textId="77777777" w:rsidR="00893547" w:rsidRPr="00776407" w:rsidRDefault="00893547" w:rsidP="00893547">
      <w:pPr>
        <w:autoSpaceDE w:val="0"/>
        <w:autoSpaceDN w:val="0"/>
        <w:adjustRightInd w:val="0"/>
        <w:jc w:val="both"/>
        <w:rPr>
          <w:sz w:val="22"/>
          <w:szCs w:val="22"/>
        </w:rPr>
      </w:pPr>
      <w:r w:rsidRPr="00776407">
        <w:rPr>
          <w:sz w:val="22"/>
          <w:szCs w:val="22"/>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4" w:history="1">
        <w:r w:rsidR="001D2F82" w:rsidRPr="00776407">
          <w:rPr>
            <w:rFonts w:eastAsia="Calibri"/>
            <w:color w:val="0000FF"/>
            <w:sz w:val="22"/>
            <w:szCs w:val="22"/>
            <w:highlight w:val="lightGray"/>
            <w:u w:val="single"/>
          </w:rPr>
          <w:t>V priede</w:t>
        </w:r>
      </w:hyperlink>
      <w:r w:rsidRPr="00776407">
        <w:rPr>
          <w:color w:val="00B050"/>
          <w:sz w:val="22"/>
          <w:szCs w:val="22"/>
          <w:highlight w:val="lightGray"/>
        </w:rPr>
        <w:t xml:space="preserve"> </w:t>
      </w:r>
      <w:r w:rsidRPr="00776407">
        <w:rPr>
          <w:sz w:val="22"/>
          <w:szCs w:val="22"/>
          <w:highlight w:val="lightGray"/>
        </w:rPr>
        <w:t>nurodyta nacionaline pranešimo</w:t>
      </w:r>
      <w:r w:rsidRPr="00776407">
        <w:rPr>
          <w:color w:val="00B050"/>
          <w:sz w:val="22"/>
          <w:szCs w:val="22"/>
          <w:highlight w:val="lightGray"/>
        </w:rPr>
        <w:t xml:space="preserve"> </w:t>
      </w:r>
      <w:r w:rsidRPr="00776407">
        <w:rPr>
          <w:sz w:val="22"/>
          <w:szCs w:val="22"/>
          <w:highlight w:val="lightGray"/>
        </w:rPr>
        <w:t>sistema</w:t>
      </w:r>
      <w:r w:rsidRPr="00776407">
        <w:rPr>
          <w:sz w:val="22"/>
          <w:szCs w:val="22"/>
        </w:rPr>
        <w:t>.</w:t>
      </w:r>
    </w:p>
    <w:p w14:paraId="0F16FA21" w14:textId="77777777" w:rsidR="00430A5A" w:rsidRPr="00776407" w:rsidRDefault="00430A5A" w:rsidP="00430A5A">
      <w:pPr>
        <w:autoSpaceDE w:val="0"/>
        <w:autoSpaceDN w:val="0"/>
        <w:adjustRightInd w:val="0"/>
        <w:rPr>
          <w:rFonts w:eastAsia="Calibri"/>
          <w:color w:val="000000"/>
          <w:sz w:val="22"/>
          <w:szCs w:val="22"/>
        </w:rPr>
      </w:pPr>
    </w:p>
    <w:p w14:paraId="7F8676A3" w14:textId="77777777" w:rsidR="00430A5A" w:rsidRPr="00776407" w:rsidRDefault="00430A5A" w:rsidP="00864BE6">
      <w:pPr>
        <w:pStyle w:val="Listenabsatz"/>
        <w:keepNext/>
        <w:numPr>
          <w:ilvl w:val="1"/>
          <w:numId w:val="2"/>
        </w:numPr>
        <w:autoSpaceDE w:val="0"/>
        <w:autoSpaceDN w:val="0"/>
        <w:adjustRightInd w:val="0"/>
        <w:ind w:left="567" w:hanging="567"/>
        <w:rPr>
          <w:rFonts w:eastAsia="Calibri"/>
          <w:b/>
          <w:color w:val="000000"/>
          <w:sz w:val="22"/>
          <w:szCs w:val="22"/>
        </w:rPr>
      </w:pPr>
      <w:r w:rsidRPr="00776407">
        <w:rPr>
          <w:rFonts w:eastAsia="Calibri"/>
          <w:b/>
          <w:bCs/>
          <w:color w:val="000000"/>
          <w:sz w:val="22"/>
          <w:szCs w:val="22"/>
        </w:rPr>
        <w:t xml:space="preserve">Perdozavimas </w:t>
      </w:r>
    </w:p>
    <w:p w14:paraId="64824353" w14:textId="77777777" w:rsidR="00430A5A" w:rsidRPr="00776407" w:rsidRDefault="00430A5A" w:rsidP="00430A5A">
      <w:pPr>
        <w:autoSpaceDE w:val="0"/>
        <w:autoSpaceDN w:val="0"/>
        <w:adjustRightInd w:val="0"/>
        <w:rPr>
          <w:rFonts w:eastAsia="Calibri"/>
          <w:b/>
          <w:color w:val="000000"/>
          <w:sz w:val="22"/>
          <w:szCs w:val="22"/>
        </w:rPr>
      </w:pPr>
    </w:p>
    <w:p w14:paraId="745DA795"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Didesnės dozės nei rekomenduojama terapinė dozė vartojimo patirties yra nedaug. Pavienių pranešimų metu ir literatūros šaltiniuose registruoti pavieniai imatinibo perdozavimo atvejai. Perdozavusį </w:t>
      </w:r>
      <w:r w:rsidR="008909BB" w:rsidRPr="00776407">
        <w:rPr>
          <w:rFonts w:eastAsia="MS Mincho"/>
          <w:color w:val="000000"/>
          <w:sz w:val="22"/>
          <w:szCs w:val="22"/>
        </w:rPr>
        <w:t xml:space="preserve">vaistinio preparato </w:t>
      </w:r>
      <w:r w:rsidRPr="00776407">
        <w:rPr>
          <w:rFonts w:eastAsia="Calibri"/>
          <w:color w:val="000000"/>
          <w:sz w:val="22"/>
          <w:szCs w:val="22"/>
        </w:rPr>
        <w:t xml:space="preserve">pacientą reikia stebėti ir taikyti atitinkamas simptominio gydymo priemones. Paprastai praneštais atvejais pacientų būklė “pagerėjo” arba jie “pasveiko”. Perdozavus skirtingų </w:t>
      </w:r>
      <w:r w:rsidR="008909BB" w:rsidRPr="00776407">
        <w:rPr>
          <w:rFonts w:eastAsia="MS Mincho"/>
          <w:color w:val="000000"/>
          <w:sz w:val="22"/>
          <w:szCs w:val="22"/>
        </w:rPr>
        <w:t xml:space="preserve">vaistinio preparato </w:t>
      </w:r>
      <w:r w:rsidRPr="00776407">
        <w:rPr>
          <w:rFonts w:eastAsia="Calibri"/>
          <w:color w:val="000000"/>
          <w:sz w:val="22"/>
          <w:szCs w:val="22"/>
        </w:rPr>
        <w:t xml:space="preserve">dozių, pranešta apie pasireiškusius toliau išvardytus reiškinius. </w:t>
      </w:r>
    </w:p>
    <w:p w14:paraId="47F2F691" w14:textId="77777777" w:rsidR="00430A5A" w:rsidRPr="00776407" w:rsidRDefault="00430A5A" w:rsidP="00430A5A">
      <w:pPr>
        <w:autoSpaceDE w:val="0"/>
        <w:autoSpaceDN w:val="0"/>
        <w:adjustRightInd w:val="0"/>
        <w:rPr>
          <w:rFonts w:eastAsia="Calibri"/>
          <w:color w:val="000000"/>
          <w:sz w:val="22"/>
          <w:szCs w:val="22"/>
        </w:rPr>
      </w:pPr>
    </w:p>
    <w:p w14:paraId="4EE9E0D5" w14:textId="77777777" w:rsidR="00430A5A" w:rsidRPr="00776407" w:rsidRDefault="00430A5A" w:rsidP="00430A5A">
      <w:pPr>
        <w:autoSpaceDE w:val="0"/>
        <w:autoSpaceDN w:val="0"/>
        <w:adjustRightInd w:val="0"/>
        <w:rPr>
          <w:rFonts w:eastAsia="Calibri"/>
          <w:color w:val="000000"/>
          <w:sz w:val="22"/>
          <w:szCs w:val="22"/>
          <w:u w:val="single"/>
        </w:rPr>
      </w:pPr>
      <w:r w:rsidRPr="00776407">
        <w:rPr>
          <w:rFonts w:eastAsia="Calibri"/>
          <w:iCs/>
          <w:color w:val="000000"/>
          <w:sz w:val="22"/>
          <w:szCs w:val="22"/>
          <w:u w:val="single"/>
        </w:rPr>
        <w:t xml:space="preserve">Suaugusiųjų populiacija </w:t>
      </w:r>
    </w:p>
    <w:p w14:paraId="7D632224"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Išgėrus 1200-1600 mg dozę (vartojimo trukmė buvo nuo 1 iki 10 dienų), pasireiškė pykinimas, vėmimas, viduriavimas, bėrimas, eritema, edema, patinimas, nuovargis, raumenų spazmai, trombocitopenija, pancitopenija, pilvo skausmas, galvos skausmas, sumažėjęs apetitas. </w:t>
      </w:r>
    </w:p>
    <w:p w14:paraId="5F21CC51"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Išgėrus 1800-3200 mg dozę (daugiausia po 3200 mg per parą 6 dienas), pasireiškė silpnumas, raumenų skausmas, padidėjusi kreatinfosfokinazės koncentracija, padidėjusi bilirubino koncentracija, virškinimo trakto skausmas. </w:t>
      </w:r>
    </w:p>
    <w:p w14:paraId="2EA82867"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Išgėrus 6400 mg (vienkartinę dozę): literatūros šaltiniuose pranešta apie vieną tokį atvejį, kai vienam pacientui pasireiškė pykinimas, vėmimas, pilvo skausmas, karščiavimas, veido patinimas, sumažėjęs neutrofilų skaičius kraujyje, padidėjusi transaminazių koncentracija. </w:t>
      </w:r>
    </w:p>
    <w:p w14:paraId="0422BD41"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Išgėrus 8-10 g (vienkartinę dozę), pranešta apie pasireiškusį vėmimą ir virškinimo trakto skausmą. </w:t>
      </w:r>
    </w:p>
    <w:p w14:paraId="43C3252E" w14:textId="77777777" w:rsidR="00430A5A" w:rsidRPr="00776407" w:rsidRDefault="00430A5A" w:rsidP="00430A5A">
      <w:pPr>
        <w:autoSpaceDE w:val="0"/>
        <w:autoSpaceDN w:val="0"/>
        <w:adjustRightInd w:val="0"/>
        <w:rPr>
          <w:rFonts w:eastAsia="Calibri"/>
          <w:color w:val="000000"/>
          <w:sz w:val="22"/>
          <w:szCs w:val="22"/>
        </w:rPr>
      </w:pPr>
    </w:p>
    <w:p w14:paraId="307622E3" w14:textId="77777777" w:rsidR="00430A5A" w:rsidRPr="00776407" w:rsidRDefault="00430A5A" w:rsidP="00430A5A">
      <w:pPr>
        <w:autoSpaceDE w:val="0"/>
        <w:autoSpaceDN w:val="0"/>
        <w:adjustRightInd w:val="0"/>
        <w:rPr>
          <w:rFonts w:eastAsia="Calibri"/>
          <w:color w:val="000000"/>
          <w:sz w:val="22"/>
          <w:szCs w:val="22"/>
          <w:u w:val="single"/>
        </w:rPr>
      </w:pPr>
      <w:r w:rsidRPr="00776407">
        <w:rPr>
          <w:rFonts w:eastAsia="Calibri"/>
          <w:iCs/>
          <w:color w:val="000000"/>
          <w:sz w:val="22"/>
          <w:szCs w:val="22"/>
          <w:u w:val="single"/>
        </w:rPr>
        <w:t xml:space="preserve">Vaikų populiacija </w:t>
      </w:r>
    </w:p>
    <w:p w14:paraId="3F253BC0"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Vienam 3 metų berniukui, kuris išgėrė vienkartinę 400 mg dozę, pasireiškė vėmimas, viduriavimas ir anoreksija, o kitam 3 metų berniukui, kuris išgėrė vienkartinę 980 mg dozę, sumažėjo leukocitų skaičius kraujyje ir pasireiškė viduriavimas. </w:t>
      </w:r>
    </w:p>
    <w:p w14:paraId="12721410" w14:textId="77777777" w:rsidR="00430A5A" w:rsidRPr="00776407" w:rsidRDefault="00430A5A" w:rsidP="00430A5A">
      <w:pPr>
        <w:autoSpaceDE w:val="0"/>
        <w:autoSpaceDN w:val="0"/>
        <w:adjustRightInd w:val="0"/>
        <w:rPr>
          <w:rFonts w:eastAsia="Calibri"/>
          <w:color w:val="000000"/>
          <w:sz w:val="22"/>
          <w:szCs w:val="22"/>
        </w:rPr>
      </w:pPr>
    </w:p>
    <w:p w14:paraId="3D785F16"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Pacientą, perdozavusį </w:t>
      </w:r>
      <w:r w:rsidR="008909BB" w:rsidRPr="00776407">
        <w:rPr>
          <w:rFonts w:eastAsia="MS Mincho"/>
          <w:color w:val="000000"/>
          <w:sz w:val="22"/>
          <w:szCs w:val="22"/>
        </w:rPr>
        <w:t>vaistinio preparato</w:t>
      </w:r>
      <w:r w:rsidRPr="00776407">
        <w:rPr>
          <w:rFonts w:eastAsia="Calibri"/>
          <w:color w:val="000000"/>
          <w:sz w:val="22"/>
          <w:szCs w:val="22"/>
        </w:rPr>
        <w:t xml:space="preserve">, reikia stebėti ir taikyti atitinkamas pagalbinio gydymo priemones. </w:t>
      </w:r>
    </w:p>
    <w:p w14:paraId="4DE4AE73" w14:textId="77777777" w:rsidR="00430A5A" w:rsidRPr="00776407" w:rsidRDefault="00430A5A" w:rsidP="00430A5A">
      <w:pPr>
        <w:autoSpaceDE w:val="0"/>
        <w:autoSpaceDN w:val="0"/>
        <w:adjustRightInd w:val="0"/>
        <w:rPr>
          <w:rFonts w:eastAsia="Calibri"/>
          <w:color w:val="000000"/>
          <w:sz w:val="22"/>
          <w:szCs w:val="22"/>
        </w:rPr>
      </w:pPr>
    </w:p>
    <w:p w14:paraId="59055B5A" w14:textId="77777777" w:rsidR="00430A5A" w:rsidRPr="00776407" w:rsidRDefault="00430A5A" w:rsidP="00430A5A">
      <w:pPr>
        <w:autoSpaceDE w:val="0"/>
        <w:autoSpaceDN w:val="0"/>
        <w:adjustRightInd w:val="0"/>
        <w:rPr>
          <w:rFonts w:eastAsia="Calibri"/>
          <w:color w:val="000000"/>
          <w:sz w:val="22"/>
          <w:szCs w:val="22"/>
        </w:rPr>
      </w:pPr>
    </w:p>
    <w:p w14:paraId="3D8E62EA" w14:textId="77777777" w:rsidR="00430A5A" w:rsidRPr="00776407" w:rsidRDefault="00430A5A" w:rsidP="00864BE6">
      <w:pPr>
        <w:pStyle w:val="Listenabsatz"/>
        <w:keepNext/>
        <w:numPr>
          <w:ilvl w:val="0"/>
          <w:numId w:val="2"/>
        </w:numPr>
        <w:autoSpaceDE w:val="0"/>
        <w:autoSpaceDN w:val="0"/>
        <w:adjustRightInd w:val="0"/>
        <w:ind w:left="567" w:hanging="567"/>
        <w:rPr>
          <w:rFonts w:eastAsia="Calibri"/>
          <w:b/>
          <w:color w:val="000000"/>
          <w:sz w:val="22"/>
          <w:szCs w:val="22"/>
        </w:rPr>
      </w:pPr>
      <w:r w:rsidRPr="00776407">
        <w:rPr>
          <w:rFonts w:eastAsia="Calibri"/>
          <w:b/>
          <w:bCs/>
          <w:color w:val="000000"/>
          <w:sz w:val="22"/>
          <w:szCs w:val="22"/>
        </w:rPr>
        <w:t xml:space="preserve">FARMAKOLOGINĖS SAVYBĖS </w:t>
      </w:r>
    </w:p>
    <w:p w14:paraId="1A756EF8" w14:textId="77777777" w:rsidR="00430A5A" w:rsidRPr="00776407" w:rsidRDefault="00430A5A" w:rsidP="00430A5A">
      <w:pPr>
        <w:keepNext/>
        <w:autoSpaceDE w:val="0"/>
        <w:autoSpaceDN w:val="0"/>
        <w:adjustRightInd w:val="0"/>
        <w:rPr>
          <w:rFonts w:eastAsia="Calibri"/>
          <w:b/>
          <w:color w:val="000000"/>
          <w:sz w:val="22"/>
          <w:szCs w:val="22"/>
        </w:rPr>
      </w:pPr>
    </w:p>
    <w:p w14:paraId="262EF045" w14:textId="77777777" w:rsidR="00430A5A" w:rsidRPr="00776407" w:rsidRDefault="00430A5A" w:rsidP="00864BE6">
      <w:pPr>
        <w:pStyle w:val="Listenabsatz"/>
        <w:keepNext/>
        <w:numPr>
          <w:ilvl w:val="1"/>
          <w:numId w:val="2"/>
        </w:numPr>
        <w:autoSpaceDE w:val="0"/>
        <w:autoSpaceDN w:val="0"/>
        <w:adjustRightInd w:val="0"/>
        <w:ind w:left="567" w:hanging="567"/>
        <w:rPr>
          <w:rFonts w:eastAsia="Calibri"/>
          <w:b/>
          <w:color w:val="000000"/>
          <w:sz w:val="22"/>
          <w:szCs w:val="22"/>
        </w:rPr>
      </w:pPr>
      <w:r w:rsidRPr="00776407">
        <w:rPr>
          <w:rFonts w:eastAsia="Calibri"/>
          <w:b/>
          <w:bCs/>
          <w:color w:val="000000"/>
          <w:sz w:val="22"/>
          <w:szCs w:val="22"/>
        </w:rPr>
        <w:t xml:space="preserve">Farmakodinaminės savybės </w:t>
      </w:r>
    </w:p>
    <w:p w14:paraId="71C4482D" w14:textId="77777777" w:rsidR="00430A5A" w:rsidRPr="00776407" w:rsidRDefault="00430A5A" w:rsidP="00430A5A">
      <w:pPr>
        <w:autoSpaceDE w:val="0"/>
        <w:autoSpaceDN w:val="0"/>
        <w:adjustRightInd w:val="0"/>
        <w:rPr>
          <w:rFonts w:eastAsia="Calibri"/>
          <w:color w:val="000000"/>
          <w:sz w:val="22"/>
          <w:szCs w:val="22"/>
        </w:rPr>
      </w:pPr>
    </w:p>
    <w:p w14:paraId="1211E0A2"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Farmakoterapinė grupė – </w:t>
      </w:r>
      <w:r w:rsidR="00FB56CD" w:rsidRPr="00776407">
        <w:rPr>
          <w:rFonts w:eastAsia="Calibri"/>
          <w:color w:val="000000"/>
          <w:sz w:val="22"/>
          <w:szCs w:val="22"/>
        </w:rPr>
        <w:t>antinavikiniai vaistai, protein</w:t>
      </w:r>
      <w:r w:rsidRPr="00776407">
        <w:rPr>
          <w:rFonts w:eastAsia="Calibri"/>
          <w:color w:val="000000"/>
          <w:sz w:val="22"/>
          <w:szCs w:val="22"/>
        </w:rPr>
        <w:t>kinazės inhibitorius, ATC kodas – L01XE01</w:t>
      </w:r>
      <w:r w:rsidR="009F4021" w:rsidRPr="00776407">
        <w:rPr>
          <w:rFonts w:eastAsia="Calibri"/>
          <w:color w:val="000000"/>
          <w:sz w:val="22"/>
          <w:szCs w:val="22"/>
        </w:rPr>
        <w:t>.</w:t>
      </w:r>
    </w:p>
    <w:p w14:paraId="52E36B1C" w14:textId="77777777" w:rsidR="00430A5A" w:rsidRPr="00776407" w:rsidRDefault="00430A5A" w:rsidP="00430A5A">
      <w:pPr>
        <w:autoSpaceDE w:val="0"/>
        <w:autoSpaceDN w:val="0"/>
        <w:adjustRightInd w:val="0"/>
        <w:rPr>
          <w:rFonts w:eastAsia="Calibri"/>
          <w:color w:val="000000"/>
          <w:sz w:val="22"/>
          <w:szCs w:val="22"/>
        </w:rPr>
      </w:pPr>
    </w:p>
    <w:p w14:paraId="7990FD37" w14:textId="77777777" w:rsidR="00430A5A" w:rsidRPr="00776407" w:rsidRDefault="00430A5A" w:rsidP="00430A5A">
      <w:pPr>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Veikimo mechanizmas </w:t>
      </w:r>
    </w:p>
    <w:p w14:paraId="4A4F2456" w14:textId="77777777" w:rsidR="00430A5A" w:rsidRPr="00776407" w:rsidRDefault="00430A5A" w:rsidP="00430A5A">
      <w:pPr>
        <w:rPr>
          <w:rFonts w:eastAsia="Calibri"/>
          <w:color w:val="000000"/>
          <w:sz w:val="22"/>
          <w:szCs w:val="22"/>
        </w:rPr>
      </w:pPr>
      <w:r w:rsidRPr="00776407">
        <w:rPr>
          <w:rFonts w:eastAsia="Calibri"/>
          <w:color w:val="000000"/>
          <w:sz w:val="22"/>
          <w:szCs w:val="22"/>
        </w:rPr>
        <w:t xml:space="preserve">Imatinibas yra nedidelė baltymo tirozino kinazės inhibitoriaus molekulė, kuri stipriai slopina </w:t>
      </w:r>
      <w:r w:rsidR="00475F83" w:rsidRPr="00776407">
        <w:rPr>
          <w:rFonts w:eastAsia="Calibri"/>
          <w:color w:val="000000"/>
          <w:sz w:val="22"/>
          <w:szCs w:val="22"/>
        </w:rPr>
        <w:t>Bcr</w:t>
      </w:r>
      <w:r w:rsidR="00475F83" w:rsidRPr="00776407">
        <w:noBreakHyphen/>
      </w:r>
      <w:r w:rsidR="00475F83" w:rsidRPr="00776407">
        <w:rPr>
          <w:rFonts w:eastAsia="Calibri"/>
          <w:color w:val="000000"/>
          <w:sz w:val="22"/>
          <w:szCs w:val="22"/>
        </w:rPr>
        <w:t>Abl</w:t>
      </w:r>
      <w:r w:rsidRPr="00776407">
        <w:rPr>
          <w:rFonts w:eastAsia="Calibri"/>
          <w:color w:val="000000"/>
          <w:sz w:val="22"/>
          <w:szCs w:val="22"/>
        </w:rPr>
        <w:t xml:space="preserve"> tirozino kinazės (TK) aktyvumą, taip pat keleto TK receptorių aktyvumą: Kit, c</w:t>
      </w:r>
      <w:r w:rsidR="000B03BF" w:rsidRPr="00776407">
        <w:rPr>
          <w:rFonts w:eastAsia="Calibri"/>
          <w:color w:val="000000"/>
          <w:sz w:val="22"/>
          <w:szCs w:val="22"/>
        </w:rPr>
        <w:noBreakHyphen/>
      </w:r>
      <w:r w:rsidRPr="00776407">
        <w:rPr>
          <w:rFonts w:eastAsia="Calibri"/>
          <w:color w:val="000000"/>
          <w:sz w:val="22"/>
          <w:szCs w:val="22"/>
        </w:rPr>
        <w:t xml:space="preserve">Kit proto-onkogeną koduojančio kamieninių ląstelių faktoriaus (angl. </w:t>
      </w:r>
      <w:r w:rsidRPr="00776407">
        <w:rPr>
          <w:rFonts w:eastAsia="Calibri"/>
          <w:i/>
          <w:iCs/>
          <w:color w:val="000000"/>
          <w:sz w:val="22"/>
          <w:szCs w:val="22"/>
        </w:rPr>
        <w:t>stem cell factor – SCF</w:t>
      </w:r>
      <w:r w:rsidRPr="00776407">
        <w:rPr>
          <w:rFonts w:eastAsia="Calibri"/>
          <w:color w:val="000000"/>
          <w:sz w:val="22"/>
          <w:szCs w:val="22"/>
        </w:rPr>
        <w:t xml:space="preserve">) receptorių, diskoidino domeno receptorius (DDR1 ir DDR2), kolonijas stimuliuojančio faktoriaus receptorių (angl. </w:t>
      </w:r>
      <w:r w:rsidRPr="00776407">
        <w:rPr>
          <w:rFonts w:eastAsia="Calibri"/>
          <w:i/>
          <w:iCs/>
          <w:color w:val="000000"/>
          <w:sz w:val="22"/>
          <w:szCs w:val="22"/>
        </w:rPr>
        <w:t>colony stimulating factor receptor – CSF-1R</w:t>
      </w:r>
      <w:r w:rsidRPr="00776407">
        <w:rPr>
          <w:rFonts w:eastAsia="Calibri"/>
          <w:color w:val="000000"/>
          <w:sz w:val="22"/>
          <w:szCs w:val="22"/>
        </w:rPr>
        <w:t xml:space="preserve">) bei trombocituose esančius augimo faktoriaus receptorius alfa ir beta (angl. </w:t>
      </w:r>
      <w:r w:rsidRPr="00776407">
        <w:rPr>
          <w:rFonts w:eastAsia="Calibri"/>
          <w:i/>
          <w:iCs/>
          <w:color w:val="000000"/>
          <w:sz w:val="22"/>
          <w:szCs w:val="22"/>
        </w:rPr>
        <w:t>platelet-derived growth factor receptors – PDGFR-alpha, PDGFR-beta</w:t>
      </w:r>
      <w:r w:rsidRPr="00776407">
        <w:rPr>
          <w:rFonts w:eastAsia="Calibri"/>
          <w:color w:val="000000"/>
          <w:sz w:val="22"/>
          <w:szCs w:val="22"/>
        </w:rPr>
        <w:t>). Imatinibas taip pat gali slopinti ląstelių procesus, kuriuos skatina šių receptorių kinazių aktyvinimas.</w:t>
      </w:r>
    </w:p>
    <w:p w14:paraId="5931CCBC" w14:textId="77777777" w:rsidR="00430A5A" w:rsidRPr="00776407" w:rsidRDefault="00430A5A" w:rsidP="00430A5A">
      <w:pPr>
        <w:rPr>
          <w:rFonts w:eastAsia="Calibri"/>
          <w:color w:val="000000"/>
          <w:sz w:val="22"/>
          <w:szCs w:val="22"/>
        </w:rPr>
      </w:pPr>
    </w:p>
    <w:p w14:paraId="66882BCD" w14:textId="77777777" w:rsidR="00430A5A" w:rsidRPr="00776407" w:rsidRDefault="00430A5A" w:rsidP="00430A5A">
      <w:pPr>
        <w:rPr>
          <w:rFonts w:eastAsia="Calibri"/>
          <w:sz w:val="22"/>
          <w:szCs w:val="22"/>
          <w:u w:val="single"/>
        </w:rPr>
      </w:pPr>
      <w:r w:rsidRPr="00776407">
        <w:rPr>
          <w:rFonts w:eastAsia="Calibri"/>
          <w:sz w:val="22"/>
          <w:szCs w:val="22"/>
          <w:u w:val="single"/>
        </w:rPr>
        <w:t xml:space="preserve">Farmakodinaminis poveikis </w:t>
      </w:r>
    </w:p>
    <w:p w14:paraId="110539B5" w14:textId="77777777" w:rsidR="00430A5A" w:rsidRPr="00776407" w:rsidRDefault="00430A5A" w:rsidP="00430A5A">
      <w:pPr>
        <w:rPr>
          <w:rFonts w:eastAsia="Calibri"/>
          <w:sz w:val="22"/>
          <w:szCs w:val="22"/>
        </w:rPr>
      </w:pPr>
      <w:r w:rsidRPr="00776407">
        <w:rPr>
          <w:rFonts w:eastAsia="Calibri"/>
          <w:sz w:val="22"/>
          <w:szCs w:val="22"/>
        </w:rPr>
        <w:t xml:space="preserve">Imatinibas yra proteintirozinkinazės inhibitorius, kuris </w:t>
      </w:r>
      <w:r w:rsidRPr="00776407">
        <w:rPr>
          <w:rFonts w:eastAsia="Calibri"/>
          <w:i/>
          <w:iCs/>
          <w:sz w:val="22"/>
          <w:szCs w:val="22"/>
        </w:rPr>
        <w:t>in</w:t>
      </w:r>
      <w:r w:rsidR="00857144" w:rsidRPr="00776407">
        <w:rPr>
          <w:rFonts w:eastAsia="Calibri"/>
          <w:i/>
          <w:iCs/>
          <w:sz w:val="22"/>
          <w:szCs w:val="22"/>
        </w:rPr>
        <w:t> </w:t>
      </w:r>
      <w:r w:rsidRPr="00776407">
        <w:rPr>
          <w:rFonts w:eastAsia="Calibri"/>
          <w:i/>
          <w:iCs/>
          <w:sz w:val="22"/>
          <w:szCs w:val="22"/>
        </w:rPr>
        <w:t>vitro</w:t>
      </w:r>
      <w:r w:rsidRPr="00776407">
        <w:rPr>
          <w:rFonts w:eastAsia="Calibri"/>
          <w:sz w:val="22"/>
          <w:szCs w:val="22"/>
        </w:rPr>
        <w:t xml:space="preserve">, ląstelės lygmenyje ir </w:t>
      </w:r>
      <w:r w:rsidRPr="00776407">
        <w:rPr>
          <w:rFonts w:eastAsia="Calibri"/>
          <w:i/>
          <w:iCs/>
          <w:sz w:val="22"/>
          <w:szCs w:val="22"/>
        </w:rPr>
        <w:t xml:space="preserve">in vivo </w:t>
      </w:r>
      <w:r w:rsidRPr="00776407">
        <w:rPr>
          <w:rFonts w:eastAsia="Calibri"/>
          <w:sz w:val="22"/>
          <w:szCs w:val="22"/>
        </w:rPr>
        <w:t>stipriai slopina Bcr</w:t>
      </w:r>
      <w:r w:rsidR="000B03BF" w:rsidRPr="00776407">
        <w:rPr>
          <w:rFonts w:eastAsia="Calibri"/>
          <w:sz w:val="22"/>
          <w:szCs w:val="22"/>
        </w:rPr>
        <w:noBreakHyphen/>
      </w:r>
      <w:r w:rsidRPr="00776407">
        <w:rPr>
          <w:rFonts w:eastAsia="Calibri"/>
          <w:sz w:val="22"/>
          <w:szCs w:val="22"/>
        </w:rPr>
        <w:t>Abl tirozinkinazę. Junginys selektyviai slopina proliferaciją ir indukuoja apoptozę Bcr</w:t>
      </w:r>
      <w:r w:rsidR="000B03BF" w:rsidRPr="00776407">
        <w:rPr>
          <w:rFonts w:eastAsia="Calibri"/>
          <w:sz w:val="22"/>
          <w:szCs w:val="22"/>
        </w:rPr>
        <w:noBreakHyphen/>
      </w:r>
      <w:r w:rsidRPr="00776407">
        <w:rPr>
          <w:rFonts w:eastAsia="Calibri"/>
          <w:sz w:val="22"/>
          <w:szCs w:val="22"/>
        </w:rPr>
        <w:t xml:space="preserve">Abl teigiamose ląstelių eilėse, taip pat šviežiose leukeminėse ląstelėse, gautose iš </w:t>
      </w:r>
      <w:r w:rsidRPr="00776407">
        <w:rPr>
          <w:rFonts w:eastAsia="Calibri"/>
          <w:i/>
          <w:iCs/>
          <w:sz w:val="22"/>
          <w:szCs w:val="22"/>
        </w:rPr>
        <w:t xml:space="preserve">Philadelphia </w:t>
      </w:r>
      <w:r w:rsidRPr="00776407">
        <w:rPr>
          <w:rFonts w:eastAsia="Calibri"/>
          <w:sz w:val="22"/>
          <w:szCs w:val="22"/>
        </w:rPr>
        <w:t xml:space="preserve">chromosomai teigiamų LML </w:t>
      </w:r>
      <w:r w:rsidR="00BB5F74" w:rsidRPr="00776407">
        <w:rPr>
          <w:rFonts w:eastAsia="Calibri"/>
          <w:sz w:val="22"/>
          <w:szCs w:val="22"/>
        </w:rPr>
        <w:t xml:space="preserve">ir ūmine limfoblastine leukemija (ŪLL) </w:t>
      </w:r>
      <w:r w:rsidRPr="00776407">
        <w:rPr>
          <w:rFonts w:eastAsia="Calibri"/>
          <w:sz w:val="22"/>
          <w:szCs w:val="22"/>
        </w:rPr>
        <w:t xml:space="preserve">sergančių pacientų. </w:t>
      </w:r>
    </w:p>
    <w:p w14:paraId="10838D41" w14:textId="77777777" w:rsidR="00430A5A" w:rsidRPr="00776407" w:rsidRDefault="00430A5A" w:rsidP="00430A5A">
      <w:pPr>
        <w:rPr>
          <w:rFonts w:eastAsia="Calibri"/>
          <w:sz w:val="22"/>
          <w:szCs w:val="22"/>
        </w:rPr>
      </w:pPr>
    </w:p>
    <w:p w14:paraId="21CEA871" w14:textId="77777777" w:rsidR="00430A5A" w:rsidRPr="00776407" w:rsidRDefault="00430A5A" w:rsidP="00430A5A">
      <w:pPr>
        <w:rPr>
          <w:rFonts w:eastAsia="Calibri"/>
          <w:sz w:val="22"/>
          <w:szCs w:val="22"/>
        </w:rPr>
      </w:pPr>
      <w:r w:rsidRPr="00776407">
        <w:rPr>
          <w:rFonts w:eastAsia="Calibri"/>
          <w:i/>
          <w:iCs/>
          <w:sz w:val="22"/>
          <w:szCs w:val="22"/>
        </w:rPr>
        <w:t xml:space="preserve">In vivo </w:t>
      </w:r>
      <w:r w:rsidRPr="00776407">
        <w:rPr>
          <w:rFonts w:eastAsia="Calibri"/>
          <w:sz w:val="22"/>
          <w:szCs w:val="22"/>
        </w:rPr>
        <w:t>gyvūnų modelyje su Bcr</w:t>
      </w:r>
      <w:r w:rsidR="000B03BF" w:rsidRPr="00776407">
        <w:rPr>
          <w:rFonts w:eastAsia="Calibri"/>
          <w:sz w:val="22"/>
          <w:szCs w:val="22"/>
        </w:rPr>
        <w:noBreakHyphen/>
      </w:r>
      <w:r w:rsidRPr="00776407">
        <w:rPr>
          <w:rFonts w:eastAsia="Calibri"/>
          <w:sz w:val="22"/>
          <w:szCs w:val="22"/>
        </w:rPr>
        <w:t xml:space="preserve">Abl teigiamomis naviko ląstelėmis junginiui (monoterapijoje) būdingas antinavikinis aktyvumas. </w:t>
      </w:r>
    </w:p>
    <w:p w14:paraId="1020C8E0" w14:textId="77777777" w:rsidR="00BB5F74" w:rsidRPr="00776407" w:rsidRDefault="00BB5F74" w:rsidP="00BB5F74">
      <w:pPr>
        <w:rPr>
          <w:sz w:val="22"/>
          <w:szCs w:val="22"/>
        </w:rPr>
      </w:pPr>
    </w:p>
    <w:p w14:paraId="54C6FA56" w14:textId="77777777" w:rsidR="00857144" w:rsidRPr="00776407" w:rsidRDefault="00857144" w:rsidP="00857144">
      <w:pPr>
        <w:rPr>
          <w:sz w:val="22"/>
          <w:szCs w:val="22"/>
        </w:rPr>
      </w:pPr>
      <w:r w:rsidRPr="00776407">
        <w:rPr>
          <w:sz w:val="22"/>
          <w:szCs w:val="22"/>
        </w:rPr>
        <w:t>Imatinibas taip pat yra trombocitų kilmės augimo faktoriaus (</w:t>
      </w:r>
      <w:r w:rsidRPr="00776407">
        <w:rPr>
          <w:i/>
          <w:iCs/>
          <w:sz w:val="22"/>
          <w:szCs w:val="22"/>
        </w:rPr>
        <w:t>platelet-derived growth factor</w:t>
      </w:r>
      <w:r w:rsidRPr="00776407">
        <w:rPr>
          <w:sz w:val="22"/>
          <w:szCs w:val="22"/>
        </w:rPr>
        <w:t>, PDGF) PDGF-R, ir slopina PDGF medijuojamus ląstelių procesus. MDS/MPL, HES/LEL ir DFSP patogenezėje svarbus PDGF receptorių ar Abl baltymo tirozino kinazės aktyvavymas, kurį gali skatinti jungimasis su įvairiais baltymais ar PDGF gamyba. Imatinibas slopina sutrikusio PDGFR ir Abl kinazės aktyvumo sukeltą signalo perdavimą ir ląstelių dauginimąsi.</w:t>
      </w:r>
    </w:p>
    <w:p w14:paraId="707EA196" w14:textId="77777777" w:rsidR="00857144" w:rsidRPr="00776407" w:rsidRDefault="00857144" w:rsidP="00857144">
      <w:pPr>
        <w:rPr>
          <w:rFonts w:eastAsia="Calibri"/>
          <w:sz w:val="22"/>
          <w:szCs w:val="22"/>
        </w:rPr>
      </w:pPr>
    </w:p>
    <w:p w14:paraId="4509EA5B" w14:textId="77777777" w:rsidR="00857144" w:rsidRPr="00776407" w:rsidRDefault="00857144" w:rsidP="00857144">
      <w:pPr>
        <w:rPr>
          <w:rFonts w:eastAsia="Calibri"/>
          <w:sz w:val="22"/>
          <w:szCs w:val="22"/>
          <w:u w:val="single"/>
        </w:rPr>
      </w:pPr>
      <w:r w:rsidRPr="00776407">
        <w:rPr>
          <w:rFonts w:eastAsia="Calibri"/>
          <w:sz w:val="22"/>
          <w:szCs w:val="22"/>
          <w:u w:val="single"/>
        </w:rPr>
        <w:t xml:space="preserve">Klinikiniai lėtinės mieloleukemijos tyrimai </w:t>
      </w:r>
    </w:p>
    <w:p w14:paraId="2870906F" w14:textId="77777777" w:rsidR="00C7429F" w:rsidRPr="00776407" w:rsidRDefault="00C7429F" w:rsidP="00C7429F">
      <w:pPr>
        <w:rPr>
          <w:rFonts w:eastAsia="Calibri"/>
          <w:sz w:val="22"/>
          <w:szCs w:val="22"/>
        </w:rPr>
      </w:pPr>
      <w:r w:rsidRPr="00776407">
        <w:rPr>
          <w:rFonts w:eastAsia="Calibri"/>
          <w:sz w:val="22"/>
          <w:szCs w:val="22"/>
        </w:rPr>
        <w:t xml:space="preserve">Imatinibo veiksmingumas nustatomas bendra hematologinio ir citogenetinio atsako dalimi ir gyvenimo trukme be ligos progresavimo. Kontroliuotų klinikinių tyrimų, įrodančių klinikinę naudą, t.y., nuo ligos priklausomų požymių išnykimą ar pailgėjusią gyvenimo trukmę, neatlikta. </w:t>
      </w:r>
    </w:p>
    <w:p w14:paraId="0161B0F8" w14:textId="77777777" w:rsidR="00C7429F" w:rsidRPr="00776407" w:rsidRDefault="00C7429F" w:rsidP="00C7429F">
      <w:pPr>
        <w:rPr>
          <w:rFonts w:eastAsia="Calibri"/>
          <w:sz w:val="22"/>
          <w:szCs w:val="22"/>
        </w:rPr>
      </w:pPr>
    </w:p>
    <w:p w14:paraId="1BCEC7E1" w14:textId="77777777" w:rsidR="00C7429F" w:rsidRPr="00776407" w:rsidRDefault="004E5BF2" w:rsidP="004E5BF2">
      <w:pPr>
        <w:rPr>
          <w:rFonts w:eastAsia="Calibri"/>
          <w:sz w:val="22"/>
          <w:szCs w:val="22"/>
        </w:rPr>
      </w:pPr>
      <w:r w:rsidRPr="00776407">
        <w:rPr>
          <w:rFonts w:eastAsia="Calibri"/>
          <w:sz w:val="22"/>
          <w:szCs w:val="22"/>
        </w:rPr>
        <w:t>A</w:t>
      </w:r>
      <w:r w:rsidR="00C7429F" w:rsidRPr="00776407">
        <w:rPr>
          <w:rFonts w:eastAsia="Calibri"/>
          <w:sz w:val="22"/>
          <w:szCs w:val="22"/>
        </w:rPr>
        <w:t xml:space="preserve">tliktasvienas didelis tarptautinis, atviras, nekontroliuojamas II fazės tyrimas pacientams, kuriems buvo </w:t>
      </w:r>
      <w:r w:rsidR="00C7429F" w:rsidRPr="00776407">
        <w:rPr>
          <w:rFonts w:eastAsia="Calibri"/>
          <w:i/>
          <w:iCs/>
          <w:sz w:val="22"/>
          <w:szCs w:val="22"/>
        </w:rPr>
        <w:t xml:space="preserve">Philadelphia </w:t>
      </w:r>
      <w:r w:rsidR="00C7429F" w:rsidRPr="00776407">
        <w:rPr>
          <w:rFonts w:eastAsia="Calibri"/>
          <w:sz w:val="22"/>
          <w:szCs w:val="22"/>
        </w:rPr>
        <w:t xml:space="preserve">chromosomai teigiamos (Ph+) LML progresavusi, blastinė ligos fazė. Be to, vaikai buvo gydomi dviejų I fazės tyrimų ir vieno II fazės tyrimo metu. </w:t>
      </w:r>
    </w:p>
    <w:p w14:paraId="66D6B58A" w14:textId="77777777" w:rsidR="00857144" w:rsidRPr="00776407" w:rsidRDefault="00857144" w:rsidP="00857144">
      <w:pPr>
        <w:rPr>
          <w:rFonts w:eastAsia="Calibri"/>
          <w:sz w:val="22"/>
          <w:szCs w:val="22"/>
        </w:rPr>
      </w:pPr>
    </w:p>
    <w:p w14:paraId="55FF5A51" w14:textId="77777777" w:rsidR="00857144" w:rsidRPr="00776407" w:rsidRDefault="00857144" w:rsidP="00857144">
      <w:pPr>
        <w:rPr>
          <w:rFonts w:eastAsia="Calibri"/>
          <w:sz w:val="22"/>
          <w:szCs w:val="22"/>
        </w:rPr>
      </w:pPr>
      <w:r w:rsidRPr="00776407">
        <w:rPr>
          <w:rFonts w:eastAsia="Calibri"/>
          <w:sz w:val="22"/>
          <w:szCs w:val="22"/>
        </w:rPr>
        <w:t xml:space="preserve">38 % visuose tyrimuose dalyvavusių pacientų buvo </w:t>
      </w:r>
      <w:r w:rsidRPr="00776407">
        <w:rPr>
          <w:sz w:val="22"/>
          <w:szCs w:val="22"/>
        </w:rPr>
        <w:t>≥ 60</w:t>
      </w:r>
      <w:r w:rsidRPr="00776407">
        <w:t> </w:t>
      </w:r>
      <w:r w:rsidRPr="00776407">
        <w:rPr>
          <w:rFonts w:eastAsia="Calibri"/>
          <w:sz w:val="22"/>
          <w:szCs w:val="22"/>
        </w:rPr>
        <w:t xml:space="preserve">metų ir 12 % – </w:t>
      </w:r>
      <w:r w:rsidRPr="00776407">
        <w:rPr>
          <w:sz w:val="22"/>
          <w:szCs w:val="22"/>
        </w:rPr>
        <w:t>≥ 70</w:t>
      </w:r>
      <w:r w:rsidRPr="00776407">
        <w:t> </w:t>
      </w:r>
      <w:r w:rsidRPr="00776407">
        <w:rPr>
          <w:rFonts w:eastAsia="Calibri"/>
          <w:sz w:val="22"/>
          <w:szCs w:val="22"/>
        </w:rPr>
        <w:t xml:space="preserve">metų. </w:t>
      </w:r>
    </w:p>
    <w:p w14:paraId="4038BC3A" w14:textId="77777777" w:rsidR="00857144" w:rsidRPr="00776407" w:rsidRDefault="00857144" w:rsidP="00857144">
      <w:pPr>
        <w:autoSpaceDE w:val="0"/>
        <w:autoSpaceDN w:val="0"/>
        <w:adjustRightInd w:val="0"/>
        <w:rPr>
          <w:rFonts w:eastAsia="Calibri"/>
          <w:color w:val="000000"/>
          <w:sz w:val="22"/>
          <w:szCs w:val="22"/>
        </w:rPr>
      </w:pPr>
    </w:p>
    <w:p w14:paraId="5B99DF00" w14:textId="77777777" w:rsidR="00430A5A" w:rsidRPr="00776407" w:rsidRDefault="00430A5A" w:rsidP="00857144">
      <w:pPr>
        <w:rPr>
          <w:rFonts w:eastAsia="Calibri"/>
          <w:sz w:val="22"/>
          <w:szCs w:val="22"/>
        </w:rPr>
      </w:pPr>
      <w:r w:rsidRPr="00776407">
        <w:rPr>
          <w:rFonts w:eastAsia="Calibri"/>
          <w:i/>
          <w:iCs/>
          <w:sz w:val="22"/>
          <w:szCs w:val="22"/>
        </w:rPr>
        <w:t>Mieloblastinė krizė</w:t>
      </w:r>
      <w:r w:rsidRPr="00776407">
        <w:rPr>
          <w:rFonts w:eastAsia="Calibri"/>
          <w:sz w:val="22"/>
          <w:szCs w:val="22"/>
        </w:rPr>
        <w:t xml:space="preserve">. Tyrime dalyvavo 260 pacientų, kuriems buvo mieloblastinė krizė. 95 (37 %) pacientai anksčiau gavo chemoterapiją dėl akceleracijos fazės ar blastinės krizės (“anksčiau gydyti pacientai”) ir 165 (63 %) negydyti (“negydyti pacientai”). Pirmieji 37 pacientai pradėti gydyti 400 mg doze. Paskui protokolas buvo papildytas, kad galima būtų skirti didesnę dozę, taigi kiti 223 pacientai buvo pradėti gydyti 600 mg doze. </w:t>
      </w:r>
    </w:p>
    <w:p w14:paraId="390CEC5A" w14:textId="77777777" w:rsidR="00430A5A" w:rsidRPr="00776407" w:rsidRDefault="00430A5A" w:rsidP="00430A5A">
      <w:pPr>
        <w:autoSpaceDE w:val="0"/>
        <w:autoSpaceDN w:val="0"/>
        <w:adjustRightInd w:val="0"/>
        <w:rPr>
          <w:rFonts w:eastAsia="Calibri"/>
          <w:sz w:val="22"/>
          <w:szCs w:val="22"/>
        </w:rPr>
      </w:pPr>
    </w:p>
    <w:p w14:paraId="3FD3FB02" w14:textId="77777777" w:rsidR="00857144" w:rsidRPr="00776407" w:rsidRDefault="00857144" w:rsidP="00857144">
      <w:pPr>
        <w:autoSpaceDE w:val="0"/>
        <w:autoSpaceDN w:val="0"/>
        <w:adjustRightInd w:val="0"/>
        <w:rPr>
          <w:rFonts w:eastAsia="Calibri"/>
          <w:sz w:val="22"/>
          <w:szCs w:val="22"/>
        </w:rPr>
      </w:pPr>
      <w:r w:rsidRPr="00776407">
        <w:rPr>
          <w:rFonts w:eastAsia="Calibri"/>
          <w:sz w:val="22"/>
          <w:szCs w:val="22"/>
        </w:rPr>
        <w:t>Svarbiausias veiksmingumo kintamasis buvo hematologinio atsako, apibūdinamo visišku hematologiniu atsaku, išnykusia leukemija (t. y., išnykusiais blastais iš</w:t>
      </w:r>
      <w:r w:rsidRPr="00776407">
        <w:t xml:space="preserve"> </w:t>
      </w:r>
      <w:r w:rsidRPr="00776407">
        <w:rPr>
          <w:sz w:val="22"/>
          <w:szCs w:val="22"/>
        </w:rPr>
        <w:t>kaulų čiulpų ir kraujo, bet nevisiškai atsigavusiam periferiniam kraujui kaip esant visiškam atsakui)</w:t>
      </w:r>
      <w:r w:rsidRPr="00776407">
        <w:t xml:space="preserve">, </w:t>
      </w:r>
      <w:r w:rsidRPr="00776407">
        <w:rPr>
          <w:rFonts w:eastAsia="Calibri"/>
          <w:sz w:val="22"/>
          <w:szCs w:val="22"/>
        </w:rPr>
        <w:t xml:space="preserve">ar grįžimu į lėtinę LML fazę, vertinant pagal tuos pačius kriterijus kaip ir akceleracijos fazės tyrimo metu, dažnis. Šio tyrimo metu hematologinis atsakas gautas 31 % pacientų (36 % – anksčiau negydytiems ir 22 % – anksčiau gydytiems) (žr. 2 lentelę). Atsako dažnis taip pat buvo didesnis pacientams, gydytiems 600 mg doze (33 %), lyginant su gydytais 400 mg doze (16 %, p=0,0220). Nustatyta vidutinė anksčiau negydytų ir anksčiau gydytų pacientų išgyvenamumo trukmė buvo atitinkamai 7,7 mėn. ir 4,7 mėn. </w:t>
      </w:r>
    </w:p>
    <w:p w14:paraId="42514C0D" w14:textId="77777777" w:rsidR="00430A5A" w:rsidRPr="00776407" w:rsidRDefault="00430A5A" w:rsidP="00430A5A">
      <w:pPr>
        <w:autoSpaceDE w:val="0"/>
        <w:autoSpaceDN w:val="0"/>
        <w:adjustRightInd w:val="0"/>
        <w:rPr>
          <w:rFonts w:eastAsia="Calibri"/>
          <w:sz w:val="22"/>
          <w:szCs w:val="22"/>
        </w:rPr>
      </w:pPr>
    </w:p>
    <w:p w14:paraId="43DF5DC6" w14:textId="77777777" w:rsidR="00430A5A" w:rsidRPr="00776407" w:rsidRDefault="00430A5A" w:rsidP="00430A5A">
      <w:pPr>
        <w:rPr>
          <w:rFonts w:eastAsia="Calibri"/>
          <w:sz w:val="22"/>
          <w:szCs w:val="22"/>
        </w:rPr>
      </w:pPr>
      <w:r w:rsidRPr="00776407">
        <w:rPr>
          <w:rFonts w:eastAsia="Calibri"/>
          <w:i/>
          <w:iCs/>
          <w:sz w:val="22"/>
          <w:szCs w:val="22"/>
        </w:rPr>
        <w:t>Limfoblastinė krizė</w:t>
      </w:r>
      <w:r w:rsidRPr="00776407">
        <w:rPr>
          <w:rFonts w:eastAsia="Calibri"/>
          <w:sz w:val="22"/>
          <w:szCs w:val="22"/>
        </w:rPr>
        <w:t>. Nedaug (n=10) pacientų buvo įtraukta į I fazės tyrimą. Hematologinio atsako dažnis buvo 70 %, jo trukmė – 2–3 mėnesiai.</w:t>
      </w:r>
    </w:p>
    <w:p w14:paraId="6B1D409B" w14:textId="77777777" w:rsidR="00430A5A" w:rsidRPr="00776407" w:rsidRDefault="00430A5A" w:rsidP="00430A5A">
      <w:pPr>
        <w:rPr>
          <w:rFonts w:eastAsia="Calibri"/>
          <w:sz w:val="22"/>
          <w:szCs w:val="22"/>
        </w:rPr>
      </w:pPr>
    </w:p>
    <w:p w14:paraId="5C4465AE" w14:textId="77777777" w:rsidR="00857144" w:rsidRPr="00776407" w:rsidRDefault="00857144" w:rsidP="00857144">
      <w:pPr>
        <w:autoSpaceDE w:val="0"/>
        <w:autoSpaceDN w:val="0"/>
        <w:adjustRightInd w:val="0"/>
        <w:rPr>
          <w:b/>
          <w:bCs/>
          <w:sz w:val="22"/>
          <w:szCs w:val="22"/>
        </w:rPr>
      </w:pPr>
      <w:r w:rsidRPr="00776407">
        <w:rPr>
          <w:b/>
          <w:bCs/>
          <w:sz w:val="22"/>
          <w:szCs w:val="22"/>
        </w:rPr>
        <w:t>2 lentelė</w:t>
      </w:r>
      <w:r w:rsidRPr="00776407">
        <w:rPr>
          <w:b/>
          <w:bCs/>
          <w:sz w:val="22"/>
          <w:szCs w:val="22"/>
        </w:rPr>
        <w:tab/>
        <w:t>LML tyrimų suaugusiųjų tarpe atsakas</w:t>
      </w:r>
    </w:p>
    <w:p w14:paraId="46FDA94A" w14:textId="77777777" w:rsidR="005F076F" w:rsidRPr="00776407" w:rsidRDefault="005F076F" w:rsidP="00857144">
      <w:pPr>
        <w:autoSpaceDE w:val="0"/>
        <w:autoSpaceDN w:val="0"/>
        <w:adjustRightInd w:val="0"/>
        <w:rPr>
          <w:rFonts w:eastAsia="Calibri"/>
          <w:i/>
          <w:iCs/>
          <w:color w:val="000000"/>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961"/>
        <w:gridCol w:w="142"/>
      </w:tblGrid>
      <w:tr w:rsidR="00CE0D74" w:rsidRPr="00776407" w14:paraId="41EB9EB0" w14:textId="77777777" w:rsidTr="006F61D0">
        <w:trPr>
          <w:gridAfter w:val="1"/>
          <w:wAfter w:w="142" w:type="dxa"/>
        </w:trPr>
        <w:tc>
          <w:tcPr>
            <w:tcW w:w="4503" w:type="dxa"/>
            <w:tcBorders>
              <w:top w:val="single" w:sz="4" w:space="0" w:color="auto"/>
              <w:left w:val="single" w:sz="4" w:space="0" w:color="auto"/>
              <w:bottom w:val="single" w:sz="4" w:space="0" w:color="auto"/>
              <w:right w:val="single" w:sz="4" w:space="0" w:color="auto"/>
            </w:tcBorders>
          </w:tcPr>
          <w:p w14:paraId="0C545700" w14:textId="77777777" w:rsidR="00CE0D74" w:rsidRPr="00776407" w:rsidRDefault="00CE0D74">
            <w:pPr>
              <w:keepNext/>
              <w:autoSpaceDE w:val="0"/>
              <w:autoSpaceDN w:val="0"/>
              <w:adjustRightInd w:val="0"/>
              <w:jc w:val="center"/>
              <w:rPr>
                <w:sz w:val="22"/>
                <w:szCs w:val="22"/>
              </w:rPr>
            </w:pPr>
          </w:p>
        </w:tc>
        <w:tc>
          <w:tcPr>
            <w:tcW w:w="4961" w:type="dxa"/>
            <w:tcBorders>
              <w:top w:val="single" w:sz="4" w:space="0" w:color="auto"/>
              <w:left w:val="single" w:sz="4" w:space="0" w:color="auto"/>
              <w:bottom w:val="single" w:sz="4" w:space="0" w:color="auto"/>
              <w:right w:val="single" w:sz="4" w:space="0" w:color="auto"/>
            </w:tcBorders>
            <w:hideMark/>
          </w:tcPr>
          <w:p w14:paraId="1A9A49AF" w14:textId="77777777" w:rsidR="00CE0D74" w:rsidRPr="00776407" w:rsidRDefault="00CE0D74" w:rsidP="00CE0D74">
            <w:pPr>
              <w:keepNext/>
              <w:autoSpaceDE w:val="0"/>
              <w:autoSpaceDN w:val="0"/>
              <w:adjustRightInd w:val="0"/>
              <w:jc w:val="center"/>
              <w:rPr>
                <w:sz w:val="22"/>
                <w:szCs w:val="22"/>
              </w:rPr>
            </w:pPr>
            <w:r w:rsidRPr="00776407">
              <w:rPr>
                <w:sz w:val="22"/>
                <w:szCs w:val="22"/>
              </w:rPr>
              <w:t>Tyrimas 0102</w:t>
            </w:r>
          </w:p>
          <w:p w14:paraId="2C097845" w14:textId="77777777" w:rsidR="00CE0D74" w:rsidRPr="00776407" w:rsidRDefault="00CE0D74" w:rsidP="00CE0D74">
            <w:pPr>
              <w:keepNext/>
              <w:autoSpaceDE w:val="0"/>
              <w:autoSpaceDN w:val="0"/>
              <w:adjustRightInd w:val="0"/>
              <w:jc w:val="center"/>
              <w:rPr>
                <w:sz w:val="22"/>
                <w:szCs w:val="22"/>
              </w:rPr>
            </w:pPr>
            <w:r w:rsidRPr="00776407">
              <w:rPr>
                <w:sz w:val="22"/>
                <w:szCs w:val="22"/>
              </w:rPr>
              <w:t>38 mėnesių duomenys</w:t>
            </w:r>
          </w:p>
          <w:p w14:paraId="0257C3AA" w14:textId="77777777" w:rsidR="00CE0D74" w:rsidRPr="00776407" w:rsidRDefault="00CE0D74" w:rsidP="00CE0D74">
            <w:pPr>
              <w:keepNext/>
              <w:autoSpaceDE w:val="0"/>
              <w:autoSpaceDN w:val="0"/>
              <w:adjustRightInd w:val="0"/>
              <w:jc w:val="center"/>
              <w:rPr>
                <w:sz w:val="22"/>
                <w:szCs w:val="22"/>
              </w:rPr>
            </w:pPr>
            <w:r w:rsidRPr="00776407">
              <w:rPr>
                <w:sz w:val="22"/>
                <w:szCs w:val="22"/>
              </w:rPr>
              <w:t>Mieloblastinė krizė</w:t>
            </w:r>
          </w:p>
          <w:p w14:paraId="7BFA0701" w14:textId="77777777" w:rsidR="00CE0D74" w:rsidRPr="00776407" w:rsidRDefault="00CE0D74" w:rsidP="00CE0D74">
            <w:pPr>
              <w:keepNext/>
              <w:autoSpaceDE w:val="0"/>
              <w:autoSpaceDN w:val="0"/>
              <w:adjustRightInd w:val="0"/>
              <w:jc w:val="center"/>
              <w:rPr>
                <w:sz w:val="22"/>
                <w:szCs w:val="22"/>
              </w:rPr>
            </w:pPr>
            <w:r w:rsidRPr="00776407">
              <w:rPr>
                <w:sz w:val="22"/>
                <w:szCs w:val="22"/>
              </w:rPr>
              <w:t>(n=260)</w:t>
            </w:r>
          </w:p>
        </w:tc>
      </w:tr>
      <w:tr w:rsidR="00CE0D74" w:rsidRPr="00776407" w14:paraId="685604C4" w14:textId="77777777" w:rsidTr="006F61D0">
        <w:trPr>
          <w:gridAfter w:val="1"/>
          <w:wAfter w:w="142" w:type="dxa"/>
        </w:trPr>
        <w:tc>
          <w:tcPr>
            <w:tcW w:w="4503" w:type="dxa"/>
            <w:tcBorders>
              <w:top w:val="single" w:sz="4" w:space="0" w:color="auto"/>
              <w:left w:val="single" w:sz="4" w:space="0" w:color="auto"/>
              <w:bottom w:val="single" w:sz="4" w:space="0" w:color="auto"/>
              <w:right w:val="single" w:sz="4" w:space="0" w:color="auto"/>
            </w:tcBorders>
            <w:vAlign w:val="center"/>
          </w:tcPr>
          <w:p w14:paraId="073390F2" w14:textId="77777777" w:rsidR="00CE0D74" w:rsidRPr="00776407" w:rsidRDefault="00CE0D74">
            <w:pPr>
              <w:keepNext/>
              <w:autoSpaceDE w:val="0"/>
              <w:autoSpaceDN w:val="0"/>
              <w:adjustRightInd w:val="0"/>
              <w:jc w:val="center"/>
              <w:rPr>
                <w:sz w:val="22"/>
                <w:szCs w:val="22"/>
              </w:rPr>
            </w:pPr>
          </w:p>
        </w:tc>
        <w:tc>
          <w:tcPr>
            <w:tcW w:w="4961" w:type="dxa"/>
            <w:tcBorders>
              <w:top w:val="single" w:sz="4" w:space="0" w:color="auto"/>
              <w:left w:val="single" w:sz="4" w:space="0" w:color="auto"/>
              <w:bottom w:val="single" w:sz="4" w:space="0" w:color="auto"/>
              <w:right w:val="single" w:sz="4" w:space="0" w:color="auto"/>
            </w:tcBorders>
            <w:vAlign w:val="center"/>
            <w:hideMark/>
          </w:tcPr>
          <w:p w14:paraId="604C4092" w14:textId="77777777" w:rsidR="00CE0D74" w:rsidRPr="00776407" w:rsidRDefault="00CE0D74">
            <w:pPr>
              <w:keepNext/>
              <w:autoSpaceDE w:val="0"/>
              <w:autoSpaceDN w:val="0"/>
              <w:adjustRightInd w:val="0"/>
              <w:jc w:val="center"/>
              <w:rPr>
                <w:sz w:val="22"/>
                <w:szCs w:val="22"/>
              </w:rPr>
            </w:pPr>
            <w:r w:rsidRPr="00776407">
              <w:rPr>
                <w:sz w:val="22"/>
                <w:szCs w:val="22"/>
              </w:rPr>
              <w:t>% pacientų (PI</w:t>
            </w:r>
            <w:r w:rsidRPr="00776407">
              <w:rPr>
                <w:sz w:val="22"/>
                <w:szCs w:val="22"/>
                <w:vertAlign w:val="subscript"/>
              </w:rPr>
              <w:t>95%</w:t>
            </w:r>
            <w:r w:rsidRPr="00776407">
              <w:rPr>
                <w:sz w:val="22"/>
                <w:szCs w:val="22"/>
              </w:rPr>
              <w:t>)</w:t>
            </w:r>
          </w:p>
        </w:tc>
      </w:tr>
      <w:tr w:rsidR="00CE0D74" w:rsidRPr="00776407" w14:paraId="09F391BD" w14:textId="77777777" w:rsidTr="006F61D0">
        <w:trPr>
          <w:gridAfter w:val="1"/>
          <w:wAfter w:w="142" w:type="dxa"/>
        </w:trPr>
        <w:tc>
          <w:tcPr>
            <w:tcW w:w="4503" w:type="dxa"/>
            <w:tcBorders>
              <w:top w:val="single" w:sz="4" w:space="0" w:color="auto"/>
              <w:left w:val="single" w:sz="4" w:space="0" w:color="auto"/>
              <w:bottom w:val="single" w:sz="4" w:space="0" w:color="auto"/>
              <w:right w:val="single" w:sz="4" w:space="0" w:color="auto"/>
            </w:tcBorders>
          </w:tcPr>
          <w:p w14:paraId="4701CA57" w14:textId="77777777" w:rsidR="00CE0D74" w:rsidRPr="00776407" w:rsidRDefault="00CE0D74" w:rsidP="00CE0D74">
            <w:pPr>
              <w:autoSpaceDE w:val="0"/>
              <w:autoSpaceDN w:val="0"/>
              <w:adjustRightInd w:val="0"/>
              <w:rPr>
                <w:sz w:val="22"/>
                <w:szCs w:val="22"/>
              </w:rPr>
            </w:pPr>
            <w:r w:rsidRPr="00776407">
              <w:rPr>
                <w:sz w:val="22"/>
                <w:szCs w:val="22"/>
              </w:rPr>
              <w:t>Hematologinis atsakas</w:t>
            </w:r>
            <w:r w:rsidRPr="00776407">
              <w:rPr>
                <w:sz w:val="22"/>
                <w:szCs w:val="22"/>
                <w:vertAlign w:val="superscript"/>
              </w:rPr>
              <w:t>1</w:t>
            </w:r>
          </w:p>
          <w:p w14:paraId="2ABC3E1A" w14:textId="77777777" w:rsidR="00CE0D74" w:rsidRPr="00776407" w:rsidRDefault="00CE0D74" w:rsidP="00CE0D74">
            <w:pPr>
              <w:numPr>
                <w:ilvl w:val="0"/>
                <w:numId w:val="47"/>
              </w:numPr>
              <w:autoSpaceDE w:val="0"/>
              <w:autoSpaceDN w:val="0"/>
              <w:adjustRightInd w:val="0"/>
              <w:ind w:left="357" w:hanging="357"/>
              <w:rPr>
                <w:sz w:val="22"/>
                <w:szCs w:val="22"/>
              </w:rPr>
            </w:pPr>
            <w:r w:rsidRPr="00776407">
              <w:rPr>
                <w:sz w:val="22"/>
                <w:szCs w:val="22"/>
              </w:rPr>
              <w:t>Visiškas hematologinis atsakas (VHA)</w:t>
            </w:r>
          </w:p>
          <w:p w14:paraId="12A744C3" w14:textId="77777777" w:rsidR="00D37C4A" w:rsidRPr="00776407" w:rsidRDefault="00D37C4A" w:rsidP="00CE0D74">
            <w:pPr>
              <w:numPr>
                <w:ilvl w:val="0"/>
                <w:numId w:val="47"/>
              </w:numPr>
              <w:autoSpaceDE w:val="0"/>
              <w:autoSpaceDN w:val="0"/>
              <w:adjustRightInd w:val="0"/>
              <w:ind w:left="357" w:hanging="357"/>
              <w:rPr>
                <w:sz w:val="22"/>
                <w:szCs w:val="22"/>
              </w:rPr>
            </w:pPr>
          </w:p>
          <w:p w14:paraId="3605B419" w14:textId="77777777" w:rsidR="00CE0D74" w:rsidRPr="00776407" w:rsidRDefault="00CE0D74" w:rsidP="00CE0D74">
            <w:pPr>
              <w:numPr>
                <w:ilvl w:val="0"/>
                <w:numId w:val="47"/>
              </w:numPr>
              <w:autoSpaceDE w:val="0"/>
              <w:autoSpaceDN w:val="0"/>
              <w:adjustRightInd w:val="0"/>
              <w:ind w:left="357" w:hanging="357"/>
              <w:rPr>
                <w:sz w:val="22"/>
                <w:szCs w:val="22"/>
              </w:rPr>
            </w:pPr>
            <w:r w:rsidRPr="00776407">
              <w:rPr>
                <w:sz w:val="22"/>
                <w:szCs w:val="22"/>
              </w:rPr>
              <w:t>Išnykusi leukemija (NEL)</w:t>
            </w:r>
          </w:p>
          <w:p w14:paraId="13DAF2F5" w14:textId="77777777" w:rsidR="00D37C4A" w:rsidRPr="00776407" w:rsidRDefault="00D37C4A" w:rsidP="00CE0D74">
            <w:pPr>
              <w:numPr>
                <w:ilvl w:val="0"/>
                <w:numId w:val="47"/>
              </w:numPr>
              <w:autoSpaceDE w:val="0"/>
              <w:autoSpaceDN w:val="0"/>
              <w:adjustRightInd w:val="0"/>
              <w:ind w:left="357" w:hanging="357"/>
              <w:rPr>
                <w:sz w:val="22"/>
                <w:szCs w:val="22"/>
              </w:rPr>
            </w:pPr>
          </w:p>
          <w:p w14:paraId="51A76C9B" w14:textId="77777777" w:rsidR="00CE0D74" w:rsidRPr="00776407" w:rsidRDefault="00CE0D74" w:rsidP="00CE0D74">
            <w:pPr>
              <w:numPr>
                <w:ilvl w:val="0"/>
                <w:numId w:val="47"/>
              </w:numPr>
              <w:autoSpaceDE w:val="0"/>
              <w:autoSpaceDN w:val="0"/>
              <w:adjustRightInd w:val="0"/>
              <w:ind w:left="357" w:hanging="357"/>
              <w:rPr>
                <w:sz w:val="22"/>
                <w:szCs w:val="22"/>
              </w:rPr>
            </w:pPr>
            <w:r w:rsidRPr="00776407">
              <w:rPr>
                <w:sz w:val="22"/>
                <w:szCs w:val="22"/>
              </w:rPr>
              <w:t>Grįžimas į lėtinę fazę (GLF)</w:t>
            </w:r>
          </w:p>
        </w:tc>
        <w:tc>
          <w:tcPr>
            <w:tcW w:w="4961" w:type="dxa"/>
            <w:tcBorders>
              <w:top w:val="single" w:sz="4" w:space="0" w:color="auto"/>
              <w:left w:val="single" w:sz="4" w:space="0" w:color="auto"/>
              <w:bottom w:val="single" w:sz="4" w:space="0" w:color="auto"/>
              <w:right w:val="single" w:sz="4" w:space="0" w:color="auto"/>
            </w:tcBorders>
          </w:tcPr>
          <w:p w14:paraId="1EFE5AB7" w14:textId="77777777" w:rsidR="00CE0D74" w:rsidRPr="00776407" w:rsidRDefault="00CE0D74" w:rsidP="00CE0D74">
            <w:pPr>
              <w:autoSpaceDE w:val="0"/>
              <w:autoSpaceDN w:val="0"/>
              <w:adjustRightInd w:val="0"/>
              <w:jc w:val="center"/>
              <w:rPr>
                <w:sz w:val="22"/>
                <w:szCs w:val="22"/>
              </w:rPr>
            </w:pPr>
            <w:r w:rsidRPr="00776407">
              <w:rPr>
                <w:sz w:val="22"/>
                <w:szCs w:val="22"/>
              </w:rPr>
              <w:t>31 %(25,2–36,8)</w:t>
            </w:r>
          </w:p>
          <w:p w14:paraId="1EEAE13E" w14:textId="77777777" w:rsidR="00CE0D74" w:rsidRPr="00776407" w:rsidRDefault="00CE0D74" w:rsidP="00CE0D74">
            <w:pPr>
              <w:autoSpaceDE w:val="0"/>
              <w:autoSpaceDN w:val="0"/>
              <w:adjustRightInd w:val="0"/>
              <w:jc w:val="center"/>
              <w:rPr>
                <w:sz w:val="22"/>
                <w:szCs w:val="22"/>
              </w:rPr>
            </w:pPr>
            <w:r w:rsidRPr="00776407">
              <w:rPr>
                <w:sz w:val="22"/>
                <w:szCs w:val="22"/>
              </w:rPr>
              <w:t>8 %</w:t>
            </w:r>
          </w:p>
          <w:p w14:paraId="33CFDB4B" w14:textId="77777777" w:rsidR="00D37C4A" w:rsidRPr="00776407" w:rsidRDefault="00D37C4A" w:rsidP="00CE0D74">
            <w:pPr>
              <w:autoSpaceDE w:val="0"/>
              <w:autoSpaceDN w:val="0"/>
              <w:adjustRightInd w:val="0"/>
              <w:jc w:val="center"/>
              <w:rPr>
                <w:sz w:val="22"/>
                <w:szCs w:val="22"/>
              </w:rPr>
            </w:pPr>
          </w:p>
          <w:p w14:paraId="481CA8EF" w14:textId="77777777" w:rsidR="00CE0D74" w:rsidRPr="00776407" w:rsidRDefault="00CE0D74" w:rsidP="00CE0D74">
            <w:pPr>
              <w:autoSpaceDE w:val="0"/>
              <w:autoSpaceDN w:val="0"/>
              <w:adjustRightInd w:val="0"/>
              <w:jc w:val="center"/>
              <w:rPr>
                <w:sz w:val="22"/>
                <w:szCs w:val="22"/>
              </w:rPr>
            </w:pPr>
            <w:r w:rsidRPr="00776407">
              <w:rPr>
                <w:sz w:val="22"/>
                <w:szCs w:val="22"/>
              </w:rPr>
              <w:t>5 %</w:t>
            </w:r>
          </w:p>
          <w:p w14:paraId="0E89A6C1" w14:textId="77777777" w:rsidR="00D37C4A" w:rsidRPr="00776407" w:rsidRDefault="00D37C4A" w:rsidP="00CE0D74">
            <w:pPr>
              <w:autoSpaceDE w:val="0"/>
              <w:autoSpaceDN w:val="0"/>
              <w:adjustRightInd w:val="0"/>
              <w:jc w:val="center"/>
              <w:rPr>
                <w:sz w:val="22"/>
                <w:szCs w:val="22"/>
              </w:rPr>
            </w:pPr>
          </w:p>
          <w:p w14:paraId="51CEE9FE" w14:textId="77777777" w:rsidR="00CE0D74" w:rsidRPr="00776407" w:rsidRDefault="00CE0D74" w:rsidP="00CE0D74">
            <w:pPr>
              <w:autoSpaceDE w:val="0"/>
              <w:autoSpaceDN w:val="0"/>
              <w:adjustRightInd w:val="0"/>
              <w:jc w:val="center"/>
              <w:rPr>
                <w:sz w:val="22"/>
                <w:szCs w:val="22"/>
              </w:rPr>
            </w:pPr>
            <w:r w:rsidRPr="00776407">
              <w:rPr>
                <w:sz w:val="22"/>
                <w:szCs w:val="22"/>
              </w:rPr>
              <w:t>18 %</w:t>
            </w:r>
          </w:p>
        </w:tc>
      </w:tr>
      <w:tr w:rsidR="00CE0D74" w:rsidRPr="00776407" w14:paraId="7F106279" w14:textId="77777777" w:rsidTr="006F61D0">
        <w:trPr>
          <w:gridAfter w:val="1"/>
          <w:wAfter w:w="142" w:type="dxa"/>
        </w:trPr>
        <w:tc>
          <w:tcPr>
            <w:tcW w:w="4503" w:type="dxa"/>
            <w:tcBorders>
              <w:top w:val="single" w:sz="4" w:space="0" w:color="auto"/>
              <w:left w:val="single" w:sz="4" w:space="0" w:color="auto"/>
              <w:bottom w:val="single" w:sz="4" w:space="0" w:color="auto"/>
              <w:right w:val="single" w:sz="4" w:space="0" w:color="auto"/>
            </w:tcBorders>
            <w:hideMark/>
          </w:tcPr>
          <w:p w14:paraId="602AB8AE" w14:textId="77777777" w:rsidR="00CE0D74" w:rsidRPr="00776407" w:rsidRDefault="00CE0D74" w:rsidP="00CE0D74">
            <w:pPr>
              <w:keepNext/>
              <w:autoSpaceDE w:val="0"/>
              <w:autoSpaceDN w:val="0"/>
              <w:adjustRightInd w:val="0"/>
              <w:rPr>
                <w:sz w:val="22"/>
                <w:szCs w:val="22"/>
              </w:rPr>
            </w:pPr>
            <w:r w:rsidRPr="00776407">
              <w:rPr>
                <w:sz w:val="22"/>
                <w:szCs w:val="22"/>
              </w:rPr>
              <w:t>Didysis citogeninis atsakas</w:t>
            </w:r>
            <w:r w:rsidRPr="00776407">
              <w:rPr>
                <w:sz w:val="22"/>
                <w:szCs w:val="22"/>
                <w:vertAlign w:val="superscript"/>
              </w:rPr>
              <w:t>2</w:t>
            </w:r>
          </w:p>
          <w:p w14:paraId="61FBCDD1" w14:textId="77777777" w:rsidR="00CE0D74" w:rsidRPr="00776407" w:rsidRDefault="00CE0D74" w:rsidP="00CE0D74">
            <w:pPr>
              <w:keepNext/>
              <w:numPr>
                <w:ilvl w:val="0"/>
                <w:numId w:val="48"/>
              </w:numPr>
              <w:autoSpaceDE w:val="0"/>
              <w:autoSpaceDN w:val="0"/>
              <w:adjustRightInd w:val="0"/>
              <w:ind w:left="357" w:hanging="357"/>
              <w:rPr>
                <w:sz w:val="22"/>
                <w:szCs w:val="22"/>
              </w:rPr>
            </w:pPr>
            <w:r w:rsidRPr="00776407">
              <w:rPr>
                <w:sz w:val="22"/>
                <w:szCs w:val="22"/>
              </w:rPr>
              <w:t>Visiškas</w:t>
            </w:r>
          </w:p>
          <w:p w14:paraId="1413A644" w14:textId="77777777" w:rsidR="00CE0D74" w:rsidRPr="00776407" w:rsidRDefault="00CE0D74" w:rsidP="00CE0D74">
            <w:pPr>
              <w:keepNext/>
              <w:numPr>
                <w:ilvl w:val="0"/>
                <w:numId w:val="48"/>
              </w:numPr>
              <w:autoSpaceDE w:val="0"/>
              <w:autoSpaceDN w:val="0"/>
              <w:adjustRightInd w:val="0"/>
              <w:ind w:left="357" w:hanging="357"/>
              <w:rPr>
                <w:sz w:val="22"/>
                <w:szCs w:val="22"/>
              </w:rPr>
            </w:pPr>
            <w:r w:rsidRPr="00776407">
              <w:rPr>
                <w:sz w:val="22"/>
                <w:szCs w:val="22"/>
              </w:rPr>
              <w:t>(Patvirtintas</w:t>
            </w:r>
            <w:r w:rsidRPr="00776407">
              <w:rPr>
                <w:sz w:val="22"/>
                <w:szCs w:val="22"/>
                <w:vertAlign w:val="superscript"/>
              </w:rPr>
              <w:t>3</w:t>
            </w:r>
            <w:r w:rsidRPr="00776407">
              <w:rPr>
                <w:sz w:val="22"/>
                <w:szCs w:val="22"/>
              </w:rPr>
              <w:t>) [95 % CI]</w:t>
            </w:r>
          </w:p>
          <w:p w14:paraId="50DE424A" w14:textId="77777777" w:rsidR="00CE0D74" w:rsidRPr="00776407" w:rsidRDefault="00CE0D74" w:rsidP="00CE0D74">
            <w:pPr>
              <w:keepNext/>
              <w:numPr>
                <w:ilvl w:val="0"/>
                <w:numId w:val="48"/>
              </w:numPr>
              <w:autoSpaceDE w:val="0"/>
              <w:autoSpaceDN w:val="0"/>
              <w:adjustRightInd w:val="0"/>
              <w:ind w:left="357" w:hanging="357"/>
              <w:rPr>
                <w:sz w:val="22"/>
                <w:szCs w:val="22"/>
              </w:rPr>
            </w:pPr>
            <w:r w:rsidRPr="00776407">
              <w:rPr>
                <w:sz w:val="22"/>
                <w:szCs w:val="22"/>
              </w:rPr>
              <w:t>Dalinis</w:t>
            </w:r>
          </w:p>
        </w:tc>
        <w:tc>
          <w:tcPr>
            <w:tcW w:w="4961" w:type="dxa"/>
            <w:tcBorders>
              <w:top w:val="single" w:sz="4" w:space="0" w:color="auto"/>
              <w:left w:val="single" w:sz="4" w:space="0" w:color="auto"/>
              <w:bottom w:val="single" w:sz="4" w:space="0" w:color="auto"/>
              <w:right w:val="single" w:sz="4" w:space="0" w:color="auto"/>
            </w:tcBorders>
            <w:hideMark/>
          </w:tcPr>
          <w:p w14:paraId="79A1E493" w14:textId="77777777" w:rsidR="00CE0D74" w:rsidRPr="00776407" w:rsidRDefault="00CE0D74" w:rsidP="00CE0D74">
            <w:pPr>
              <w:keepNext/>
              <w:autoSpaceDE w:val="0"/>
              <w:autoSpaceDN w:val="0"/>
              <w:adjustRightInd w:val="0"/>
              <w:jc w:val="center"/>
              <w:rPr>
                <w:sz w:val="22"/>
                <w:szCs w:val="22"/>
              </w:rPr>
            </w:pPr>
            <w:r w:rsidRPr="00776407">
              <w:rPr>
                <w:sz w:val="22"/>
                <w:szCs w:val="22"/>
              </w:rPr>
              <w:t>15 % (11,2–20,4)</w:t>
            </w:r>
          </w:p>
          <w:p w14:paraId="52CAD77C" w14:textId="77777777" w:rsidR="00CE0D74" w:rsidRPr="00776407" w:rsidRDefault="00CE0D74" w:rsidP="00CE0D74">
            <w:pPr>
              <w:keepNext/>
              <w:autoSpaceDE w:val="0"/>
              <w:autoSpaceDN w:val="0"/>
              <w:adjustRightInd w:val="0"/>
              <w:jc w:val="center"/>
              <w:rPr>
                <w:sz w:val="22"/>
                <w:szCs w:val="22"/>
              </w:rPr>
            </w:pPr>
            <w:r w:rsidRPr="00776407">
              <w:rPr>
                <w:sz w:val="22"/>
                <w:szCs w:val="22"/>
              </w:rPr>
              <w:t>7%</w:t>
            </w:r>
          </w:p>
          <w:p w14:paraId="4AB98218" w14:textId="77777777" w:rsidR="00CE0D74" w:rsidRPr="00776407" w:rsidRDefault="00CE0D74" w:rsidP="00CE0D74">
            <w:pPr>
              <w:keepNext/>
              <w:autoSpaceDE w:val="0"/>
              <w:autoSpaceDN w:val="0"/>
              <w:adjustRightInd w:val="0"/>
              <w:jc w:val="center"/>
              <w:rPr>
                <w:sz w:val="22"/>
                <w:szCs w:val="22"/>
              </w:rPr>
            </w:pPr>
            <w:r w:rsidRPr="00776407">
              <w:rPr>
                <w:sz w:val="22"/>
                <w:szCs w:val="22"/>
              </w:rPr>
              <w:t>(2 %) [0,6–4,4]</w:t>
            </w:r>
          </w:p>
          <w:p w14:paraId="49C0A896" w14:textId="77777777" w:rsidR="00CE0D74" w:rsidRPr="00776407" w:rsidRDefault="00CE0D74" w:rsidP="00CE0D74">
            <w:pPr>
              <w:keepNext/>
              <w:autoSpaceDE w:val="0"/>
              <w:autoSpaceDN w:val="0"/>
              <w:adjustRightInd w:val="0"/>
              <w:jc w:val="center"/>
              <w:rPr>
                <w:sz w:val="22"/>
                <w:szCs w:val="22"/>
              </w:rPr>
            </w:pPr>
            <w:r w:rsidRPr="00776407">
              <w:rPr>
                <w:sz w:val="22"/>
                <w:szCs w:val="22"/>
              </w:rPr>
              <w:t>8 %</w:t>
            </w:r>
          </w:p>
        </w:tc>
      </w:tr>
      <w:tr w:rsidR="00CE0D74" w:rsidRPr="00776407" w14:paraId="10BC6F8E" w14:textId="77777777" w:rsidTr="006F61D0">
        <w:tc>
          <w:tcPr>
            <w:tcW w:w="9606" w:type="dxa"/>
            <w:gridSpan w:val="3"/>
            <w:tcBorders>
              <w:top w:val="single" w:sz="4" w:space="0" w:color="auto"/>
              <w:left w:val="single" w:sz="4" w:space="0" w:color="auto"/>
              <w:bottom w:val="single" w:sz="4" w:space="0" w:color="auto"/>
              <w:right w:val="single" w:sz="4" w:space="0" w:color="auto"/>
            </w:tcBorders>
            <w:hideMark/>
          </w:tcPr>
          <w:p w14:paraId="329EAFF2" w14:textId="77777777" w:rsidR="006F61D0" w:rsidRPr="00776407" w:rsidRDefault="00CE0D74">
            <w:pPr>
              <w:autoSpaceDE w:val="0"/>
              <w:autoSpaceDN w:val="0"/>
              <w:adjustRightInd w:val="0"/>
              <w:rPr>
                <w:b/>
                <w:sz w:val="22"/>
                <w:szCs w:val="22"/>
              </w:rPr>
            </w:pPr>
            <w:r w:rsidRPr="00776407">
              <w:rPr>
                <w:b/>
                <w:bCs/>
                <w:sz w:val="22"/>
                <w:szCs w:val="22"/>
                <w:vertAlign w:val="superscript"/>
              </w:rPr>
              <w:t>1</w:t>
            </w:r>
            <w:r w:rsidRPr="00776407">
              <w:rPr>
                <w:b/>
                <w:bCs/>
                <w:sz w:val="22"/>
                <w:szCs w:val="22"/>
              </w:rPr>
              <w:t xml:space="preserve"> </w:t>
            </w:r>
            <w:r w:rsidR="00D37C4A" w:rsidRPr="00776407">
              <w:rPr>
                <w:b/>
                <w:sz w:val="22"/>
                <w:szCs w:val="22"/>
              </w:rPr>
              <w:t>Hematologinio atsako kriterijai (visi atsak</w:t>
            </w:r>
            <w:r w:rsidR="006F61D0" w:rsidRPr="00776407">
              <w:rPr>
                <w:b/>
                <w:sz w:val="22"/>
                <w:szCs w:val="22"/>
              </w:rPr>
              <w:t>ai turi būti patvirtinti po ≥ 4 </w:t>
            </w:r>
            <w:r w:rsidR="00D37C4A" w:rsidRPr="00776407">
              <w:rPr>
                <w:b/>
                <w:sz w:val="22"/>
                <w:szCs w:val="22"/>
              </w:rPr>
              <w:t xml:space="preserve">savaičių): </w:t>
            </w:r>
          </w:p>
          <w:p w14:paraId="0CD0B7A6" w14:textId="77777777" w:rsidR="006F61D0" w:rsidRPr="00776407" w:rsidRDefault="00D37C4A">
            <w:pPr>
              <w:autoSpaceDE w:val="0"/>
              <w:autoSpaceDN w:val="0"/>
              <w:adjustRightInd w:val="0"/>
              <w:rPr>
                <w:sz w:val="22"/>
                <w:szCs w:val="22"/>
              </w:rPr>
            </w:pPr>
            <w:r w:rsidRPr="00776407">
              <w:rPr>
                <w:sz w:val="22"/>
                <w:szCs w:val="22"/>
              </w:rPr>
              <w:t>VHA: Tyrime 0102 [ANS ≥ 1.5 x 10</w:t>
            </w:r>
            <w:r w:rsidRPr="00776407">
              <w:rPr>
                <w:sz w:val="22"/>
                <w:szCs w:val="22"/>
                <w:vertAlign w:val="superscript"/>
              </w:rPr>
              <w:t>9</w:t>
            </w:r>
            <w:r w:rsidRPr="00776407">
              <w:rPr>
                <w:sz w:val="22"/>
                <w:szCs w:val="22"/>
              </w:rPr>
              <w:t xml:space="preserve"> /l, trombocitų ≥ 100 x 10</w:t>
            </w:r>
            <w:r w:rsidRPr="00776407">
              <w:rPr>
                <w:sz w:val="22"/>
                <w:szCs w:val="22"/>
                <w:vertAlign w:val="superscript"/>
              </w:rPr>
              <w:t>9</w:t>
            </w:r>
            <w:r w:rsidRPr="00776407">
              <w:rPr>
                <w:sz w:val="22"/>
                <w:szCs w:val="22"/>
              </w:rPr>
              <w:t xml:space="preserve"> /l, nėra blastų kraujyje, blastų &lt; 5</w:t>
            </w:r>
            <w:r w:rsidR="006F61D0" w:rsidRPr="00776407">
              <w:rPr>
                <w:sz w:val="22"/>
                <w:szCs w:val="22"/>
              </w:rPr>
              <w:t> </w:t>
            </w:r>
            <w:r w:rsidRPr="00776407">
              <w:rPr>
                <w:sz w:val="22"/>
                <w:szCs w:val="22"/>
              </w:rPr>
              <w:t xml:space="preserve">% kaulų čiulpuose, nėra ekstramedulinės ligos]. </w:t>
            </w:r>
          </w:p>
          <w:p w14:paraId="3E2221E3" w14:textId="77777777" w:rsidR="006F61D0" w:rsidRPr="00776407" w:rsidRDefault="00D37C4A" w:rsidP="006F61D0">
            <w:pPr>
              <w:autoSpaceDE w:val="0"/>
              <w:autoSpaceDN w:val="0"/>
              <w:adjustRightInd w:val="0"/>
              <w:rPr>
                <w:sz w:val="22"/>
                <w:szCs w:val="22"/>
              </w:rPr>
            </w:pPr>
            <w:r w:rsidRPr="00776407">
              <w:rPr>
                <w:sz w:val="22"/>
                <w:szCs w:val="22"/>
              </w:rPr>
              <w:t>NEL Tokie pat kriterijai kaip VHA bet ANS ≥ 1 x 10</w:t>
            </w:r>
            <w:r w:rsidRPr="00776407">
              <w:rPr>
                <w:sz w:val="22"/>
                <w:szCs w:val="22"/>
                <w:vertAlign w:val="superscript"/>
              </w:rPr>
              <w:t>9</w:t>
            </w:r>
            <w:r w:rsidRPr="00776407">
              <w:rPr>
                <w:sz w:val="22"/>
                <w:szCs w:val="22"/>
              </w:rPr>
              <w:t xml:space="preserve"> /l ir trombocitų ≥ 20 x 10</w:t>
            </w:r>
            <w:r w:rsidRPr="00776407">
              <w:rPr>
                <w:sz w:val="22"/>
                <w:szCs w:val="22"/>
                <w:vertAlign w:val="superscript"/>
              </w:rPr>
              <w:t>9</w:t>
            </w:r>
            <w:r w:rsidRPr="00776407">
              <w:rPr>
                <w:sz w:val="22"/>
                <w:szCs w:val="22"/>
              </w:rPr>
              <w:t xml:space="preserve"> /l (tik 0102 ir 0109) GLF</w:t>
            </w:r>
            <w:r w:rsidR="006F61D0" w:rsidRPr="00776407">
              <w:rPr>
                <w:sz w:val="22"/>
                <w:szCs w:val="22"/>
              </w:rPr>
              <w:t> </w:t>
            </w:r>
            <w:r w:rsidRPr="00776407">
              <w:rPr>
                <w:sz w:val="22"/>
                <w:szCs w:val="22"/>
              </w:rPr>
              <w:t>&lt;</w:t>
            </w:r>
            <w:r w:rsidR="006F61D0" w:rsidRPr="00776407">
              <w:rPr>
                <w:sz w:val="22"/>
                <w:szCs w:val="22"/>
              </w:rPr>
              <w:t> </w:t>
            </w:r>
            <w:r w:rsidRPr="00776407">
              <w:rPr>
                <w:sz w:val="22"/>
                <w:szCs w:val="22"/>
              </w:rPr>
              <w:t>15</w:t>
            </w:r>
            <w:r w:rsidR="006F61D0" w:rsidRPr="00776407">
              <w:rPr>
                <w:sz w:val="22"/>
                <w:szCs w:val="22"/>
              </w:rPr>
              <w:t> </w:t>
            </w:r>
            <w:r w:rsidRPr="00776407">
              <w:rPr>
                <w:sz w:val="22"/>
                <w:szCs w:val="22"/>
              </w:rPr>
              <w:t>% blastų KČ ir PK, &lt; 30</w:t>
            </w:r>
            <w:r w:rsidR="006F61D0" w:rsidRPr="00776407">
              <w:rPr>
                <w:sz w:val="22"/>
                <w:szCs w:val="22"/>
              </w:rPr>
              <w:t> </w:t>
            </w:r>
            <w:r w:rsidRPr="00776407">
              <w:rPr>
                <w:sz w:val="22"/>
                <w:szCs w:val="22"/>
              </w:rPr>
              <w:t>% bla</w:t>
            </w:r>
            <w:r w:rsidR="006F61D0" w:rsidRPr="00776407">
              <w:rPr>
                <w:sz w:val="22"/>
                <w:szCs w:val="22"/>
              </w:rPr>
              <w:t>stų+promielocitų KČ ir PK, &lt; 20 </w:t>
            </w:r>
            <w:r w:rsidRPr="00776407">
              <w:rPr>
                <w:sz w:val="22"/>
                <w:szCs w:val="22"/>
              </w:rPr>
              <w:t>% bazofilų PK, nėra kitos, išskyrus blužnies ir kepenų, ekstramedulinės ligos (tik 0102 ir 0109).</w:t>
            </w:r>
          </w:p>
          <w:p w14:paraId="3E7ADF5A" w14:textId="77777777" w:rsidR="006F61D0" w:rsidRPr="00776407" w:rsidRDefault="00D37C4A" w:rsidP="006F61D0">
            <w:pPr>
              <w:autoSpaceDE w:val="0"/>
              <w:autoSpaceDN w:val="0"/>
              <w:adjustRightInd w:val="0"/>
              <w:rPr>
                <w:sz w:val="22"/>
                <w:szCs w:val="22"/>
              </w:rPr>
            </w:pPr>
            <w:r w:rsidRPr="00776407">
              <w:rPr>
                <w:sz w:val="22"/>
                <w:szCs w:val="22"/>
              </w:rPr>
              <w:t xml:space="preserve">KČ = kaulų čiulpai, PK = periferinis kraujas. </w:t>
            </w:r>
          </w:p>
          <w:p w14:paraId="0AD74A07" w14:textId="77777777" w:rsidR="006F61D0" w:rsidRPr="00776407" w:rsidRDefault="00D37C4A" w:rsidP="006F61D0">
            <w:pPr>
              <w:autoSpaceDE w:val="0"/>
              <w:autoSpaceDN w:val="0"/>
              <w:adjustRightInd w:val="0"/>
              <w:rPr>
                <w:sz w:val="22"/>
                <w:szCs w:val="22"/>
              </w:rPr>
            </w:pPr>
            <w:r w:rsidRPr="00776407">
              <w:rPr>
                <w:b/>
                <w:sz w:val="22"/>
                <w:szCs w:val="22"/>
                <w:vertAlign w:val="superscript"/>
              </w:rPr>
              <w:t>2</w:t>
            </w:r>
            <w:r w:rsidRPr="00776407">
              <w:rPr>
                <w:b/>
                <w:sz w:val="22"/>
                <w:szCs w:val="22"/>
              </w:rPr>
              <w:t xml:space="preserve"> Citogenetinio atsako kriterijai:</w:t>
            </w:r>
            <w:r w:rsidRPr="00776407">
              <w:rPr>
                <w:sz w:val="22"/>
                <w:szCs w:val="22"/>
              </w:rPr>
              <w:t xml:space="preserve"> </w:t>
            </w:r>
          </w:p>
          <w:p w14:paraId="003FA937" w14:textId="77777777" w:rsidR="006F61D0" w:rsidRPr="00776407" w:rsidRDefault="00D37C4A" w:rsidP="006F61D0">
            <w:pPr>
              <w:autoSpaceDE w:val="0"/>
              <w:autoSpaceDN w:val="0"/>
              <w:adjustRightInd w:val="0"/>
              <w:rPr>
                <w:sz w:val="22"/>
                <w:szCs w:val="22"/>
              </w:rPr>
            </w:pPr>
            <w:r w:rsidRPr="00776407">
              <w:rPr>
                <w:sz w:val="22"/>
                <w:szCs w:val="22"/>
              </w:rPr>
              <w:t xml:space="preserve">Didįjį atsaką sudaro visiškas </w:t>
            </w:r>
            <w:r w:rsidR="006F61D0" w:rsidRPr="00776407">
              <w:rPr>
                <w:sz w:val="22"/>
                <w:szCs w:val="22"/>
              </w:rPr>
              <w:t>ir dalinis atsakas: visiškas (0 </w:t>
            </w:r>
            <w:r w:rsidRPr="00776407">
              <w:rPr>
                <w:sz w:val="22"/>
                <w:szCs w:val="22"/>
              </w:rPr>
              <w:t>% Ph+ metafazių), dalinis (1–35</w:t>
            </w:r>
            <w:r w:rsidR="006F61D0" w:rsidRPr="00776407">
              <w:rPr>
                <w:sz w:val="22"/>
                <w:szCs w:val="22"/>
              </w:rPr>
              <w:t> </w:t>
            </w:r>
            <w:r w:rsidRPr="00776407">
              <w:rPr>
                <w:sz w:val="22"/>
                <w:szCs w:val="22"/>
              </w:rPr>
              <w:t>%).</w:t>
            </w:r>
          </w:p>
          <w:p w14:paraId="254B5F13" w14:textId="77777777" w:rsidR="00CE0D74" w:rsidRPr="00776407" w:rsidRDefault="00D37C4A" w:rsidP="006F61D0">
            <w:pPr>
              <w:autoSpaceDE w:val="0"/>
              <w:autoSpaceDN w:val="0"/>
              <w:adjustRightInd w:val="0"/>
              <w:rPr>
                <w:sz w:val="22"/>
                <w:szCs w:val="22"/>
              </w:rPr>
            </w:pPr>
            <w:r w:rsidRPr="00776407">
              <w:rPr>
                <w:sz w:val="22"/>
                <w:szCs w:val="22"/>
                <w:vertAlign w:val="superscript"/>
              </w:rPr>
              <w:t>3</w:t>
            </w:r>
            <w:r w:rsidRPr="00776407">
              <w:rPr>
                <w:sz w:val="22"/>
                <w:szCs w:val="22"/>
              </w:rPr>
              <w:t xml:space="preserve"> Visiškas citogenetinis atsakas patvirtinamas antrą kartą citogenetiškai vertinant kaulų čiulpus praėjus mažiausiai vienam mėnesiui po pirminio kaulų čiulpų tyrimo.</w:t>
            </w:r>
          </w:p>
          <w:p w14:paraId="578B294E" w14:textId="77777777" w:rsidR="006F61D0" w:rsidRPr="00776407" w:rsidRDefault="006F61D0" w:rsidP="006F61D0">
            <w:pPr>
              <w:autoSpaceDE w:val="0"/>
              <w:autoSpaceDN w:val="0"/>
              <w:adjustRightInd w:val="0"/>
              <w:rPr>
                <w:sz w:val="22"/>
                <w:szCs w:val="22"/>
              </w:rPr>
            </w:pPr>
          </w:p>
        </w:tc>
      </w:tr>
    </w:tbl>
    <w:p w14:paraId="28104260" w14:textId="77777777" w:rsidR="00CE0D74" w:rsidRPr="00776407" w:rsidRDefault="00CE0D74" w:rsidP="00CE0D74">
      <w:pPr>
        <w:autoSpaceDE w:val="0"/>
        <w:autoSpaceDN w:val="0"/>
        <w:adjustRightInd w:val="0"/>
        <w:rPr>
          <w:sz w:val="22"/>
          <w:szCs w:val="22"/>
        </w:rPr>
      </w:pPr>
    </w:p>
    <w:p w14:paraId="12CF21AA" w14:textId="77777777" w:rsidR="00857144" w:rsidRPr="00776407" w:rsidRDefault="00857144" w:rsidP="00857144">
      <w:pPr>
        <w:autoSpaceDE w:val="0"/>
        <w:autoSpaceDN w:val="0"/>
        <w:adjustRightInd w:val="0"/>
        <w:rPr>
          <w:rFonts w:eastAsia="Calibri"/>
          <w:color w:val="000000"/>
          <w:sz w:val="22"/>
          <w:szCs w:val="22"/>
        </w:rPr>
      </w:pPr>
      <w:r w:rsidRPr="00776407">
        <w:rPr>
          <w:rFonts w:eastAsia="Calibri"/>
          <w:i/>
          <w:iCs/>
          <w:color w:val="000000"/>
          <w:sz w:val="22"/>
          <w:szCs w:val="22"/>
        </w:rPr>
        <w:t>Vaikai ir paaugliai</w:t>
      </w:r>
      <w:r w:rsidRPr="00776407">
        <w:rPr>
          <w:rFonts w:eastAsia="Calibri"/>
          <w:color w:val="000000"/>
          <w:sz w:val="22"/>
          <w:szCs w:val="22"/>
        </w:rPr>
        <w:t xml:space="preserve">. Iš viso 26 jaunesni kaip 18 metų vaikai, kuriems buvo lėtinė LML fazė (n=11) ar LML blastinė krizė, ar Ph+ ūminė leukemiija (n=15), buvo įtraukti į dozės didinimo I fazės tyrimą. Tai buvo intensyviai gydyti vaikai: 46 % buvo transplantuoti kaulų čiulpai, 73 % – buvo gavę kelių </w:t>
      </w:r>
      <w:r w:rsidRPr="00776407">
        <w:rPr>
          <w:color w:val="000000"/>
          <w:sz w:val="22"/>
          <w:szCs w:val="22"/>
        </w:rPr>
        <w:t xml:space="preserve">vaistinių preparatų </w:t>
      </w:r>
      <w:r w:rsidRPr="00776407">
        <w:rPr>
          <w:rFonts w:eastAsia="Calibri"/>
          <w:color w:val="000000"/>
          <w:sz w:val="22"/>
          <w:szCs w:val="22"/>
        </w:rPr>
        <w:t>chemoterapiją. Pacientams buvo skirta imatinibo po 260 mg/m</w:t>
      </w:r>
      <w:r w:rsidRPr="00776407">
        <w:rPr>
          <w:rFonts w:eastAsia="Calibri"/>
          <w:color w:val="000000"/>
          <w:sz w:val="22"/>
          <w:szCs w:val="22"/>
          <w:vertAlign w:val="superscript"/>
        </w:rPr>
        <w:t>2</w:t>
      </w:r>
      <w:r w:rsidRPr="00776407">
        <w:rPr>
          <w:rFonts w:eastAsia="Calibri"/>
          <w:color w:val="000000"/>
          <w:sz w:val="22"/>
          <w:szCs w:val="22"/>
        </w:rPr>
        <w:t xml:space="preserve"> per parą (n=5), 340 mg/m</w:t>
      </w:r>
      <w:r w:rsidRPr="00776407">
        <w:rPr>
          <w:rFonts w:eastAsia="Calibri"/>
          <w:color w:val="000000"/>
          <w:sz w:val="22"/>
          <w:szCs w:val="22"/>
          <w:vertAlign w:val="superscript"/>
        </w:rPr>
        <w:t>2</w:t>
      </w:r>
      <w:r w:rsidRPr="00776407">
        <w:rPr>
          <w:rFonts w:eastAsia="Calibri"/>
          <w:color w:val="000000"/>
          <w:sz w:val="14"/>
          <w:szCs w:val="14"/>
        </w:rPr>
        <w:t xml:space="preserve"> </w:t>
      </w:r>
      <w:r w:rsidRPr="00776407">
        <w:rPr>
          <w:rFonts w:eastAsia="Calibri"/>
          <w:color w:val="000000"/>
          <w:sz w:val="22"/>
          <w:szCs w:val="22"/>
        </w:rPr>
        <w:t>per parą (n=9), 440 mg/m</w:t>
      </w:r>
      <w:r w:rsidRPr="00776407">
        <w:rPr>
          <w:rFonts w:eastAsia="Calibri"/>
          <w:color w:val="000000"/>
          <w:sz w:val="22"/>
          <w:szCs w:val="22"/>
          <w:vertAlign w:val="superscript"/>
        </w:rPr>
        <w:t xml:space="preserve">2 </w:t>
      </w:r>
      <w:r w:rsidRPr="00776407">
        <w:rPr>
          <w:rFonts w:eastAsia="Calibri"/>
          <w:color w:val="000000"/>
          <w:sz w:val="22"/>
          <w:szCs w:val="22"/>
        </w:rPr>
        <w:t>per parą (n=7), 570 mg/m</w:t>
      </w:r>
      <w:r w:rsidRPr="00776407">
        <w:rPr>
          <w:rFonts w:eastAsia="Calibri"/>
          <w:color w:val="000000"/>
          <w:sz w:val="22"/>
          <w:szCs w:val="22"/>
          <w:vertAlign w:val="superscript"/>
        </w:rPr>
        <w:t>2</w:t>
      </w:r>
      <w:r w:rsidRPr="00776407">
        <w:rPr>
          <w:rFonts w:eastAsia="Calibri"/>
          <w:color w:val="000000"/>
          <w:sz w:val="14"/>
          <w:szCs w:val="14"/>
        </w:rPr>
        <w:t xml:space="preserve"> </w:t>
      </w:r>
      <w:r w:rsidRPr="00776407">
        <w:rPr>
          <w:rFonts w:eastAsia="Calibri"/>
          <w:color w:val="000000"/>
          <w:sz w:val="22"/>
          <w:szCs w:val="22"/>
        </w:rPr>
        <w:t xml:space="preserve">per parą (n=5). Iš 9 pacientų, kuriems buvo lėtinė LML fazė ir prieinami citogenetiniai rodikliai, 4 (44 %) ir 3 (33 %) buvo gautas atitinkamai visiškas ir dalinis citogenetinis atsakas, MCyR dažnis – 77 %. </w:t>
      </w:r>
    </w:p>
    <w:p w14:paraId="2F4B207F" w14:textId="77777777" w:rsidR="00857144" w:rsidRPr="00776407" w:rsidRDefault="00857144" w:rsidP="00857144">
      <w:pPr>
        <w:autoSpaceDE w:val="0"/>
        <w:autoSpaceDN w:val="0"/>
        <w:adjustRightInd w:val="0"/>
        <w:rPr>
          <w:rFonts w:eastAsia="Calibri"/>
          <w:color w:val="000000"/>
          <w:sz w:val="22"/>
          <w:szCs w:val="22"/>
        </w:rPr>
      </w:pPr>
    </w:p>
    <w:p w14:paraId="702A6247" w14:textId="77777777" w:rsidR="00857144" w:rsidRPr="00776407" w:rsidRDefault="00857144" w:rsidP="00857144">
      <w:pPr>
        <w:autoSpaceDE w:val="0"/>
        <w:autoSpaceDN w:val="0"/>
        <w:adjustRightInd w:val="0"/>
        <w:rPr>
          <w:rFonts w:eastAsia="Calibri"/>
          <w:color w:val="000000"/>
          <w:sz w:val="22"/>
          <w:szCs w:val="22"/>
        </w:rPr>
      </w:pPr>
      <w:r w:rsidRPr="00776407">
        <w:rPr>
          <w:rFonts w:eastAsia="Calibri"/>
          <w:color w:val="000000"/>
          <w:sz w:val="22"/>
          <w:szCs w:val="22"/>
        </w:rPr>
        <w:t>II fazės atvirame, daugiacentriame, vienos grupės tyrime dalyvavo 51 vaikas, sergantis naujai diagnozuota ir negydyta lėtinės fazės LML. Pacientai buvo gydomi imatinibu 340 mg/m</w:t>
      </w:r>
      <w:r w:rsidRPr="00776407">
        <w:rPr>
          <w:rFonts w:eastAsia="Calibri"/>
          <w:color w:val="000000"/>
          <w:sz w:val="22"/>
          <w:szCs w:val="22"/>
          <w:vertAlign w:val="superscript"/>
        </w:rPr>
        <w:t xml:space="preserve">2 </w:t>
      </w:r>
      <w:r w:rsidRPr="00776407">
        <w:rPr>
          <w:rFonts w:eastAsia="Calibri"/>
          <w:color w:val="000000"/>
          <w:sz w:val="22"/>
          <w:szCs w:val="22"/>
        </w:rPr>
        <w:t xml:space="preserve">doze be pertraukų, nes nebuvo dozės ribojančio nepageidaujamo poveikio. Gydymas imatinibu sukėlė greitą atsaką vaikų, sergančių naujai diagnozuota LML su 78 % VHA, tarpe po 8 gydymo savaičių. Aukštas VHA lygis yra susijęs su išsivysčiusiu 65 % visišku citogenetiniu atsaku (CCyR), kuris lygintinas su duomenimis suagusiųjų tarpe. Be to, buvo stebimas 16 % dalinis citogenetinis atsakas (PCyR), kai MCyR dažnis – 81 %. Daugumai pacientų, pasiekusių CCyR, tarp 3 ir 10 mėnesių išsivystė CCyR su atsako trukmės mediana, remiantis Kaplan-Meier 5,6 mėnesių išgyvenamumo rodikliu. </w:t>
      </w:r>
    </w:p>
    <w:p w14:paraId="25093C33" w14:textId="77777777" w:rsidR="00F24F4D" w:rsidRPr="00776407" w:rsidRDefault="00F24F4D" w:rsidP="00430A5A">
      <w:pPr>
        <w:autoSpaceDE w:val="0"/>
        <w:autoSpaceDN w:val="0"/>
        <w:adjustRightInd w:val="0"/>
        <w:rPr>
          <w:rFonts w:eastAsia="Calibri"/>
          <w:color w:val="000000"/>
          <w:sz w:val="22"/>
          <w:szCs w:val="22"/>
        </w:rPr>
      </w:pPr>
    </w:p>
    <w:p w14:paraId="6E57347C" w14:textId="77777777" w:rsidR="00F24F4D" w:rsidRPr="00776407" w:rsidRDefault="00F24F4D" w:rsidP="00F24F4D">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Europos vaistų agentūra atleido nuo įsipareigojimo pateikti imatinibo tyrimų su visais vaikų populiacijos pogrupiais duomenis, sergantiesiems </w:t>
      </w:r>
      <w:r w:rsidRPr="00776407">
        <w:rPr>
          <w:rFonts w:ascii="Times New Roman" w:hAnsi="Times New Roman" w:cs="Times New Roman"/>
          <w:i/>
          <w:iCs/>
          <w:sz w:val="22"/>
          <w:szCs w:val="22"/>
          <w:lang w:val="lt-LT"/>
        </w:rPr>
        <w:t xml:space="preserve">Philadelphia </w:t>
      </w:r>
      <w:r w:rsidRPr="00776407">
        <w:rPr>
          <w:rFonts w:ascii="Times New Roman" w:hAnsi="Times New Roman" w:cs="Times New Roman"/>
          <w:sz w:val="22"/>
          <w:szCs w:val="22"/>
          <w:lang w:val="lt-LT"/>
        </w:rPr>
        <w:t xml:space="preserve">chromosomai (bcr-abl translokacija) teigiama lėtine mieloleukemija (vartojimo vaikams informacija pateikiama 4.2 skyriuje). </w:t>
      </w:r>
    </w:p>
    <w:p w14:paraId="22856F96" w14:textId="77777777" w:rsidR="00BB5F74" w:rsidRPr="00776407" w:rsidRDefault="00BB5F74" w:rsidP="00E93356">
      <w:pPr>
        <w:autoSpaceDE w:val="0"/>
        <w:autoSpaceDN w:val="0"/>
        <w:adjustRightInd w:val="0"/>
        <w:rPr>
          <w:rFonts w:eastAsia="Calibri"/>
          <w:color w:val="000000"/>
          <w:sz w:val="22"/>
          <w:szCs w:val="22"/>
        </w:rPr>
      </w:pPr>
    </w:p>
    <w:p w14:paraId="74168EC0" w14:textId="77777777" w:rsidR="00BB5F74" w:rsidRPr="00776407" w:rsidRDefault="00BB5F74" w:rsidP="00E93356">
      <w:pPr>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Klinikiniai Ph+ ŪLL tyrimai </w:t>
      </w:r>
    </w:p>
    <w:p w14:paraId="206F63F9" w14:textId="77777777" w:rsidR="00BB5F74" w:rsidRPr="00776407" w:rsidRDefault="00BB5F74" w:rsidP="00E93356">
      <w:pPr>
        <w:autoSpaceDE w:val="0"/>
        <w:autoSpaceDN w:val="0"/>
        <w:adjustRightInd w:val="0"/>
        <w:rPr>
          <w:rFonts w:eastAsia="Calibri"/>
          <w:color w:val="000000"/>
          <w:sz w:val="22"/>
          <w:szCs w:val="22"/>
        </w:rPr>
      </w:pPr>
      <w:r w:rsidRPr="00776407">
        <w:rPr>
          <w:rFonts w:eastAsia="Calibri"/>
          <w:i/>
          <w:iCs/>
          <w:color w:val="000000"/>
          <w:sz w:val="22"/>
          <w:szCs w:val="22"/>
        </w:rPr>
        <w:t>Pirmą kartą diagnozuota Ph+ ŪLL</w:t>
      </w:r>
      <w:r w:rsidRPr="00776407">
        <w:rPr>
          <w:rFonts w:eastAsia="Calibri"/>
          <w:color w:val="000000"/>
          <w:sz w:val="22"/>
          <w:szCs w:val="22"/>
        </w:rPr>
        <w:t xml:space="preserve">: Kontroliuojamo (ADE10) tyrimo metu, kuriame imatinibas buvo lygintas su pradine chemoterapija penkiasdešimt penkiems 55 metų ir vyresniems pacientams, kuriems diagnozė nustatyta pirmą kartą, vartojant vieną imatinibą buvo gautas reikšmingai didesnis pilno hematologinio atsako dažnis lyginant su chemoterapiją gavusiaisias (96,3 % lyginant su 50 %; p=0,0001). Kai pacientams, kuriems nebuvo gautas atsakas ar gautas silpnas atsakas, buvo paskirtas pagalbinis gydymas imatinibu, pilnas hematologinis atsakas buvo gautas 9 pacientams (81,8 %) iš 11. Šis klinikinis efektas buvo susijęs su didesniu bcr-abl transkriptų sumažėjimu po 2 gydymo savaičių imatinibą vartojusių pacientų grupėje (p=0,02) lyginant su chemoterapiją gavusiaisias. Po pradinio gydymo visi pacientai gavo imatinibą bei papildomą chemoterapiją (žr. </w:t>
      </w:r>
      <w:r w:rsidR="004B600B" w:rsidRPr="00776407">
        <w:rPr>
          <w:rFonts w:eastAsia="Calibri"/>
          <w:color w:val="000000"/>
          <w:sz w:val="22"/>
          <w:szCs w:val="22"/>
        </w:rPr>
        <w:t>3</w:t>
      </w:r>
      <w:r w:rsidRPr="00776407">
        <w:rPr>
          <w:rFonts w:eastAsia="Calibri"/>
          <w:color w:val="000000"/>
          <w:sz w:val="22"/>
          <w:szCs w:val="22"/>
        </w:rPr>
        <w:t> lentelę), po 8 savaičių bcr-abl transkriptų kiekis buvo vienodas abiejose grupėse. Kaip ir tikėtasi planuojant tyrimą, skirtumo tarp remisijos trukmės, laiko be ligos ir gyvenimo trukmės nebuvo, nors pacientų, kuriems buvo pasiektas pilnas molekulinis atsakas ir išliko minimali liekamoji liga, buvo geresni ir remisijos trukmės (p=0,01) ir laiko be ligos (p=0,02) rezultatai.</w:t>
      </w:r>
    </w:p>
    <w:p w14:paraId="6C5B039F" w14:textId="77777777" w:rsidR="00BB5F74" w:rsidRPr="00776407" w:rsidRDefault="00BB5F74" w:rsidP="00BB5F74">
      <w:pPr>
        <w:autoSpaceDE w:val="0"/>
        <w:autoSpaceDN w:val="0"/>
        <w:adjustRightInd w:val="0"/>
        <w:rPr>
          <w:rFonts w:eastAsia="Calibri"/>
          <w:color w:val="000000"/>
          <w:sz w:val="22"/>
          <w:szCs w:val="22"/>
        </w:rPr>
      </w:pPr>
    </w:p>
    <w:p w14:paraId="7AA6E57E" w14:textId="77777777" w:rsidR="00BB5F74" w:rsidRPr="00776407" w:rsidRDefault="00BB5F74" w:rsidP="00BB5F74">
      <w:pPr>
        <w:autoSpaceDE w:val="0"/>
        <w:autoSpaceDN w:val="0"/>
        <w:adjustRightInd w:val="0"/>
        <w:rPr>
          <w:sz w:val="22"/>
          <w:szCs w:val="22"/>
        </w:rPr>
      </w:pPr>
      <w:r w:rsidRPr="00776407">
        <w:rPr>
          <w:sz w:val="22"/>
          <w:szCs w:val="22"/>
        </w:rPr>
        <w:t xml:space="preserve">Keturių nekontroliuojamų tyrimų (AAU02, ADE04, AJP01 ir AUS01), kuriuose dalyvavo 211 pacientų, kuriems pirmą kartą diagnozuota Ph+ ŪLL, rezultatai atitinka aukščiau paminėto tyrimo rezultatus. Skiriant imatinibą kartu su pradine chemoterapija (žr. </w:t>
      </w:r>
      <w:r w:rsidR="004B600B" w:rsidRPr="00776407">
        <w:rPr>
          <w:sz w:val="22"/>
          <w:szCs w:val="22"/>
        </w:rPr>
        <w:t>3</w:t>
      </w:r>
      <w:r w:rsidRPr="00776407">
        <w:rPr>
          <w:sz w:val="22"/>
          <w:szCs w:val="22"/>
        </w:rPr>
        <w:t> lentelę) pilno hematologinio atsako dažnis buvo 93 % (147 iš 158 pacientų, kuriuos buvo galima vertinti), o didžiojo citogenetinio atsako dažnis buvo 90 % (19 iš 21 paciento, kuriuos buvo galima įvertinti). Pilno molekulinio atsako dažnis buvo 48 % (49 iš 102 pacientų, kuriuos buvo galima vertinti). Laikas be ligos (DSF) ir gyvenimo trukmė (OS) pastoviai viršijo 1 metus ir buvo aukštesni kaip anksčiau nustatyti (DFS p&lt;0,001; OS p&lt;0,0001) dvejuose tyrimuose (AJP01 ir AUS01).</w:t>
      </w:r>
    </w:p>
    <w:p w14:paraId="6FBF00FE" w14:textId="77777777" w:rsidR="001642BC" w:rsidRPr="00776407" w:rsidRDefault="001642BC" w:rsidP="00BB5F74">
      <w:pPr>
        <w:autoSpaceDE w:val="0"/>
        <w:autoSpaceDN w:val="0"/>
        <w:adjustRightInd w:val="0"/>
        <w:rPr>
          <w:rFonts w:eastAsia="Calibri"/>
          <w:color w:val="000000"/>
          <w:sz w:val="22"/>
          <w:szCs w:val="22"/>
        </w:rPr>
      </w:pPr>
    </w:p>
    <w:p w14:paraId="0D95F19C" w14:textId="77777777" w:rsidR="00857144" w:rsidRPr="00776407" w:rsidRDefault="00857144" w:rsidP="00857144">
      <w:pPr>
        <w:keepNext/>
        <w:autoSpaceDE w:val="0"/>
        <w:autoSpaceDN w:val="0"/>
        <w:adjustRightInd w:val="0"/>
        <w:rPr>
          <w:sz w:val="22"/>
          <w:szCs w:val="22"/>
        </w:rPr>
      </w:pPr>
      <w:r w:rsidRPr="00776407">
        <w:rPr>
          <w:b/>
          <w:bCs/>
          <w:sz w:val="22"/>
          <w:szCs w:val="22"/>
        </w:rPr>
        <w:t>3 lentelė</w:t>
      </w:r>
      <w:r w:rsidRPr="00776407">
        <w:rPr>
          <w:b/>
          <w:bCs/>
          <w:sz w:val="22"/>
          <w:szCs w:val="22"/>
        </w:rPr>
        <w:tab/>
        <w:t xml:space="preserve"> Chemoterapijos gydymas, taikomas kartu su imatinibu</w:t>
      </w:r>
    </w:p>
    <w:p w14:paraId="4C629F59" w14:textId="77777777" w:rsidR="00BB5F74" w:rsidRPr="00776407" w:rsidRDefault="00BB5F74" w:rsidP="00BB5F74">
      <w:pPr>
        <w:keepNext/>
        <w:autoSpaceDE w:val="0"/>
        <w:autoSpaceDN w:val="0"/>
        <w:adjustRightInd w:val="0"/>
        <w:rPr>
          <w:sz w:val="22"/>
          <w:szCs w:val="22"/>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BB5F74" w:rsidRPr="00776407" w14:paraId="42FE3456" w14:textId="77777777" w:rsidTr="00276DBE">
        <w:trPr>
          <w:trHeight w:hRule="exact" w:val="329"/>
        </w:trPr>
        <w:tc>
          <w:tcPr>
            <w:tcW w:w="8931" w:type="dxa"/>
            <w:gridSpan w:val="2"/>
            <w:shd w:val="clear" w:color="auto" w:fill="auto"/>
            <w:tcMar>
              <w:top w:w="57" w:type="dxa"/>
              <w:bottom w:w="57" w:type="dxa"/>
            </w:tcMar>
          </w:tcPr>
          <w:p w14:paraId="7E880394" w14:textId="77777777" w:rsidR="00BB5F74" w:rsidRPr="00776407" w:rsidRDefault="00BB5F74" w:rsidP="00276DBE">
            <w:pPr>
              <w:keepNext/>
              <w:ind w:right="-23"/>
              <w:rPr>
                <w:sz w:val="22"/>
                <w:szCs w:val="22"/>
              </w:rPr>
            </w:pPr>
            <w:r w:rsidRPr="00776407">
              <w:rPr>
                <w:b/>
                <w:bCs/>
                <w:sz w:val="22"/>
                <w:szCs w:val="22"/>
              </w:rPr>
              <w:t>ADE10 tyrimas</w:t>
            </w:r>
          </w:p>
        </w:tc>
      </w:tr>
      <w:tr w:rsidR="00BB5F74" w:rsidRPr="00776407" w14:paraId="55873152" w14:textId="77777777" w:rsidTr="00276DBE">
        <w:trPr>
          <w:trHeight w:hRule="exact" w:val="567"/>
        </w:trPr>
        <w:tc>
          <w:tcPr>
            <w:tcW w:w="2133" w:type="dxa"/>
            <w:tcBorders>
              <w:right w:val="nil"/>
            </w:tcBorders>
            <w:shd w:val="clear" w:color="auto" w:fill="auto"/>
            <w:tcMar>
              <w:top w:w="57" w:type="dxa"/>
              <w:bottom w:w="57" w:type="dxa"/>
            </w:tcMar>
          </w:tcPr>
          <w:p w14:paraId="2D2A8C8D" w14:textId="77777777" w:rsidR="00BB5F74" w:rsidRPr="00776407" w:rsidRDefault="00BB5F74" w:rsidP="00276DBE">
            <w:pPr>
              <w:ind w:right="-20"/>
              <w:rPr>
                <w:sz w:val="22"/>
                <w:szCs w:val="22"/>
              </w:rPr>
            </w:pPr>
            <w:r w:rsidRPr="00776407">
              <w:rPr>
                <w:sz w:val="22"/>
                <w:szCs w:val="22"/>
              </w:rPr>
              <w:t>Prefazė</w:t>
            </w:r>
          </w:p>
        </w:tc>
        <w:tc>
          <w:tcPr>
            <w:tcW w:w="6798" w:type="dxa"/>
            <w:tcBorders>
              <w:left w:val="nil"/>
            </w:tcBorders>
            <w:shd w:val="clear" w:color="auto" w:fill="auto"/>
            <w:tcMar>
              <w:top w:w="57" w:type="dxa"/>
              <w:bottom w:w="57" w:type="dxa"/>
            </w:tcMar>
          </w:tcPr>
          <w:p w14:paraId="545ED7BC" w14:textId="77777777" w:rsidR="00BB5F74" w:rsidRPr="00776407" w:rsidRDefault="00BB5F74" w:rsidP="00276DBE">
            <w:pPr>
              <w:ind w:right="-20"/>
              <w:rPr>
                <w:sz w:val="22"/>
                <w:szCs w:val="22"/>
              </w:rPr>
            </w:pPr>
            <w:r w:rsidRPr="00776407">
              <w:rPr>
                <w:sz w:val="22"/>
                <w:szCs w:val="22"/>
              </w:rPr>
              <w:t>Gerti DEX 10 mg/m</w:t>
            </w:r>
            <w:r w:rsidRPr="00776407">
              <w:rPr>
                <w:sz w:val="22"/>
                <w:szCs w:val="22"/>
                <w:vertAlign w:val="superscript"/>
              </w:rPr>
              <w:t>2 </w:t>
            </w:r>
            <w:r w:rsidRPr="00776407">
              <w:rPr>
                <w:sz w:val="22"/>
                <w:szCs w:val="22"/>
              </w:rPr>
              <w:t>, 1-5 dienas; CP 200 mg/m</w:t>
            </w:r>
            <w:r w:rsidRPr="00776407">
              <w:rPr>
                <w:sz w:val="22"/>
                <w:szCs w:val="22"/>
                <w:vertAlign w:val="superscript"/>
              </w:rPr>
              <w:t>2</w:t>
            </w:r>
            <w:r w:rsidRPr="00776407">
              <w:rPr>
                <w:sz w:val="22"/>
                <w:szCs w:val="22"/>
              </w:rPr>
              <w:t xml:space="preserve"> i.v., 3, 4, 5 dieną; MTX 12 mg intratekaliai, 1 dieną.</w:t>
            </w:r>
          </w:p>
        </w:tc>
      </w:tr>
      <w:tr w:rsidR="00BB5F74" w:rsidRPr="00776407" w14:paraId="4FF0E515" w14:textId="77777777" w:rsidTr="00E93356">
        <w:trPr>
          <w:trHeight w:hRule="exact" w:val="1084"/>
        </w:trPr>
        <w:tc>
          <w:tcPr>
            <w:tcW w:w="2133" w:type="dxa"/>
            <w:tcBorders>
              <w:right w:val="nil"/>
            </w:tcBorders>
            <w:shd w:val="clear" w:color="auto" w:fill="auto"/>
            <w:tcMar>
              <w:top w:w="57" w:type="dxa"/>
              <w:bottom w:w="57" w:type="dxa"/>
            </w:tcMar>
          </w:tcPr>
          <w:p w14:paraId="3E7BF174" w14:textId="77777777" w:rsidR="00BB5F74" w:rsidRPr="00776407" w:rsidRDefault="00BB5F74" w:rsidP="00276DBE">
            <w:pPr>
              <w:ind w:right="-20"/>
              <w:rPr>
                <w:sz w:val="22"/>
                <w:szCs w:val="22"/>
              </w:rPr>
            </w:pPr>
            <w:r w:rsidRPr="00776407">
              <w:rPr>
                <w:sz w:val="22"/>
                <w:szCs w:val="22"/>
              </w:rPr>
              <w:t>Remisijos sukėlimas</w:t>
            </w:r>
          </w:p>
        </w:tc>
        <w:tc>
          <w:tcPr>
            <w:tcW w:w="6798" w:type="dxa"/>
            <w:tcBorders>
              <w:left w:val="nil"/>
            </w:tcBorders>
            <w:shd w:val="clear" w:color="auto" w:fill="auto"/>
            <w:tcMar>
              <w:top w:w="57" w:type="dxa"/>
              <w:bottom w:w="57" w:type="dxa"/>
            </w:tcMar>
          </w:tcPr>
          <w:p w14:paraId="33EAC0BD" w14:textId="77777777" w:rsidR="00BB5F74" w:rsidRPr="00776407" w:rsidRDefault="00BB5F74" w:rsidP="00276DBE">
            <w:pPr>
              <w:ind w:right="-20"/>
              <w:rPr>
                <w:sz w:val="22"/>
                <w:szCs w:val="22"/>
              </w:rPr>
            </w:pPr>
            <w:r w:rsidRPr="00776407">
              <w:rPr>
                <w:sz w:val="22"/>
                <w:szCs w:val="22"/>
              </w:rPr>
              <w:t>Gerti DEX 10 mg/m</w:t>
            </w:r>
            <w:r w:rsidRPr="00776407">
              <w:rPr>
                <w:sz w:val="22"/>
                <w:szCs w:val="22"/>
                <w:vertAlign w:val="superscript"/>
              </w:rPr>
              <w:t>2 </w:t>
            </w:r>
            <w:r w:rsidRPr="00776407">
              <w:rPr>
                <w:sz w:val="22"/>
                <w:szCs w:val="22"/>
              </w:rPr>
              <w:t>, 6-7 dieną, 13-16 dieną; VCR 1 mg i.v., 7, 14 dieną; IDA 8 mg/m</w:t>
            </w:r>
            <w:r w:rsidRPr="00776407">
              <w:rPr>
                <w:sz w:val="22"/>
                <w:szCs w:val="22"/>
                <w:vertAlign w:val="superscript"/>
              </w:rPr>
              <w:t>2 </w:t>
            </w:r>
            <w:r w:rsidRPr="00776407">
              <w:rPr>
                <w:sz w:val="22"/>
                <w:szCs w:val="22"/>
              </w:rPr>
              <w:t>i.v. (0</w:t>
            </w:r>
            <w:r w:rsidR="009F4021" w:rsidRPr="00776407">
              <w:rPr>
                <w:sz w:val="22"/>
                <w:szCs w:val="22"/>
              </w:rPr>
              <w:t>,</w:t>
            </w:r>
            <w:r w:rsidRPr="00776407">
              <w:rPr>
                <w:sz w:val="22"/>
                <w:szCs w:val="22"/>
              </w:rPr>
              <w:t>5 valandos), 7 8, 14, 15 dieną; CP 500 mg/m</w:t>
            </w:r>
            <w:r w:rsidRPr="00776407">
              <w:rPr>
                <w:sz w:val="22"/>
                <w:szCs w:val="22"/>
                <w:vertAlign w:val="superscript"/>
              </w:rPr>
              <w:t>2 </w:t>
            </w:r>
            <w:r w:rsidRPr="00776407">
              <w:rPr>
                <w:sz w:val="22"/>
                <w:szCs w:val="22"/>
              </w:rPr>
              <w:t>i.v.</w:t>
            </w:r>
            <w:r w:rsidR="001642BC" w:rsidRPr="00776407">
              <w:rPr>
                <w:sz w:val="22"/>
                <w:szCs w:val="22"/>
              </w:rPr>
              <w:t xml:space="preserve"> </w:t>
            </w:r>
            <w:r w:rsidRPr="00776407">
              <w:rPr>
                <w:sz w:val="22"/>
                <w:szCs w:val="22"/>
              </w:rPr>
              <w:t>(1 valanda) 1 dieną; Ara- C 60 mg/m</w:t>
            </w:r>
            <w:r w:rsidRPr="00776407">
              <w:rPr>
                <w:sz w:val="22"/>
                <w:szCs w:val="22"/>
                <w:vertAlign w:val="superscript"/>
              </w:rPr>
              <w:t>2 </w:t>
            </w:r>
            <w:r w:rsidRPr="00776407">
              <w:rPr>
                <w:sz w:val="22"/>
                <w:szCs w:val="22"/>
              </w:rPr>
              <w:t>i.v., 22-25, 29-32 dienas.</w:t>
            </w:r>
          </w:p>
        </w:tc>
      </w:tr>
      <w:tr w:rsidR="00BB5F74" w:rsidRPr="00776407" w14:paraId="45A2D607" w14:textId="77777777" w:rsidTr="00276DBE">
        <w:trPr>
          <w:trHeight w:hRule="exact" w:val="567"/>
        </w:trPr>
        <w:tc>
          <w:tcPr>
            <w:tcW w:w="2133" w:type="dxa"/>
            <w:tcBorders>
              <w:right w:val="nil"/>
            </w:tcBorders>
            <w:shd w:val="clear" w:color="auto" w:fill="auto"/>
            <w:tcMar>
              <w:top w:w="57" w:type="dxa"/>
              <w:bottom w:w="57" w:type="dxa"/>
            </w:tcMar>
          </w:tcPr>
          <w:p w14:paraId="679128F9" w14:textId="77777777" w:rsidR="00BB5F74" w:rsidRPr="00776407" w:rsidRDefault="00BB5F74" w:rsidP="00276DBE">
            <w:pPr>
              <w:rPr>
                <w:sz w:val="22"/>
                <w:szCs w:val="22"/>
              </w:rPr>
            </w:pPr>
            <w:r w:rsidRPr="00776407">
              <w:rPr>
                <w:sz w:val="22"/>
                <w:szCs w:val="22"/>
              </w:rPr>
              <w:t>Konsoliduojantis gydymas I, III, V</w:t>
            </w:r>
          </w:p>
        </w:tc>
        <w:tc>
          <w:tcPr>
            <w:tcW w:w="6798" w:type="dxa"/>
            <w:tcBorders>
              <w:left w:val="nil"/>
            </w:tcBorders>
            <w:shd w:val="clear" w:color="auto" w:fill="auto"/>
            <w:tcMar>
              <w:top w:w="57" w:type="dxa"/>
              <w:bottom w:w="57" w:type="dxa"/>
            </w:tcMar>
          </w:tcPr>
          <w:p w14:paraId="46DDCA33" w14:textId="77777777" w:rsidR="00BB5F74" w:rsidRPr="00776407" w:rsidRDefault="00BB5F74" w:rsidP="001642BC">
            <w:pPr>
              <w:ind w:right="-20"/>
              <w:rPr>
                <w:sz w:val="22"/>
                <w:szCs w:val="22"/>
              </w:rPr>
            </w:pPr>
            <w:r w:rsidRPr="00776407">
              <w:rPr>
                <w:sz w:val="22"/>
                <w:szCs w:val="22"/>
              </w:rPr>
              <w:t>MTX 500 mg/m</w:t>
            </w:r>
            <w:r w:rsidRPr="00776407">
              <w:rPr>
                <w:sz w:val="22"/>
                <w:szCs w:val="22"/>
                <w:vertAlign w:val="superscript"/>
              </w:rPr>
              <w:t>2 </w:t>
            </w:r>
            <w:r w:rsidRPr="00776407">
              <w:rPr>
                <w:sz w:val="22"/>
                <w:szCs w:val="22"/>
              </w:rPr>
              <w:t>i.v. (24 valandos), 1, 15 dieną; gerti 6-MP 25 mg/m</w:t>
            </w:r>
            <w:r w:rsidRPr="00776407">
              <w:rPr>
                <w:sz w:val="22"/>
                <w:szCs w:val="22"/>
                <w:vertAlign w:val="superscript"/>
              </w:rPr>
              <w:t>2 </w:t>
            </w:r>
            <w:r w:rsidRPr="00776407">
              <w:rPr>
                <w:sz w:val="22"/>
                <w:szCs w:val="22"/>
              </w:rPr>
              <w:t>, 1</w:t>
            </w:r>
            <w:r w:rsidR="001642BC" w:rsidRPr="00776407">
              <w:rPr>
                <w:sz w:val="22"/>
                <w:szCs w:val="22"/>
              </w:rPr>
              <w:noBreakHyphen/>
            </w:r>
            <w:r w:rsidRPr="00776407">
              <w:rPr>
                <w:sz w:val="22"/>
                <w:szCs w:val="22"/>
              </w:rPr>
              <w:t>20 dieną</w:t>
            </w:r>
            <w:r w:rsidR="009F4021" w:rsidRPr="00776407">
              <w:rPr>
                <w:sz w:val="22"/>
                <w:szCs w:val="22"/>
              </w:rPr>
              <w:t>.</w:t>
            </w:r>
          </w:p>
        </w:tc>
      </w:tr>
      <w:tr w:rsidR="00BB5F74" w:rsidRPr="00776407" w14:paraId="7FFBD173" w14:textId="77777777" w:rsidTr="00276DBE">
        <w:trPr>
          <w:trHeight w:hRule="exact" w:val="567"/>
        </w:trPr>
        <w:tc>
          <w:tcPr>
            <w:tcW w:w="2133" w:type="dxa"/>
            <w:tcBorders>
              <w:right w:val="nil"/>
            </w:tcBorders>
            <w:shd w:val="clear" w:color="auto" w:fill="auto"/>
            <w:tcMar>
              <w:top w:w="57" w:type="dxa"/>
              <w:bottom w:w="57" w:type="dxa"/>
            </w:tcMar>
          </w:tcPr>
          <w:p w14:paraId="12F999AC" w14:textId="77777777" w:rsidR="00BB5F74" w:rsidRPr="00776407" w:rsidRDefault="00BB5F74" w:rsidP="00276DBE">
            <w:pPr>
              <w:rPr>
                <w:sz w:val="22"/>
                <w:szCs w:val="22"/>
              </w:rPr>
            </w:pPr>
            <w:r w:rsidRPr="00776407">
              <w:rPr>
                <w:sz w:val="22"/>
                <w:szCs w:val="22"/>
              </w:rPr>
              <w:t>Konsoliduojantis gydymas II, IV</w:t>
            </w:r>
          </w:p>
        </w:tc>
        <w:tc>
          <w:tcPr>
            <w:tcW w:w="6798" w:type="dxa"/>
            <w:tcBorders>
              <w:left w:val="nil"/>
            </w:tcBorders>
            <w:shd w:val="clear" w:color="auto" w:fill="auto"/>
            <w:tcMar>
              <w:top w:w="57" w:type="dxa"/>
              <w:bottom w:w="57" w:type="dxa"/>
            </w:tcMar>
          </w:tcPr>
          <w:p w14:paraId="0C8907C5" w14:textId="77777777" w:rsidR="00BB5F74" w:rsidRPr="00776407" w:rsidRDefault="00BB5F74" w:rsidP="00276DBE">
            <w:pPr>
              <w:ind w:right="-20"/>
              <w:rPr>
                <w:sz w:val="22"/>
                <w:szCs w:val="22"/>
              </w:rPr>
            </w:pPr>
            <w:r w:rsidRPr="00776407">
              <w:rPr>
                <w:sz w:val="22"/>
                <w:szCs w:val="22"/>
              </w:rPr>
              <w:t>Ara-C 75 mg/m</w:t>
            </w:r>
            <w:r w:rsidRPr="00776407">
              <w:rPr>
                <w:sz w:val="22"/>
                <w:szCs w:val="22"/>
                <w:vertAlign w:val="superscript"/>
              </w:rPr>
              <w:t>2 </w:t>
            </w:r>
            <w:r w:rsidRPr="00776407">
              <w:rPr>
                <w:sz w:val="22"/>
                <w:szCs w:val="22"/>
              </w:rPr>
              <w:t>i.v. (1 valanda), 1-5dienas; VM26 60 mg/m</w:t>
            </w:r>
            <w:r w:rsidRPr="00776407">
              <w:rPr>
                <w:sz w:val="22"/>
                <w:szCs w:val="22"/>
                <w:vertAlign w:val="superscript"/>
              </w:rPr>
              <w:t>2 </w:t>
            </w:r>
            <w:r w:rsidRPr="00776407">
              <w:rPr>
                <w:sz w:val="22"/>
                <w:szCs w:val="22"/>
              </w:rPr>
              <w:t>i.v. (1 valanda), 1-5 dienas.</w:t>
            </w:r>
          </w:p>
        </w:tc>
      </w:tr>
      <w:tr w:rsidR="00BB5F74" w:rsidRPr="00776407" w14:paraId="48AEA304" w14:textId="77777777" w:rsidTr="00276DBE">
        <w:trPr>
          <w:trHeight w:hRule="exact" w:val="329"/>
        </w:trPr>
        <w:tc>
          <w:tcPr>
            <w:tcW w:w="8931" w:type="dxa"/>
            <w:gridSpan w:val="2"/>
            <w:shd w:val="clear" w:color="auto" w:fill="auto"/>
            <w:tcMar>
              <w:top w:w="57" w:type="dxa"/>
              <w:bottom w:w="57" w:type="dxa"/>
            </w:tcMar>
          </w:tcPr>
          <w:p w14:paraId="7A9F3484" w14:textId="77777777" w:rsidR="00BB5F74" w:rsidRPr="00776407" w:rsidRDefault="00BB5F74" w:rsidP="00276DBE">
            <w:pPr>
              <w:keepNext/>
              <w:ind w:right="-23"/>
              <w:rPr>
                <w:sz w:val="22"/>
                <w:szCs w:val="22"/>
              </w:rPr>
            </w:pPr>
            <w:r w:rsidRPr="00776407">
              <w:rPr>
                <w:b/>
                <w:bCs/>
                <w:sz w:val="22"/>
                <w:szCs w:val="22"/>
              </w:rPr>
              <w:t>AAU02 tyrimas</w:t>
            </w:r>
          </w:p>
        </w:tc>
      </w:tr>
      <w:tr w:rsidR="00BB5F74" w:rsidRPr="00776407" w14:paraId="58F60989" w14:textId="77777777" w:rsidTr="00276DBE">
        <w:trPr>
          <w:trHeight w:hRule="exact" w:val="1704"/>
        </w:trPr>
        <w:tc>
          <w:tcPr>
            <w:tcW w:w="2133" w:type="dxa"/>
            <w:tcBorders>
              <w:right w:val="nil"/>
            </w:tcBorders>
            <w:shd w:val="clear" w:color="auto" w:fill="auto"/>
            <w:tcMar>
              <w:top w:w="57" w:type="dxa"/>
              <w:bottom w:w="57" w:type="dxa"/>
            </w:tcMar>
          </w:tcPr>
          <w:p w14:paraId="6EB09C0E" w14:textId="77777777" w:rsidR="00BB5F74" w:rsidRPr="00776407" w:rsidRDefault="00BB5F74" w:rsidP="00276DBE">
            <w:pPr>
              <w:ind w:right="66"/>
              <w:rPr>
                <w:sz w:val="22"/>
                <w:szCs w:val="22"/>
              </w:rPr>
            </w:pPr>
            <w:r w:rsidRPr="00776407">
              <w:rPr>
                <w:sz w:val="22"/>
                <w:szCs w:val="22"/>
              </w:rPr>
              <w:t>Pradinis gydymas (</w:t>
            </w:r>
            <w:r w:rsidRPr="00776407">
              <w:rPr>
                <w:i/>
                <w:sz w:val="22"/>
                <w:szCs w:val="22"/>
              </w:rPr>
              <w:t xml:space="preserve">de novo </w:t>
            </w:r>
            <w:r w:rsidRPr="00776407">
              <w:rPr>
                <w:sz w:val="22"/>
                <w:szCs w:val="22"/>
              </w:rPr>
              <w:t>Ph+ ALL)</w:t>
            </w:r>
          </w:p>
        </w:tc>
        <w:tc>
          <w:tcPr>
            <w:tcW w:w="6798" w:type="dxa"/>
            <w:tcBorders>
              <w:left w:val="nil"/>
            </w:tcBorders>
            <w:shd w:val="clear" w:color="auto" w:fill="auto"/>
            <w:tcMar>
              <w:top w:w="57" w:type="dxa"/>
              <w:bottom w:w="57" w:type="dxa"/>
            </w:tcMar>
          </w:tcPr>
          <w:p w14:paraId="085FA97E" w14:textId="77777777" w:rsidR="00BB5F74" w:rsidRPr="00776407" w:rsidRDefault="00BB5F74" w:rsidP="001642BC">
            <w:pPr>
              <w:ind w:right="173"/>
              <w:rPr>
                <w:sz w:val="22"/>
                <w:szCs w:val="22"/>
              </w:rPr>
            </w:pPr>
            <w:r w:rsidRPr="00776407">
              <w:rPr>
                <w:sz w:val="22"/>
                <w:szCs w:val="22"/>
              </w:rPr>
              <w:t>Daunorubicinas 30 mg/m</w:t>
            </w:r>
            <w:r w:rsidRPr="00776407">
              <w:rPr>
                <w:sz w:val="22"/>
                <w:szCs w:val="22"/>
                <w:vertAlign w:val="superscript"/>
              </w:rPr>
              <w:t>2 </w:t>
            </w:r>
            <w:r w:rsidRPr="00776407">
              <w:rPr>
                <w:sz w:val="22"/>
                <w:szCs w:val="22"/>
              </w:rPr>
              <w:t>i.v., 1-3 dienas, 15-16 dienas; VCR 2 mg bendra dozė i.v., 1, 8, 15, 22 dieną; CP 750 mg/m</w:t>
            </w:r>
            <w:r w:rsidRPr="00776407">
              <w:rPr>
                <w:sz w:val="22"/>
                <w:szCs w:val="22"/>
                <w:vertAlign w:val="superscript"/>
              </w:rPr>
              <w:t>2 </w:t>
            </w:r>
            <w:r w:rsidRPr="00776407">
              <w:rPr>
                <w:sz w:val="22"/>
                <w:szCs w:val="22"/>
              </w:rPr>
              <w:t>i.v., 1, 8 dieną; gerti prednizoloną 60 mg/m</w:t>
            </w:r>
            <w:r w:rsidRPr="00776407">
              <w:rPr>
                <w:sz w:val="22"/>
                <w:szCs w:val="22"/>
                <w:vertAlign w:val="superscript"/>
              </w:rPr>
              <w:t>2 </w:t>
            </w:r>
            <w:r w:rsidRPr="00776407">
              <w:rPr>
                <w:sz w:val="22"/>
                <w:szCs w:val="22"/>
              </w:rPr>
              <w:t>, 1-7, 15-21 dienas; gerti IDA 9 mg/m</w:t>
            </w:r>
            <w:r w:rsidRPr="00776407">
              <w:rPr>
                <w:sz w:val="22"/>
                <w:szCs w:val="22"/>
                <w:vertAlign w:val="superscript"/>
              </w:rPr>
              <w:t>2 </w:t>
            </w:r>
            <w:r w:rsidRPr="00776407">
              <w:rPr>
                <w:sz w:val="22"/>
                <w:szCs w:val="22"/>
              </w:rPr>
              <w:t>, 1</w:t>
            </w:r>
            <w:r w:rsidR="001642BC" w:rsidRPr="00776407">
              <w:rPr>
                <w:sz w:val="22"/>
                <w:szCs w:val="22"/>
              </w:rPr>
              <w:noBreakHyphen/>
            </w:r>
            <w:r w:rsidRPr="00776407">
              <w:rPr>
                <w:sz w:val="22"/>
                <w:szCs w:val="22"/>
              </w:rPr>
              <w:t>28 dienas; MTX 15 mg intratekaliai, 1, 8, 15, 22 dieną; Ara-C 40 mg intratekaliai, 1, 8, 15, 22 dieną; metilprednizolonas 40 mg intratekaliai 1, 8, 15, 22 dieną.</w:t>
            </w:r>
          </w:p>
        </w:tc>
      </w:tr>
      <w:tr w:rsidR="00BB5F74" w:rsidRPr="00776407" w14:paraId="220D084B" w14:textId="77777777" w:rsidTr="00276DBE">
        <w:trPr>
          <w:trHeight w:hRule="exact" w:val="1077"/>
        </w:trPr>
        <w:tc>
          <w:tcPr>
            <w:tcW w:w="2133" w:type="dxa"/>
            <w:tcBorders>
              <w:right w:val="nil"/>
            </w:tcBorders>
            <w:shd w:val="clear" w:color="auto" w:fill="auto"/>
            <w:tcMar>
              <w:top w:w="57" w:type="dxa"/>
              <w:bottom w:w="57" w:type="dxa"/>
            </w:tcMar>
          </w:tcPr>
          <w:p w14:paraId="71D8A089" w14:textId="77777777" w:rsidR="00BB5F74" w:rsidRPr="00776407" w:rsidRDefault="00BB5F74" w:rsidP="00276DBE">
            <w:pPr>
              <w:ind w:right="-68"/>
              <w:rPr>
                <w:sz w:val="22"/>
                <w:szCs w:val="22"/>
              </w:rPr>
            </w:pPr>
            <w:r w:rsidRPr="00776407">
              <w:rPr>
                <w:sz w:val="22"/>
                <w:szCs w:val="22"/>
              </w:rPr>
              <w:t>Konsoliduojantis gydymas (</w:t>
            </w:r>
            <w:r w:rsidRPr="00776407">
              <w:rPr>
                <w:i/>
                <w:sz w:val="22"/>
                <w:szCs w:val="22"/>
              </w:rPr>
              <w:t xml:space="preserve">de novo </w:t>
            </w:r>
            <w:r w:rsidRPr="00776407">
              <w:rPr>
                <w:sz w:val="22"/>
                <w:szCs w:val="22"/>
              </w:rPr>
              <w:t>Ph+ ALL)</w:t>
            </w:r>
          </w:p>
        </w:tc>
        <w:tc>
          <w:tcPr>
            <w:tcW w:w="6798" w:type="dxa"/>
            <w:tcBorders>
              <w:left w:val="nil"/>
            </w:tcBorders>
            <w:shd w:val="clear" w:color="auto" w:fill="auto"/>
            <w:tcMar>
              <w:top w:w="57" w:type="dxa"/>
              <w:bottom w:w="57" w:type="dxa"/>
            </w:tcMar>
          </w:tcPr>
          <w:p w14:paraId="1E93AAD2" w14:textId="77777777" w:rsidR="00BB5F74" w:rsidRPr="00776407" w:rsidRDefault="00BB5F74" w:rsidP="00276DBE">
            <w:pPr>
              <w:ind w:right="227"/>
              <w:rPr>
                <w:sz w:val="22"/>
                <w:szCs w:val="22"/>
              </w:rPr>
            </w:pPr>
            <w:r w:rsidRPr="00776407">
              <w:rPr>
                <w:sz w:val="22"/>
                <w:szCs w:val="22"/>
              </w:rPr>
              <w:t>Ara-C 1,000 mg/m</w:t>
            </w:r>
            <w:r w:rsidRPr="00776407">
              <w:rPr>
                <w:sz w:val="22"/>
                <w:szCs w:val="22"/>
                <w:vertAlign w:val="superscript"/>
              </w:rPr>
              <w:t>2 </w:t>
            </w:r>
            <w:r w:rsidRPr="00776407">
              <w:rPr>
                <w:sz w:val="22"/>
                <w:szCs w:val="22"/>
              </w:rPr>
              <w:t>/12 h i.v.(3 valandos), 1-4 dienas; mitoksantronas 10 mg/m</w:t>
            </w:r>
            <w:r w:rsidRPr="00776407">
              <w:rPr>
                <w:sz w:val="22"/>
                <w:szCs w:val="22"/>
                <w:vertAlign w:val="superscript"/>
              </w:rPr>
              <w:t>2 </w:t>
            </w:r>
            <w:r w:rsidRPr="00776407">
              <w:rPr>
                <w:sz w:val="22"/>
                <w:szCs w:val="22"/>
              </w:rPr>
              <w:t>i.v. 3-5 dienas; MTX 15 mg intratekaliai, 1 dieną; metilprednizolonas 40 mg intratekaliai, 1 dieną.</w:t>
            </w:r>
          </w:p>
        </w:tc>
      </w:tr>
      <w:tr w:rsidR="00BB5F74" w:rsidRPr="00776407" w14:paraId="541F5D0F" w14:textId="77777777" w:rsidTr="00276DBE">
        <w:trPr>
          <w:trHeight w:hRule="exact" w:val="329"/>
        </w:trPr>
        <w:tc>
          <w:tcPr>
            <w:tcW w:w="8931" w:type="dxa"/>
            <w:gridSpan w:val="2"/>
            <w:tcBorders>
              <w:bottom w:val="single" w:sz="4" w:space="0" w:color="auto"/>
            </w:tcBorders>
            <w:shd w:val="clear" w:color="auto" w:fill="auto"/>
            <w:tcMar>
              <w:top w:w="57" w:type="dxa"/>
              <w:bottom w:w="57" w:type="dxa"/>
            </w:tcMar>
          </w:tcPr>
          <w:p w14:paraId="6903DC17" w14:textId="77777777" w:rsidR="00BB5F74" w:rsidRPr="00776407" w:rsidRDefault="00BB5F74" w:rsidP="00276DBE">
            <w:pPr>
              <w:keepNext/>
              <w:ind w:right="-23"/>
              <w:rPr>
                <w:sz w:val="22"/>
                <w:szCs w:val="22"/>
              </w:rPr>
            </w:pPr>
            <w:r w:rsidRPr="00776407">
              <w:rPr>
                <w:b/>
                <w:bCs/>
                <w:sz w:val="22"/>
                <w:szCs w:val="22"/>
              </w:rPr>
              <w:t>SADE04 tyrimas</w:t>
            </w:r>
          </w:p>
        </w:tc>
      </w:tr>
      <w:tr w:rsidR="00BB5F74" w:rsidRPr="00776407" w14:paraId="5E908856" w14:textId="77777777" w:rsidTr="00276DBE">
        <w:trPr>
          <w:trHeight w:hRule="exact" w:val="567"/>
        </w:trPr>
        <w:tc>
          <w:tcPr>
            <w:tcW w:w="2133" w:type="dxa"/>
            <w:tcBorders>
              <w:right w:val="nil"/>
            </w:tcBorders>
            <w:shd w:val="clear" w:color="auto" w:fill="auto"/>
            <w:tcMar>
              <w:top w:w="57" w:type="dxa"/>
              <w:bottom w:w="57" w:type="dxa"/>
            </w:tcMar>
          </w:tcPr>
          <w:p w14:paraId="5241E835" w14:textId="77777777" w:rsidR="00BB5F74" w:rsidRPr="00776407" w:rsidRDefault="00BB5F74" w:rsidP="00276DBE">
            <w:pPr>
              <w:ind w:right="-20"/>
              <w:rPr>
                <w:sz w:val="22"/>
                <w:szCs w:val="22"/>
              </w:rPr>
            </w:pPr>
            <w:r w:rsidRPr="00776407">
              <w:rPr>
                <w:sz w:val="22"/>
                <w:szCs w:val="22"/>
              </w:rPr>
              <w:t>Prefazė</w:t>
            </w:r>
          </w:p>
        </w:tc>
        <w:tc>
          <w:tcPr>
            <w:tcW w:w="6798" w:type="dxa"/>
            <w:tcBorders>
              <w:left w:val="nil"/>
            </w:tcBorders>
            <w:shd w:val="clear" w:color="auto" w:fill="auto"/>
            <w:tcMar>
              <w:top w:w="57" w:type="dxa"/>
              <w:bottom w:w="57" w:type="dxa"/>
            </w:tcMar>
          </w:tcPr>
          <w:p w14:paraId="45761857" w14:textId="77777777" w:rsidR="00BB5F74" w:rsidRPr="00776407" w:rsidRDefault="00BB5F74" w:rsidP="00276DBE">
            <w:pPr>
              <w:ind w:right="124"/>
              <w:rPr>
                <w:sz w:val="22"/>
                <w:szCs w:val="22"/>
              </w:rPr>
            </w:pPr>
            <w:r w:rsidRPr="00776407">
              <w:rPr>
                <w:sz w:val="22"/>
                <w:szCs w:val="22"/>
              </w:rPr>
              <w:t>Gerti DEX 10 mg/m</w:t>
            </w:r>
            <w:r w:rsidRPr="00776407">
              <w:rPr>
                <w:sz w:val="22"/>
                <w:szCs w:val="22"/>
                <w:vertAlign w:val="superscript"/>
              </w:rPr>
              <w:t>2 </w:t>
            </w:r>
            <w:r w:rsidRPr="00776407">
              <w:rPr>
                <w:sz w:val="22"/>
                <w:szCs w:val="22"/>
              </w:rPr>
              <w:t>, 1-5 dienas; CP 200 mg/m</w:t>
            </w:r>
            <w:r w:rsidRPr="00776407">
              <w:rPr>
                <w:sz w:val="22"/>
                <w:szCs w:val="22"/>
                <w:vertAlign w:val="superscript"/>
              </w:rPr>
              <w:t>2 </w:t>
            </w:r>
            <w:r w:rsidRPr="00776407">
              <w:rPr>
                <w:sz w:val="22"/>
                <w:szCs w:val="22"/>
              </w:rPr>
              <w:t>i.v., 3-5 dienas; MTX 15 mg intratekaliai, 1 dieną.</w:t>
            </w:r>
          </w:p>
        </w:tc>
      </w:tr>
      <w:tr w:rsidR="00BB5F74" w:rsidRPr="00776407" w14:paraId="5663711F" w14:textId="77777777" w:rsidTr="00276DBE">
        <w:trPr>
          <w:trHeight w:hRule="exact" w:val="624"/>
        </w:trPr>
        <w:tc>
          <w:tcPr>
            <w:tcW w:w="2133" w:type="dxa"/>
            <w:tcBorders>
              <w:right w:val="nil"/>
            </w:tcBorders>
            <w:shd w:val="clear" w:color="auto" w:fill="auto"/>
            <w:tcMar>
              <w:top w:w="57" w:type="dxa"/>
              <w:bottom w:w="57" w:type="dxa"/>
            </w:tcMar>
          </w:tcPr>
          <w:p w14:paraId="69CB3710" w14:textId="77777777" w:rsidR="00BB5F74" w:rsidRPr="00776407" w:rsidRDefault="00BB5F74" w:rsidP="00276DBE">
            <w:pPr>
              <w:ind w:right="-20"/>
              <w:rPr>
                <w:sz w:val="22"/>
                <w:szCs w:val="22"/>
              </w:rPr>
            </w:pPr>
            <w:r w:rsidRPr="00776407">
              <w:rPr>
                <w:sz w:val="22"/>
                <w:szCs w:val="22"/>
              </w:rPr>
              <w:t>Pradinis gydymas I</w:t>
            </w:r>
          </w:p>
        </w:tc>
        <w:tc>
          <w:tcPr>
            <w:tcW w:w="6798" w:type="dxa"/>
            <w:tcBorders>
              <w:left w:val="nil"/>
            </w:tcBorders>
            <w:shd w:val="clear" w:color="auto" w:fill="auto"/>
            <w:tcMar>
              <w:top w:w="57" w:type="dxa"/>
              <w:bottom w:w="57" w:type="dxa"/>
            </w:tcMar>
          </w:tcPr>
          <w:p w14:paraId="340C4943" w14:textId="77777777" w:rsidR="00BB5F74" w:rsidRPr="00776407" w:rsidRDefault="00BB5F74" w:rsidP="00276DBE">
            <w:pPr>
              <w:ind w:right="-20"/>
              <w:rPr>
                <w:sz w:val="22"/>
                <w:szCs w:val="22"/>
              </w:rPr>
            </w:pPr>
            <w:r w:rsidRPr="00776407">
              <w:rPr>
                <w:sz w:val="22"/>
                <w:szCs w:val="22"/>
              </w:rPr>
              <w:t>Gerti DEX 10 mg/m</w:t>
            </w:r>
            <w:r w:rsidRPr="00776407">
              <w:rPr>
                <w:sz w:val="22"/>
                <w:szCs w:val="22"/>
                <w:vertAlign w:val="superscript"/>
              </w:rPr>
              <w:t>2 </w:t>
            </w:r>
            <w:r w:rsidRPr="00776407">
              <w:rPr>
                <w:sz w:val="22"/>
                <w:szCs w:val="22"/>
              </w:rPr>
              <w:t>, 1-5 dienas; VCR 2 mg i.v., 6, 13, 20 dienas; daunorubicinas 45 mg/m</w:t>
            </w:r>
            <w:r w:rsidRPr="00776407">
              <w:rPr>
                <w:sz w:val="22"/>
                <w:szCs w:val="22"/>
                <w:vertAlign w:val="superscript"/>
              </w:rPr>
              <w:t>2 </w:t>
            </w:r>
            <w:r w:rsidRPr="00776407">
              <w:rPr>
                <w:sz w:val="22"/>
                <w:szCs w:val="22"/>
              </w:rPr>
              <w:t>i.v., 6-7, 13-14 dieną</w:t>
            </w:r>
            <w:r w:rsidR="009F4021" w:rsidRPr="00776407">
              <w:rPr>
                <w:sz w:val="22"/>
                <w:szCs w:val="22"/>
              </w:rPr>
              <w:t>.</w:t>
            </w:r>
          </w:p>
        </w:tc>
      </w:tr>
      <w:tr w:rsidR="00BB5F74" w:rsidRPr="00776407" w14:paraId="66CD6EFD" w14:textId="77777777" w:rsidTr="00276DBE">
        <w:trPr>
          <w:trHeight w:hRule="exact" w:val="567"/>
        </w:trPr>
        <w:tc>
          <w:tcPr>
            <w:tcW w:w="2133" w:type="dxa"/>
            <w:tcBorders>
              <w:right w:val="nil"/>
            </w:tcBorders>
            <w:shd w:val="clear" w:color="auto" w:fill="auto"/>
            <w:tcMar>
              <w:top w:w="57" w:type="dxa"/>
              <w:bottom w:w="57" w:type="dxa"/>
            </w:tcMar>
          </w:tcPr>
          <w:p w14:paraId="3FF78DAD" w14:textId="77777777" w:rsidR="00BB5F74" w:rsidRPr="00776407" w:rsidRDefault="00BB5F74" w:rsidP="00276DBE">
            <w:pPr>
              <w:ind w:right="-20"/>
              <w:rPr>
                <w:sz w:val="22"/>
                <w:szCs w:val="22"/>
              </w:rPr>
            </w:pPr>
            <w:r w:rsidRPr="00776407">
              <w:rPr>
                <w:sz w:val="22"/>
                <w:szCs w:val="22"/>
              </w:rPr>
              <w:t>Pradinis gydymas II</w:t>
            </w:r>
          </w:p>
        </w:tc>
        <w:tc>
          <w:tcPr>
            <w:tcW w:w="6798" w:type="dxa"/>
            <w:tcBorders>
              <w:left w:val="nil"/>
            </w:tcBorders>
            <w:shd w:val="clear" w:color="auto" w:fill="auto"/>
            <w:tcMar>
              <w:top w:w="57" w:type="dxa"/>
              <w:bottom w:w="57" w:type="dxa"/>
            </w:tcMar>
          </w:tcPr>
          <w:p w14:paraId="1702F067" w14:textId="77777777" w:rsidR="00BB5F74" w:rsidRPr="00776407" w:rsidRDefault="00BB5F74" w:rsidP="00276DBE">
            <w:pPr>
              <w:ind w:right="-20"/>
              <w:rPr>
                <w:sz w:val="22"/>
                <w:szCs w:val="22"/>
              </w:rPr>
            </w:pPr>
            <w:r w:rsidRPr="00776407">
              <w:rPr>
                <w:sz w:val="22"/>
                <w:szCs w:val="22"/>
              </w:rPr>
              <w:t>CP 1 g/m</w:t>
            </w:r>
            <w:r w:rsidRPr="00776407">
              <w:rPr>
                <w:sz w:val="22"/>
                <w:szCs w:val="22"/>
                <w:vertAlign w:val="superscript"/>
              </w:rPr>
              <w:t>2 </w:t>
            </w:r>
            <w:r w:rsidRPr="00776407">
              <w:rPr>
                <w:sz w:val="22"/>
                <w:szCs w:val="22"/>
              </w:rPr>
              <w:t>i.v. (1 valanda), 26, 46 dieną; Ara-C 75 mg/m</w:t>
            </w:r>
            <w:r w:rsidRPr="00776407">
              <w:rPr>
                <w:sz w:val="22"/>
                <w:szCs w:val="22"/>
                <w:vertAlign w:val="superscript"/>
              </w:rPr>
              <w:t>2 </w:t>
            </w:r>
            <w:r w:rsidRPr="00776407">
              <w:rPr>
                <w:sz w:val="22"/>
                <w:szCs w:val="22"/>
              </w:rPr>
              <w:t>i.v. (1 valanda), 28-31, 35-38, 42-45 dienas; gerti 6-MP 60 mg/m</w:t>
            </w:r>
            <w:r w:rsidRPr="00776407">
              <w:rPr>
                <w:sz w:val="22"/>
                <w:szCs w:val="22"/>
                <w:vertAlign w:val="superscript"/>
              </w:rPr>
              <w:t>2 </w:t>
            </w:r>
            <w:r w:rsidRPr="00776407">
              <w:rPr>
                <w:sz w:val="22"/>
                <w:szCs w:val="22"/>
              </w:rPr>
              <w:t>, 26-46 dienas</w:t>
            </w:r>
            <w:r w:rsidR="009F4021" w:rsidRPr="00776407">
              <w:rPr>
                <w:sz w:val="22"/>
                <w:szCs w:val="22"/>
              </w:rPr>
              <w:t>.</w:t>
            </w:r>
          </w:p>
        </w:tc>
      </w:tr>
      <w:tr w:rsidR="00BB5F74" w:rsidRPr="00776407" w14:paraId="247B3E1D" w14:textId="77777777" w:rsidTr="00276DBE">
        <w:trPr>
          <w:trHeight w:hRule="exact" w:val="850"/>
        </w:trPr>
        <w:tc>
          <w:tcPr>
            <w:tcW w:w="2133" w:type="dxa"/>
            <w:tcBorders>
              <w:right w:val="nil"/>
            </w:tcBorders>
            <w:shd w:val="clear" w:color="auto" w:fill="auto"/>
            <w:tcMar>
              <w:top w:w="57" w:type="dxa"/>
              <w:bottom w:w="57" w:type="dxa"/>
            </w:tcMar>
          </w:tcPr>
          <w:p w14:paraId="7227DC5D" w14:textId="77777777" w:rsidR="00BB5F74" w:rsidRPr="00776407" w:rsidRDefault="00BB5F74" w:rsidP="00276DBE">
            <w:pPr>
              <w:rPr>
                <w:sz w:val="22"/>
                <w:szCs w:val="22"/>
              </w:rPr>
            </w:pPr>
            <w:r w:rsidRPr="00776407">
              <w:rPr>
                <w:sz w:val="22"/>
                <w:szCs w:val="22"/>
              </w:rPr>
              <w:t>Konsoliduojantis gydymas</w:t>
            </w:r>
          </w:p>
        </w:tc>
        <w:tc>
          <w:tcPr>
            <w:tcW w:w="6798" w:type="dxa"/>
            <w:tcBorders>
              <w:left w:val="nil"/>
            </w:tcBorders>
            <w:shd w:val="clear" w:color="auto" w:fill="auto"/>
            <w:tcMar>
              <w:top w:w="57" w:type="dxa"/>
              <w:bottom w:w="57" w:type="dxa"/>
            </w:tcMar>
          </w:tcPr>
          <w:p w14:paraId="7E3DD0AB" w14:textId="77777777" w:rsidR="00BB5F74" w:rsidRPr="00776407" w:rsidRDefault="00BB5F74" w:rsidP="00276DBE">
            <w:pPr>
              <w:ind w:right="-20"/>
              <w:rPr>
                <w:sz w:val="22"/>
                <w:szCs w:val="22"/>
              </w:rPr>
            </w:pPr>
            <w:r w:rsidRPr="00776407">
              <w:rPr>
                <w:sz w:val="22"/>
                <w:szCs w:val="22"/>
              </w:rPr>
              <w:t>Gerti DEX 10 mg/m</w:t>
            </w:r>
            <w:r w:rsidRPr="00776407">
              <w:rPr>
                <w:sz w:val="22"/>
                <w:szCs w:val="22"/>
                <w:vertAlign w:val="superscript"/>
              </w:rPr>
              <w:t>2 </w:t>
            </w:r>
            <w:r w:rsidRPr="00776407">
              <w:rPr>
                <w:sz w:val="22"/>
                <w:szCs w:val="22"/>
              </w:rPr>
              <w:t>,</w:t>
            </w:r>
            <w:r w:rsidR="001642BC" w:rsidRPr="00776407">
              <w:rPr>
                <w:sz w:val="22"/>
                <w:szCs w:val="22"/>
              </w:rPr>
              <w:t xml:space="preserve"> </w:t>
            </w:r>
            <w:r w:rsidRPr="00776407">
              <w:rPr>
                <w:sz w:val="22"/>
                <w:szCs w:val="22"/>
              </w:rPr>
              <w:t>1-5 dienas; vindezinas 3 mg/m</w:t>
            </w:r>
            <w:r w:rsidRPr="00776407">
              <w:rPr>
                <w:sz w:val="22"/>
                <w:szCs w:val="22"/>
                <w:vertAlign w:val="superscript"/>
              </w:rPr>
              <w:t>2 </w:t>
            </w:r>
            <w:r w:rsidRPr="00776407">
              <w:rPr>
                <w:sz w:val="22"/>
                <w:szCs w:val="22"/>
              </w:rPr>
              <w:t>i.v., 1 dieną; MTX 1</w:t>
            </w:r>
            <w:r w:rsidR="009F4021" w:rsidRPr="00776407">
              <w:rPr>
                <w:sz w:val="22"/>
                <w:szCs w:val="22"/>
              </w:rPr>
              <w:t>,</w:t>
            </w:r>
            <w:r w:rsidRPr="00776407">
              <w:rPr>
                <w:sz w:val="22"/>
                <w:szCs w:val="22"/>
              </w:rPr>
              <w:t>5 g/m</w:t>
            </w:r>
            <w:r w:rsidRPr="00776407">
              <w:rPr>
                <w:sz w:val="22"/>
                <w:szCs w:val="22"/>
                <w:vertAlign w:val="superscript"/>
              </w:rPr>
              <w:t>2 </w:t>
            </w:r>
            <w:r w:rsidRPr="00776407">
              <w:rPr>
                <w:sz w:val="22"/>
                <w:szCs w:val="22"/>
              </w:rPr>
              <w:t>i.v. (24 valandos), 1 diena; etopozidas 250 mg/m</w:t>
            </w:r>
            <w:r w:rsidRPr="00776407">
              <w:rPr>
                <w:sz w:val="22"/>
                <w:szCs w:val="22"/>
                <w:vertAlign w:val="superscript"/>
              </w:rPr>
              <w:t>2 </w:t>
            </w:r>
            <w:r w:rsidRPr="00776407">
              <w:rPr>
                <w:sz w:val="22"/>
                <w:szCs w:val="22"/>
              </w:rPr>
              <w:t>i.v. (1 valanda) 4-5 diena; Ara- C 2</w:t>
            </w:r>
            <w:r w:rsidR="009F4021" w:rsidRPr="00776407">
              <w:rPr>
                <w:sz w:val="22"/>
                <w:szCs w:val="22"/>
              </w:rPr>
              <w:t> </w:t>
            </w:r>
            <w:r w:rsidRPr="00776407">
              <w:rPr>
                <w:sz w:val="22"/>
                <w:szCs w:val="22"/>
              </w:rPr>
              <w:t>x 2 g/m</w:t>
            </w:r>
            <w:r w:rsidRPr="00776407">
              <w:rPr>
                <w:sz w:val="22"/>
                <w:szCs w:val="22"/>
                <w:vertAlign w:val="superscript"/>
              </w:rPr>
              <w:t>2 </w:t>
            </w:r>
            <w:r w:rsidRPr="00776407">
              <w:rPr>
                <w:sz w:val="22"/>
                <w:szCs w:val="22"/>
              </w:rPr>
              <w:t>i.v. (3 valandos, 12 valandų), 5 dieną.</w:t>
            </w:r>
          </w:p>
        </w:tc>
      </w:tr>
      <w:tr w:rsidR="00BB5F74" w:rsidRPr="00776407" w14:paraId="5CC6C0CB" w14:textId="77777777" w:rsidTr="00276DBE">
        <w:trPr>
          <w:trHeight w:hRule="exact" w:val="329"/>
        </w:trPr>
        <w:tc>
          <w:tcPr>
            <w:tcW w:w="8931" w:type="dxa"/>
            <w:gridSpan w:val="2"/>
            <w:shd w:val="clear" w:color="auto" w:fill="auto"/>
            <w:tcMar>
              <w:top w:w="57" w:type="dxa"/>
              <w:bottom w:w="57" w:type="dxa"/>
            </w:tcMar>
          </w:tcPr>
          <w:p w14:paraId="270A9A1B" w14:textId="77777777" w:rsidR="00BB5F74" w:rsidRPr="00776407" w:rsidRDefault="00BB5F74" w:rsidP="00276DBE">
            <w:pPr>
              <w:keepNext/>
              <w:ind w:right="-23"/>
              <w:rPr>
                <w:sz w:val="22"/>
                <w:szCs w:val="22"/>
              </w:rPr>
            </w:pPr>
            <w:r w:rsidRPr="00776407">
              <w:rPr>
                <w:b/>
                <w:bCs/>
                <w:sz w:val="22"/>
                <w:szCs w:val="22"/>
              </w:rPr>
              <w:t>AJP01 tyrimas</w:t>
            </w:r>
          </w:p>
        </w:tc>
      </w:tr>
      <w:tr w:rsidR="00BB5F74" w:rsidRPr="00776407" w14:paraId="166F9400" w14:textId="77777777" w:rsidTr="00E93356">
        <w:trPr>
          <w:trHeight w:hRule="exact" w:val="1050"/>
        </w:trPr>
        <w:tc>
          <w:tcPr>
            <w:tcW w:w="2133" w:type="dxa"/>
            <w:tcBorders>
              <w:right w:val="nil"/>
            </w:tcBorders>
            <w:shd w:val="clear" w:color="auto" w:fill="auto"/>
            <w:tcMar>
              <w:top w:w="57" w:type="dxa"/>
              <w:bottom w:w="57" w:type="dxa"/>
            </w:tcMar>
          </w:tcPr>
          <w:p w14:paraId="4FDF146C" w14:textId="77777777" w:rsidR="00BB5F74" w:rsidRPr="00776407" w:rsidRDefault="00BB5F74" w:rsidP="00276DBE">
            <w:pPr>
              <w:ind w:right="-20"/>
              <w:rPr>
                <w:sz w:val="22"/>
                <w:szCs w:val="22"/>
              </w:rPr>
            </w:pPr>
            <w:r w:rsidRPr="00776407">
              <w:rPr>
                <w:sz w:val="22"/>
                <w:szCs w:val="22"/>
              </w:rPr>
              <w:t>Pradinis gydymas</w:t>
            </w:r>
          </w:p>
        </w:tc>
        <w:tc>
          <w:tcPr>
            <w:tcW w:w="6798" w:type="dxa"/>
            <w:tcBorders>
              <w:left w:val="nil"/>
            </w:tcBorders>
            <w:shd w:val="clear" w:color="auto" w:fill="auto"/>
            <w:tcMar>
              <w:top w:w="57" w:type="dxa"/>
              <w:bottom w:w="57" w:type="dxa"/>
            </w:tcMar>
          </w:tcPr>
          <w:p w14:paraId="3C1F438F" w14:textId="77777777" w:rsidR="00BB5F74" w:rsidRPr="00776407" w:rsidRDefault="00BB5F74" w:rsidP="00276DBE">
            <w:pPr>
              <w:ind w:right="160"/>
              <w:jc w:val="both"/>
              <w:rPr>
                <w:sz w:val="22"/>
                <w:szCs w:val="22"/>
              </w:rPr>
            </w:pPr>
            <w:r w:rsidRPr="00776407">
              <w:rPr>
                <w:sz w:val="22"/>
                <w:szCs w:val="22"/>
              </w:rPr>
              <w:t>CP 1.2 g/m</w:t>
            </w:r>
            <w:r w:rsidRPr="00776407">
              <w:rPr>
                <w:sz w:val="22"/>
                <w:szCs w:val="22"/>
                <w:vertAlign w:val="superscript"/>
              </w:rPr>
              <w:t>2 </w:t>
            </w:r>
            <w:r w:rsidRPr="00776407">
              <w:rPr>
                <w:sz w:val="22"/>
                <w:szCs w:val="22"/>
              </w:rPr>
              <w:t>i.v. (3 valandos), 1 dieną; daunorubicinas 60 mg/m</w:t>
            </w:r>
            <w:r w:rsidRPr="00776407">
              <w:rPr>
                <w:sz w:val="22"/>
                <w:szCs w:val="22"/>
                <w:vertAlign w:val="superscript"/>
              </w:rPr>
              <w:t>2 </w:t>
            </w:r>
            <w:r w:rsidRPr="00776407">
              <w:rPr>
                <w:sz w:val="22"/>
                <w:szCs w:val="22"/>
              </w:rPr>
              <w:t>i.v. (1 valanda), 1-3 dienos; vinkristinas 1,3 mg/m</w:t>
            </w:r>
            <w:r w:rsidRPr="00776407">
              <w:rPr>
                <w:sz w:val="22"/>
                <w:szCs w:val="22"/>
                <w:vertAlign w:val="superscript"/>
              </w:rPr>
              <w:t>2 </w:t>
            </w:r>
            <w:r w:rsidRPr="00776407">
              <w:rPr>
                <w:sz w:val="22"/>
                <w:szCs w:val="22"/>
              </w:rPr>
              <w:t>i.v., 1, 8, 15, 21 dieną; gerti prednizoloną 60 mg/m</w:t>
            </w:r>
            <w:r w:rsidRPr="00776407">
              <w:rPr>
                <w:sz w:val="22"/>
                <w:szCs w:val="22"/>
                <w:vertAlign w:val="superscript"/>
              </w:rPr>
              <w:t>2</w:t>
            </w:r>
            <w:r w:rsidRPr="00776407">
              <w:rPr>
                <w:sz w:val="22"/>
                <w:szCs w:val="22"/>
              </w:rPr>
              <w:t>/per parą.</w:t>
            </w:r>
          </w:p>
        </w:tc>
      </w:tr>
      <w:tr w:rsidR="00BB5F74" w:rsidRPr="00776407" w14:paraId="77FA0858" w14:textId="77777777" w:rsidTr="00276DBE">
        <w:trPr>
          <w:trHeight w:hRule="exact" w:val="850"/>
        </w:trPr>
        <w:tc>
          <w:tcPr>
            <w:tcW w:w="2133" w:type="dxa"/>
            <w:tcBorders>
              <w:right w:val="nil"/>
            </w:tcBorders>
            <w:shd w:val="clear" w:color="auto" w:fill="auto"/>
            <w:tcMar>
              <w:top w:w="57" w:type="dxa"/>
              <w:bottom w:w="57" w:type="dxa"/>
            </w:tcMar>
          </w:tcPr>
          <w:p w14:paraId="518D8FAD" w14:textId="77777777" w:rsidR="00BB5F74" w:rsidRPr="00776407" w:rsidRDefault="00BB5F74" w:rsidP="00276DBE">
            <w:pPr>
              <w:rPr>
                <w:sz w:val="22"/>
                <w:szCs w:val="22"/>
              </w:rPr>
            </w:pPr>
            <w:r w:rsidRPr="00776407">
              <w:rPr>
                <w:sz w:val="22"/>
                <w:szCs w:val="22"/>
              </w:rPr>
              <w:t>Konsoliduojantis gydymas</w:t>
            </w:r>
          </w:p>
        </w:tc>
        <w:tc>
          <w:tcPr>
            <w:tcW w:w="6798" w:type="dxa"/>
            <w:tcBorders>
              <w:left w:val="nil"/>
            </w:tcBorders>
            <w:shd w:val="clear" w:color="auto" w:fill="auto"/>
            <w:tcMar>
              <w:top w:w="57" w:type="dxa"/>
              <w:bottom w:w="57" w:type="dxa"/>
            </w:tcMar>
          </w:tcPr>
          <w:p w14:paraId="3ECDCB38" w14:textId="77777777" w:rsidR="00BB5F74" w:rsidRPr="00776407" w:rsidRDefault="00BB5F74" w:rsidP="001642BC">
            <w:pPr>
              <w:ind w:right="-20"/>
              <w:rPr>
                <w:sz w:val="22"/>
                <w:szCs w:val="22"/>
              </w:rPr>
            </w:pPr>
            <w:r w:rsidRPr="00776407">
              <w:rPr>
                <w:sz w:val="22"/>
                <w:szCs w:val="22"/>
              </w:rPr>
              <w:t>Pakaitinis chemoterapijos kursas: aukštos dozės chemoterapija su MTX 1 g/m</w:t>
            </w:r>
            <w:r w:rsidRPr="00776407">
              <w:rPr>
                <w:sz w:val="22"/>
                <w:szCs w:val="22"/>
                <w:vertAlign w:val="superscript"/>
              </w:rPr>
              <w:t>2 </w:t>
            </w:r>
            <w:r w:rsidRPr="00776407">
              <w:rPr>
                <w:sz w:val="22"/>
                <w:szCs w:val="22"/>
              </w:rPr>
              <w:t>i.v. (24  valandos), 1 dieną, ir Ara-C 2 g/m</w:t>
            </w:r>
            <w:r w:rsidRPr="00776407">
              <w:rPr>
                <w:sz w:val="22"/>
                <w:szCs w:val="22"/>
                <w:vertAlign w:val="superscript"/>
              </w:rPr>
              <w:t>2 </w:t>
            </w:r>
            <w:r w:rsidRPr="00776407">
              <w:rPr>
                <w:sz w:val="22"/>
                <w:szCs w:val="22"/>
              </w:rPr>
              <w:t>i.v. (12 valandų), 2</w:t>
            </w:r>
            <w:r w:rsidR="001642BC" w:rsidRPr="00776407">
              <w:rPr>
                <w:sz w:val="22"/>
                <w:szCs w:val="22"/>
              </w:rPr>
              <w:noBreakHyphen/>
            </w:r>
            <w:r w:rsidRPr="00776407">
              <w:rPr>
                <w:sz w:val="22"/>
                <w:szCs w:val="22"/>
              </w:rPr>
              <w:t>3 dieną, 4 kursus</w:t>
            </w:r>
            <w:r w:rsidR="009F4021" w:rsidRPr="00776407">
              <w:rPr>
                <w:sz w:val="22"/>
                <w:szCs w:val="22"/>
              </w:rPr>
              <w:t>.</w:t>
            </w:r>
          </w:p>
        </w:tc>
      </w:tr>
      <w:tr w:rsidR="00BB5F74" w:rsidRPr="00776407" w14:paraId="4906739A" w14:textId="77777777" w:rsidTr="00276DBE">
        <w:trPr>
          <w:trHeight w:hRule="exact" w:val="634"/>
        </w:trPr>
        <w:tc>
          <w:tcPr>
            <w:tcW w:w="2133" w:type="dxa"/>
            <w:tcBorders>
              <w:right w:val="nil"/>
            </w:tcBorders>
            <w:shd w:val="clear" w:color="auto" w:fill="auto"/>
            <w:tcMar>
              <w:top w:w="57" w:type="dxa"/>
              <w:bottom w:w="57" w:type="dxa"/>
            </w:tcMar>
          </w:tcPr>
          <w:p w14:paraId="4E1F127A" w14:textId="77777777" w:rsidR="00BB5F74" w:rsidRPr="00776407" w:rsidRDefault="00BB5F74" w:rsidP="00276DBE">
            <w:pPr>
              <w:ind w:right="-20"/>
              <w:rPr>
                <w:sz w:val="22"/>
                <w:szCs w:val="22"/>
              </w:rPr>
            </w:pPr>
            <w:r w:rsidRPr="00776407">
              <w:rPr>
                <w:sz w:val="22"/>
                <w:szCs w:val="22"/>
              </w:rPr>
              <w:t>Palaikomasis gydymas</w:t>
            </w:r>
          </w:p>
        </w:tc>
        <w:tc>
          <w:tcPr>
            <w:tcW w:w="6798" w:type="dxa"/>
            <w:tcBorders>
              <w:left w:val="nil"/>
            </w:tcBorders>
            <w:shd w:val="clear" w:color="auto" w:fill="auto"/>
            <w:tcMar>
              <w:top w:w="57" w:type="dxa"/>
              <w:bottom w:w="57" w:type="dxa"/>
            </w:tcMar>
          </w:tcPr>
          <w:p w14:paraId="1914AB90" w14:textId="77777777" w:rsidR="00BB5F74" w:rsidRPr="00776407" w:rsidRDefault="00BB5F74" w:rsidP="00276DBE">
            <w:pPr>
              <w:ind w:right="-20"/>
              <w:rPr>
                <w:sz w:val="22"/>
                <w:szCs w:val="22"/>
              </w:rPr>
            </w:pPr>
            <w:r w:rsidRPr="00776407">
              <w:rPr>
                <w:sz w:val="22"/>
                <w:szCs w:val="22"/>
              </w:rPr>
              <w:t>VCR 1,3 g/m</w:t>
            </w:r>
            <w:r w:rsidRPr="00776407">
              <w:rPr>
                <w:sz w:val="22"/>
                <w:szCs w:val="22"/>
                <w:vertAlign w:val="superscript"/>
              </w:rPr>
              <w:t>2 </w:t>
            </w:r>
            <w:r w:rsidRPr="00776407">
              <w:rPr>
                <w:sz w:val="22"/>
                <w:szCs w:val="22"/>
              </w:rPr>
              <w:t>i.v., 1 dieną; gerti prednizoloną 60 mg/m</w:t>
            </w:r>
            <w:r w:rsidRPr="00776407">
              <w:rPr>
                <w:sz w:val="22"/>
                <w:szCs w:val="22"/>
                <w:vertAlign w:val="superscript"/>
              </w:rPr>
              <w:t>2 </w:t>
            </w:r>
            <w:r w:rsidRPr="00776407">
              <w:rPr>
                <w:sz w:val="22"/>
                <w:szCs w:val="22"/>
              </w:rPr>
              <w:t>,</w:t>
            </w:r>
            <w:r w:rsidR="001642BC" w:rsidRPr="00776407">
              <w:rPr>
                <w:sz w:val="22"/>
                <w:szCs w:val="22"/>
              </w:rPr>
              <w:t xml:space="preserve"> </w:t>
            </w:r>
            <w:r w:rsidRPr="00776407">
              <w:rPr>
                <w:sz w:val="22"/>
                <w:szCs w:val="22"/>
              </w:rPr>
              <w:t>1-5 dienas.</w:t>
            </w:r>
          </w:p>
        </w:tc>
      </w:tr>
      <w:tr w:rsidR="00BB5F74" w:rsidRPr="00776407" w14:paraId="317D1EC8" w14:textId="77777777" w:rsidTr="00276DBE">
        <w:trPr>
          <w:trHeight w:hRule="exact" w:val="340"/>
        </w:trPr>
        <w:tc>
          <w:tcPr>
            <w:tcW w:w="8931" w:type="dxa"/>
            <w:gridSpan w:val="2"/>
            <w:shd w:val="clear" w:color="auto" w:fill="auto"/>
            <w:tcMar>
              <w:top w:w="57" w:type="dxa"/>
              <w:bottom w:w="57" w:type="dxa"/>
            </w:tcMar>
          </w:tcPr>
          <w:p w14:paraId="178DAEF1" w14:textId="77777777" w:rsidR="00BB5F74" w:rsidRPr="00776407" w:rsidRDefault="00BB5F74" w:rsidP="00276DBE">
            <w:pPr>
              <w:keepNext/>
              <w:ind w:right="-23"/>
              <w:rPr>
                <w:sz w:val="22"/>
                <w:szCs w:val="22"/>
              </w:rPr>
            </w:pPr>
            <w:r w:rsidRPr="00776407">
              <w:rPr>
                <w:b/>
                <w:bCs/>
                <w:sz w:val="22"/>
                <w:szCs w:val="22"/>
              </w:rPr>
              <w:t>AUS01 tyrimas</w:t>
            </w:r>
          </w:p>
        </w:tc>
      </w:tr>
      <w:tr w:rsidR="00BB5F74" w:rsidRPr="00776407" w14:paraId="2F602704" w14:textId="77777777" w:rsidTr="00276DBE">
        <w:trPr>
          <w:trHeight w:hRule="exact" w:val="1529"/>
        </w:trPr>
        <w:tc>
          <w:tcPr>
            <w:tcW w:w="2133" w:type="dxa"/>
            <w:tcBorders>
              <w:right w:val="nil"/>
            </w:tcBorders>
            <w:shd w:val="clear" w:color="auto" w:fill="auto"/>
            <w:tcMar>
              <w:top w:w="57" w:type="dxa"/>
              <w:bottom w:w="57" w:type="dxa"/>
            </w:tcMar>
          </w:tcPr>
          <w:p w14:paraId="2812A038" w14:textId="77777777" w:rsidR="00BB5F74" w:rsidRPr="00776407" w:rsidRDefault="00BB5F74" w:rsidP="00276DBE">
            <w:pPr>
              <w:ind w:right="-20"/>
              <w:rPr>
                <w:sz w:val="22"/>
                <w:szCs w:val="22"/>
              </w:rPr>
            </w:pPr>
            <w:r w:rsidRPr="00776407">
              <w:rPr>
                <w:sz w:val="22"/>
                <w:szCs w:val="22"/>
              </w:rPr>
              <w:t>Pradinis-konsoliduojantis gydymas</w:t>
            </w:r>
          </w:p>
        </w:tc>
        <w:tc>
          <w:tcPr>
            <w:tcW w:w="6798" w:type="dxa"/>
            <w:tcBorders>
              <w:left w:val="nil"/>
            </w:tcBorders>
            <w:shd w:val="clear" w:color="auto" w:fill="auto"/>
            <w:tcMar>
              <w:top w:w="57" w:type="dxa"/>
              <w:bottom w:w="57" w:type="dxa"/>
            </w:tcMar>
          </w:tcPr>
          <w:p w14:paraId="6D995BB5" w14:textId="77777777" w:rsidR="00BB5F74" w:rsidRPr="00776407" w:rsidRDefault="00BB5F74" w:rsidP="001642BC">
            <w:pPr>
              <w:ind w:left="49" w:hanging="49"/>
              <w:rPr>
                <w:sz w:val="22"/>
                <w:szCs w:val="22"/>
              </w:rPr>
            </w:pPr>
            <w:r w:rsidRPr="00776407">
              <w:rPr>
                <w:sz w:val="22"/>
                <w:szCs w:val="22"/>
              </w:rPr>
              <w:t>Hiper-CVAD gydymas: CP 300 mg/m</w:t>
            </w:r>
            <w:r w:rsidRPr="00776407">
              <w:rPr>
                <w:sz w:val="22"/>
                <w:szCs w:val="22"/>
                <w:vertAlign w:val="superscript"/>
              </w:rPr>
              <w:t>2 </w:t>
            </w:r>
            <w:r w:rsidRPr="00776407">
              <w:rPr>
                <w:sz w:val="22"/>
                <w:szCs w:val="22"/>
              </w:rPr>
              <w:t>i.v. (3 valandos 12 valandų), 1</w:t>
            </w:r>
            <w:r w:rsidR="001642BC" w:rsidRPr="00776407">
              <w:rPr>
                <w:sz w:val="22"/>
                <w:szCs w:val="22"/>
              </w:rPr>
              <w:noBreakHyphen/>
            </w:r>
            <w:r w:rsidRPr="00776407">
              <w:rPr>
                <w:sz w:val="22"/>
                <w:szCs w:val="22"/>
              </w:rPr>
              <w:t>3 dienas; vinkristinas 2 mg i.v., 4, 11 dieną; doksorubicinas 50 mg/m</w:t>
            </w:r>
            <w:r w:rsidRPr="00776407">
              <w:rPr>
                <w:sz w:val="22"/>
                <w:szCs w:val="22"/>
                <w:vertAlign w:val="superscript"/>
              </w:rPr>
              <w:t>2 </w:t>
            </w:r>
            <w:r w:rsidRPr="00776407">
              <w:rPr>
                <w:sz w:val="22"/>
                <w:szCs w:val="22"/>
              </w:rPr>
              <w:t>i.v. (24 valandos), 4 dieną; DEX 40 mg/per parą 1-4 dienas ir 11-14 dienas, keičiamas MTX 1 g/m</w:t>
            </w:r>
            <w:r w:rsidRPr="00776407">
              <w:rPr>
                <w:sz w:val="22"/>
                <w:szCs w:val="22"/>
                <w:vertAlign w:val="superscript"/>
              </w:rPr>
              <w:t>2</w:t>
            </w:r>
            <w:r w:rsidRPr="00776407">
              <w:rPr>
                <w:sz w:val="22"/>
                <w:szCs w:val="22"/>
              </w:rPr>
              <w:t xml:space="preserve"> i.v. (24 valandos), 1 diena, Ara-C 1 g/m</w:t>
            </w:r>
            <w:r w:rsidRPr="00776407">
              <w:rPr>
                <w:sz w:val="22"/>
                <w:szCs w:val="22"/>
                <w:vertAlign w:val="superscript"/>
              </w:rPr>
              <w:t>2</w:t>
            </w:r>
            <w:r w:rsidRPr="00776407">
              <w:rPr>
                <w:sz w:val="22"/>
                <w:szCs w:val="22"/>
              </w:rPr>
              <w:t xml:space="preserve"> i.v. (2 valandos, 12 valandų), 2-3 dieną (iš viso 8 kursai).</w:t>
            </w:r>
          </w:p>
        </w:tc>
      </w:tr>
      <w:tr w:rsidR="00BB5F74" w:rsidRPr="00776407" w14:paraId="2859C2C9" w14:textId="77777777" w:rsidTr="00276DBE">
        <w:trPr>
          <w:trHeight w:hRule="exact" w:val="624"/>
        </w:trPr>
        <w:tc>
          <w:tcPr>
            <w:tcW w:w="2133" w:type="dxa"/>
            <w:tcBorders>
              <w:right w:val="nil"/>
            </w:tcBorders>
            <w:shd w:val="clear" w:color="auto" w:fill="auto"/>
            <w:tcMar>
              <w:top w:w="57" w:type="dxa"/>
              <w:bottom w:w="57" w:type="dxa"/>
            </w:tcMar>
          </w:tcPr>
          <w:p w14:paraId="16C58C76" w14:textId="77777777" w:rsidR="00BB5F74" w:rsidRPr="00776407" w:rsidRDefault="00BB5F74" w:rsidP="00276DBE">
            <w:pPr>
              <w:ind w:right="-20"/>
              <w:rPr>
                <w:sz w:val="22"/>
                <w:szCs w:val="22"/>
              </w:rPr>
            </w:pPr>
            <w:r w:rsidRPr="00776407">
              <w:rPr>
                <w:sz w:val="22"/>
                <w:szCs w:val="22"/>
              </w:rPr>
              <w:t>Palaikomasis gydymas</w:t>
            </w:r>
          </w:p>
        </w:tc>
        <w:tc>
          <w:tcPr>
            <w:tcW w:w="6798" w:type="dxa"/>
            <w:tcBorders>
              <w:left w:val="nil"/>
            </w:tcBorders>
            <w:shd w:val="clear" w:color="auto" w:fill="auto"/>
            <w:tcMar>
              <w:top w:w="57" w:type="dxa"/>
              <w:bottom w:w="57" w:type="dxa"/>
            </w:tcMar>
          </w:tcPr>
          <w:p w14:paraId="33AA53B3" w14:textId="77777777" w:rsidR="00BB5F74" w:rsidRPr="00776407" w:rsidRDefault="00BB5F74" w:rsidP="00276DBE">
            <w:pPr>
              <w:ind w:right="-20"/>
              <w:rPr>
                <w:sz w:val="22"/>
                <w:szCs w:val="22"/>
              </w:rPr>
            </w:pPr>
            <w:r w:rsidRPr="00776407">
              <w:rPr>
                <w:sz w:val="22"/>
                <w:szCs w:val="22"/>
              </w:rPr>
              <w:t>VCR 2 mg i.v. kas mėnesį 13 mėnesių; gerti prednizoloną po 200 mg, 5 dienas per mėnesį 13 mėnesių.</w:t>
            </w:r>
          </w:p>
        </w:tc>
      </w:tr>
      <w:tr w:rsidR="00BB5F74" w:rsidRPr="00776407" w14:paraId="657660B4" w14:textId="77777777" w:rsidTr="00276DBE">
        <w:trPr>
          <w:trHeight w:hRule="exact" w:val="340"/>
        </w:trPr>
        <w:tc>
          <w:tcPr>
            <w:tcW w:w="8931" w:type="dxa"/>
            <w:gridSpan w:val="2"/>
            <w:shd w:val="clear" w:color="auto" w:fill="auto"/>
            <w:tcMar>
              <w:top w:w="57" w:type="dxa"/>
              <w:bottom w:w="57" w:type="dxa"/>
            </w:tcMar>
          </w:tcPr>
          <w:p w14:paraId="16925ACF" w14:textId="77777777" w:rsidR="00BB5F74" w:rsidRPr="00776407" w:rsidRDefault="00BB5F74" w:rsidP="00276DBE">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Visi gydymo režimai taikomi vartojant steroidų CNS ligų profilaktikai. </w:t>
            </w:r>
          </w:p>
          <w:p w14:paraId="07B27D1C" w14:textId="77777777" w:rsidR="00BB5F74" w:rsidRPr="00776407" w:rsidRDefault="00BB5F74" w:rsidP="00276DBE">
            <w:pPr>
              <w:ind w:right="-20"/>
              <w:rPr>
                <w:sz w:val="22"/>
                <w:szCs w:val="22"/>
              </w:rPr>
            </w:pPr>
          </w:p>
        </w:tc>
      </w:tr>
      <w:tr w:rsidR="00BB5F74" w:rsidRPr="00776407" w14:paraId="7497F5B5" w14:textId="77777777" w:rsidTr="00276DBE">
        <w:trPr>
          <w:trHeight w:hRule="exact" w:val="885"/>
        </w:trPr>
        <w:tc>
          <w:tcPr>
            <w:tcW w:w="8931" w:type="dxa"/>
            <w:gridSpan w:val="2"/>
            <w:shd w:val="clear" w:color="auto" w:fill="auto"/>
            <w:tcMar>
              <w:top w:w="57" w:type="dxa"/>
              <w:bottom w:w="57" w:type="dxa"/>
            </w:tcMar>
          </w:tcPr>
          <w:p w14:paraId="0968C8D0" w14:textId="77777777" w:rsidR="00BB5F74" w:rsidRPr="00776407" w:rsidRDefault="00BB5F74" w:rsidP="00276DBE">
            <w:pPr>
              <w:pStyle w:val="Default"/>
              <w:rPr>
                <w:rFonts w:ascii="Times New Roman" w:hAnsi="Times New Roman" w:cs="Times New Roman"/>
                <w:sz w:val="22"/>
                <w:szCs w:val="22"/>
                <w:lang w:val="lt-LT"/>
              </w:rPr>
            </w:pPr>
            <w:r w:rsidRPr="00776407">
              <w:rPr>
                <w:rFonts w:ascii="Times New Roman" w:hAnsi="Times New Roman" w:cs="Times New Roman"/>
                <w:sz w:val="22"/>
                <w:szCs w:val="22"/>
                <w:lang w:val="lt-LT"/>
              </w:rPr>
              <w:t xml:space="preserve">Ara-C: citozino arabinozidas; CP: ciklofosfamidas; DEX: deksametazonas; MTX: metotreksatas; 6-MP: 6-merkaptopurinas; VM26: tenipozidas; VCR: vinkristinas; IDA: idarubicinas; i.v.: vartoti į veną. </w:t>
            </w:r>
          </w:p>
          <w:p w14:paraId="13EC8ADD" w14:textId="77777777" w:rsidR="00BB5F74" w:rsidRPr="00776407" w:rsidRDefault="00BB5F74" w:rsidP="00276DBE">
            <w:pPr>
              <w:ind w:left="49" w:right="-20" w:hanging="49"/>
              <w:rPr>
                <w:sz w:val="22"/>
                <w:szCs w:val="22"/>
              </w:rPr>
            </w:pPr>
          </w:p>
        </w:tc>
      </w:tr>
    </w:tbl>
    <w:p w14:paraId="04BA0E27" w14:textId="77777777" w:rsidR="00BB5F74" w:rsidRPr="00776407" w:rsidRDefault="00BB5F74" w:rsidP="00BB5F74">
      <w:pPr>
        <w:autoSpaceDE w:val="0"/>
        <w:autoSpaceDN w:val="0"/>
        <w:adjustRightInd w:val="0"/>
        <w:rPr>
          <w:rFonts w:eastAsia="Calibri"/>
          <w:color w:val="000000"/>
          <w:sz w:val="22"/>
          <w:szCs w:val="22"/>
        </w:rPr>
      </w:pPr>
    </w:p>
    <w:p w14:paraId="70BDA922" w14:textId="77777777" w:rsidR="00CE5D30" w:rsidRPr="00776407" w:rsidRDefault="00CE5D30" w:rsidP="00CE5D30">
      <w:pPr>
        <w:autoSpaceDE w:val="0"/>
        <w:autoSpaceDN w:val="0"/>
        <w:adjustRightInd w:val="0"/>
        <w:rPr>
          <w:rFonts w:eastAsia="Calibri"/>
          <w:color w:val="000000"/>
          <w:sz w:val="22"/>
          <w:szCs w:val="22"/>
        </w:rPr>
      </w:pPr>
      <w:r w:rsidRPr="00776407">
        <w:rPr>
          <w:rFonts w:eastAsia="Calibri"/>
          <w:i/>
          <w:color w:val="000000"/>
          <w:sz w:val="22"/>
          <w:szCs w:val="22"/>
        </w:rPr>
        <w:t>Vaikai ir paaugliai:</w:t>
      </w:r>
      <w:r w:rsidRPr="00776407">
        <w:rPr>
          <w:rFonts w:eastAsia="Calibri"/>
          <w:color w:val="000000"/>
          <w:sz w:val="22"/>
          <w:szCs w:val="22"/>
        </w:rPr>
        <w:t xml:space="preserve"> Į atvirąjį, daugiacentrį, nuoseklių kohortų, ne atsitiktinių imčių, III fazės klinikinį tyrimą I2301 buvo įtraukta iš viso 93 vaikai, paaugliai ir jauni suaugę pacientai (nuo 1 iki 22 metų), kurie sirgo Ph+ ŪLL. Šio tyrimo metu pacientams po indukcinio gydymo buvo skiriamas imatinibas (po 340 mg/m</w:t>
      </w:r>
      <w:r w:rsidRPr="00776407">
        <w:rPr>
          <w:rFonts w:eastAsia="Calibri"/>
          <w:color w:val="000000"/>
          <w:sz w:val="22"/>
          <w:szCs w:val="22"/>
          <w:vertAlign w:val="superscript"/>
        </w:rPr>
        <w:t>2</w:t>
      </w:r>
      <w:r w:rsidRPr="00776407">
        <w:rPr>
          <w:rFonts w:eastAsia="Calibri"/>
          <w:color w:val="000000"/>
          <w:sz w:val="22"/>
          <w:szCs w:val="22"/>
        </w:rPr>
        <w:t xml:space="preserve"> per parą) kartu su intensyvia chemoterapija. 1</w:t>
      </w:r>
      <w:r w:rsidRPr="00776407">
        <w:rPr>
          <w:rFonts w:eastAsia="Calibri"/>
          <w:color w:val="000000"/>
          <w:sz w:val="22"/>
          <w:szCs w:val="22"/>
        </w:rPr>
        <w:noBreakHyphen/>
        <w:t>5 kohortų pacientams imatinibas buvo skiriamas netolygiai, skirtingose kohortose vaistinio preparato buvo skiriama didėjančia trukme ir gydymas buvo pradedamas anksčiau arba vėliau; 1</w:t>
      </w:r>
      <w:r w:rsidRPr="00776407">
        <w:rPr>
          <w:rFonts w:eastAsia="Calibri"/>
          <w:color w:val="000000"/>
          <w:sz w:val="22"/>
          <w:szCs w:val="22"/>
        </w:rPr>
        <w:noBreakHyphen/>
        <w:t>osios kohortos pacientams buvo skiriamas mažiausio intensyvumo gydymas, o 5</w:t>
      </w:r>
      <w:r w:rsidRPr="00776407">
        <w:rPr>
          <w:rFonts w:eastAsia="Calibri"/>
          <w:color w:val="000000"/>
          <w:sz w:val="22"/>
          <w:szCs w:val="22"/>
        </w:rPr>
        <w:noBreakHyphen/>
        <w:t>osios kohortos pacientams buvo skiriamas intensyviausias gydymas imatinibu (ilgiausia vartojimo trukmė dienomis ir tęstinis imatinibo dozavimas kasdien pirmųjų chemoterapijos kursų metu). Skiriant tęstinį gydymą imatinibu kasdien nuo pat chemoterapijos kursų pradžios, 5</w:t>
      </w:r>
      <w:r w:rsidRPr="00776407">
        <w:rPr>
          <w:rFonts w:eastAsia="Calibri"/>
          <w:color w:val="000000"/>
          <w:sz w:val="22"/>
          <w:szCs w:val="22"/>
        </w:rPr>
        <w:noBreakHyphen/>
        <w:t xml:space="preserve">osios kohortos pacientų (n=50) 4 metų trukmės išgyvenamumo be recidyvų (angl. </w:t>
      </w:r>
      <w:r w:rsidRPr="00776407">
        <w:rPr>
          <w:rFonts w:eastAsia="Calibri"/>
          <w:i/>
          <w:color w:val="000000"/>
          <w:sz w:val="22"/>
          <w:szCs w:val="22"/>
        </w:rPr>
        <w:t>event-free survival – EFS</w:t>
      </w:r>
      <w:r w:rsidRPr="00776407">
        <w:rPr>
          <w:rFonts w:eastAsia="Calibri"/>
          <w:color w:val="000000"/>
          <w:sz w:val="22"/>
          <w:szCs w:val="22"/>
        </w:rPr>
        <w:t>) rodiklis pagerėjo, lyginant su istoriniais duomenimis (n=120), kai pastaruoju atveju pacientams buvo skiriama standartinė chemoterapija be imatinibo (atitinkamai 69,6 %, lyginant su 31,6 %). Tikėtinas 4 metų trukmės bendrojo išgyvenamumo rodiklis 5</w:t>
      </w:r>
      <w:r w:rsidRPr="00776407">
        <w:rPr>
          <w:rFonts w:eastAsia="Calibri"/>
          <w:color w:val="000000"/>
          <w:sz w:val="22"/>
          <w:szCs w:val="22"/>
        </w:rPr>
        <w:noBreakHyphen/>
        <w:t>osios kohortos pacientams buvo 83,6 %, lyginant su 44,8 % istoriniais duomenimis. 20 iš 50 (40 %) 5</w:t>
      </w:r>
      <w:r w:rsidRPr="00776407">
        <w:rPr>
          <w:rFonts w:eastAsia="Calibri"/>
          <w:color w:val="000000"/>
          <w:sz w:val="22"/>
          <w:szCs w:val="22"/>
        </w:rPr>
        <w:noBreakHyphen/>
        <w:t>osios kohortos pacientų buvo atlikta hematopoetinių kamieninių ląstelių transplantacija.</w:t>
      </w:r>
    </w:p>
    <w:p w14:paraId="370E7BAE" w14:textId="77777777" w:rsidR="00CE5D30" w:rsidRPr="00776407" w:rsidRDefault="00CE5D30" w:rsidP="00CE5D30">
      <w:pPr>
        <w:autoSpaceDE w:val="0"/>
        <w:autoSpaceDN w:val="0"/>
        <w:adjustRightInd w:val="0"/>
        <w:rPr>
          <w:rFonts w:eastAsia="Calibri"/>
          <w:color w:val="000000"/>
          <w:sz w:val="22"/>
          <w:szCs w:val="22"/>
        </w:rPr>
      </w:pPr>
    </w:p>
    <w:p w14:paraId="41ABA5A4" w14:textId="77777777" w:rsidR="00CE5D30" w:rsidRPr="00776407" w:rsidRDefault="00C939D2" w:rsidP="00CE5D30">
      <w:pPr>
        <w:autoSpaceDE w:val="0"/>
        <w:autoSpaceDN w:val="0"/>
        <w:adjustRightInd w:val="0"/>
        <w:rPr>
          <w:rFonts w:eastAsia="Calibri"/>
          <w:b/>
          <w:color w:val="000000"/>
          <w:sz w:val="22"/>
          <w:szCs w:val="22"/>
        </w:rPr>
      </w:pPr>
      <w:r w:rsidRPr="00776407">
        <w:rPr>
          <w:rFonts w:eastAsia="Calibri"/>
          <w:b/>
          <w:color w:val="000000"/>
          <w:sz w:val="22"/>
          <w:szCs w:val="22"/>
        </w:rPr>
        <w:t>4</w:t>
      </w:r>
      <w:r w:rsidR="00CE5D30" w:rsidRPr="00776407">
        <w:rPr>
          <w:rFonts w:eastAsia="Calibri"/>
          <w:b/>
          <w:color w:val="000000"/>
          <w:sz w:val="22"/>
          <w:szCs w:val="22"/>
        </w:rPr>
        <w:t> lentelė</w:t>
      </w:r>
      <w:r w:rsidR="00CE5D30" w:rsidRPr="00776407">
        <w:rPr>
          <w:rFonts w:eastAsia="Calibri"/>
          <w:b/>
          <w:color w:val="000000"/>
          <w:sz w:val="22"/>
          <w:szCs w:val="22"/>
        </w:rPr>
        <w:tab/>
        <w:t>Chemoterapijos gydymas, skirtas kartu su imatinibu I2301 tyrimo metu</w:t>
      </w:r>
    </w:p>
    <w:p w14:paraId="70FE5FD7" w14:textId="77777777" w:rsidR="00CE5D30" w:rsidRPr="00776407" w:rsidRDefault="00CE5D30" w:rsidP="00CE5D30">
      <w:pPr>
        <w:autoSpaceDE w:val="0"/>
        <w:autoSpaceDN w:val="0"/>
        <w:adjustRightInd w:val="0"/>
        <w:rPr>
          <w:rFonts w:eastAsia="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CE5D30" w:rsidRPr="00776407" w14:paraId="0A529D18" w14:textId="77777777" w:rsidTr="00A37C41">
        <w:tc>
          <w:tcPr>
            <w:tcW w:w="2358" w:type="dxa"/>
            <w:shd w:val="clear" w:color="auto" w:fill="auto"/>
          </w:tcPr>
          <w:p w14:paraId="69AF9E15"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Konsoliduojančio gydymo blokas 1</w:t>
            </w:r>
          </w:p>
          <w:p w14:paraId="115089E3"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(3 savaitės)</w:t>
            </w:r>
          </w:p>
        </w:tc>
        <w:tc>
          <w:tcPr>
            <w:tcW w:w="6929" w:type="dxa"/>
            <w:shd w:val="clear" w:color="auto" w:fill="auto"/>
          </w:tcPr>
          <w:p w14:paraId="59C67F69"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VP-16 (100 mg/m</w:t>
            </w:r>
            <w:r w:rsidRPr="00776407">
              <w:rPr>
                <w:rFonts w:eastAsia="Calibri"/>
                <w:color w:val="000000"/>
                <w:sz w:val="22"/>
                <w:szCs w:val="22"/>
                <w:vertAlign w:val="superscript"/>
              </w:rPr>
              <w:t>2</w:t>
            </w:r>
            <w:r w:rsidRPr="00776407">
              <w:rPr>
                <w:rFonts w:eastAsia="Calibri"/>
                <w:color w:val="000000"/>
                <w:sz w:val="22"/>
                <w:szCs w:val="22"/>
              </w:rPr>
              <w:t xml:space="preserve"> per parą, IV): 1</w:t>
            </w:r>
            <w:r w:rsidRPr="00776407">
              <w:rPr>
                <w:rFonts w:eastAsia="Calibri"/>
                <w:color w:val="000000"/>
                <w:sz w:val="22"/>
                <w:szCs w:val="22"/>
              </w:rPr>
              <w:noBreakHyphen/>
              <w:t>5 dienos</w:t>
            </w:r>
          </w:p>
          <w:p w14:paraId="2F12D6F5"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Ifosfamidas (1,8 g/m</w:t>
            </w:r>
            <w:r w:rsidRPr="00776407">
              <w:rPr>
                <w:rFonts w:eastAsia="Calibri"/>
                <w:color w:val="000000"/>
                <w:sz w:val="22"/>
                <w:szCs w:val="22"/>
                <w:vertAlign w:val="superscript"/>
              </w:rPr>
              <w:t>2</w:t>
            </w:r>
            <w:r w:rsidRPr="00776407">
              <w:rPr>
                <w:rFonts w:eastAsia="Calibri"/>
                <w:color w:val="000000"/>
                <w:sz w:val="22"/>
                <w:szCs w:val="22"/>
              </w:rPr>
              <w:t xml:space="preserve"> per parą, IV): 1</w:t>
            </w:r>
            <w:r w:rsidRPr="00776407">
              <w:rPr>
                <w:rFonts w:eastAsia="Calibri"/>
                <w:color w:val="000000"/>
                <w:sz w:val="22"/>
                <w:szCs w:val="22"/>
              </w:rPr>
              <w:noBreakHyphen/>
              <w:t>5 dienos</w:t>
            </w:r>
          </w:p>
          <w:p w14:paraId="00CD397E"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MESNA (po 360 mg/m</w:t>
            </w:r>
            <w:r w:rsidRPr="00776407">
              <w:rPr>
                <w:rFonts w:eastAsia="Calibri"/>
                <w:color w:val="000000"/>
                <w:sz w:val="22"/>
                <w:szCs w:val="22"/>
                <w:vertAlign w:val="superscript"/>
              </w:rPr>
              <w:t>2</w:t>
            </w:r>
            <w:r w:rsidRPr="00776407">
              <w:rPr>
                <w:rFonts w:eastAsia="Calibri"/>
                <w:color w:val="000000"/>
                <w:sz w:val="22"/>
                <w:szCs w:val="22"/>
              </w:rPr>
              <w:t xml:space="preserve"> dozę q3h, 8 dozės per parą, IV): 1</w:t>
            </w:r>
            <w:r w:rsidRPr="00776407">
              <w:rPr>
                <w:rFonts w:eastAsia="Calibri"/>
                <w:color w:val="000000"/>
                <w:sz w:val="22"/>
                <w:szCs w:val="22"/>
              </w:rPr>
              <w:noBreakHyphen/>
              <w:t>5 dienos</w:t>
            </w:r>
          </w:p>
          <w:p w14:paraId="5C234AFF"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G-CSF (5 μg/kg, SC): 6</w:t>
            </w:r>
            <w:r w:rsidRPr="00776407">
              <w:rPr>
                <w:rFonts w:eastAsia="Calibri"/>
                <w:color w:val="000000"/>
                <w:sz w:val="22"/>
                <w:szCs w:val="22"/>
              </w:rPr>
              <w:noBreakHyphen/>
              <w:t>15 dienos arba kol ANS bus &gt; 1500 nuo žemiausios reikšmės</w:t>
            </w:r>
          </w:p>
          <w:p w14:paraId="510109A1"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IT Metotreksatas (dozė priklausomai nuo amžiaus): TIK 1-ąją dieną</w:t>
            </w:r>
          </w:p>
          <w:p w14:paraId="2FDB477F"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Trigubas IT gydymas (dozė priklausomai nuo amžiaus): 8, 15 dienos</w:t>
            </w:r>
          </w:p>
        </w:tc>
      </w:tr>
      <w:tr w:rsidR="00CE5D30" w:rsidRPr="00776407" w14:paraId="69F83083" w14:textId="77777777" w:rsidTr="00A37C41">
        <w:tc>
          <w:tcPr>
            <w:tcW w:w="2358" w:type="dxa"/>
            <w:shd w:val="clear" w:color="auto" w:fill="auto"/>
          </w:tcPr>
          <w:p w14:paraId="1E615FE9"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Konsoliduojančio gydymo blokas 2</w:t>
            </w:r>
          </w:p>
          <w:p w14:paraId="18A93E58"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(3 savaitės)</w:t>
            </w:r>
          </w:p>
        </w:tc>
        <w:tc>
          <w:tcPr>
            <w:tcW w:w="6929" w:type="dxa"/>
            <w:shd w:val="clear" w:color="auto" w:fill="auto"/>
          </w:tcPr>
          <w:p w14:paraId="2FC9817F"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Metotreksatas (5 g/m</w:t>
            </w:r>
            <w:r w:rsidRPr="00776407">
              <w:rPr>
                <w:rFonts w:eastAsia="Calibri"/>
                <w:color w:val="000000"/>
                <w:sz w:val="22"/>
                <w:szCs w:val="22"/>
                <w:vertAlign w:val="superscript"/>
              </w:rPr>
              <w:t>2</w:t>
            </w:r>
            <w:r w:rsidRPr="00776407">
              <w:rPr>
                <w:rFonts w:eastAsia="Calibri"/>
                <w:color w:val="000000"/>
                <w:sz w:val="22"/>
                <w:szCs w:val="22"/>
              </w:rPr>
              <w:t xml:space="preserve"> per 24 valandas, IV): 1-ąją dieną</w:t>
            </w:r>
          </w:p>
          <w:p w14:paraId="6079C292"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Leukovorinas (75 mg/m</w:t>
            </w:r>
            <w:r w:rsidRPr="00776407">
              <w:rPr>
                <w:rFonts w:eastAsia="Calibri"/>
                <w:color w:val="000000"/>
                <w:sz w:val="22"/>
                <w:szCs w:val="22"/>
                <w:vertAlign w:val="superscript"/>
              </w:rPr>
              <w:t>2</w:t>
            </w:r>
            <w:r w:rsidRPr="00776407">
              <w:rPr>
                <w:rFonts w:eastAsia="Calibri"/>
                <w:color w:val="000000"/>
                <w:sz w:val="22"/>
                <w:szCs w:val="22"/>
              </w:rPr>
              <w:t xml:space="preserve"> po 36 valandų, IV; 15 mg/m</w:t>
            </w:r>
            <w:r w:rsidRPr="00776407">
              <w:rPr>
                <w:rFonts w:eastAsia="Calibri"/>
                <w:color w:val="000000"/>
                <w:sz w:val="22"/>
                <w:szCs w:val="22"/>
                <w:vertAlign w:val="superscript"/>
              </w:rPr>
              <w:t>2</w:t>
            </w:r>
            <w:r w:rsidRPr="00776407">
              <w:rPr>
                <w:rFonts w:eastAsia="Calibri"/>
                <w:color w:val="000000"/>
                <w:sz w:val="22"/>
                <w:szCs w:val="22"/>
              </w:rPr>
              <w:t xml:space="preserve"> IV ar PO q6h x 6 dozės) iii: 2-ąją ir 3-iąją dienomis</w:t>
            </w:r>
          </w:p>
          <w:p w14:paraId="3A2A4849"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Trigubas IT gydymas (dozė priklausomai nuo amžiaus): 1-ąją dieną</w:t>
            </w:r>
          </w:p>
          <w:p w14:paraId="0323EBEB"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ARA-C (3 g/m</w:t>
            </w:r>
            <w:r w:rsidRPr="00776407">
              <w:rPr>
                <w:rFonts w:eastAsia="Calibri"/>
                <w:color w:val="000000"/>
                <w:sz w:val="22"/>
                <w:szCs w:val="22"/>
                <w:vertAlign w:val="superscript"/>
              </w:rPr>
              <w:t>2</w:t>
            </w:r>
            <w:r w:rsidRPr="00776407">
              <w:rPr>
                <w:rFonts w:eastAsia="Calibri"/>
                <w:color w:val="000000"/>
                <w:sz w:val="22"/>
                <w:szCs w:val="22"/>
              </w:rPr>
              <w:t xml:space="preserve"> dozė q12h x 4, IV): 2-ąją ir 3-iąją dienomis</w:t>
            </w:r>
          </w:p>
          <w:p w14:paraId="141E5038"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G-CSF (5 μg/kg, SC): 4</w:t>
            </w:r>
            <w:r w:rsidRPr="00776407">
              <w:rPr>
                <w:rFonts w:eastAsia="Calibri"/>
                <w:color w:val="000000"/>
                <w:sz w:val="22"/>
                <w:szCs w:val="22"/>
              </w:rPr>
              <w:noBreakHyphen/>
              <w:t>13 dienos arba kol ANS bus &gt; 1500 nuo žemiausios reikšmės</w:t>
            </w:r>
          </w:p>
        </w:tc>
      </w:tr>
      <w:tr w:rsidR="00CE5D30" w:rsidRPr="00776407" w14:paraId="67C280A1" w14:textId="77777777" w:rsidTr="00A37C41">
        <w:tc>
          <w:tcPr>
            <w:tcW w:w="2358" w:type="dxa"/>
            <w:shd w:val="clear" w:color="auto" w:fill="auto"/>
          </w:tcPr>
          <w:p w14:paraId="7169FCF6"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Reindukcinio gydymo blokas 1</w:t>
            </w:r>
          </w:p>
          <w:p w14:paraId="0A1A4E60"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(3 savaitės)</w:t>
            </w:r>
          </w:p>
        </w:tc>
        <w:tc>
          <w:tcPr>
            <w:tcW w:w="6929" w:type="dxa"/>
            <w:shd w:val="clear" w:color="auto" w:fill="auto"/>
          </w:tcPr>
          <w:p w14:paraId="2E3D66A8"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VCR (1,5 mg/m</w:t>
            </w:r>
            <w:r w:rsidRPr="00776407">
              <w:rPr>
                <w:rFonts w:eastAsia="Calibri"/>
                <w:color w:val="000000"/>
                <w:sz w:val="22"/>
                <w:szCs w:val="22"/>
                <w:vertAlign w:val="superscript"/>
              </w:rPr>
              <w:t>2</w:t>
            </w:r>
            <w:r w:rsidRPr="00776407">
              <w:rPr>
                <w:rFonts w:eastAsia="Calibri"/>
                <w:color w:val="000000"/>
                <w:sz w:val="22"/>
                <w:szCs w:val="22"/>
              </w:rPr>
              <w:t xml:space="preserve"> per parą, IV): 1, 8 ir 15 dienos</w:t>
            </w:r>
          </w:p>
          <w:p w14:paraId="04981433"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DAUN (45 mg/m</w:t>
            </w:r>
            <w:r w:rsidRPr="00776407">
              <w:rPr>
                <w:rFonts w:eastAsia="Calibri"/>
                <w:color w:val="000000"/>
                <w:sz w:val="22"/>
                <w:szCs w:val="22"/>
                <w:vertAlign w:val="superscript"/>
              </w:rPr>
              <w:t>2</w:t>
            </w:r>
            <w:r w:rsidRPr="00776407">
              <w:rPr>
                <w:rFonts w:eastAsia="Calibri"/>
                <w:color w:val="000000"/>
                <w:sz w:val="22"/>
                <w:szCs w:val="22"/>
              </w:rPr>
              <w:t xml:space="preserve"> per parą boliusu, IV): 1-ąją ir 2-ąją dienomis</w:t>
            </w:r>
          </w:p>
          <w:p w14:paraId="594BA1D9"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CPM (250 mg/m</w:t>
            </w:r>
            <w:r w:rsidRPr="00776407">
              <w:rPr>
                <w:rFonts w:eastAsia="Calibri"/>
                <w:color w:val="000000"/>
                <w:sz w:val="22"/>
                <w:szCs w:val="22"/>
                <w:vertAlign w:val="superscript"/>
              </w:rPr>
              <w:t>2</w:t>
            </w:r>
            <w:r w:rsidRPr="00776407">
              <w:rPr>
                <w:rFonts w:eastAsia="Calibri"/>
                <w:color w:val="000000"/>
                <w:sz w:val="22"/>
                <w:szCs w:val="22"/>
              </w:rPr>
              <w:t xml:space="preserve"> dozė q12h x 4 dozės, IV): 3-iąją ir 4-ąją dienomis</w:t>
            </w:r>
          </w:p>
          <w:p w14:paraId="458CD9F3"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PEG-ASP (2500 TV/m</w:t>
            </w:r>
            <w:r w:rsidRPr="00776407">
              <w:rPr>
                <w:rFonts w:eastAsia="Calibri"/>
                <w:color w:val="000000"/>
                <w:sz w:val="22"/>
                <w:szCs w:val="22"/>
                <w:vertAlign w:val="superscript"/>
              </w:rPr>
              <w:t>2</w:t>
            </w:r>
            <w:r w:rsidRPr="00776407">
              <w:rPr>
                <w:rFonts w:eastAsia="Calibri"/>
                <w:color w:val="000000"/>
                <w:sz w:val="22"/>
                <w:szCs w:val="22"/>
              </w:rPr>
              <w:t>, IM): 4-ąją dieną</w:t>
            </w:r>
          </w:p>
          <w:p w14:paraId="47920A21"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G-CSF (5 μg/kg, SC): 5</w:t>
            </w:r>
            <w:r w:rsidRPr="00776407">
              <w:rPr>
                <w:rFonts w:eastAsia="Calibri"/>
                <w:color w:val="000000"/>
                <w:sz w:val="22"/>
                <w:szCs w:val="22"/>
              </w:rPr>
              <w:noBreakHyphen/>
              <w:t>14 dienos arba kol ANS bus &gt; 1500 nuo žemiausios reikšmės</w:t>
            </w:r>
          </w:p>
          <w:p w14:paraId="489B7F6F"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Trigubas IT gydymas (dozė priklausomai nuo amžiaus): 1-ąją ir 15-ąją dienomis</w:t>
            </w:r>
          </w:p>
          <w:p w14:paraId="1074B14D"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DEX (6 mg/m</w:t>
            </w:r>
            <w:r w:rsidRPr="00776407">
              <w:rPr>
                <w:rFonts w:eastAsia="Calibri"/>
                <w:color w:val="000000"/>
                <w:sz w:val="22"/>
                <w:szCs w:val="22"/>
                <w:vertAlign w:val="superscript"/>
              </w:rPr>
              <w:t>2</w:t>
            </w:r>
            <w:r w:rsidRPr="00776407">
              <w:rPr>
                <w:rFonts w:eastAsia="Calibri"/>
                <w:color w:val="000000"/>
                <w:sz w:val="22"/>
                <w:szCs w:val="22"/>
              </w:rPr>
              <w:t xml:space="preserve"> per parą, PO): 1</w:t>
            </w:r>
            <w:r w:rsidRPr="00776407">
              <w:rPr>
                <w:rFonts w:eastAsia="Calibri"/>
                <w:color w:val="000000"/>
                <w:sz w:val="22"/>
                <w:szCs w:val="22"/>
              </w:rPr>
              <w:noBreakHyphen/>
              <w:t>7 dienos ir 15</w:t>
            </w:r>
            <w:r w:rsidRPr="00776407">
              <w:rPr>
                <w:rFonts w:eastAsia="Calibri"/>
                <w:color w:val="000000"/>
                <w:sz w:val="22"/>
                <w:szCs w:val="22"/>
              </w:rPr>
              <w:noBreakHyphen/>
              <w:t>21 dienos</w:t>
            </w:r>
          </w:p>
        </w:tc>
      </w:tr>
      <w:tr w:rsidR="00CE5D30" w:rsidRPr="00776407" w14:paraId="1151B209" w14:textId="77777777" w:rsidTr="00A37C41">
        <w:tc>
          <w:tcPr>
            <w:tcW w:w="2358" w:type="dxa"/>
            <w:shd w:val="clear" w:color="auto" w:fill="auto"/>
          </w:tcPr>
          <w:p w14:paraId="2BCDA064"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Intensyvinimo blokas 1</w:t>
            </w:r>
          </w:p>
          <w:p w14:paraId="0A8EF87E"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(9 savaitės)</w:t>
            </w:r>
          </w:p>
        </w:tc>
        <w:tc>
          <w:tcPr>
            <w:tcW w:w="6929" w:type="dxa"/>
            <w:shd w:val="clear" w:color="auto" w:fill="auto"/>
          </w:tcPr>
          <w:p w14:paraId="29DFBD49"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Metotreksatas (5 g/m</w:t>
            </w:r>
            <w:r w:rsidRPr="00776407">
              <w:rPr>
                <w:rFonts w:eastAsia="Calibri"/>
                <w:color w:val="000000"/>
                <w:sz w:val="22"/>
                <w:szCs w:val="22"/>
                <w:vertAlign w:val="superscript"/>
              </w:rPr>
              <w:t>2</w:t>
            </w:r>
            <w:r w:rsidRPr="00776407">
              <w:rPr>
                <w:rFonts w:eastAsia="Calibri"/>
                <w:color w:val="000000"/>
                <w:sz w:val="22"/>
                <w:szCs w:val="22"/>
              </w:rPr>
              <w:t xml:space="preserve"> per 24 valandas, IV): 1-ąją ir 15-ąją dienomis</w:t>
            </w:r>
          </w:p>
          <w:p w14:paraId="076D6640"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Leukovorinas (75 mg/m</w:t>
            </w:r>
            <w:r w:rsidRPr="00776407">
              <w:rPr>
                <w:rFonts w:eastAsia="Calibri"/>
                <w:color w:val="000000"/>
                <w:sz w:val="22"/>
                <w:szCs w:val="22"/>
                <w:vertAlign w:val="superscript"/>
              </w:rPr>
              <w:t>2</w:t>
            </w:r>
            <w:r w:rsidRPr="00776407">
              <w:rPr>
                <w:rFonts w:eastAsia="Calibri"/>
                <w:color w:val="000000"/>
                <w:sz w:val="22"/>
                <w:szCs w:val="22"/>
              </w:rPr>
              <w:t xml:space="preserve"> po 36 valandų, IV; 15 mg/m</w:t>
            </w:r>
            <w:r w:rsidRPr="00776407">
              <w:rPr>
                <w:rFonts w:eastAsia="Calibri"/>
                <w:color w:val="000000"/>
                <w:sz w:val="22"/>
                <w:szCs w:val="22"/>
                <w:vertAlign w:val="superscript"/>
              </w:rPr>
              <w:t>2</w:t>
            </w:r>
            <w:r w:rsidRPr="00776407">
              <w:rPr>
                <w:rFonts w:eastAsia="Calibri"/>
                <w:color w:val="000000"/>
                <w:sz w:val="22"/>
                <w:szCs w:val="22"/>
              </w:rPr>
              <w:t xml:space="preserve"> IV ar PO q6h x 6 dozės) iii: 2, 3, 16 ir 17 dienomis</w:t>
            </w:r>
          </w:p>
          <w:p w14:paraId="0AF858BB"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Trigubas IT gydymas (dozė priklausomai nuo amžiaus): 1-ąją ir 22-ąją dienomis</w:t>
            </w:r>
          </w:p>
          <w:p w14:paraId="7470A93D"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VP-16 (100 mg/m</w:t>
            </w:r>
            <w:r w:rsidRPr="00776407">
              <w:rPr>
                <w:rFonts w:eastAsia="Calibri"/>
                <w:color w:val="000000"/>
                <w:sz w:val="22"/>
                <w:szCs w:val="22"/>
                <w:vertAlign w:val="superscript"/>
              </w:rPr>
              <w:t>2</w:t>
            </w:r>
            <w:r w:rsidRPr="00776407">
              <w:rPr>
                <w:rFonts w:eastAsia="Calibri"/>
                <w:color w:val="000000"/>
                <w:sz w:val="22"/>
                <w:szCs w:val="22"/>
              </w:rPr>
              <w:t xml:space="preserve"> per parą, IV): 22</w:t>
            </w:r>
            <w:r w:rsidRPr="00776407">
              <w:rPr>
                <w:rFonts w:eastAsia="Calibri"/>
                <w:color w:val="000000"/>
                <w:sz w:val="22"/>
                <w:szCs w:val="22"/>
              </w:rPr>
              <w:noBreakHyphen/>
              <w:t>26 dienos</w:t>
            </w:r>
          </w:p>
          <w:p w14:paraId="211988EA"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CPM (300 mg/m</w:t>
            </w:r>
            <w:r w:rsidRPr="00776407">
              <w:rPr>
                <w:rFonts w:eastAsia="Calibri"/>
                <w:color w:val="000000"/>
                <w:sz w:val="22"/>
                <w:szCs w:val="22"/>
                <w:vertAlign w:val="superscript"/>
              </w:rPr>
              <w:t>2</w:t>
            </w:r>
            <w:r w:rsidRPr="00776407">
              <w:rPr>
                <w:rFonts w:eastAsia="Calibri"/>
                <w:color w:val="000000"/>
                <w:sz w:val="22"/>
                <w:szCs w:val="22"/>
              </w:rPr>
              <w:t xml:space="preserve"> per parą, IV): 22</w:t>
            </w:r>
            <w:r w:rsidRPr="00776407">
              <w:rPr>
                <w:rFonts w:eastAsia="Calibri"/>
                <w:color w:val="000000"/>
                <w:sz w:val="22"/>
                <w:szCs w:val="22"/>
              </w:rPr>
              <w:noBreakHyphen/>
              <w:t>26 dienos</w:t>
            </w:r>
          </w:p>
          <w:p w14:paraId="6BA6474E"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MESNA (150 mg/m</w:t>
            </w:r>
            <w:r w:rsidRPr="00776407">
              <w:rPr>
                <w:rFonts w:eastAsia="Calibri"/>
                <w:color w:val="000000"/>
                <w:sz w:val="22"/>
                <w:szCs w:val="22"/>
                <w:vertAlign w:val="superscript"/>
              </w:rPr>
              <w:t>2</w:t>
            </w:r>
            <w:r w:rsidRPr="00776407">
              <w:rPr>
                <w:rFonts w:eastAsia="Calibri"/>
                <w:color w:val="000000"/>
                <w:sz w:val="22"/>
                <w:szCs w:val="22"/>
              </w:rPr>
              <w:t xml:space="preserve"> per parą, IV): 22</w:t>
            </w:r>
            <w:r w:rsidRPr="00776407">
              <w:rPr>
                <w:rFonts w:eastAsia="Calibri"/>
                <w:color w:val="000000"/>
                <w:sz w:val="22"/>
                <w:szCs w:val="22"/>
              </w:rPr>
              <w:noBreakHyphen/>
              <w:t>26 dienos</w:t>
            </w:r>
          </w:p>
          <w:p w14:paraId="650A746B"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G-CSF (5 μg/kg, SC): 27</w:t>
            </w:r>
            <w:r w:rsidRPr="00776407">
              <w:rPr>
                <w:rFonts w:eastAsia="Calibri"/>
                <w:color w:val="000000"/>
                <w:sz w:val="22"/>
                <w:szCs w:val="22"/>
              </w:rPr>
              <w:noBreakHyphen/>
              <w:t>36 dienos arba kol ANS bus &gt; 1500 nuo žemiausios reikšmės</w:t>
            </w:r>
          </w:p>
          <w:p w14:paraId="5D211B17"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ARA-C (3 g/m</w:t>
            </w:r>
            <w:r w:rsidRPr="00776407">
              <w:rPr>
                <w:rFonts w:eastAsia="Calibri"/>
                <w:color w:val="000000"/>
                <w:sz w:val="22"/>
                <w:szCs w:val="22"/>
                <w:vertAlign w:val="superscript"/>
              </w:rPr>
              <w:t>2</w:t>
            </w:r>
            <w:r w:rsidRPr="00776407">
              <w:rPr>
                <w:rFonts w:eastAsia="Calibri"/>
                <w:color w:val="000000"/>
                <w:sz w:val="22"/>
                <w:szCs w:val="22"/>
              </w:rPr>
              <w:t>, q12h, IV): 43, 44 dienomis</w:t>
            </w:r>
          </w:p>
          <w:p w14:paraId="5A19229C"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L-ASP (6000 TV/m</w:t>
            </w:r>
            <w:r w:rsidRPr="00776407">
              <w:rPr>
                <w:rFonts w:eastAsia="Calibri"/>
                <w:color w:val="000000"/>
                <w:sz w:val="22"/>
                <w:szCs w:val="22"/>
                <w:vertAlign w:val="superscript"/>
              </w:rPr>
              <w:t>2</w:t>
            </w:r>
            <w:r w:rsidRPr="00776407">
              <w:rPr>
                <w:rFonts w:eastAsia="Calibri"/>
                <w:color w:val="000000"/>
                <w:sz w:val="22"/>
                <w:szCs w:val="22"/>
              </w:rPr>
              <w:t>, IM): 44-ąją dieną</w:t>
            </w:r>
          </w:p>
        </w:tc>
      </w:tr>
      <w:tr w:rsidR="00CE5D30" w:rsidRPr="00776407" w14:paraId="122CDA31" w14:textId="77777777" w:rsidTr="00A37C41">
        <w:tc>
          <w:tcPr>
            <w:tcW w:w="2358" w:type="dxa"/>
            <w:shd w:val="clear" w:color="auto" w:fill="auto"/>
          </w:tcPr>
          <w:p w14:paraId="0627C450"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Reindukcinio gydymo blokas 2</w:t>
            </w:r>
          </w:p>
          <w:p w14:paraId="3EA2D7A7"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(3 savaitės)</w:t>
            </w:r>
          </w:p>
        </w:tc>
        <w:tc>
          <w:tcPr>
            <w:tcW w:w="6929" w:type="dxa"/>
            <w:shd w:val="clear" w:color="auto" w:fill="auto"/>
          </w:tcPr>
          <w:p w14:paraId="0837EA0D"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VCR (1,5 mg/m</w:t>
            </w:r>
            <w:r w:rsidRPr="00776407">
              <w:rPr>
                <w:rFonts w:eastAsia="Calibri"/>
                <w:color w:val="000000"/>
                <w:sz w:val="22"/>
                <w:szCs w:val="22"/>
                <w:vertAlign w:val="superscript"/>
              </w:rPr>
              <w:t>2</w:t>
            </w:r>
            <w:r w:rsidRPr="00776407">
              <w:rPr>
                <w:rFonts w:eastAsia="Calibri"/>
                <w:color w:val="000000"/>
                <w:sz w:val="22"/>
                <w:szCs w:val="22"/>
              </w:rPr>
              <w:t xml:space="preserve"> per parą, IV): 1, 8 ir 15 dienomis</w:t>
            </w:r>
          </w:p>
          <w:p w14:paraId="641ABA08"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DAUN (45 mg/m</w:t>
            </w:r>
            <w:r w:rsidRPr="00776407">
              <w:rPr>
                <w:rFonts w:eastAsia="Calibri"/>
                <w:color w:val="000000"/>
                <w:sz w:val="22"/>
                <w:szCs w:val="22"/>
                <w:vertAlign w:val="superscript"/>
              </w:rPr>
              <w:t>2</w:t>
            </w:r>
            <w:r w:rsidRPr="00776407">
              <w:rPr>
                <w:rFonts w:eastAsia="Calibri"/>
                <w:color w:val="000000"/>
                <w:sz w:val="22"/>
                <w:szCs w:val="22"/>
              </w:rPr>
              <w:t xml:space="preserve"> per parą boliusu, IV): 1-ąją ir 2-ąją dienomis</w:t>
            </w:r>
          </w:p>
          <w:p w14:paraId="705F9F6B"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CPM (250 mg/m</w:t>
            </w:r>
            <w:r w:rsidRPr="00776407">
              <w:rPr>
                <w:rFonts w:eastAsia="Calibri"/>
                <w:color w:val="000000"/>
                <w:sz w:val="22"/>
                <w:szCs w:val="22"/>
                <w:vertAlign w:val="superscript"/>
              </w:rPr>
              <w:t>2</w:t>
            </w:r>
            <w:r w:rsidRPr="00776407">
              <w:rPr>
                <w:rFonts w:eastAsia="Calibri"/>
                <w:color w:val="000000"/>
                <w:sz w:val="22"/>
                <w:szCs w:val="22"/>
              </w:rPr>
              <w:t xml:space="preserve"> dozė q12h x 4 dozės, IV): 3-iąją ir 4-ąją dienomis</w:t>
            </w:r>
          </w:p>
          <w:p w14:paraId="1F73B5E6"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PEG-ASP (2500 TV/m</w:t>
            </w:r>
            <w:r w:rsidRPr="00776407">
              <w:rPr>
                <w:rFonts w:eastAsia="Calibri"/>
                <w:color w:val="000000"/>
                <w:sz w:val="22"/>
                <w:szCs w:val="22"/>
                <w:vertAlign w:val="superscript"/>
              </w:rPr>
              <w:t>2</w:t>
            </w:r>
            <w:r w:rsidRPr="00776407">
              <w:rPr>
                <w:rFonts w:eastAsia="Calibri"/>
                <w:color w:val="000000"/>
                <w:sz w:val="22"/>
                <w:szCs w:val="22"/>
              </w:rPr>
              <w:t>, IM): 4-ąją dieną</w:t>
            </w:r>
          </w:p>
          <w:p w14:paraId="3515ECEE"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G-CSF (5 μg/kg, SC): 5</w:t>
            </w:r>
            <w:r w:rsidRPr="00776407">
              <w:rPr>
                <w:rFonts w:eastAsia="Calibri"/>
                <w:color w:val="000000"/>
                <w:sz w:val="22"/>
                <w:szCs w:val="22"/>
              </w:rPr>
              <w:noBreakHyphen/>
              <w:t>14 dienos arba kol ANS bus &gt; 1500 nuo žemiausios reikšmės</w:t>
            </w:r>
          </w:p>
          <w:p w14:paraId="252F3F07"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Trigubas IT gydymas (dozė priklausomai nuo amžiaus): 1-ąją ir 15-ąją dienomis</w:t>
            </w:r>
          </w:p>
          <w:p w14:paraId="2091BDD8"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DEX (6 mg/m</w:t>
            </w:r>
            <w:r w:rsidRPr="00776407">
              <w:rPr>
                <w:rFonts w:eastAsia="Calibri"/>
                <w:color w:val="000000"/>
                <w:sz w:val="22"/>
                <w:szCs w:val="22"/>
                <w:vertAlign w:val="superscript"/>
              </w:rPr>
              <w:t>2</w:t>
            </w:r>
            <w:r w:rsidRPr="00776407">
              <w:rPr>
                <w:rFonts w:eastAsia="Calibri"/>
                <w:color w:val="000000"/>
                <w:sz w:val="22"/>
                <w:szCs w:val="22"/>
              </w:rPr>
              <w:t xml:space="preserve"> per parą, PO): 1</w:t>
            </w:r>
            <w:r w:rsidRPr="00776407">
              <w:rPr>
                <w:rFonts w:eastAsia="Calibri"/>
                <w:color w:val="000000"/>
                <w:sz w:val="22"/>
                <w:szCs w:val="22"/>
              </w:rPr>
              <w:noBreakHyphen/>
              <w:t>7 dienos ir 15</w:t>
            </w:r>
            <w:r w:rsidRPr="00776407">
              <w:rPr>
                <w:rFonts w:eastAsia="Calibri"/>
                <w:color w:val="000000"/>
                <w:sz w:val="22"/>
                <w:szCs w:val="22"/>
              </w:rPr>
              <w:noBreakHyphen/>
              <w:t>21 dienos</w:t>
            </w:r>
          </w:p>
        </w:tc>
      </w:tr>
      <w:tr w:rsidR="00CE5D30" w:rsidRPr="00776407" w14:paraId="31777CA2" w14:textId="77777777" w:rsidTr="00A37C41">
        <w:tc>
          <w:tcPr>
            <w:tcW w:w="2358" w:type="dxa"/>
            <w:shd w:val="clear" w:color="auto" w:fill="auto"/>
          </w:tcPr>
          <w:p w14:paraId="5DBB51A8"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Intensyvinimo blokas 2</w:t>
            </w:r>
          </w:p>
          <w:p w14:paraId="76387B49"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(9 savaitės)</w:t>
            </w:r>
          </w:p>
        </w:tc>
        <w:tc>
          <w:tcPr>
            <w:tcW w:w="6929" w:type="dxa"/>
            <w:shd w:val="clear" w:color="auto" w:fill="auto"/>
          </w:tcPr>
          <w:p w14:paraId="6FDE96E1"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Metotreksatas (5 g/m</w:t>
            </w:r>
            <w:r w:rsidRPr="00776407">
              <w:rPr>
                <w:rFonts w:eastAsia="Calibri"/>
                <w:color w:val="000000"/>
                <w:sz w:val="22"/>
                <w:szCs w:val="22"/>
                <w:vertAlign w:val="superscript"/>
              </w:rPr>
              <w:t>2</w:t>
            </w:r>
            <w:r w:rsidRPr="00776407">
              <w:rPr>
                <w:rFonts w:eastAsia="Calibri"/>
                <w:color w:val="000000"/>
                <w:sz w:val="22"/>
                <w:szCs w:val="22"/>
              </w:rPr>
              <w:t xml:space="preserve"> per 24 valandas, IV): 1-ąją ir 15-ąją dienomis</w:t>
            </w:r>
          </w:p>
          <w:p w14:paraId="494F1D37"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Leukovorinas (75 mg/m</w:t>
            </w:r>
            <w:r w:rsidRPr="00776407">
              <w:rPr>
                <w:rFonts w:eastAsia="Calibri"/>
                <w:color w:val="000000"/>
                <w:sz w:val="22"/>
                <w:szCs w:val="22"/>
                <w:vertAlign w:val="superscript"/>
              </w:rPr>
              <w:t>2</w:t>
            </w:r>
            <w:r w:rsidRPr="00776407">
              <w:rPr>
                <w:rFonts w:eastAsia="Calibri"/>
                <w:color w:val="000000"/>
                <w:sz w:val="22"/>
                <w:szCs w:val="22"/>
              </w:rPr>
              <w:t xml:space="preserve"> po 36 valandų, IV; 15 mg/m</w:t>
            </w:r>
            <w:r w:rsidRPr="00776407">
              <w:rPr>
                <w:rFonts w:eastAsia="Calibri"/>
                <w:color w:val="000000"/>
                <w:sz w:val="22"/>
                <w:szCs w:val="22"/>
                <w:vertAlign w:val="superscript"/>
              </w:rPr>
              <w:t>2</w:t>
            </w:r>
            <w:r w:rsidRPr="00776407">
              <w:rPr>
                <w:rFonts w:eastAsia="Calibri"/>
                <w:color w:val="000000"/>
                <w:sz w:val="22"/>
                <w:szCs w:val="22"/>
              </w:rPr>
              <w:t xml:space="preserve"> IV ar PO q6h x 6 dozės) iii: 2, 3, 16 ir 17 dienomis</w:t>
            </w:r>
          </w:p>
          <w:p w14:paraId="7B209AF9"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Trigubas IT gydymas (dozė priklausomai nuo amžiaus): 1-ąją ir 22-ąją dienomis</w:t>
            </w:r>
          </w:p>
          <w:p w14:paraId="2CE6340D"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VP-16 (100 mg/m</w:t>
            </w:r>
            <w:r w:rsidRPr="00776407">
              <w:rPr>
                <w:rFonts w:eastAsia="Calibri"/>
                <w:color w:val="000000"/>
                <w:sz w:val="22"/>
                <w:szCs w:val="22"/>
                <w:vertAlign w:val="superscript"/>
              </w:rPr>
              <w:t>2</w:t>
            </w:r>
            <w:r w:rsidRPr="00776407">
              <w:rPr>
                <w:rFonts w:eastAsia="Calibri"/>
                <w:color w:val="000000"/>
                <w:sz w:val="22"/>
                <w:szCs w:val="22"/>
              </w:rPr>
              <w:t xml:space="preserve"> per parą, IV): 22</w:t>
            </w:r>
            <w:r w:rsidRPr="00776407">
              <w:rPr>
                <w:rFonts w:eastAsia="Calibri"/>
                <w:color w:val="000000"/>
                <w:sz w:val="22"/>
                <w:szCs w:val="22"/>
              </w:rPr>
              <w:noBreakHyphen/>
              <w:t>26 dienos</w:t>
            </w:r>
          </w:p>
          <w:p w14:paraId="1667984A"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CPM (300 mg/m</w:t>
            </w:r>
            <w:r w:rsidRPr="00776407">
              <w:rPr>
                <w:rFonts w:eastAsia="Calibri"/>
                <w:color w:val="000000"/>
                <w:sz w:val="22"/>
                <w:szCs w:val="22"/>
                <w:vertAlign w:val="superscript"/>
              </w:rPr>
              <w:t>2</w:t>
            </w:r>
            <w:r w:rsidRPr="00776407">
              <w:rPr>
                <w:rFonts w:eastAsia="Calibri"/>
                <w:color w:val="000000"/>
                <w:sz w:val="22"/>
                <w:szCs w:val="22"/>
              </w:rPr>
              <w:t xml:space="preserve"> per parą, IV): 22</w:t>
            </w:r>
            <w:r w:rsidRPr="00776407">
              <w:rPr>
                <w:rFonts w:eastAsia="Calibri"/>
                <w:color w:val="000000"/>
                <w:sz w:val="22"/>
                <w:szCs w:val="22"/>
              </w:rPr>
              <w:noBreakHyphen/>
              <w:t>26 dienos</w:t>
            </w:r>
          </w:p>
          <w:p w14:paraId="1F49FFE3"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MESNA (150 mg/m</w:t>
            </w:r>
            <w:r w:rsidRPr="00776407">
              <w:rPr>
                <w:rFonts w:eastAsia="Calibri"/>
                <w:color w:val="000000"/>
                <w:sz w:val="22"/>
                <w:szCs w:val="22"/>
                <w:vertAlign w:val="superscript"/>
              </w:rPr>
              <w:t>2</w:t>
            </w:r>
            <w:r w:rsidRPr="00776407">
              <w:rPr>
                <w:rFonts w:eastAsia="Calibri"/>
                <w:color w:val="000000"/>
                <w:sz w:val="22"/>
                <w:szCs w:val="22"/>
              </w:rPr>
              <w:t xml:space="preserve"> per parą, IV): 22</w:t>
            </w:r>
            <w:r w:rsidRPr="00776407">
              <w:rPr>
                <w:rFonts w:eastAsia="Calibri"/>
                <w:color w:val="000000"/>
                <w:sz w:val="22"/>
                <w:szCs w:val="22"/>
              </w:rPr>
              <w:noBreakHyphen/>
              <w:t>26 dienos</w:t>
            </w:r>
          </w:p>
          <w:p w14:paraId="74EA795C"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G-CSF (5 μg/kg, SC): 27</w:t>
            </w:r>
            <w:r w:rsidRPr="00776407">
              <w:rPr>
                <w:rFonts w:eastAsia="Calibri"/>
                <w:color w:val="000000"/>
                <w:sz w:val="22"/>
                <w:szCs w:val="22"/>
              </w:rPr>
              <w:noBreakHyphen/>
              <w:t>36 dienos arba kol ANS bus &gt; 1500 nuo žemiausios reikšmės</w:t>
            </w:r>
          </w:p>
          <w:p w14:paraId="623EACB7"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ARA-C (3 g/m</w:t>
            </w:r>
            <w:r w:rsidRPr="00776407">
              <w:rPr>
                <w:rFonts w:eastAsia="Calibri"/>
                <w:color w:val="000000"/>
                <w:sz w:val="22"/>
                <w:szCs w:val="22"/>
                <w:vertAlign w:val="superscript"/>
              </w:rPr>
              <w:t>2</w:t>
            </w:r>
            <w:r w:rsidRPr="00776407">
              <w:rPr>
                <w:rFonts w:eastAsia="Calibri"/>
                <w:color w:val="000000"/>
                <w:sz w:val="22"/>
                <w:szCs w:val="22"/>
              </w:rPr>
              <w:t>, q12h, IV): 43, 44 dienomis</w:t>
            </w:r>
          </w:p>
          <w:p w14:paraId="1974D0B5"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L-ASP (6000 TV/m</w:t>
            </w:r>
            <w:r w:rsidRPr="00776407">
              <w:rPr>
                <w:rFonts w:eastAsia="Calibri"/>
                <w:color w:val="000000"/>
                <w:sz w:val="22"/>
                <w:szCs w:val="22"/>
                <w:vertAlign w:val="superscript"/>
              </w:rPr>
              <w:t>2</w:t>
            </w:r>
            <w:r w:rsidRPr="00776407">
              <w:rPr>
                <w:rFonts w:eastAsia="Calibri"/>
                <w:color w:val="000000"/>
                <w:sz w:val="22"/>
                <w:szCs w:val="22"/>
              </w:rPr>
              <w:t>, IM): 44-ąją dieną</w:t>
            </w:r>
          </w:p>
        </w:tc>
      </w:tr>
      <w:tr w:rsidR="00CE5D30" w:rsidRPr="00776407" w14:paraId="3F3E1A0E" w14:textId="77777777" w:rsidTr="00A37C41">
        <w:tc>
          <w:tcPr>
            <w:tcW w:w="2358" w:type="dxa"/>
            <w:shd w:val="clear" w:color="auto" w:fill="auto"/>
          </w:tcPr>
          <w:p w14:paraId="4FF51443"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Palaikomasis gydymas</w:t>
            </w:r>
          </w:p>
          <w:p w14:paraId="08173E23"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(8 savaičių trukmės ciklai)</w:t>
            </w:r>
          </w:p>
          <w:p w14:paraId="7EB7787D"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1–4 ciklai</w:t>
            </w:r>
          </w:p>
        </w:tc>
        <w:tc>
          <w:tcPr>
            <w:tcW w:w="6929" w:type="dxa"/>
            <w:shd w:val="clear" w:color="auto" w:fill="auto"/>
          </w:tcPr>
          <w:p w14:paraId="5F9640F4"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MTX (5 g/m</w:t>
            </w:r>
            <w:r w:rsidRPr="00776407">
              <w:rPr>
                <w:rFonts w:eastAsia="Calibri"/>
                <w:color w:val="000000"/>
                <w:sz w:val="22"/>
                <w:szCs w:val="22"/>
                <w:vertAlign w:val="superscript"/>
              </w:rPr>
              <w:t>2</w:t>
            </w:r>
            <w:r w:rsidRPr="00776407">
              <w:rPr>
                <w:rFonts w:eastAsia="Calibri"/>
                <w:color w:val="000000"/>
                <w:sz w:val="22"/>
                <w:szCs w:val="22"/>
              </w:rPr>
              <w:t xml:space="preserve"> per 24 valandas, IV): 1-ąją dieną</w:t>
            </w:r>
          </w:p>
          <w:p w14:paraId="2246C010"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Leukovorinas (75 mg/m</w:t>
            </w:r>
            <w:r w:rsidRPr="00776407">
              <w:rPr>
                <w:rFonts w:eastAsia="Calibri"/>
                <w:color w:val="000000"/>
                <w:sz w:val="22"/>
                <w:szCs w:val="22"/>
                <w:vertAlign w:val="superscript"/>
              </w:rPr>
              <w:t>2</w:t>
            </w:r>
            <w:r w:rsidRPr="00776407">
              <w:rPr>
                <w:rFonts w:eastAsia="Calibri"/>
                <w:color w:val="000000"/>
                <w:sz w:val="22"/>
                <w:szCs w:val="22"/>
              </w:rPr>
              <w:t xml:space="preserve"> po 36 valandų, IV; 15 mg/m</w:t>
            </w:r>
            <w:r w:rsidRPr="00776407">
              <w:rPr>
                <w:rFonts w:eastAsia="Calibri"/>
                <w:color w:val="000000"/>
                <w:sz w:val="22"/>
                <w:szCs w:val="22"/>
                <w:vertAlign w:val="superscript"/>
              </w:rPr>
              <w:t>2</w:t>
            </w:r>
            <w:r w:rsidRPr="00776407">
              <w:rPr>
                <w:rFonts w:eastAsia="Calibri"/>
                <w:color w:val="000000"/>
                <w:sz w:val="22"/>
                <w:szCs w:val="22"/>
              </w:rPr>
              <w:t xml:space="preserve"> IV ar PO q6h x 6 dozės) iii: 2-ąją ir 3-iąją dienomis</w:t>
            </w:r>
          </w:p>
          <w:p w14:paraId="0F42DD1D"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Trigubas IT gydymas (dozė priklausomai nuo amžiaus): 1, 29 dienomis</w:t>
            </w:r>
          </w:p>
          <w:p w14:paraId="132956F6"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VCR (1,5 mg/m</w:t>
            </w:r>
            <w:r w:rsidRPr="00776407">
              <w:rPr>
                <w:rFonts w:eastAsia="Calibri"/>
                <w:color w:val="000000"/>
                <w:sz w:val="22"/>
                <w:szCs w:val="22"/>
                <w:vertAlign w:val="superscript"/>
              </w:rPr>
              <w:t>2</w:t>
            </w:r>
            <w:r w:rsidRPr="00776407">
              <w:rPr>
                <w:rFonts w:eastAsia="Calibri"/>
                <w:color w:val="000000"/>
                <w:sz w:val="22"/>
                <w:szCs w:val="22"/>
              </w:rPr>
              <w:t>, IV): 1, 29 dienomis</w:t>
            </w:r>
          </w:p>
          <w:p w14:paraId="33F9E266"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DEX (6 mg/m</w:t>
            </w:r>
            <w:r w:rsidRPr="00776407">
              <w:rPr>
                <w:rFonts w:eastAsia="Calibri"/>
                <w:color w:val="000000"/>
                <w:sz w:val="22"/>
                <w:szCs w:val="22"/>
                <w:vertAlign w:val="superscript"/>
              </w:rPr>
              <w:t>2</w:t>
            </w:r>
            <w:r w:rsidRPr="00776407">
              <w:rPr>
                <w:rFonts w:eastAsia="Calibri"/>
                <w:color w:val="000000"/>
                <w:sz w:val="22"/>
                <w:szCs w:val="22"/>
              </w:rPr>
              <w:t xml:space="preserve"> per parą, PO): 1</w:t>
            </w:r>
            <w:r w:rsidRPr="00776407">
              <w:rPr>
                <w:rFonts w:eastAsia="Calibri"/>
                <w:color w:val="000000"/>
                <w:sz w:val="22"/>
                <w:szCs w:val="22"/>
              </w:rPr>
              <w:noBreakHyphen/>
              <w:t>5 dienos; 29</w:t>
            </w:r>
            <w:r w:rsidRPr="00776407">
              <w:rPr>
                <w:rFonts w:eastAsia="Calibri"/>
                <w:color w:val="000000"/>
                <w:sz w:val="22"/>
                <w:szCs w:val="22"/>
              </w:rPr>
              <w:noBreakHyphen/>
              <w:t>33 dienos</w:t>
            </w:r>
          </w:p>
          <w:p w14:paraId="146F4464"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6-MP (75 mg/m</w:t>
            </w:r>
            <w:r w:rsidRPr="00776407">
              <w:rPr>
                <w:rFonts w:eastAsia="Calibri"/>
                <w:color w:val="000000"/>
                <w:sz w:val="22"/>
                <w:szCs w:val="22"/>
                <w:vertAlign w:val="superscript"/>
              </w:rPr>
              <w:t>2</w:t>
            </w:r>
            <w:r w:rsidRPr="00776407">
              <w:rPr>
                <w:rFonts w:eastAsia="Calibri"/>
                <w:color w:val="000000"/>
                <w:sz w:val="22"/>
                <w:szCs w:val="22"/>
              </w:rPr>
              <w:t xml:space="preserve"> per parą, PO): 8-28 dienos</w:t>
            </w:r>
          </w:p>
          <w:p w14:paraId="0B9F61EF"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Metotreksatas (20 mg/m</w:t>
            </w:r>
            <w:r w:rsidRPr="00776407">
              <w:rPr>
                <w:rFonts w:eastAsia="Calibri"/>
                <w:color w:val="000000"/>
                <w:sz w:val="22"/>
                <w:szCs w:val="22"/>
                <w:vertAlign w:val="superscript"/>
              </w:rPr>
              <w:t>2</w:t>
            </w:r>
            <w:r w:rsidRPr="00776407">
              <w:rPr>
                <w:rFonts w:eastAsia="Calibri"/>
                <w:color w:val="000000"/>
                <w:sz w:val="22"/>
                <w:szCs w:val="22"/>
              </w:rPr>
              <w:t xml:space="preserve"> per savaitę, PO): 8, 15, 22 dienomis</w:t>
            </w:r>
          </w:p>
          <w:p w14:paraId="7C7CCABD"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VP-16 (100 mg/m</w:t>
            </w:r>
            <w:r w:rsidRPr="00776407">
              <w:rPr>
                <w:rFonts w:eastAsia="Calibri"/>
                <w:color w:val="000000"/>
                <w:sz w:val="22"/>
                <w:szCs w:val="22"/>
                <w:vertAlign w:val="superscript"/>
              </w:rPr>
              <w:t>2</w:t>
            </w:r>
            <w:r w:rsidRPr="00776407">
              <w:rPr>
                <w:rFonts w:eastAsia="Calibri"/>
                <w:color w:val="000000"/>
                <w:sz w:val="22"/>
                <w:szCs w:val="22"/>
              </w:rPr>
              <w:t>, IV): 29</w:t>
            </w:r>
            <w:r w:rsidRPr="00776407">
              <w:rPr>
                <w:rFonts w:eastAsia="Calibri"/>
                <w:color w:val="000000"/>
                <w:sz w:val="22"/>
                <w:szCs w:val="22"/>
              </w:rPr>
              <w:noBreakHyphen/>
              <w:t>33 dienos</w:t>
            </w:r>
          </w:p>
          <w:p w14:paraId="5A7AA859"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CPM (300 mg/m</w:t>
            </w:r>
            <w:r w:rsidRPr="00776407">
              <w:rPr>
                <w:rFonts w:eastAsia="Calibri"/>
                <w:color w:val="000000"/>
                <w:sz w:val="22"/>
                <w:szCs w:val="22"/>
                <w:vertAlign w:val="superscript"/>
              </w:rPr>
              <w:t>2</w:t>
            </w:r>
            <w:r w:rsidRPr="00776407">
              <w:rPr>
                <w:rFonts w:eastAsia="Calibri"/>
                <w:color w:val="000000"/>
                <w:sz w:val="22"/>
                <w:szCs w:val="22"/>
              </w:rPr>
              <w:t>, IV): 29</w:t>
            </w:r>
            <w:r w:rsidRPr="00776407">
              <w:rPr>
                <w:rFonts w:eastAsia="Calibri"/>
                <w:color w:val="000000"/>
                <w:sz w:val="22"/>
                <w:szCs w:val="22"/>
              </w:rPr>
              <w:noBreakHyphen/>
              <w:t>33 dienos</w:t>
            </w:r>
          </w:p>
          <w:p w14:paraId="2E99498E"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MESNA IV 29</w:t>
            </w:r>
            <w:r w:rsidRPr="00776407">
              <w:rPr>
                <w:rFonts w:eastAsia="Calibri"/>
                <w:color w:val="000000"/>
                <w:sz w:val="22"/>
                <w:szCs w:val="22"/>
              </w:rPr>
              <w:noBreakHyphen/>
              <w:t>33 dienos</w:t>
            </w:r>
          </w:p>
          <w:p w14:paraId="49A7A3A7" w14:textId="77777777" w:rsidR="00CE5D30" w:rsidRPr="00776407" w:rsidRDefault="00CE5D30" w:rsidP="00304805">
            <w:pPr>
              <w:keepNext/>
              <w:autoSpaceDE w:val="0"/>
              <w:autoSpaceDN w:val="0"/>
              <w:adjustRightInd w:val="0"/>
              <w:rPr>
                <w:rFonts w:eastAsia="Calibri"/>
                <w:color w:val="000000"/>
                <w:sz w:val="22"/>
                <w:szCs w:val="22"/>
              </w:rPr>
            </w:pPr>
            <w:r w:rsidRPr="00776407">
              <w:rPr>
                <w:rFonts w:eastAsia="Calibri"/>
                <w:color w:val="000000"/>
                <w:sz w:val="22"/>
                <w:szCs w:val="22"/>
              </w:rPr>
              <w:t>G-CSF (5 μg/kg, SC): 34</w:t>
            </w:r>
            <w:r w:rsidRPr="00776407">
              <w:rPr>
                <w:rFonts w:eastAsia="Calibri"/>
                <w:color w:val="000000"/>
                <w:sz w:val="22"/>
                <w:szCs w:val="22"/>
              </w:rPr>
              <w:noBreakHyphen/>
              <w:t>43 dienos</w:t>
            </w:r>
          </w:p>
        </w:tc>
      </w:tr>
      <w:tr w:rsidR="00CE5D30" w:rsidRPr="00776407" w14:paraId="0C463972" w14:textId="77777777" w:rsidTr="00A37C41">
        <w:tc>
          <w:tcPr>
            <w:tcW w:w="2358" w:type="dxa"/>
            <w:shd w:val="clear" w:color="auto" w:fill="auto"/>
          </w:tcPr>
          <w:p w14:paraId="4C7A6380"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Palaikomasis gydymas</w:t>
            </w:r>
          </w:p>
          <w:p w14:paraId="0E480C3B"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(8 savaičių trukmės ciklai)</w:t>
            </w:r>
          </w:p>
          <w:p w14:paraId="7D09E808"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5-asis ciklas</w:t>
            </w:r>
          </w:p>
        </w:tc>
        <w:tc>
          <w:tcPr>
            <w:tcW w:w="6929" w:type="dxa"/>
            <w:shd w:val="clear" w:color="auto" w:fill="auto"/>
          </w:tcPr>
          <w:p w14:paraId="00176861"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Kaukolės švitinimas (tik 5-asis blokas)</w:t>
            </w:r>
          </w:p>
          <w:p w14:paraId="1D0C1341"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12 Gy per 8 frakcijas visiems pacientams, kuriems nustatyta CNS1 ir CNS2 diagnozė</w:t>
            </w:r>
          </w:p>
          <w:p w14:paraId="734B5910"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18 Gy per 10 frakcijų pacientams, kuriems nustatyta CNS3 diagnozė</w:t>
            </w:r>
          </w:p>
          <w:p w14:paraId="2CA4A7FC"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VCR (1,5 mg/m</w:t>
            </w:r>
            <w:r w:rsidRPr="00776407">
              <w:rPr>
                <w:rFonts w:eastAsia="Calibri"/>
                <w:color w:val="000000"/>
                <w:sz w:val="22"/>
                <w:szCs w:val="22"/>
                <w:vertAlign w:val="superscript"/>
              </w:rPr>
              <w:t>2</w:t>
            </w:r>
            <w:r w:rsidRPr="00776407">
              <w:rPr>
                <w:rFonts w:eastAsia="Calibri"/>
                <w:color w:val="000000"/>
                <w:sz w:val="22"/>
                <w:szCs w:val="22"/>
              </w:rPr>
              <w:t xml:space="preserve"> per parą, IV): 1, 29 dienomis</w:t>
            </w:r>
          </w:p>
          <w:p w14:paraId="43CD3B0C"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DEX (6 mg/m</w:t>
            </w:r>
            <w:r w:rsidRPr="00776407">
              <w:rPr>
                <w:rFonts w:eastAsia="Calibri"/>
                <w:color w:val="000000"/>
                <w:sz w:val="22"/>
                <w:szCs w:val="22"/>
                <w:vertAlign w:val="superscript"/>
              </w:rPr>
              <w:t>2</w:t>
            </w:r>
            <w:r w:rsidRPr="00776407">
              <w:rPr>
                <w:rFonts w:eastAsia="Calibri"/>
                <w:color w:val="000000"/>
                <w:sz w:val="22"/>
                <w:szCs w:val="22"/>
              </w:rPr>
              <w:t xml:space="preserve"> per parą, PO): 1</w:t>
            </w:r>
            <w:r w:rsidRPr="00776407">
              <w:rPr>
                <w:rFonts w:eastAsia="Calibri"/>
                <w:color w:val="000000"/>
                <w:sz w:val="22"/>
                <w:szCs w:val="22"/>
              </w:rPr>
              <w:noBreakHyphen/>
              <w:t>5 dienos; 29</w:t>
            </w:r>
            <w:r w:rsidRPr="00776407">
              <w:rPr>
                <w:rFonts w:eastAsia="Calibri"/>
                <w:color w:val="000000"/>
                <w:sz w:val="22"/>
                <w:szCs w:val="22"/>
              </w:rPr>
              <w:noBreakHyphen/>
              <w:t>33 dienos</w:t>
            </w:r>
          </w:p>
          <w:p w14:paraId="335F26A8"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6-MP (75 mg/m</w:t>
            </w:r>
            <w:r w:rsidRPr="00776407">
              <w:rPr>
                <w:rFonts w:eastAsia="Calibri"/>
                <w:color w:val="000000"/>
                <w:sz w:val="22"/>
                <w:szCs w:val="22"/>
                <w:vertAlign w:val="superscript"/>
              </w:rPr>
              <w:t>2</w:t>
            </w:r>
            <w:r w:rsidRPr="00776407">
              <w:rPr>
                <w:rFonts w:eastAsia="Calibri"/>
                <w:color w:val="000000"/>
                <w:sz w:val="22"/>
                <w:szCs w:val="22"/>
              </w:rPr>
              <w:t xml:space="preserve"> per parą, PO): 11</w:t>
            </w:r>
            <w:r w:rsidRPr="00776407">
              <w:rPr>
                <w:rFonts w:eastAsia="Calibri"/>
                <w:color w:val="000000"/>
                <w:sz w:val="22"/>
                <w:szCs w:val="22"/>
              </w:rPr>
              <w:noBreakHyphen/>
              <w:t>56 dienos (neskirti 6-MP 6</w:t>
            </w:r>
            <w:r w:rsidRPr="00776407">
              <w:rPr>
                <w:rFonts w:eastAsia="Calibri"/>
                <w:color w:val="000000"/>
                <w:sz w:val="22"/>
                <w:szCs w:val="22"/>
              </w:rPr>
              <w:noBreakHyphen/>
              <w:t>10-ąją dienomis, kai taikomas kaukolės švitinimas, pradedant nuo pirmosios 5-ojo ciklo dienos. Pradėti skirti 6-MP pirmąją dieną po kaukolės švitinimo pabaigos.)</w:t>
            </w:r>
          </w:p>
          <w:p w14:paraId="645AD910"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Metotreksatas (20 mg/m</w:t>
            </w:r>
            <w:r w:rsidRPr="00776407">
              <w:rPr>
                <w:rFonts w:eastAsia="Calibri"/>
                <w:color w:val="000000"/>
                <w:sz w:val="22"/>
                <w:szCs w:val="22"/>
                <w:vertAlign w:val="superscript"/>
              </w:rPr>
              <w:t>2</w:t>
            </w:r>
            <w:r w:rsidRPr="00776407">
              <w:rPr>
                <w:rFonts w:eastAsia="Calibri"/>
                <w:color w:val="000000"/>
                <w:sz w:val="22"/>
                <w:szCs w:val="22"/>
              </w:rPr>
              <w:t xml:space="preserve"> per savaitę, PO): 8, 15, 22, 29, 36, 43, 50 dienomis</w:t>
            </w:r>
          </w:p>
        </w:tc>
      </w:tr>
      <w:tr w:rsidR="00CE5D30" w:rsidRPr="00776407" w14:paraId="08005657" w14:textId="77777777" w:rsidTr="00A37C41">
        <w:tc>
          <w:tcPr>
            <w:tcW w:w="2358" w:type="dxa"/>
            <w:shd w:val="clear" w:color="auto" w:fill="auto"/>
          </w:tcPr>
          <w:p w14:paraId="7D167CD6"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Palaikomasis gydymas</w:t>
            </w:r>
          </w:p>
          <w:p w14:paraId="62C0274F"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(8 savaičių trukmės ciklai)</w:t>
            </w:r>
          </w:p>
          <w:p w14:paraId="00B0EE6D"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6</w:t>
            </w:r>
            <w:r w:rsidRPr="00776407">
              <w:rPr>
                <w:rFonts w:eastAsia="Calibri"/>
                <w:color w:val="000000"/>
                <w:sz w:val="22"/>
                <w:szCs w:val="22"/>
              </w:rPr>
              <w:noBreakHyphen/>
              <w:t>12 ciklai</w:t>
            </w:r>
          </w:p>
        </w:tc>
        <w:tc>
          <w:tcPr>
            <w:tcW w:w="6929" w:type="dxa"/>
            <w:shd w:val="clear" w:color="auto" w:fill="auto"/>
          </w:tcPr>
          <w:p w14:paraId="1EB76E38"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VCR (1,5 mg/m</w:t>
            </w:r>
            <w:r w:rsidRPr="00776407">
              <w:rPr>
                <w:rFonts w:eastAsia="Calibri"/>
                <w:color w:val="000000"/>
                <w:sz w:val="22"/>
                <w:szCs w:val="22"/>
                <w:vertAlign w:val="superscript"/>
              </w:rPr>
              <w:t>2</w:t>
            </w:r>
            <w:r w:rsidRPr="00776407">
              <w:rPr>
                <w:rFonts w:eastAsia="Calibri"/>
                <w:color w:val="000000"/>
                <w:sz w:val="22"/>
                <w:szCs w:val="22"/>
              </w:rPr>
              <w:t xml:space="preserve"> per parą, IV): 1, 29 dienomis</w:t>
            </w:r>
          </w:p>
          <w:p w14:paraId="7E0C0AAC"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DEX (6 mg/m</w:t>
            </w:r>
            <w:r w:rsidRPr="00776407">
              <w:rPr>
                <w:rFonts w:eastAsia="Calibri"/>
                <w:color w:val="000000"/>
                <w:sz w:val="22"/>
                <w:szCs w:val="22"/>
                <w:vertAlign w:val="superscript"/>
              </w:rPr>
              <w:t>2</w:t>
            </w:r>
            <w:r w:rsidRPr="00776407">
              <w:rPr>
                <w:rFonts w:eastAsia="Calibri"/>
                <w:color w:val="000000"/>
                <w:sz w:val="22"/>
                <w:szCs w:val="22"/>
              </w:rPr>
              <w:t xml:space="preserve"> per parą, PO): 1</w:t>
            </w:r>
            <w:r w:rsidRPr="00776407">
              <w:rPr>
                <w:rFonts w:eastAsia="Calibri"/>
                <w:color w:val="000000"/>
                <w:sz w:val="22"/>
                <w:szCs w:val="22"/>
              </w:rPr>
              <w:noBreakHyphen/>
              <w:t>5 dienos; 29</w:t>
            </w:r>
            <w:r w:rsidRPr="00776407">
              <w:rPr>
                <w:rFonts w:eastAsia="Calibri"/>
                <w:color w:val="000000"/>
                <w:sz w:val="22"/>
                <w:szCs w:val="22"/>
              </w:rPr>
              <w:noBreakHyphen/>
              <w:t>33 dienos</w:t>
            </w:r>
          </w:p>
          <w:p w14:paraId="2F0253E5"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6-MP (75 mg/m</w:t>
            </w:r>
            <w:r w:rsidRPr="00776407">
              <w:rPr>
                <w:rFonts w:eastAsia="Calibri"/>
                <w:color w:val="000000"/>
                <w:sz w:val="22"/>
                <w:szCs w:val="22"/>
                <w:vertAlign w:val="superscript"/>
              </w:rPr>
              <w:t>2</w:t>
            </w:r>
            <w:r w:rsidRPr="00776407">
              <w:rPr>
                <w:rFonts w:eastAsia="Calibri"/>
                <w:color w:val="000000"/>
                <w:sz w:val="22"/>
                <w:szCs w:val="22"/>
              </w:rPr>
              <w:t xml:space="preserve"> per parą, PO): 1</w:t>
            </w:r>
            <w:r w:rsidRPr="00776407">
              <w:rPr>
                <w:rFonts w:eastAsia="Calibri"/>
                <w:color w:val="000000"/>
                <w:sz w:val="22"/>
                <w:szCs w:val="22"/>
              </w:rPr>
              <w:noBreakHyphen/>
              <w:t>56 dienos</w:t>
            </w:r>
          </w:p>
          <w:p w14:paraId="07594D8A" w14:textId="77777777" w:rsidR="00CE5D30" w:rsidRPr="00776407" w:rsidRDefault="00CE5D30" w:rsidP="00A37C41">
            <w:pPr>
              <w:autoSpaceDE w:val="0"/>
              <w:autoSpaceDN w:val="0"/>
              <w:adjustRightInd w:val="0"/>
              <w:rPr>
                <w:rFonts w:eastAsia="Calibri"/>
                <w:color w:val="000000"/>
                <w:sz w:val="22"/>
                <w:szCs w:val="22"/>
              </w:rPr>
            </w:pPr>
            <w:r w:rsidRPr="00776407">
              <w:rPr>
                <w:rFonts w:eastAsia="Calibri"/>
                <w:color w:val="000000"/>
                <w:sz w:val="22"/>
                <w:szCs w:val="22"/>
              </w:rPr>
              <w:t>Metotreksatas (20 mg/m</w:t>
            </w:r>
            <w:r w:rsidRPr="00776407">
              <w:rPr>
                <w:rFonts w:eastAsia="Calibri"/>
                <w:color w:val="000000"/>
                <w:sz w:val="22"/>
                <w:szCs w:val="22"/>
                <w:vertAlign w:val="superscript"/>
              </w:rPr>
              <w:t>2</w:t>
            </w:r>
            <w:r w:rsidRPr="00776407">
              <w:rPr>
                <w:rFonts w:eastAsia="Calibri"/>
                <w:color w:val="000000"/>
                <w:sz w:val="22"/>
                <w:szCs w:val="22"/>
              </w:rPr>
              <w:t xml:space="preserve"> per savaitę, PO): 1, 8, 15, 22, 29, 36, 43, 50 dienomis</w:t>
            </w:r>
          </w:p>
        </w:tc>
      </w:tr>
    </w:tbl>
    <w:p w14:paraId="6EB98BF1" w14:textId="440D7B16" w:rsidR="002B7610" w:rsidRPr="00776407" w:rsidRDefault="002B7610" w:rsidP="002B7610">
      <w:pPr>
        <w:autoSpaceDE w:val="0"/>
        <w:autoSpaceDN w:val="0"/>
        <w:adjustRightInd w:val="0"/>
        <w:rPr>
          <w:rFonts w:eastAsia="Calibri"/>
          <w:color w:val="000000"/>
          <w:sz w:val="22"/>
          <w:szCs w:val="22"/>
        </w:rPr>
      </w:pPr>
      <w:r w:rsidRPr="00776407">
        <w:rPr>
          <w:rFonts w:eastAsia="Calibri"/>
          <w:color w:val="000000"/>
          <w:sz w:val="22"/>
          <w:szCs w:val="22"/>
        </w:rPr>
        <w:t>G-CSF = granuliocitų kolonijas stimuliuojantis faktorius, VP-16 = etoposidas, MTX = metotreksatas, IV = į veną, SC = po oda, IT = intratekaliai (į povoratinklinę ertmę), PO = per burną, IM = į raumenis, ARA</w:t>
      </w:r>
      <w:r w:rsidRPr="00776407">
        <w:rPr>
          <w:rFonts w:eastAsia="Calibri"/>
          <w:color w:val="000000"/>
          <w:sz w:val="22"/>
          <w:szCs w:val="22"/>
        </w:rPr>
        <w:noBreakHyphen/>
        <w:t>C = citarabinas, CPM = ciklofosfamidas, VCR = vinkristinas, DEX = deksametazonas, DAUN = daunorubicinas, 6-MP = 6</w:t>
      </w:r>
      <w:r w:rsidRPr="00776407">
        <w:rPr>
          <w:rFonts w:eastAsia="Calibri"/>
          <w:color w:val="000000"/>
          <w:sz w:val="22"/>
          <w:szCs w:val="22"/>
        </w:rPr>
        <w:noBreakHyphen/>
        <w:t>merkaptopurinas, E.Coli L</w:t>
      </w:r>
      <w:r w:rsidRPr="00776407">
        <w:rPr>
          <w:rFonts w:eastAsia="Calibri"/>
          <w:color w:val="000000"/>
          <w:sz w:val="22"/>
          <w:szCs w:val="22"/>
        </w:rPr>
        <w:noBreakHyphen/>
        <w:t>ASP = L</w:t>
      </w:r>
      <w:r w:rsidRPr="00776407">
        <w:rPr>
          <w:rFonts w:eastAsia="Calibri"/>
          <w:color w:val="000000"/>
          <w:sz w:val="22"/>
          <w:szCs w:val="22"/>
        </w:rPr>
        <w:noBreakHyphen/>
        <w:t>asparaginazė, PEG</w:t>
      </w:r>
      <w:r w:rsidRPr="00776407">
        <w:rPr>
          <w:rFonts w:eastAsia="Calibri"/>
          <w:color w:val="000000"/>
          <w:sz w:val="22"/>
          <w:szCs w:val="22"/>
        </w:rPr>
        <w:noBreakHyphen/>
        <w:t>ASP = PEG asparaginazė, MESNA = 2</w:t>
      </w:r>
      <w:r w:rsidRPr="00776407">
        <w:rPr>
          <w:rFonts w:eastAsia="Calibri"/>
          <w:color w:val="000000"/>
          <w:sz w:val="22"/>
          <w:szCs w:val="22"/>
        </w:rPr>
        <w:noBreakHyphen/>
        <w:t>merkaptoetano natrio sulfonatas, iii = arba kol MTX koncentracija bus &lt; 0,1 µM, q6h = kas 6 valandas, Gy = Grėjus.</w:t>
      </w:r>
    </w:p>
    <w:p w14:paraId="79B74996" w14:textId="77777777" w:rsidR="00CE5D30" w:rsidRPr="00776407" w:rsidRDefault="00CE5D30" w:rsidP="00CE5D30">
      <w:pPr>
        <w:autoSpaceDE w:val="0"/>
        <w:autoSpaceDN w:val="0"/>
        <w:adjustRightInd w:val="0"/>
        <w:rPr>
          <w:rFonts w:eastAsia="Calibri"/>
          <w:color w:val="000000"/>
          <w:sz w:val="22"/>
          <w:szCs w:val="22"/>
        </w:rPr>
      </w:pPr>
    </w:p>
    <w:p w14:paraId="078F0518" w14:textId="77777777" w:rsidR="00CE5D30" w:rsidRPr="00776407" w:rsidRDefault="00CE5D30" w:rsidP="00CE5D30">
      <w:pPr>
        <w:autoSpaceDE w:val="0"/>
        <w:autoSpaceDN w:val="0"/>
        <w:adjustRightInd w:val="0"/>
        <w:rPr>
          <w:rFonts w:eastAsia="Calibri"/>
          <w:color w:val="000000"/>
          <w:sz w:val="22"/>
          <w:szCs w:val="22"/>
        </w:rPr>
      </w:pPr>
      <w:r w:rsidRPr="00776407">
        <w:rPr>
          <w:rFonts w:eastAsia="Calibri"/>
          <w:color w:val="000000"/>
          <w:sz w:val="22"/>
          <w:szCs w:val="22"/>
        </w:rPr>
        <w:t>Atliktas AIT07 tyrimas – daugiacentris, atviras, atsitiktinių imčių, II/III fazės tyrimas, į kurį buvo įtraukti 128 pacientai (nuo 1 iki &lt; 18 metų); pacientams buvo skiriamas gydymas imatinibu kartu su chemoterapija. Šio tyrimo metu gauti saugumo duomenys, atrodo, atitinka imatinibo saugumo savybes skiriant Ph+ ŪLL sergantiems pacientams.</w:t>
      </w:r>
    </w:p>
    <w:p w14:paraId="14C3181A" w14:textId="77777777" w:rsidR="00857144" w:rsidRPr="00776407" w:rsidRDefault="00857144" w:rsidP="00BB5F74">
      <w:pPr>
        <w:autoSpaceDE w:val="0"/>
        <w:autoSpaceDN w:val="0"/>
        <w:adjustRightInd w:val="0"/>
        <w:rPr>
          <w:i/>
          <w:iCs/>
          <w:sz w:val="22"/>
          <w:szCs w:val="22"/>
        </w:rPr>
      </w:pPr>
    </w:p>
    <w:p w14:paraId="1B8061A2" w14:textId="77777777" w:rsidR="00BB5F74" w:rsidRPr="00776407" w:rsidRDefault="00BB5F74" w:rsidP="00BB5F74">
      <w:pPr>
        <w:autoSpaceDE w:val="0"/>
        <w:autoSpaceDN w:val="0"/>
        <w:adjustRightInd w:val="0"/>
        <w:rPr>
          <w:rFonts w:eastAsia="Calibri"/>
          <w:color w:val="000000"/>
          <w:sz w:val="22"/>
          <w:szCs w:val="22"/>
        </w:rPr>
      </w:pPr>
      <w:r w:rsidRPr="00776407">
        <w:rPr>
          <w:i/>
          <w:iCs/>
          <w:sz w:val="22"/>
          <w:szCs w:val="22"/>
        </w:rPr>
        <w:t xml:space="preserve">Recidyvavusi ar refrakterinė Ph+ ŪLL: </w:t>
      </w:r>
      <w:r w:rsidRPr="00776407">
        <w:rPr>
          <w:sz w:val="22"/>
          <w:szCs w:val="22"/>
        </w:rPr>
        <w:t>53 pacientams iš 411, kuriuos buvo galima vertinti dėl atsako, sergantiems recidyvuojančia ar refrakterine Ph+ ŪLL, vartojusiems vien tik imatinibą, hematologinio atsako dažnis buvo 30 % (pilno – 9 %), o didžiojo citogenetinio atsako dažnis buvo 23 %. (Reikia pažymėti, kad 353 pacientai iš 411, dalyvavo išplėstinėje gydymo programoje ir nebuvo renkami pirminiai jų atsako duomenys.) Laiko iki progresavimo mediana bendrojoje 411  pacientų, kuriems buvo recidyvavusi ar refrakterinė Ph+ ŪLL, populiacijoje buvo nuo 2,6 iki 3,1 mėnesių, o 401 paciento, kuriuos buvo galima įvertinti, gyvenimo trukmės mediana buvo nuo 4,9 iki 9 mėnesių. Duomenys buvo panašūs, kai analizė buvo pakartota įtraukiant tik 55 metų amžiaus ar vyresnius pacientus</w:t>
      </w:r>
      <w:r w:rsidR="009F4021" w:rsidRPr="00776407">
        <w:rPr>
          <w:sz w:val="22"/>
          <w:szCs w:val="22"/>
        </w:rPr>
        <w:t>.</w:t>
      </w:r>
    </w:p>
    <w:p w14:paraId="272E4292" w14:textId="77777777" w:rsidR="00BB5F74" w:rsidRPr="00776407" w:rsidRDefault="00BB5F74" w:rsidP="00BB5F74">
      <w:pPr>
        <w:autoSpaceDE w:val="0"/>
        <w:autoSpaceDN w:val="0"/>
        <w:adjustRightInd w:val="0"/>
        <w:rPr>
          <w:rFonts w:eastAsia="Calibri"/>
          <w:color w:val="000000"/>
          <w:sz w:val="22"/>
          <w:szCs w:val="22"/>
        </w:rPr>
      </w:pPr>
    </w:p>
    <w:p w14:paraId="34BC8FCA" w14:textId="77777777" w:rsidR="00BB5F74" w:rsidRPr="00776407" w:rsidRDefault="00BB5F74" w:rsidP="00BB5F74">
      <w:pPr>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Klinikiniai MDS ir MPL tyrimai </w:t>
      </w:r>
    </w:p>
    <w:p w14:paraId="40E50D6D" w14:textId="77777777" w:rsidR="00A90A07" w:rsidRPr="00776407" w:rsidRDefault="00BB5F74" w:rsidP="00BB5F74">
      <w:pPr>
        <w:autoSpaceDE w:val="0"/>
        <w:autoSpaceDN w:val="0"/>
        <w:adjustRightInd w:val="0"/>
        <w:rPr>
          <w:rFonts w:eastAsia="Calibri"/>
          <w:color w:val="000000"/>
          <w:sz w:val="22"/>
          <w:szCs w:val="22"/>
        </w:rPr>
      </w:pPr>
      <w:r w:rsidRPr="00776407">
        <w:rPr>
          <w:rFonts w:eastAsia="Calibri"/>
          <w:color w:val="000000"/>
          <w:sz w:val="22"/>
          <w:szCs w:val="22"/>
        </w:rPr>
        <w:t>Šių ligų gydymo imatinibu patirtis yra labai ribota ir remiasi hematologinio ir citogenetinio atsako dažniais. Kontroliuotų klinikinių tyrimų, rodančių klinikinį pranašumą arba padidėjusį išgyvenamumą, neatlikta. Viename atvirame, daugiacentriame, II fazės klinikiniame tyrime (tyrimas B2225) buvo tiriamas imatinibo efektyvumas įvairioms pacientų, sergančių gyvybei pavojingomis ligomis, susijusiomis su Abl, Kit ar PDGFR baltymų tirozinkinazėmis, grupėms. Tyrime dalyvavo 7 pacientai, sergantys MDS/MPL, kurie buvo gydomi imatinibo 400 mg per parą doze. Trys pacientai pasiekė visišką hematologinį atsaką (VHA) ir vienas – dalinį hematologinį atsaką (DHA). Pradinio tyrimo metu trims iš keturių pacientų su nustatytais PDGFR genų pakitimais pasireiškė hematologinis atsakas (2 VHA ir 1 DHA). Šių pacientų amžius svyravo nuo 20 iki 72 metų.</w:t>
      </w:r>
    </w:p>
    <w:p w14:paraId="2E40EEA8" w14:textId="77777777" w:rsidR="00A90A07" w:rsidRPr="00776407" w:rsidRDefault="00A90A07" w:rsidP="00BB5F74">
      <w:pPr>
        <w:autoSpaceDE w:val="0"/>
        <w:autoSpaceDN w:val="0"/>
        <w:adjustRightInd w:val="0"/>
        <w:rPr>
          <w:rFonts w:eastAsia="Calibri"/>
          <w:color w:val="000000"/>
          <w:sz w:val="22"/>
          <w:szCs w:val="22"/>
        </w:rPr>
      </w:pPr>
    </w:p>
    <w:p w14:paraId="0C1077A1" w14:textId="77777777" w:rsidR="00A90A07" w:rsidRPr="00776407" w:rsidRDefault="00325C2F" w:rsidP="00A90A07">
      <w:pPr>
        <w:autoSpaceDE w:val="0"/>
        <w:autoSpaceDN w:val="0"/>
        <w:adjustRightInd w:val="0"/>
        <w:rPr>
          <w:rFonts w:eastAsia="Calibri"/>
          <w:color w:val="000000"/>
          <w:sz w:val="22"/>
          <w:szCs w:val="22"/>
          <w:highlight w:val="yellow"/>
        </w:rPr>
      </w:pPr>
      <w:r w:rsidRPr="00776407">
        <w:rPr>
          <w:rFonts w:eastAsia="Calibri"/>
          <w:color w:val="000000"/>
          <w:sz w:val="22"/>
          <w:szCs w:val="22"/>
        </w:rPr>
        <w:t>Duomenų stebėjimo registro (L2401 tyrimo) pildymo metu buvo renkami ilgalaikio saugumo ir veiksmingumo duomenys pacientams, kuriems nustatyta mieloproliferacinių navikų ir PDGFR- β geno pakitimų bei kuriems buvo skiriamas gydymas imatinibu. Į šį registrą buvo įtraukti 23 pacientai, ir jiems skirtos imatinibo paros dozės mediana buvo 264 mg (svyravo nuo 100 mg iki 400 mg), o gydymo trukmės mediana buvo 7,2 metų (svyravo nuo 0,1 metų iki 12,7 metų). Kadangi tai buvo duomenų stebėjimo pobūdžio registras, hematologinio, citogenetinio ir molekulinio vertinimo duomenys buvo žinomi, atitinkamai, 22, 9 ir 17 iš 23 įtrauktų pacientų. Atsargiai tariant, kad tiems pacientams, kurių duomenų neturima, gydymo atsako nebuvo gauta, atitinkamai, VHA buvo pasiektas 20 iš 23 (87 %) pacientų, CCyR atsakas pasiektas 9 iš 23 (39,1 %) pacientų, o molekulinis atsakas – 11 iš 23 (47,8 %) pacientų. Kai atsako dažnis buvo apskaičiuotas tiems pacientams, kuriems buvo žinomas bent vienas pagrįstas įvertinimas, VHA, CCyR ir molekulinio atsakų dažniai, atitinkamai, buvo</w:t>
      </w:r>
      <w:r w:rsidRPr="00776407" w:rsidDel="00897244">
        <w:rPr>
          <w:rFonts w:eastAsia="Calibri"/>
          <w:color w:val="000000"/>
          <w:sz w:val="22"/>
          <w:szCs w:val="22"/>
        </w:rPr>
        <w:t xml:space="preserve"> </w:t>
      </w:r>
      <w:r w:rsidRPr="00776407">
        <w:rPr>
          <w:rFonts w:eastAsia="Calibri"/>
          <w:color w:val="000000"/>
          <w:sz w:val="22"/>
          <w:szCs w:val="22"/>
        </w:rPr>
        <w:t>20 iš 22 (90,9 %), 9 iš 9 (100 %) ir 11 iš 17 (64,7 %).</w:t>
      </w:r>
    </w:p>
    <w:p w14:paraId="6ECA11BC" w14:textId="77777777" w:rsidR="00A90A07" w:rsidRPr="00776407" w:rsidRDefault="00A90A07" w:rsidP="00BB5F74">
      <w:pPr>
        <w:autoSpaceDE w:val="0"/>
        <w:autoSpaceDN w:val="0"/>
        <w:adjustRightInd w:val="0"/>
        <w:rPr>
          <w:rFonts w:eastAsia="Calibri"/>
          <w:color w:val="000000"/>
          <w:sz w:val="22"/>
          <w:szCs w:val="22"/>
        </w:rPr>
      </w:pPr>
    </w:p>
    <w:p w14:paraId="6260BAB0" w14:textId="5437C58C" w:rsidR="002B7610" w:rsidRPr="00776407" w:rsidRDefault="002B7610" w:rsidP="002B7610">
      <w:pPr>
        <w:autoSpaceDE w:val="0"/>
        <w:autoSpaceDN w:val="0"/>
        <w:adjustRightInd w:val="0"/>
        <w:rPr>
          <w:rFonts w:eastAsia="Calibri"/>
          <w:sz w:val="22"/>
          <w:szCs w:val="22"/>
        </w:rPr>
      </w:pPr>
      <w:r w:rsidRPr="00776407">
        <w:rPr>
          <w:rFonts w:eastAsia="Calibri"/>
          <w:color w:val="000000"/>
          <w:sz w:val="22"/>
          <w:szCs w:val="22"/>
        </w:rPr>
        <w:t>Be to, kiti 24 pacientai, sergantys MDS/MPL, buvo aprašyti 13 straipsnių. 21 pacientas buvo gydomas imatinibo 400 mg doze, kiti 3 pacientai gavo mažesnes dozes. Vienuolikai pacientų buvo nustatyti PDGF genų pakitimai, 9 iš jų pasiekė VHA ir 1 DHA. Šių pacientų amžius svyravo nuo 2 iki 79 metų. Remiantis atnaujinta informacija apie 6 iš 11 pacientų nesename straipsnyje, paaiškėjo, jog jiems visiems citogenetinė remisija išliko (trukmė 32</w:t>
      </w:r>
      <w:r w:rsidRPr="00776407">
        <w:rPr>
          <w:rFonts w:eastAsia="Calibri"/>
          <w:color w:val="000000"/>
          <w:sz w:val="22"/>
          <w:szCs w:val="22"/>
        </w:rPr>
        <w:noBreakHyphen/>
        <w:t xml:space="preserve">38 mėnesiai). Tame pačiame straipsnyje aprašomi 12 pacientų, sergančių MDS/MPL su PDGFR genų pakitimais (5 pacientai iš B2225 tyrimo) ilgalaikio stebėjimo duomenys. Šie pacientai gavo imatinibo vidutiniškai 47 mėnesius (ribos 24 dienos – 60 mėnesių). 6 iš šių pacientų </w:t>
      </w:r>
      <w:r w:rsidRPr="00776407">
        <w:rPr>
          <w:rFonts w:eastAsia="Calibri"/>
          <w:sz w:val="22"/>
          <w:szCs w:val="22"/>
        </w:rPr>
        <w:t>dabar stebimi ilgiau kaip 4 metus. Vienuolika pacientų pasiekė greitą VHA; dešimčiai visiškai išnyko citogenetiniai pokyčiai ir patikrinus RT</w:t>
      </w:r>
      <w:r w:rsidRPr="00776407">
        <w:rPr>
          <w:color w:val="000000"/>
        </w:rPr>
        <w:noBreakHyphen/>
      </w:r>
      <w:r w:rsidRPr="00776407">
        <w:rPr>
          <w:rFonts w:eastAsia="Calibri"/>
          <w:sz w:val="22"/>
          <w:szCs w:val="22"/>
        </w:rPr>
        <w:t>PGR, sumažėjo arba išnyko susijungusių transkriptų. Hematologinis ir citogenetinis atsakai buvo atitinkamai pastovūs vidutiniškai 49 mėnesius (ribos 19-60) ir 47 mėnesius (ribos 16-59). Patvirtinus diagnozę, bendras išgyvenamumas yra 65 mėnesiai (ribos 25-234). Imatinibo paskyrimas pacientams be genetinių translokacijų bendrai pagerėjimo nesukėlė.</w:t>
      </w:r>
    </w:p>
    <w:p w14:paraId="6CFCF5D6" w14:textId="77777777" w:rsidR="00BB5F74" w:rsidRPr="00776407" w:rsidRDefault="00BB5F74" w:rsidP="00BB5F74">
      <w:pPr>
        <w:autoSpaceDE w:val="0"/>
        <w:autoSpaceDN w:val="0"/>
        <w:adjustRightInd w:val="0"/>
        <w:rPr>
          <w:rFonts w:eastAsia="Calibri"/>
          <w:sz w:val="22"/>
          <w:szCs w:val="22"/>
        </w:rPr>
      </w:pPr>
      <w:r w:rsidRPr="00776407">
        <w:rPr>
          <w:rFonts w:eastAsia="Calibri"/>
          <w:sz w:val="22"/>
          <w:szCs w:val="22"/>
        </w:rPr>
        <w:t>Kontroliuojamųjų klinikinių tyrimų su MDS ir MPL sergančiais vaikais neatlikta. 4 literatūros šaltiniuose aprašyti 5 pacientai, sirgę su PDGFR genų pakitimais susijusiomis MDS/MPL. Šių pacientų amžius svyravo nuo 3 mėnesių iki 4 metų, jiems buvo skiriama 50 mg per parą imatinibo dozė arba nuo 92,5 mg/m</w:t>
      </w:r>
      <w:r w:rsidRPr="00776407">
        <w:rPr>
          <w:rFonts w:eastAsia="Calibri"/>
          <w:sz w:val="22"/>
          <w:szCs w:val="22"/>
          <w:vertAlign w:val="superscript"/>
        </w:rPr>
        <w:t>2</w:t>
      </w:r>
      <w:r w:rsidRPr="00776407">
        <w:rPr>
          <w:rFonts w:eastAsia="Calibri"/>
          <w:sz w:val="14"/>
          <w:szCs w:val="14"/>
        </w:rPr>
        <w:t xml:space="preserve"> </w:t>
      </w:r>
      <w:r w:rsidRPr="00776407">
        <w:rPr>
          <w:rFonts w:eastAsia="Calibri"/>
          <w:sz w:val="22"/>
          <w:szCs w:val="22"/>
        </w:rPr>
        <w:t>iki 340 mg/m</w:t>
      </w:r>
      <w:r w:rsidRPr="00776407">
        <w:rPr>
          <w:rFonts w:eastAsia="Calibri"/>
          <w:sz w:val="22"/>
          <w:szCs w:val="22"/>
          <w:vertAlign w:val="superscript"/>
        </w:rPr>
        <w:t>2</w:t>
      </w:r>
      <w:r w:rsidRPr="00776407">
        <w:rPr>
          <w:rFonts w:eastAsia="Calibri"/>
          <w:sz w:val="14"/>
          <w:szCs w:val="14"/>
        </w:rPr>
        <w:t xml:space="preserve"> </w:t>
      </w:r>
      <w:r w:rsidRPr="00776407">
        <w:rPr>
          <w:rFonts w:eastAsia="Calibri"/>
          <w:sz w:val="22"/>
          <w:szCs w:val="22"/>
        </w:rPr>
        <w:t>kūno paviršiaus ploto per parą dozė. Visiems pacientams pasiektas visiškas hematologinis atsakas, citogenetinis atsakas ir (arba) klinikinis atsakas.</w:t>
      </w:r>
    </w:p>
    <w:p w14:paraId="3F6FF5CC" w14:textId="77777777" w:rsidR="00BB5F74" w:rsidRPr="00776407" w:rsidRDefault="00BB5F74" w:rsidP="00BB5F74">
      <w:pPr>
        <w:autoSpaceDE w:val="0"/>
        <w:autoSpaceDN w:val="0"/>
        <w:adjustRightInd w:val="0"/>
        <w:rPr>
          <w:rFonts w:eastAsia="Calibri"/>
          <w:color w:val="000000"/>
          <w:sz w:val="22"/>
          <w:szCs w:val="22"/>
        </w:rPr>
      </w:pPr>
    </w:p>
    <w:p w14:paraId="4535720B" w14:textId="77777777" w:rsidR="00BB5F74" w:rsidRPr="00776407" w:rsidRDefault="00BB5F74" w:rsidP="00BB5F74">
      <w:pPr>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Klinikiniai HES/LEL tyrimai </w:t>
      </w:r>
    </w:p>
    <w:p w14:paraId="489B658F" w14:textId="6049E278" w:rsidR="002B7610" w:rsidRPr="00776407" w:rsidRDefault="002B7610" w:rsidP="002B7610">
      <w:pPr>
        <w:autoSpaceDE w:val="0"/>
        <w:autoSpaceDN w:val="0"/>
        <w:adjustRightInd w:val="0"/>
        <w:rPr>
          <w:rFonts w:eastAsia="Calibri"/>
          <w:color w:val="000000"/>
          <w:sz w:val="22"/>
          <w:szCs w:val="22"/>
        </w:rPr>
      </w:pPr>
      <w:r w:rsidRPr="00776407">
        <w:rPr>
          <w:rFonts w:eastAsia="Calibri"/>
          <w:color w:val="000000"/>
          <w:sz w:val="22"/>
          <w:szCs w:val="22"/>
        </w:rPr>
        <w:t>Viename atvirame, daugiacentriame, II fazės klinikiniame tyrime (tyrimas B2225) buvo tiriamas imatinibo efektyvumas įvairioms pacientų, sergančių gyvybei pavojingomis ligomis, susijusiomis su Abl, Kit ar PDGFR baltymų tirozinkinazėmis, grupėms. Šio tyrimo metu 14 pacientų, sergantys HES/LEL, buvo gydomi imatinibo 100 mg – 1 000 mg dozėmis per parą. Kiti 162 pacientai, sergantys HES/LEL, aprašyti 35 atvejų pranešimuose ir atvejų serijose gavo 75 mg – 800 mg imatinibo per parą. 117 iš bendros 176 pacientų populiacijos buvo nustatyti citogenetiniai pokyčiai. 61 iš 117 šių pacientų nustatyta FIP1L1</w:t>
      </w:r>
      <w:r w:rsidRPr="00776407">
        <w:rPr>
          <w:color w:val="000000"/>
        </w:rPr>
        <w:noBreakHyphen/>
      </w:r>
      <w:r w:rsidRPr="00776407">
        <w:rPr>
          <w:rFonts w:eastAsia="Calibri"/>
          <w:color w:val="000000"/>
          <w:sz w:val="22"/>
          <w:szCs w:val="22"/>
        </w:rPr>
        <w:t>PDGFRα lydima kinazė. Be to, keturiems HES sergantiems pacientams buvo nustatyta teigiama FIP1L1</w:t>
      </w:r>
      <w:r w:rsidRPr="00776407">
        <w:rPr>
          <w:color w:val="000000"/>
        </w:rPr>
        <w:noBreakHyphen/>
      </w:r>
      <w:r w:rsidRPr="00776407">
        <w:rPr>
          <w:rFonts w:eastAsia="Calibri"/>
          <w:color w:val="000000"/>
          <w:sz w:val="22"/>
          <w:szCs w:val="22"/>
        </w:rPr>
        <w:t>PDGFRα lydima kinazė kituose 3 aprašytuose atvejuose. Visi 65 pacientai su teigiama FIP1L1</w:t>
      </w:r>
      <w:r w:rsidRPr="00776407">
        <w:rPr>
          <w:color w:val="000000"/>
        </w:rPr>
        <w:noBreakHyphen/>
      </w:r>
      <w:r w:rsidRPr="00776407">
        <w:rPr>
          <w:rFonts w:eastAsia="Calibri"/>
          <w:color w:val="000000"/>
          <w:sz w:val="22"/>
          <w:szCs w:val="22"/>
        </w:rPr>
        <w:t>PDGFRα lydima kinaze pasiekė pastovų VHA mėnesiams (nuo 1+ iki 44+ mėnesių, tikrinta pranešimo metu). Kaip pranešama naujame straipsnyje, 21 iš šių 65 pacientų taip pat pasiekė pilną molekulinę remisiją vidutiniškai stebint 28 mėnesius (13-67 mėnesius). Šių pacientų amžius svyravo nuo 25 iki 72 metų. Tyrėjų atvejų pranešimuose papildomai buvo pranešta apie simptomų ir kitus organų funkcijų sutrikimų pagerėjimus. Pagerėjimai buvo nustatyti širdies, nervų, odos/poodinio audinio, kvėpavimo/krūtinės/tarpuplaučio, griaučių/raumenų/jungiamojo audinio/kraujagyslių ir virškinimo trakto organų sistemose.</w:t>
      </w:r>
    </w:p>
    <w:p w14:paraId="71379F3B" w14:textId="77777777" w:rsidR="00BB5F74" w:rsidRPr="00776407" w:rsidRDefault="00BB5F74" w:rsidP="00BB5F74">
      <w:pPr>
        <w:autoSpaceDE w:val="0"/>
        <w:autoSpaceDN w:val="0"/>
        <w:adjustRightInd w:val="0"/>
        <w:rPr>
          <w:rFonts w:eastAsia="Calibri"/>
          <w:color w:val="000000"/>
          <w:sz w:val="22"/>
          <w:szCs w:val="22"/>
        </w:rPr>
      </w:pPr>
    </w:p>
    <w:p w14:paraId="7DE48222" w14:textId="77777777" w:rsidR="00BB5F74" w:rsidRPr="00776407" w:rsidRDefault="00BB5F74" w:rsidP="00BB5F74">
      <w:pPr>
        <w:autoSpaceDE w:val="0"/>
        <w:autoSpaceDN w:val="0"/>
        <w:adjustRightInd w:val="0"/>
        <w:rPr>
          <w:sz w:val="22"/>
          <w:szCs w:val="22"/>
        </w:rPr>
      </w:pPr>
      <w:r w:rsidRPr="00776407">
        <w:rPr>
          <w:sz w:val="22"/>
          <w:szCs w:val="22"/>
        </w:rPr>
        <w:t>Kontroliuojamųjų klinikinių tyrimų su HES/LEL sergančiais vaikais neatlikta. 3 literatūros šaltiniuose aprašyti 3 pacientai, sirgę su PDGFR genų pakitimais susijusiais HES ir LEL. Šių pacientų amžius svyravo nuo 2 metų iki 16 metų, jiems buvo skiriama 300 mg/m</w:t>
      </w:r>
      <w:r w:rsidRPr="00776407">
        <w:rPr>
          <w:sz w:val="22"/>
          <w:szCs w:val="22"/>
          <w:vertAlign w:val="superscript"/>
        </w:rPr>
        <w:t>2</w:t>
      </w:r>
      <w:r w:rsidRPr="00776407">
        <w:rPr>
          <w:sz w:val="14"/>
          <w:szCs w:val="14"/>
        </w:rPr>
        <w:t xml:space="preserve"> </w:t>
      </w:r>
      <w:r w:rsidRPr="00776407">
        <w:rPr>
          <w:sz w:val="22"/>
          <w:szCs w:val="22"/>
        </w:rPr>
        <w:t>kūno paviršiaus ploto per parą arba nuo 200 mg iki 400 mg per parą imatinibo dozė. Visiems pacientams pasiektas visiškas hematologinis atsakas, visiškas citogenetinis atsakas ir (arba) visiškas molekulinis atsakas.</w:t>
      </w:r>
    </w:p>
    <w:p w14:paraId="42613B2D" w14:textId="77777777" w:rsidR="00BB5F74" w:rsidRPr="00776407" w:rsidRDefault="00BB5F74" w:rsidP="00BB5F74">
      <w:pPr>
        <w:autoSpaceDE w:val="0"/>
        <w:autoSpaceDN w:val="0"/>
        <w:adjustRightInd w:val="0"/>
        <w:rPr>
          <w:sz w:val="22"/>
          <w:szCs w:val="22"/>
        </w:rPr>
      </w:pPr>
    </w:p>
    <w:p w14:paraId="27280BAF" w14:textId="77777777" w:rsidR="00BB5F74" w:rsidRPr="00776407" w:rsidRDefault="00BB5F74" w:rsidP="00BB5F74">
      <w:pPr>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DFSP klinikiniai tyrimai </w:t>
      </w:r>
    </w:p>
    <w:p w14:paraId="4655065A" w14:textId="77777777" w:rsidR="00BB5F74" w:rsidRPr="00776407" w:rsidRDefault="00BB5F74" w:rsidP="00BB5F74">
      <w:pPr>
        <w:autoSpaceDE w:val="0"/>
        <w:autoSpaceDN w:val="0"/>
        <w:adjustRightInd w:val="0"/>
        <w:rPr>
          <w:sz w:val="22"/>
          <w:szCs w:val="22"/>
        </w:rPr>
      </w:pPr>
      <w:r w:rsidRPr="00776407">
        <w:rPr>
          <w:rFonts w:eastAsia="Calibri"/>
          <w:color w:val="000000"/>
          <w:sz w:val="22"/>
          <w:szCs w:val="22"/>
        </w:rPr>
        <w:t>Viename II fazės, atvirame, daugiacentriniame, klinikiniame tyrime (tyrimas B2225) dalyvavo 12 DFSP sergančių pacientų, vartojusių 800 mg imatinibo per parą. DFSP sirgusių pacientų amžius buvo nuo 23 iki 75 metų; įtraukimo į tyrimą metu pacientai sirgo metastazavusia DFSP, vietiškai recidyvavusia po pirminės rezekcijos ir, kai nebuvo tikimasi, kad kartotinė rezekcija bus naudinga. Pirminiai veiksmingumo duomenys rėmėsi objektyvaus atsako dažniu. Iš 12 tirtų pacientų 9 buvo gautas atsakas, vienam – pilnas, o 8 - dalinis. Trims pacientams iš tų, kuriems buvo gautas dalinis atsakas, navikas pašalintas operacijos metu. Gydymo trukmės mediana B2225 tyrimo metu buvo 6,2 mėnesio, o didžiausia trukmė - 24,3 mėnesio. Dar 6 DFSP sirgusių ir imatinibu gydytų pacientų ligos istorijos nagrinėtos 5 paskelbtuose klinikinių atvejų aprašymuose, jų amžius svyravo nuo 18 mėnesių iki 49 metų. Iš viso dėl DFSP buvo gydyta 18 pacientų, aštuoniems iš jų buvo metastazių. Literatūroje aprašyti suaugę pacientai vartojo arba 400 mg (4 atvejai), arba 800 mg (1 atvejis) imatinibo per parą. Penkiems (5) pacientams buvo gautas atsakas, 3 – pilnas, o 2 - dalinis. Literatūroje skelbtų atvejų gydymo trukmės mediana buvo nuo 4 savaičių iki daugiau kaip 20 mėnesių. Translokacija t(17:22)[(q22:q13)] arba jos genų produktas buvo beveik visuose atsakuose į imatinibo terapiją.</w:t>
      </w:r>
    </w:p>
    <w:p w14:paraId="46E17300" w14:textId="77777777" w:rsidR="00BB5F74" w:rsidRPr="00776407" w:rsidRDefault="00BB5F74" w:rsidP="00BB5F74">
      <w:pPr>
        <w:autoSpaceDE w:val="0"/>
        <w:autoSpaceDN w:val="0"/>
        <w:adjustRightInd w:val="0"/>
        <w:rPr>
          <w:rFonts w:eastAsia="Calibri"/>
          <w:color w:val="000000"/>
          <w:sz w:val="22"/>
          <w:szCs w:val="22"/>
        </w:rPr>
      </w:pPr>
    </w:p>
    <w:p w14:paraId="5205ABB4" w14:textId="77777777" w:rsidR="00BB5F74" w:rsidRPr="00776407" w:rsidRDefault="00BB5F74" w:rsidP="00E93356">
      <w:pPr>
        <w:autoSpaceDE w:val="0"/>
        <w:autoSpaceDN w:val="0"/>
        <w:adjustRightInd w:val="0"/>
        <w:rPr>
          <w:rFonts w:eastAsia="Calibri"/>
          <w:color w:val="000000"/>
          <w:sz w:val="22"/>
          <w:szCs w:val="22"/>
        </w:rPr>
      </w:pPr>
      <w:r w:rsidRPr="00776407">
        <w:rPr>
          <w:sz w:val="22"/>
          <w:szCs w:val="22"/>
        </w:rPr>
        <w:t>Kontroliuojamųjų klinikinių tyrimų su DFSP sergančiais vaikais neatlikta. 3 literatūros šaltiniuose aprašyti 5 pacientai, kurie sirgo DFSP ir kuriems buvo nustatyta PDGFR genų pakitimų. Šių pacientų amžius svyravo nuo naujagimio iki 14 metų, jiems buvo skiriama 50 mg per parą imatinibo dozė arba nuo 400 mg/m</w:t>
      </w:r>
      <w:r w:rsidRPr="00776407">
        <w:rPr>
          <w:sz w:val="22"/>
          <w:szCs w:val="22"/>
          <w:vertAlign w:val="superscript"/>
        </w:rPr>
        <w:t xml:space="preserve">2 </w:t>
      </w:r>
      <w:r w:rsidRPr="00776407">
        <w:rPr>
          <w:sz w:val="22"/>
          <w:szCs w:val="22"/>
        </w:rPr>
        <w:t>iki 520 mg/m</w:t>
      </w:r>
      <w:r w:rsidRPr="00776407">
        <w:rPr>
          <w:sz w:val="22"/>
          <w:szCs w:val="22"/>
          <w:vertAlign w:val="superscript"/>
        </w:rPr>
        <w:t>2</w:t>
      </w:r>
      <w:r w:rsidRPr="00776407">
        <w:rPr>
          <w:sz w:val="14"/>
          <w:szCs w:val="14"/>
        </w:rPr>
        <w:t xml:space="preserve"> </w:t>
      </w:r>
      <w:r w:rsidRPr="00776407">
        <w:rPr>
          <w:sz w:val="22"/>
          <w:szCs w:val="22"/>
        </w:rPr>
        <w:t>kūno paviršiaus ploto per parą dozė. Visiems pacientams pasiektas dalinis ir (arba) visiškas atsakas.</w:t>
      </w:r>
    </w:p>
    <w:p w14:paraId="3E98F707" w14:textId="77777777" w:rsidR="00BB5F74" w:rsidRPr="00776407" w:rsidRDefault="00BB5F74" w:rsidP="00E93356">
      <w:pPr>
        <w:autoSpaceDE w:val="0"/>
        <w:autoSpaceDN w:val="0"/>
        <w:adjustRightInd w:val="0"/>
        <w:rPr>
          <w:rFonts w:eastAsia="Calibri"/>
          <w:color w:val="000000"/>
          <w:sz w:val="22"/>
          <w:szCs w:val="22"/>
        </w:rPr>
      </w:pPr>
    </w:p>
    <w:p w14:paraId="0D498AD5" w14:textId="77777777" w:rsidR="00430A5A" w:rsidRPr="00776407" w:rsidRDefault="00430A5A" w:rsidP="00864BE6">
      <w:pPr>
        <w:pStyle w:val="Listenabsatz"/>
        <w:keepNext/>
        <w:numPr>
          <w:ilvl w:val="1"/>
          <w:numId w:val="2"/>
        </w:numPr>
        <w:autoSpaceDE w:val="0"/>
        <w:autoSpaceDN w:val="0"/>
        <w:adjustRightInd w:val="0"/>
        <w:ind w:left="709" w:hanging="709"/>
        <w:rPr>
          <w:rFonts w:eastAsia="Calibri"/>
          <w:b/>
          <w:bCs/>
          <w:color w:val="000000"/>
          <w:sz w:val="22"/>
          <w:szCs w:val="22"/>
        </w:rPr>
      </w:pPr>
      <w:r w:rsidRPr="00776407">
        <w:rPr>
          <w:rFonts w:eastAsia="Calibri"/>
          <w:b/>
          <w:bCs/>
          <w:color w:val="000000"/>
          <w:sz w:val="22"/>
          <w:szCs w:val="22"/>
        </w:rPr>
        <w:t xml:space="preserve">Farmakokinetinės savybės </w:t>
      </w:r>
    </w:p>
    <w:p w14:paraId="595FC533" w14:textId="77777777" w:rsidR="00430A5A" w:rsidRPr="00776407" w:rsidRDefault="00430A5A" w:rsidP="00430A5A">
      <w:pPr>
        <w:keepNext/>
        <w:autoSpaceDE w:val="0"/>
        <w:autoSpaceDN w:val="0"/>
        <w:adjustRightInd w:val="0"/>
        <w:ind w:left="360"/>
        <w:rPr>
          <w:rFonts w:eastAsia="Calibri"/>
          <w:color w:val="000000"/>
          <w:sz w:val="22"/>
          <w:szCs w:val="22"/>
        </w:rPr>
      </w:pPr>
    </w:p>
    <w:p w14:paraId="4A1D1BBB" w14:textId="77777777" w:rsidR="00430A5A" w:rsidRPr="00776407" w:rsidRDefault="00430A5A" w:rsidP="00430A5A">
      <w:pPr>
        <w:keepNext/>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Imatinibo farmakokinetika </w:t>
      </w:r>
    </w:p>
    <w:p w14:paraId="59BDA57B"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Imatinibo farmakokinetika tirta vartojant nuo 25 mg iki 1 000 mg dozes. Plazmos farmakokinetikos pobūdis buvo tiriamas 1-ąją dieną ir 7-ąją arba 28-ąją dieną, kai koncentracija plazmoje pasidaro pastovi. </w:t>
      </w:r>
    </w:p>
    <w:p w14:paraId="5B8243A3" w14:textId="77777777" w:rsidR="00430A5A" w:rsidRPr="00776407" w:rsidRDefault="00430A5A" w:rsidP="00430A5A">
      <w:pPr>
        <w:autoSpaceDE w:val="0"/>
        <w:autoSpaceDN w:val="0"/>
        <w:adjustRightInd w:val="0"/>
        <w:rPr>
          <w:rFonts w:eastAsia="Calibri"/>
          <w:color w:val="000000"/>
          <w:sz w:val="22"/>
          <w:szCs w:val="22"/>
        </w:rPr>
      </w:pPr>
    </w:p>
    <w:p w14:paraId="2F69A9E5" w14:textId="77777777" w:rsidR="00430A5A" w:rsidRPr="00776407" w:rsidRDefault="00430A5A" w:rsidP="00430A5A">
      <w:pPr>
        <w:keepNext/>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Absorbcija </w:t>
      </w:r>
    </w:p>
    <w:p w14:paraId="03A77C54"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Vidutinis absoliutus </w:t>
      </w:r>
      <w:r w:rsidR="00E523F2" w:rsidRPr="00776407">
        <w:rPr>
          <w:rFonts w:eastAsia="Calibri"/>
          <w:color w:val="000000"/>
          <w:sz w:val="22"/>
          <w:szCs w:val="22"/>
        </w:rPr>
        <w:t xml:space="preserve">imatinibo </w:t>
      </w:r>
      <w:r w:rsidRPr="00776407">
        <w:rPr>
          <w:rFonts w:eastAsia="Calibri"/>
          <w:color w:val="000000"/>
          <w:sz w:val="22"/>
          <w:szCs w:val="22"/>
        </w:rPr>
        <w:t>biologinis prieinamumas yra 98 %. Nustatyta didelis skirtingų pacientų plazmos imatinibo AUC reikšmės svyravimas po išgertos dozės. Vartojamo su riebiu maistu imatinibo absorbcijos greitis labai nedaug sumažėja (C</w:t>
      </w:r>
      <w:r w:rsidRPr="00776407">
        <w:rPr>
          <w:rFonts w:eastAsia="Calibri"/>
          <w:color w:val="000000"/>
          <w:sz w:val="14"/>
          <w:szCs w:val="14"/>
        </w:rPr>
        <w:t xml:space="preserve">max </w:t>
      </w:r>
      <w:r w:rsidRPr="00776407">
        <w:rPr>
          <w:rFonts w:eastAsia="Calibri"/>
          <w:color w:val="000000"/>
          <w:sz w:val="22"/>
          <w:szCs w:val="22"/>
        </w:rPr>
        <w:t>sumažėja 11 % ir t</w:t>
      </w:r>
      <w:r w:rsidRPr="00776407">
        <w:rPr>
          <w:rFonts w:eastAsia="Calibri"/>
          <w:color w:val="000000"/>
          <w:sz w:val="14"/>
          <w:szCs w:val="14"/>
        </w:rPr>
        <w:t xml:space="preserve">max </w:t>
      </w:r>
      <w:r w:rsidRPr="00776407">
        <w:rPr>
          <w:rFonts w:eastAsia="Calibri"/>
          <w:color w:val="000000"/>
          <w:sz w:val="22"/>
          <w:szCs w:val="22"/>
        </w:rPr>
        <w:t xml:space="preserve">pailgėja 1,5 val.), taip pat šiek tiek sumažėja AUC (7,4 %) lyginant su </w:t>
      </w:r>
      <w:r w:rsidR="008909BB" w:rsidRPr="00776407">
        <w:rPr>
          <w:color w:val="000000"/>
          <w:sz w:val="22"/>
          <w:szCs w:val="22"/>
        </w:rPr>
        <w:t xml:space="preserve">vaistinio preparato </w:t>
      </w:r>
      <w:r w:rsidRPr="00776407">
        <w:rPr>
          <w:rFonts w:eastAsia="Calibri"/>
          <w:color w:val="000000"/>
          <w:sz w:val="22"/>
          <w:szCs w:val="22"/>
        </w:rPr>
        <w:t xml:space="preserve">vartojimu nevalgius. Anksčiau atliktos virškinimo trakto operacijos įtaka </w:t>
      </w:r>
      <w:r w:rsidR="008909BB" w:rsidRPr="00776407">
        <w:rPr>
          <w:color w:val="000000"/>
          <w:sz w:val="22"/>
          <w:szCs w:val="22"/>
        </w:rPr>
        <w:t xml:space="preserve">vaistinio preparato </w:t>
      </w:r>
      <w:r w:rsidRPr="00776407">
        <w:rPr>
          <w:rFonts w:eastAsia="Calibri"/>
          <w:color w:val="000000"/>
          <w:sz w:val="22"/>
          <w:szCs w:val="22"/>
        </w:rPr>
        <w:t xml:space="preserve">absorbcijai netirta. </w:t>
      </w:r>
    </w:p>
    <w:p w14:paraId="4B595697" w14:textId="77777777" w:rsidR="00430A5A" w:rsidRPr="00776407" w:rsidRDefault="00430A5A" w:rsidP="00430A5A">
      <w:pPr>
        <w:autoSpaceDE w:val="0"/>
        <w:autoSpaceDN w:val="0"/>
        <w:adjustRightInd w:val="0"/>
        <w:rPr>
          <w:rFonts w:eastAsia="Calibri"/>
          <w:color w:val="000000"/>
          <w:sz w:val="22"/>
          <w:szCs w:val="22"/>
        </w:rPr>
      </w:pPr>
    </w:p>
    <w:p w14:paraId="3D5BC1E9" w14:textId="77777777" w:rsidR="00430A5A" w:rsidRPr="00776407" w:rsidRDefault="00430A5A" w:rsidP="00430A5A">
      <w:pPr>
        <w:keepNext/>
        <w:autoSpaceDE w:val="0"/>
        <w:autoSpaceDN w:val="0"/>
        <w:adjustRightInd w:val="0"/>
        <w:rPr>
          <w:rFonts w:eastAsia="Calibri"/>
          <w:color w:val="000000"/>
          <w:sz w:val="22"/>
          <w:szCs w:val="22"/>
          <w:u w:val="single"/>
        </w:rPr>
      </w:pPr>
      <w:r w:rsidRPr="00776407">
        <w:rPr>
          <w:rFonts w:eastAsia="Calibri"/>
          <w:color w:val="000000"/>
          <w:sz w:val="22"/>
          <w:szCs w:val="22"/>
          <w:u w:val="single"/>
        </w:rPr>
        <w:t>Pasiskirstymas</w:t>
      </w:r>
    </w:p>
    <w:p w14:paraId="042AE66F"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Kai susidaro kliniškai reikšminga imatinibo koncentracija, apie 95 % </w:t>
      </w:r>
      <w:r w:rsidR="008909BB" w:rsidRPr="00776407">
        <w:rPr>
          <w:color w:val="000000"/>
          <w:sz w:val="22"/>
          <w:szCs w:val="22"/>
        </w:rPr>
        <w:t xml:space="preserve">vaistinio preparato </w:t>
      </w:r>
      <w:r w:rsidRPr="00776407">
        <w:rPr>
          <w:rFonts w:eastAsia="Calibri"/>
          <w:color w:val="000000"/>
          <w:sz w:val="22"/>
          <w:szCs w:val="22"/>
        </w:rPr>
        <w:t xml:space="preserve">jungiasi su plazmos baltymais (pagal eksperimentus </w:t>
      </w:r>
      <w:r w:rsidRPr="00776407">
        <w:rPr>
          <w:rFonts w:eastAsia="Calibri"/>
          <w:i/>
          <w:iCs/>
          <w:color w:val="000000"/>
          <w:sz w:val="22"/>
          <w:szCs w:val="22"/>
        </w:rPr>
        <w:t>in vitro</w:t>
      </w:r>
      <w:r w:rsidRPr="00776407">
        <w:rPr>
          <w:rFonts w:eastAsia="Calibri"/>
          <w:color w:val="000000"/>
          <w:sz w:val="22"/>
          <w:szCs w:val="22"/>
        </w:rPr>
        <w:t xml:space="preserve">), daugiausia su albuminu ir alfa rūgščiuoju glikoproteinu ir labai mažai su lipoproteinu. </w:t>
      </w:r>
    </w:p>
    <w:p w14:paraId="7CD6DB2E" w14:textId="77777777" w:rsidR="00430A5A" w:rsidRPr="00776407" w:rsidRDefault="00430A5A" w:rsidP="00430A5A">
      <w:pPr>
        <w:autoSpaceDE w:val="0"/>
        <w:autoSpaceDN w:val="0"/>
        <w:adjustRightInd w:val="0"/>
        <w:rPr>
          <w:rFonts w:eastAsia="Calibri"/>
          <w:color w:val="000000"/>
          <w:sz w:val="22"/>
          <w:szCs w:val="22"/>
        </w:rPr>
      </w:pPr>
    </w:p>
    <w:p w14:paraId="59A37004" w14:textId="77777777" w:rsidR="00430A5A" w:rsidRPr="00776407" w:rsidRDefault="00430A5A" w:rsidP="00430A5A">
      <w:pPr>
        <w:keepNext/>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Biotransformacija </w:t>
      </w:r>
    </w:p>
    <w:p w14:paraId="6E0D307A"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Pagrindinis cirkuliuojantis metabolitas žmogaus organizme yra N</w:t>
      </w:r>
      <w:r w:rsidRPr="00776407">
        <w:rPr>
          <w:rFonts w:eastAsia="Calibri"/>
          <w:color w:val="000000"/>
          <w:sz w:val="22"/>
          <w:szCs w:val="22"/>
        </w:rPr>
        <w:noBreakHyphen/>
        <w:t xml:space="preserve">demetilintas piperazino derivatas, kuris </w:t>
      </w:r>
      <w:r w:rsidRPr="00776407">
        <w:rPr>
          <w:rFonts w:eastAsia="Calibri"/>
          <w:i/>
          <w:iCs/>
          <w:color w:val="000000"/>
          <w:sz w:val="22"/>
          <w:szCs w:val="22"/>
        </w:rPr>
        <w:t xml:space="preserve">in vitro </w:t>
      </w:r>
      <w:r w:rsidRPr="00776407">
        <w:rPr>
          <w:rFonts w:eastAsia="Calibri"/>
          <w:color w:val="000000"/>
          <w:sz w:val="22"/>
          <w:szCs w:val="22"/>
        </w:rPr>
        <w:t>veikia taip pat stipriai kaip ir jo pirmtakas. Šio metabolito plazmos AUC sudaro tik 16 % imatinibo AUC. N</w:t>
      </w:r>
      <w:r w:rsidRPr="00776407">
        <w:rPr>
          <w:rFonts w:eastAsia="Calibri"/>
          <w:color w:val="000000"/>
          <w:sz w:val="22"/>
          <w:szCs w:val="22"/>
        </w:rPr>
        <w:noBreakHyphen/>
        <w:t xml:space="preserve">demetilintas metabolitas jungiasi su plazmos baltymais panašiai kaip pagrindinis junginys. </w:t>
      </w:r>
    </w:p>
    <w:p w14:paraId="0B09AF29"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Imatinibas ir N</w:t>
      </w:r>
      <w:r w:rsidRPr="00776407">
        <w:rPr>
          <w:rFonts w:eastAsia="Calibri"/>
          <w:color w:val="000000"/>
          <w:sz w:val="22"/>
          <w:szCs w:val="22"/>
        </w:rPr>
        <w:noBreakHyphen/>
        <w:t>demetilmetabolitas kartu sudaro 65 % cirkuliuojančio radioaktyvumo (AUC</w:t>
      </w:r>
      <w:r w:rsidRPr="00776407">
        <w:rPr>
          <w:rFonts w:eastAsia="Calibri"/>
          <w:color w:val="000000"/>
          <w:sz w:val="14"/>
          <w:szCs w:val="14"/>
        </w:rPr>
        <w:t>0-48h</w:t>
      </w:r>
      <w:r w:rsidRPr="00776407">
        <w:rPr>
          <w:rFonts w:eastAsia="Calibri"/>
          <w:color w:val="000000"/>
          <w:sz w:val="22"/>
          <w:szCs w:val="22"/>
        </w:rPr>
        <w:t xml:space="preserve">). Kitas cirkuliuojantis radioaktyvumas priklauso nuo kelių mažesnių metabolitų. </w:t>
      </w:r>
    </w:p>
    <w:p w14:paraId="0D916EAC" w14:textId="77777777" w:rsidR="00430A5A" w:rsidRPr="00776407" w:rsidRDefault="00430A5A" w:rsidP="00430A5A">
      <w:pPr>
        <w:autoSpaceDE w:val="0"/>
        <w:autoSpaceDN w:val="0"/>
        <w:adjustRightInd w:val="0"/>
        <w:rPr>
          <w:rFonts w:eastAsia="Calibri"/>
          <w:color w:val="000000"/>
          <w:sz w:val="22"/>
          <w:szCs w:val="22"/>
        </w:rPr>
      </w:pPr>
    </w:p>
    <w:p w14:paraId="1F4F677F"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Tyrimai </w:t>
      </w:r>
      <w:r w:rsidRPr="00776407">
        <w:rPr>
          <w:rFonts w:eastAsia="Calibri"/>
          <w:i/>
          <w:iCs/>
          <w:color w:val="000000"/>
          <w:sz w:val="22"/>
          <w:szCs w:val="22"/>
        </w:rPr>
        <w:t xml:space="preserve">in vitro </w:t>
      </w:r>
      <w:r w:rsidRPr="00776407">
        <w:rPr>
          <w:rFonts w:eastAsia="Calibri"/>
          <w:color w:val="000000"/>
          <w:sz w:val="22"/>
          <w:szCs w:val="22"/>
        </w:rPr>
        <w:t xml:space="preserve">parodė, kad CYP3A4 yra pagrindinis žmogaus P450 fermentas, katalizuojantis imatinibo biotransformaciją. Iš daugelio kartu vartotų </w:t>
      </w:r>
      <w:r w:rsidR="008909BB" w:rsidRPr="00776407">
        <w:rPr>
          <w:color w:val="000000"/>
          <w:sz w:val="22"/>
          <w:szCs w:val="22"/>
        </w:rPr>
        <w:t xml:space="preserve">vaistinių preparatų </w:t>
      </w:r>
      <w:r w:rsidRPr="00776407">
        <w:rPr>
          <w:rFonts w:eastAsia="Calibri"/>
          <w:color w:val="000000"/>
          <w:sz w:val="22"/>
          <w:szCs w:val="22"/>
        </w:rPr>
        <w:t>(acetaminofeno, acikloviro, alopurinolio, amfotericino, citarabino, eritromicino, flukonazolio, hidroksišlapalo, norfloksacino, penicilino V) tik eritromicino (IC</w:t>
      </w:r>
      <w:r w:rsidRPr="00776407">
        <w:rPr>
          <w:rFonts w:eastAsia="Calibri"/>
          <w:color w:val="000000"/>
          <w:sz w:val="14"/>
          <w:szCs w:val="14"/>
        </w:rPr>
        <w:t>50 </w:t>
      </w:r>
      <w:r w:rsidRPr="00776407">
        <w:rPr>
          <w:rFonts w:eastAsia="Calibri"/>
          <w:color w:val="000000"/>
          <w:sz w:val="22"/>
          <w:szCs w:val="22"/>
        </w:rPr>
        <w:t>50 μM) ir flukonazolio (IC</w:t>
      </w:r>
      <w:r w:rsidRPr="00776407">
        <w:rPr>
          <w:rFonts w:eastAsia="Calibri"/>
          <w:color w:val="000000"/>
          <w:sz w:val="14"/>
          <w:szCs w:val="14"/>
        </w:rPr>
        <w:t>50 </w:t>
      </w:r>
      <w:r w:rsidRPr="00776407">
        <w:rPr>
          <w:rFonts w:eastAsia="Calibri"/>
          <w:color w:val="000000"/>
          <w:sz w:val="22"/>
          <w:szCs w:val="22"/>
        </w:rPr>
        <w:t xml:space="preserve">118 μM) slopinamas imatinibo metabolizmas gali būti kliniškai reikšmingas. </w:t>
      </w:r>
    </w:p>
    <w:p w14:paraId="444230A7" w14:textId="77777777" w:rsidR="00430A5A" w:rsidRPr="00776407" w:rsidRDefault="00430A5A" w:rsidP="00430A5A">
      <w:pPr>
        <w:autoSpaceDE w:val="0"/>
        <w:autoSpaceDN w:val="0"/>
        <w:adjustRightInd w:val="0"/>
        <w:rPr>
          <w:rFonts w:eastAsia="Calibri"/>
          <w:color w:val="000000"/>
          <w:sz w:val="22"/>
          <w:szCs w:val="22"/>
        </w:rPr>
      </w:pPr>
    </w:p>
    <w:p w14:paraId="3A515561"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i/>
          <w:iCs/>
          <w:color w:val="000000"/>
          <w:sz w:val="22"/>
          <w:szCs w:val="22"/>
        </w:rPr>
        <w:t xml:space="preserve">In vitro </w:t>
      </w:r>
      <w:r w:rsidRPr="00776407">
        <w:rPr>
          <w:rFonts w:eastAsia="Calibri"/>
          <w:color w:val="000000"/>
          <w:sz w:val="22"/>
          <w:szCs w:val="22"/>
        </w:rPr>
        <w:t>nustatyta, kad imatinibas yra konkurencinis CYP2C9, CYP2D6 ir CYP3A4/5 substratų inhibitorius. Žmogaus kepenų mikrosomų K</w:t>
      </w:r>
      <w:r w:rsidRPr="00776407">
        <w:rPr>
          <w:rFonts w:eastAsia="Calibri"/>
          <w:color w:val="000000"/>
          <w:sz w:val="14"/>
          <w:szCs w:val="14"/>
        </w:rPr>
        <w:t xml:space="preserve">i </w:t>
      </w:r>
      <w:r w:rsidRPr="00776407">
        <w:rPr>
          <w:rFonts w:eastAsia="Calibri"/>
          <w:color w:val="000000"/>
          <w:sz w:val="22"/>
          <w:szCs w:val="22"/>
        </w:rPr>
        <w:t>rodmuo buvo atitinkamai 27, 7,5 ir 7,9 </w:t>
      </w:r>
      <w:r w:rsidR="00F24F4D" w:rsidRPr="00776407">
        <w:t>mc</w:t>
      </w:r>
      <w:r w:rsidRPr="00776407">
        <w:rPr>
          <w:rFonts w:eastAsia="Calibri"/>
          <w:color w:val="000000"/>
          <w:sz w:val="22"/>
          <w:szCs w:val="22"/>
        </w:rPr>
        <w:t>mol/l. Didžiausia pacientų imatinibo koncentracija plazmoje yra 2–4 </w:t>
      </w:r>
      <w:r w:rsidR="00F24F4D" w:rsidRPr="00776407">
        <w:t>mc</w:t>
      </w:r>
      <w:r w:rsidR="00F24F4D" w:rsidRPr="00776407">
        <w:rPr>
          <w:rFonts w:eastAsia="Calibri"/>
          <w:color w:val="000000"/>
          <w:sz w:val="22"/>
          <w:szCs w:val="22"/>
        </w:rPr>
        <w:t>mol</w:t>
      </w:r>
      <w:r w:rsidRPr="00776407">
        <w:rPr>
          <w:rFonts w:eastAsia="Calibri"/>
          <w:color w:val="000000"/>
          <w:sz w:val="22"/>
          <w:szCs w:val="22"/>
        </w:rPr>
        <w:t xml:space="preserve">/l, taigi galimas CYP2D6 ir (ar) CYP3A4/5 medijuojamo kartu vartojamų </w:t>
      </w:r>
      <w:r w:rsidR="008909BB" w:rsidRPr="00776407">
        <w:rPr>
          <w:color w:val="000000"/>
          <w:sz w:val="22"/>
          <w:szCs w:val="22"/>
        </w:rPr>
        <w:t xml:space="preserve">vaistinių preparatų </w:t>
      </w:r>
      <w:r w:rsidRPr="00776407">
        <w:rPr>
          <w:rFonts w:eastAsia="Calibri"/>
          <w:color w:val="000000"/>
          <w:sz w:val="22"/>
          <w:szCs w:val="22"/>
        </w:rPr>
        <w:t>metabolizmo slopinimas. Imatinibas neturi įtakos 5-fluoruracilio biotransformacijai, tačiau slopina paklitakselio metabolizmą dėl konkurencinio CYP2C8 slopinimo (K</w:t>
      </w:r>
      <w:r w:rsidRPr="00776407">
        <w:rPr>
          <w:rFonts w:eastAsia="Calibri"/>
          <w:color w:val="000000"/>
          <w:sz w:val="14"/>
          <w:szCs w:val="14"/>
        </w:rPr>
        <w:t>i </w:t>
      </w:r>
      <w:r w:rsidRPr="00776407">
        <w:rPr>
          <w:rFonts w:eastAsia="Calibri"/>
          <w:color w:val="000000"/>
          <w:sz w:val="22"/>
          <w:szCs w:val="22"/>
        </w:rPr>
        <w:t>= 34,7 </w:t>
      </w:r>
      <w:r w:rsidRPr="00776407">
        <w:t>μ</w:t>
      </w:r>
      <w:r w:rsidRPr="00776407">
        <w:rPr>
          <w:rFonts w:eastAsia="Calibri"/>
          <w:color w:val="000000"/>
          <w:sz w:val="22"/>
          <w:szCs w:val="22"/>
        </w:rPr>
        <w:t>M). Šis K</w:t>
      </w:r>
      <w:r w:rsidRPr="00776407">
        <w:rPr>
          <w:rFonts w:eastAsia="Calibri"/>
          <w:color w:val="000000"/>
          <w:sz w:val="22"/>
          <w:szCs w:val="22"/>
          <w:vertAlign w:val="subscript"/>
        </w:rPr>
        <w:t>i</w:t>
      </w:r>
      <w:r w:rsidRPr="00776407">
        <w:rPr>
          <w:rFonts w:eastAsia="Calibri"/>
          <w:color w:val="000000"/>
          <w:sz w:val="14"/>
          <w:szCs w:val="14"/>
        </w:rPr>
        <w:t xml:space="preserve"> </w:t>
      </w:r>
      <w:r w:rsidRPr="00776407">
        <w:rPr>
          <w:rFonts w:eastAsia="Calibri"/>
          <w:color w:val="000000"/>
          <w:sz w:val="22"/>
          <w:szCs w:val="22"/>
        </w:rPr>
        <w:t xml:space="preserve">rodmuo yra daug didesnis negu tikėtina imatinibo koncentracija pacientų plazmoje, todėl, imatinibą vartojant kartu su 5-fluoruraciliu ar paklitakseliu, sąveikos neturėtų būti. </w:t>
      </w:r>
    </w:p>
    <w:p w14:paraId="5D45347E" w14:textId="77777777" w:rsidR="00430A5A" w:rsidRPr="00776407" w:rsidRDefault="00430A5A" w:rsidP="00430A5A">
      <w:pPr>
        <w:autoSpaceDE w:val="0"/>
        <w:autoSpaceDN w:val="0"/>
        <w:adjustRightInd w:val="0"/>
        <w:rPr>
          <w:rFonts w:eastAsia="Calibri"/>
          <w:color w:val="000000"/>
          <w:sz w:val="22"/>
          <w:szCs w:val="22"/>
        </w:rPr>
      </w:pPr>
    </w:p>
    <w:p w14:paraId="42FB9FD6" w14:textId="77777777" w:rsidR="00430A5A" w:rsidRPr="00776407" w:rsidRDefault="00430A5A" w:rsidP="00430A5A">
      <w:pPr>
        <w:keepNext/>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Eliminacija </w:t>
      </w:r>
    </w:p>
    <w:p w14:paraId="4A2FBB52"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Pagal junginio išsiskyrimą po išgertos </w:t>
      </w:r>
      <w:r w:rsidRPr="00776407">
        <w:rPr>
          <w:rFonts w:eastAsia="Calibri"/>
          <w:color w:val="000000"/>
          <w:sz w:val="22"/>
          <w:szCs w:val="22"/>
          <w:vertAlign w:val="superscript"/>
        </w:rPr>
        <w:t>14</w:t>
      </w:r>
      <w:r w:rsidRPr="00776407">
        <w:rPr>
          <w:rFonts w:eastAsia="Calibri"/>
          <w:color w:val="000000"/>
          <w:sz w:val="22"/>
          <w:szCs w:val="22"/>
        </w:rPr>
        <w:t>C-žymėtojo imatinibo dozės, maždaug 81 % dozės per 7 dienas išsiskiria su išmatomis (68</w:t>
      </w:r>
      <w:r w:rsidR="00E523F2" w:rsidRPr="00776407">
        <w:rPr>
          <w:rFonts w:eastAsia="Calibri"/>
          <w:color w:val="000000"/>
          <w:sz w:val="22"/>
          <w:szCs w:val="22"/>
        </w:rPr>
        <w:t> </w:t>
      </w:r>
      <w:r w:rsidRPr="00776407">
        <w:rPr>
          <w:rFonts w:eastAsia="Calibri"/>
          <w:color w:val="000000"/>
          <w:sz w:val="22"/>
          <w:szCs w:val="22"/>
        </w:rPr>
        <w:t>%</w:t>
      </w:r>
      <w:r w:rsidR="00E523F2" w:rsidRPr="00776407">
        <w:rPr>
          <w:rFonts w:eastAsia="Calibri"/>
          <w:color w:val="000000"/>
          <w:sz w:val="22"/>
          <w:szCs w:val="22"/>
        </w:rPr>
        <w:t xml:space="preserve"> </w:t>
      </w:r>
      <w:r w:rsidRPr="00776407">
        <w:rPr>
          <w:rFonts w:eastAsia="Calibri"/>
          <w:color w:val="000000"/>
          <w:sz w:val="22"/>
          <w:szCs w:val="22"/>
        </w:rPr>
        <w:t xml:space="preserve">dozės) ir šlapimu (13 % dozės). Nepakitęs imatinibas sudaro 25 % dozės (5 % šlapime, 20 % išmatose), kita dalis yra metabolitų pavidalu. </w:t>
      </w:r>
    </w:p>
    <w:p w14:paraId="243205D1" w14:textId="77777777" w:rsidR="00430A5A" w:rsidRPr="00776407" w:rsidRDefault="00430A5A" w:rsidP="00430A5A">
      <w:pPr>
        <w:autoSpaceDE w:val="0"/>
        <w:autoSpaceDN w:val="0"/>
        <w:adjustRightInd w:val="0"/>
        <w:rPr>
          <w:rFonts w:eastAsia="Calibri"/>
          <w:color w:val="000000"/>
          <w:sz w:val="22"/>
          <w:szCs w:val="22"/>
        </w:rPr>
      </w:pPr>
    </w:p>
    <w:p w14:paraId="2E15F247" w14:textId="77777777" w:rsidR="00430A5A" w:rsidRPr="00776407" w:rsidRDefault="00430A5A" w:rsidP="00430A5A">
      <w:pPr>
        <w:keepNext/>
        <w:autoSpaceDE w:val="0"/>
        <w:autoSpaceDN w:val="0"/>
        <w:adjustRightInd w:val="0"/>
        <w:rPr>
          <w:rFonts w:eastAsia="Calibri"/>
          <w:color w:val="000000"/>
          <w:sz w:val="22"/>
          <w:szCs w:val="22"/>
          <w:u w:val="single"/>
        </w:rPr>
      </w:pPr>
      <w:r w:rsidRPr="00776407">
        <w:rPr>
          <w:rFonts w:eastAsia="Calibri"/>
          <w:color w:val="000000"/>
          <w:sz w:val="22"/>
          <w:szCs w:val="22"/>
          <w:u w:val="single"/>
        </w:rPr>
        <w:t xml:space="preserve">Plazmos farmakokinetika </w:t>
      </w:r>
    </w:p>
    <w:p w14:paraId="1AFC4EFC"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Sveikų savanorių išgerto </w:t>
      </w:r>
      <w:r w:rsidR="008909BB" w:rsidRPr="00776407">
        <w:rPr>
          <w:color w:val="000000"/>
          <w:sz w:val="22"/>
          <w:szCs w:val="22"/>
        </w:rPr>
        <w:t xml:space="preserve">vaistinio preparato </w:t>
      </w:r>
      <w:r w:rsidRPr="00776407">
        <w:rPr>
          <w:rFonts w:eastAsia="Calibri"/>
          <w:color w:val="000000"/>
          <w:sz w:val="22"/>
          <w:szCs w:val="22"/>
        </w:rPr>
        <w:t>t</w:t>
      </w:r>
      <w:r w:rsidRPr="00776407">
        <w:rPr>
          <w:rFonts w:eastAsia="Calibri"/>
          <w:color w:val="000000"/>
          <w:sz w:val="14"/>
          <w:szCs w:val="14"/>
        </w:rPr>
        <w:t xml:space="preserve">½ </w:t>
      </w:r>
      <w:r w:rsidRPr="00776407">
        <w:rPr>
          <w:rFonts w:eastAsia="Calibri"/>
          <w:color w:val="000000"/>
          <w:sz w:val="22"/>
          <w:szCs w:val="22"/>
        </w:rPr>
        <w:t>buvo maždaug 18</w:t>
      </w:r>
      <w:r w:rsidR="00E523F2" w:rsidRPr="00776407">
        <w:rPr>
          <w:rFonts w:eastAsia="Calibri"/>
          <w:color w:val="000000"/>
          <w:sz w:val="22"/>
          <w:szCs w:val="22"/>
        </w:rPr>
        <w:t> </w:t>
      </w:r>
      <w:r w:rsidRPr="00776407">
        <w:rPr>
          <w:rFonts w:eastAsia="Calibri"/>
          <w:color w:val="000000"/>
          <w:sz w:val="22"/>
          <w:szCs w:val="22"/>
        </w:rPr>
        <w:t xml:space="preserve">val., tai rodo, kad </w:t>
      </w:r>
      <w:r w:rsidR="008909BB" w:rsidRPr="00776407">
        <w:rPr>
          <w:color w:val="000000"/>
          <w:sz w:val="22"/>
          <w:szCs w:val="22"/>
        </w:rPr>
        <w:t xml:space="preserve">vaistinį preparatą </w:t>
      </w:r>
      <w:r w:rsidRPr="00776407">
        <w:rPr>
          <w:rFonts w:eastAsia="Calibri"/>
          <w:color w:val="000000"/>
          <w:sz w:val="22"/>
          <w:szCs w:val="22"/>
        </w:rPr>
        <w:t xml:space="preserve">galima vartoti vieną kartą per parą. Geriant 25–1 000 mg imatinibo, vidutinio AUC didėjimas, didėjant dozei, buvo linijinis ir proporcingas dozei. Kartotinai vartojamo imatinibo kinetika nepakito, o akumuliacija buvo 1,5–2,5 karto didesnė, kai, </w:t>
      </w:r>
      <w:r w:rsidR="008909BB" w:rsidRPr="00776407">
        <w:rPr>
          <w:color w:val="000000"/>
          <w:sz w:val="22"/>
          <w:szCs w:val="22"/>
        </w:rPr>
        <w:t xml:space="preserve">vaistinį preparatą </w:t>
      </w:r>
      <w:r w:rsidRPr="00776407">
        <w:rPr>
          <w:rFonts w:eastAsia="Calibri"/>
          <w:color w:val="000000"/>
          <w:sz w:val="22"/>
          <w:szCs w:val="22"/>
        </w:rPr>
        <w:t>vartojant vieną kartą per parą, buvo pasiekta pastovi koncentracija.</w:t>
      </w:r>
    </w:p>
    <w:p w14:paraId="5C6ECE12" w14:textId="77777777" w:rsidR="00430A5A" w:rsidRPr="00776407" w:rsidRDefault="00430A5A" w:rsidP="00430A5A">
      <w:pPr>
        <w:pStyle w:val="KeinLeerraum"/>
        <w:rPr>
          <w:rFonts w:eastAsia="Calibri"/>
        </w:rPr>
      </w:pPr>
    </w:p>
    <w:p w14:paraId="21E46F0B" w14:textId="77777777" w:rsidR="00430A5A" w:rsidRPr="00776407" w:rsidRDefault="00430A5A" w:rsidP="00430A5A">
      <w:pPr>
        <w:autoSpaceDE w:val="0"/>
        <w:autoSpaceDN w:val="0"/>
        <w:adjustRightInd w:val="0"/>
        <w:rPr>
          <w:rFonts w:eastAsia="Calibri"/>
          <w:sz w:val="22"/>
          <w:szCs w:val="22"/>
          <w:u w:val="single"/>
        </w:rPr>
      </w:pPr>
      <w:r w:rsidRPr="00776407">
        <w:rPr>
          <w:rFonts w:eastAsia="Calibri"/>
          <w:sz w:val="22"/>
          <w:szCs w:val="22"/>
          <w:u w:val="single"/>
        </w:rPr>
        <w:t xml:space="preserve">Populiacijos farmakokinetika </w:t>
      </w:r>
    </w:p>
    <w:p w14:paraId="5384BF0E" w14:textId="77777777" w:rsidR="00430A5A" w:rsidRPr="00776407" w:rsidRDefault="00430A5A" w:rsidP="00430A5A">
      <w:pPr>
        <w:autoSpaceDE w:val="0"/>
        <w:autoSpaceDN w:val="0"/>
        <w:adjustRightInd w:val="0"/>
        <w:rPr>
          <w:rFonts w:eastAsia="Calibri"/>
          <w:sz w:val="22"/>
          <w:szCs w:val="22"/>
        </w:rPr>
      </w:pPr>
      <w:r w:rsidRPr="00776407">
        <w:rPr>
          <w:rFonts w:eastAsia="Calibri"/>
          <w:sz w:val="22"/>
          <w:szCs w:val="22"/>
        </w:rPr>
        <w:t xml:space="preserve">LML pacientų populiacijos farmakokinetikos analizė rodo, kad amžius turi mažą įtaką pasiskirstymo tūriui (12 % padidėja vyresniems kaip 65 metų asmenims). Manoma, kad šis pokytis yra kliniškai nereikšmingas. Nustatyta kūno svorio įtaka imatinibo klirensui: pacientų, sveriančių 50 kg, vidutinis klirensas gali būti 8,5 l/h, o, sveriančių 100 kg – padidėja iki 11,8 l/h. Tačiau dėl šių pokyčių dozės pagal kūno svorį koreguoti nereikia. Imatinibo kinetikai lytis reikšmės neturi. </w:t>
      </w:r>
    </w:p>
    <w:p w14:paraId="26A24F8F" w14:textId="77777777" w:rsidR="00430A5A" w:rsidRPr="00776407" w:rsidRDefault="00430A5A" w:rsidP="00430A5A">
      <w:pPr>
        <w:autoSpaceDE w:val="0"/>
        <w:autoSpaceDN w:val="0"/>
        <w:adjustRightInd w:val="0"/>
        <w:rPr>
          <w:rFonts w:eastAsia="Calibri"/>
          <w:sz w:val="22"/>
          <w:szCs w:val="22"/>
        </w:rPr>
      </w:pPr>
    </w:p>
    <w:p w14:paraId="3BD2E1C3" w14:textId="77777777" w:rsidR="00D23EE1" w:rsidRPr="00776407" w:rsidRDefault="00D23EE1" w:rsidP="00D23EE1">
      <w:pPr>
        <w:autoSpaceDE w:val="0"/>
        <w:autoSpaceDN w:val="0"/>
        <w:adjustRightInd w:val="0"/>
        <w:rPr>
          <w:rFonts w:eastAsia="Calibri"/>
          <w:sz w:val="22"/>
          <w:szCs w:val="22"/>
          <w:u w:val="single"/>
        </w:rPr>
      </w:pPr>
      <w:r w:rsidRPr="00776407">
        <w:rPr>
          <w:rFonts w:eastAsia="Calibri"/>
          <w:sz w:val="22"/>
          <w:szCs w:val="22"/>
          <w:u w:val="single"/>
        </w:rPr>
        <w:t>Farmakokinetika vaikų populiacijoje</w:t>
      </w:r>
    </w:p>
    <w:p w14:paraId="242BD440" w14:textId="77777777" w:rsidR="00D23EE1" w:rsidRPr="00776407" w:rsidRDefault="00D23EE1" w:rsidP="00D23EE1">
      <w:pPr>
        <w:autoSpaceDE w:val="0"/>
        <w:autoSpaceDN w:val="0"/>
        <w:adjustRightInd w:val="0"/>
        <w:rPr>
          <w:rFonts w:eastAsia="Calibri"/>
          <w:sz w:val="22"/>
          <w:szCs w:val="22"/>
        </w:rPr>
      </w:pPr>
      <w:r w:rsidRPr="00776407">
        <w:rPr>
          <w:rFonts w:eastAsia="Calibri"/>
          <w:sz w:val="22"/>
          <w:szCs w:val="22"/>
        </w:rPr>
        <w:t>Abiejų I ir II fazės tyrimų metu nustatyta, kad vaikų, kaip ir suaugusiųjų, organizme išgertas imatinibas greitai absorbuojamas. Skiriant vaikams po 260 mg/m</w:t>
      </w:r>
      <w:r w:rsidRPr="00776407">
        <w:rPr>
          <w:rFonts w:eastAsia="Calibri"/>
          <w:sz w:val="22"/>
          <w:szCs w:val="22"/>
          <w:vertAlign w:val="superscript"/>
        </w:rPr>
        <w:t xml:space="preserve">2 </w:t>
      </w:r>
      <w:r w:rsidRPr="00776407">
        <w:rPr>
          <w:rFonts w:eastAsia="Calibri"/>
          <w:sz w:val="22"/>
          <w:szCs w:val="22"/>
        </w:rPr>
        <w:t>ir po 340 mg/m</w:t>
      </w:r>
      <w:r w:rsidRPr="00776407">
        <w:rPr>
          <w:rFonts w:eastAsia="Calibri"/>
          <w:sz w:val="22"/>
          <w:szCs w:val="22"/>
          <w:vertAlign w:val="superscript"/>
        </w:rPr>
        <w:t>2</w:t>
      </w:r>
      <w:r w:rsidRPr="00776407">
        <w:rPr>
          <w:rFonts w:eastAsia="Calibri"/>
          <w:sz w:val="14"/>
          <w:szCs w:val="14"/>
        </w:rPr>
        <w:t xml:space="preserve"> </w:t>
      </w:r>
      <w:r w:rsidRPr="00776407">
        <w:rPr>
          <w:rFonts w:eastAsia="Calibri"/>
          <w:sz w:val="22"/>
          <w:szCs w:val="22"/>
        </w:rPr>
        <w:t>per parą, gauta tokia pat ekspozicija kaip ir suaugusiesiems skiriant atitinkamai po 400 mg ir 600 mg per parą. Lyginant AUC</w:t>
      </w:r>
      <w:r w:rsidRPr="00776407">
        <w:rPr>
          <w:rFonts w:eastAsia="Calibri"/>
          <w:sz w:val="14"/>
          <w:szCs w:val="14"/>
        </w:rPr>
        <w:t xml:space="preserve">(0-24) </w:t>
      </w:r>
      <w:r w:rsidRPr="00776407">
        <w:rPr>
          <w:rFonts w:eastAsia="Calibri"/>
          <w:sz w:val="22"/>
          <w:szCs w:val="22"/>
        </w:rPr>
        <w:t>8-ąją ir 1-ąją dienomis, nustatyta, kad vartojant 340 mg/m</w:t>
      </w:r>
      <w:r w:rsidRPr="00776407">
        <w:rPr>
          <w:rFonts w:eastAsia="Calibri"/>
          <w:sz w:val="22"/>
          <w:szCs w:val="22"/>
          <w:vertAlign w:val="superscript"/>
        </w:rPr>
        <w:t>2</w:t>
      </w:r>
      <w:r w:rsidRPr="00776407">
        <w:rPr>
          <w:rFonts w:eastAsia="Calibri"/>
          <w:sz w:val="14"/>
          <w:szCs w:val="14"/>
        </w:rPr>
        <w:t xml:space="preserve"> </w:t>
      </w:r>
      <w:r w:rsidRPr="00776407">
        <w:rPr>
          <w:rFonts w:eastAsia="Calibri"/>
          <w:sz w:val="22"/>
          <w:szCs w:val="22"/>
        </w:rPr>
        <w:t xml:space="preserve">per parą dozę būna 1,7 karto didesnė </w:t>
      </w:r>
      <w:r w:rsidRPr="00776407">
        <w:rPr>
          <w:color w:val="000000"/>
          <w:sz w:val="22"/>
          <w:szCs w:val="22"/>
        </w:rPr>
        <w:t xml:space="preserve">vaistinio preparato </w:t>
      </w:r>
      <w:r w:rsidRPr="00776407">
        <w:rPr>
          <w:rFonts w:eastAsia="Calibri"/>
          <w:sz w:val="22"/>
          <w:szCs w:val="22"/>
        </w:rPr>
        <w:t xml:space="preserve">akumuliacija po kartotinio vieną kartą per parą dozavimo. </w:t>
      </w:r>
    </w:p>
    <w:p w14:paraId="407A6FFF" w14:textId="77777777" w:rsidR="00D23EE1" w:rsidRPr="00776407" w:rsidRDefault="00D23EE1" w:rsidP="00D23EE1">
      <w:pPr>
        <w:autoSpaceDE w:val="0"/>
        <w:autoSpaceDN w:val="0"/>
        <w:adjustRightInd w:val="0"/>
        <w:rPr>
          <w:rFonts w:eastAsia="Calibri"/>
          <w:sz w:val="22"/>
          <w:szCs w:val="22"/>
        </w:rPr>
      </w:pPr>
    </w:p>
    <w:p w14:paraId="34274DD3" w14:textId="77777777" w:rsidR="00CE5D30" w:rsidRPr="00776407" w:rsidRDefault="00CE5D30" w:rsidP="00CE5D30">
      <w:pPr>
        <w:autoSpaceDE w:val="0"/>
        <w:autoSpaceDN w:val="0"/>
        <w:adjustRightInd w:val="0"/>
        <w:rPr>
          <w:rFonts w:eastAsia="Calibri"/>
          <w:sz w:val="22"/>
          <w:szCs w:val="22"/>
        </w:rPr>
      </w:pPr>
      <w:r w:rsidRPr="00776407">
        <w:rPr>
          <w:rFonts w:eastAsia="Calibri"/>
          <w:sz w:val="22"/>
          <w:szCs w:val="22"/>
        </w:rPr>
        <w:t>Remiantis apibendrinta hematologinėmis ligomis (LML, Ph+ŪLL ar kitomis imatinibu gydomomis hematologinėmis ligomis) sergančių vaikų populiacijos farmakokinetikos duomenų analize, imatinibo klirensas didėja priklausomai nuo didėjančio kūno paviršiaus ploto (KPP). Atsižvelgus į KPP poveikį, kiti demografiniai rodikliai (pvz., amžius, kūno svoris ir kūno masės indeksas) neturi kliniškai reikšmingos įtakos imatinibo ekspozicijai. Duomenų analizė patvirtino, kad imatinibo ekspozicija vaikų populiacijos pacientams, kurie vartojo po 260 mg/m</w:t>
      </w:r>
      <w:r w:rsidRPr="00776407">
        <w:rPr>
          <w:rFonts w:eastAsia="Calibri"/>
          <w:sz w:val="22"/>
          <w:szCs w:val="22"/>
          <w:vertAlign w:val="superscript"/>
        </w:rPr>
        <w:t>2</w:t>
      </w:r>
      <w:r w:rsidRPr="00776407">
        <w:rPr>
          <w:rFonts w:eastAsia="Calibri"/>
          <w:sz w:val="22"/>
          <w:szCs w:val="22"/>
        </w:rPr>
        <w:t xml:space="preserve"> dozę kartą per parą (neviršijant 400 mg kartą per parą) arba po 340 mg/m</w:t>
      </w:r>
      <w:r w:rsidRPr="00776407">
        <w:rPr>
          <w:rFonts w:eastAsia="Calibri"/>
          <w:sz w:val="22"/>
          <w:szCs w:val="22"/>
          <w:vertAlign w:val="superscript"/>
        </w:rPr>
        <w:t>2</w:t>
      </w:r>
      <w:r w:rsidRPr="00776407">
        <w:rPr>
          <w:rFonts w:eastAsia="Calibri"/>
          <w:sz w:val="22"/>
          <w:szCs w:val="22"/>
        </w:rPr>
        <w:t xml:space="preserve"> dozę kartą per parą (neviršijant 600 mg kartą per parą), buvo panaši kaip ekspozicija suaugusiųjų organizmuose, kai suaugusiesiems buvo skiriama po 400 mg arba 600 mg imatinibo dozę kartą per parą.</w:t>
      </w:r>
    </w:p>
    <w:p w14:paraId="62E1565E" w14:textId="77777777" w:rsidR="00430A5A" w:rsidRPr="00776407" w:rsidRDefault="00430A5A" w:rsidP="00430A5A">
      <w:pPr>
        <w:autoSpaceDE w:val="0"/>
        <w:autoSpaceDN w:val="0"/>
        <w:adjustRightInd w:val="0"/>
        <w:rPr>
          <w:rFonts w:eastAsia="Calibri"/>
          <w:sz w:val="22"/>
          <w:szCs w:val="22"/>
        </w:rPr>
      </w:pPr>
    </w:p>
    <w:p w14:paraId="79BB2F42" w14:textId="77777777" w:rsidR="00430A5A" w:rsidRPr="00776407" w:rsidRDefault="00430A5A" w:rsidP="00430A5A">
      <w:pPr>
        <w:autoSpaceDE w:val="0"/>
        <w:autoSpaceDN w:val="0"/>
        <w:adjustRightInd w:val="0"/>
        <w:rPr>
          <w:rFonts w:eastAsia="Calibri"/>
          <w:sz w:val="22"/>
          <w:szCs w:val="22"/>
          <w:u w:val="single"/>
        </w:rPr>
      </w:pPr>
      <w:r w:rsidRPr="00776407">
        <w:rPr>
          <w:rFonts w:eastAsia="Calibri"/>
          <w:sz w:val="22"/>
          <w:szCs w:val="22"/>
          <w:u w:val="single"/>
        </w:rPr>
        <w:t xml:space="preserve">Organų funkcijos nepakankamumas </w:t>
      </w:r>
    </w:p>
    <w:p w14:paraId="1D10F263" w14:textId="77777777" w:rsidR="00430A5A" w:rsidRPr="00776407" w:rsidRDefault="00430A5A" w:rsidP="00430A5A">
      <w:pPr>
        <w:autoSpaceDE w:val="0"/>
        <w:autoSpaceDN w:val="0"/>
        <w:adjustRightInd w:val="0"/>
        <w:rPr>
          <w:rFonts w:eastAsia="Calibri"/>
          <w:sz w:val="22"/>
          <w:szCs w:val="22"/>
        </w:rPr>
      </w:pPr>
      <w:r w:rsidRPr="00776407">
        <w:rPr>
          <w:rFonts w:eastAsia="Calibri"/>
          <w:sz w:val="22"/>
          <w:szCs w:val="22"/>
        </w:rPr>
        <w:t xml:space="preserve">Pro inkstus išsiskiria nedaug imatinibo ir jo metabolitų. Atrodo, kad pacientams, kuriems yra lengvas ir vidutinio sunkumo inkstų funkcijos sutrikimas, būdinga apytikriai 1,5-2 kartus didesnė ekspozicija plazmoje nei pacientams, kurių inkstų funkcija normali. Toks padidėjimas gretintinas su 1,5 karto didesniu stipriai imatinibą surišančio AGP kiekiu plazmoje. Tikriausiai laisvo imatinibo klirensas yra panašus ir </w:t>
      </w:r>
      <w:r w:rsidR="008909BB" w:rsidRPr="00776407">
        <w:rPr>
          <w:color w:val="000000"/>
          <w:sz w:val="22"/>
          <w:szCs w:val="22"/>
        </w:rPr>
        <w:t xml:space="preserve">vaistinį preparatą </w:t>
      </w:r>
      <w:r w:rsidRPr="00776407">
        <w:rPr>
          <w:rFonts w:eastAsia="Calibri"/>
          <w:sz w:val="22"/>
          <w:szCs w:val="22"/>
        </w:rPr>
        <w:t xml:space="preserve">vartojant pacientams, kurių inkstų funkcija susilpnėjusi, ir tiems, kurių inkstų funkcija normali, nes pro inkstus išsiskiria tik nedidelė imatinibo dalis (žr. 4.2 ir 4.4 skyrius). </w:t>
      </w:r>
    </w:p>
    <w:p w14:paraId="2E2F79BC" w14:textId="77777777" w:rsidR="00430A5A" w:rsidRPr="00776407" w:rsidRDefault="00430A5A" w:rsidP="00430A5A">
      <w:pPr>
        <w:autoSpaceDE w:val="0"/>
        <w:autoSpaceDN w:val="0"/>
        <w:adjustRightInd w:val="0"/>
        <w:rPr>
          <w:rFonts w:eastAsia="Calibri"/>
          <w:sz w:val="22"/>
          <w:szCs w:val="22"/>
        </w:rPr>
      </w:pPr>
    </w:p>
    <w:p w14:paraId="6E5DFCDB" w14:textId="77777777" w:rsidR="00430A5A" w:rsidRPr="00776407" w:rsidRDefault="00430A5A" w:rsidP="00430A5A">
      <w:pPr>
        <w:autoSpaceDE w:val="0"/>
        <w:autoSpaceDN w:val="0"/>
        <w:adjustRightInd w:val="0"/>
        <w:rPr>
          <w:rFonts w:eastAsia="Calibri"/>
          <w:sz w:val="22"/>
          <w:szCs w:val="22"/>
        </w:rPr>
      </w:pPr>
      <w:r w:rsidRPr="00776407">
        <w:rPr>
          <w:rFonts w:eastAsia="Calibri"/>
          <w:sz w:val="22"/>
          <w:szCs w:val="22"/>
        </w:rPr>
        <w:t xml:space="preserve">Nors farmakokinetinės analizės duomenys parodė, kad galimi ryškūs svyravimai tarp asmenų, imatinibo ekspozicija nedidėja pacientams, kuriems yra įvairaus laipsnio kepenų nepakankamumas, lyginant su pacientais, kurių kepenų funkcija normali (žr. 4.2, 4.4 ir 4.8 skyrius). </w:t>
      </w:r>
    </w:p>
    <w:p w14:paraId="26BA5C6A" w14:textId="77777777" w:rsidR="00430A5A" w:rsidRPr="00776407" w:rsidRDefault="00430A5A" w:rsidP="00430A5A">
      <w:pPr>
        <w:autoSpaceDE w:val="0"/>
        <w:autoSpaceDN w:val="0"/>
        <w:adjustRightInd w:val="0"/>
        <w:rPr>
          <w:rFonts w:eastAsia="Calibri"/>
          <w:sz w:val="22"/>
          <w:szCs w:val="22"/>
        </w:rPr>
      </w:pPr>
    </w:p>
    <w:p w14:paraId="567815EA" w14:textId="77777777" w:rsidR="00430A5A" w:rsidRPr="00776407" w:rsidRDefault="00430A5A" w:rsidP="00864BE6">
      <w:pPr>
        <w:pStyle w:val="Listenabsatz"/>
        <w:numPr>
          <w:ilvl w:val="1"/>
          <w:numId w:val="2"/>
        </w:numPr>
        <w:autoSpaceDE w:val="0"/>
        <w:autoSpaceDN w:val="0"/>
        <w:adjustRightInd w:val="0"/>
        <w:ind w:left="567" w:hanging="567"/>
        <w:rPr>
          <w:rFonts w:eastAsia="Calibri"/>
          <w:b/>
          <w:bCs/>
          <w:sz w:val="22"/>
          <w:szCs w:val="22"/>
        </w:rPr>
      </w:pPr>
      <w:r w:rsidRPr="00776407">
        <w:rPr>
          <w:rFonts w:eastAsia="Calibri"/>
          <w:b/>
          <w:bCs/>
          <w:sz w:val="22"/>
          <w:szCs w:val="22"/>
        </w:rPr>
        <w:t xml:space="preserve">Ikiklinikinių saugumo tyrimų duomenys </w:t>
      </w:r>
    </w:p>
    <w:p w14:paraId="57ED8FD1" w14:textId="77777777" w:rsidR="00430A5A" w:rsidRPr="00776407" w:rsidRDefault="00430A5A" w:rsidP="00430A5A">
      <w:pPr>
        <w:autoSpaceDE w:val="0"/>
        <w:autoSpaceDN w:val="0"/>
        <w:adjustRightInd w:val="0"/>
        <w:rPr>
          <w:rFonts w:eastAsia="Calibri"/>
          <w:sz w:val="22"/>
          <w:szCs w:val="22"/>
        </w:rPr>
      </w:pPr>
    </w:p>
    <w:p w14:paraId="4FB32EA6" w14:textId="77777777" w:rsidR="00430A5A" w:rsidRPr="00776407" w:rsidRDefault="00430A5A" w:rsidP="00430A5A">
      <w:pPr>
        <w:autoSpaceDE w:val="0"/>
        <w:autoSpaceDN w:val="0"/>
        <w:adjustRightInd w:val="0"/>
        <w:rPr>
          <w:rFonts w:eastAsia="Calibri"/>
          <w:sz w:val="22"/>
          <w:szCs w:val="22"/>
        </w:rPr>
      </w:pPr>
      <w:r w:rsidRPr="00776407">
        <w:rPr>
          <w:rFonts w:eastAsia="Calibri"/>
          <w:sz w:val="22"/>
          <w:szCs w:val="22"/>
        </w:rPr>
        <w:t xml:space="preserve">Ikiklinikinis imatinibo saugumo pobūdis įvertintas žiurkėms, šunims, beždžionėms ir triušiams. </w:t>
      </w:r>
    </w:p>
    <w:p w14:paraId="28117B76" w14:textId="77777777" w:rsidR="00430A5A" w:rsidRPr="00776407" w:rsidRDefault="00430A5A" w:rsidP="00430A5A">
      <w:pPr>
        <w:autoSpaceDE w:val="0"/>
        <w:autoSpaceDN w:val="0"/>
        <w:adjustRightInd w:val="0"/>
        <w:rPr>
          <w:rFonts w:eastAsia="Calibri"/>
          <w:sz w:val="22"/>
          <w:szCs w:val="22"/>
        </w:rPr>
      </w:pPr>
    </w:p>
    <w:p w14:paraId="41BA1996" w14:textId="77777777" w:rsidR="00430A5A" w:rsidRPr="00776407" w:rsidRDefault="00430A5A" w:rsidP="00430A5A">
      <w:pPr>
        <w:autoSpaceDE w:val="0"/>
        <w:autoSpaceDN w:val="0"/>
        <w:adjustRightInd w:val="0"/>
        <w:rPr>
          <w:rFonts w:eastAsia="Calibri"/>
          <w:sz w:val="22"/>
          <w:szCs w:val="22"/>
        </w:rPr>
      </w:pPr>
      <w:r w:rsidRPr="00776407">
        <w:rPr>
          <w:rFonts w:eastAsia="Calibri"/>
          <w:sz w:val="22"/>
          <w:szCs w:val="22"/>
        </w:rPr>
        <w:t xml:space="preserve">Kartotinių dozių toksiškumo tyrimai atskleidė nesunkių ar vidutinio sunkumo hematologinių pokyčių žiurkėms, šunims ir beždžionėms bei kaulų čiulpų pokyčių žiurkėms ir šunims. </w:t>
      </w:r>
    </w:p>
    <w:p w14:paraId="1B74606B" w14:textId="77777777" w:rsidR="00430A5A" w:rsidRPr="00776407" w:rsidRDefault="00430A5A" w:rsidP="00430A5A">
      <w:pPr>
        <w:autoSpaceDE w:val="0"/>
        <w:autoSpaceDN w:val="0"/>
        <w:adjustRightInd w:val="0"/>
        <w:rPr>
          <w:rFonts w:eastAsia="Calibri"/>
          <w:sz w:val="22"/>
          <w:szCs w:val="22"/>
        </w:rPr>
      </w:pPr>
    </w:p>
    <w:p w14:paraId="5AA3A2F0"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sz w:val="22"/>
          <w:szCs w:val="22"/>
        </w:rPr>
        <w:t>Kepenys buvo žiurkių ir šunų organas taikinys. Abiejų rūšių gyvūnams stebėta neryškiai ar vidutiniškai padidėjusi transaminazių koncentracija ir šiek tiek sumažėjusi cholesterolio, trigliceridų, bendrojo baltymo ir albumino koncentracija. Jokių histopatologinių žiurkių kepenų pokyčių nenustatyta. Šunims, gydytiems 2 savaites, stebėtas sunkus kepenų toksiškumas, pasireiškęs padidėjusia kepenų fermentų koncentracija, kepenų ląstelių ir tulžies latakų nekroze bei tulžies latakų hiperplazija.</w:t>
      </w:r>
    </w:p>
    <w:p w14:paraId="52AEC89F" w14:textId="77777777" w:rsidR="00430A5A" w:rsidRPr="00776407" w:rsidRDefault="00430A5A" w:rsidP="00430A5A">
      <w:pPr>
        <w:autoSpaceDE w:val="0"/>
        <w:autoSpaceDN w:val="0"/>
        <w:adjustRightInd w:val="0"/>
        <w:rPr>
          <w:rFonts w:eastAsia="Calibri"/>
          <w:color w:val="000000"/>
          <w:sz w:val="22"/>
          <w:szCs w:val="22"/>
        </w:rPr>
      </w:pPr>
    </w:p>
    <w:p w14:paraId="16536A22"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Beždžionėms, gydytoms 2 savaites, stebėtas inkstų toksiškumas su židinine mineralizacija ir inkstų kanalėlių dilatacija bei tubuline nefroze. Kelioms beždžionėms nustatyta padidėjusi šlapalo azoto ir kreatinino koncentracija kraujyje. 13 savaičių tyrimų metu, žiurkėms, gavusioms </w:t>
      </w:r>
      <w:r w:rsidRPr="00776407">
        <w:t>≥ </w:t>
      </w:r>
      <w:r w:rsidRPr="00776407">
        <w:rPr>
          <w:rFonts w:eastAsia="Calibri"/>
          <w:color w:val="000000"/>
          <w:sz w:val="22"/>
          <w:szCs w:val="22"/>
        </w:rPr>
        <w:t xml:space="preserve">6 mg/kg dozę, stebėta inkstų spenelių ir šlapimo pūslės pereinamojo epitelio hiperplazija be serumo ar šlapimo rodiklių pokyčių. Ilgai gydomiems imatinibu gyvūnams stebėtas padidėjęs oportunistinių infekcijų dažnis. </w:t>
      </w:r>
    </w:p>
    <w:p w14:paraId="191B632F" w14:textId="77777777" w:rsidR="00430A5A" w:rsidRPr="00776407" w:rsidRDefault="00430A5A" w:rsidP="00430A5A">
      <w:pPr>
        <w:autoSpaceDE w:val="0"/>
        <w:autoSpaceDN w:val="0"/>
        <w:adjustRightInd w:val="0"/>
        <w:rPr>
          <w:rFonts w:eastAsia="Calibri"/>
          <w:color w:val="000000"/>
          <w:sz w:val="22"/>
          <w:szCs w:val="22"/>
        </w:rPr>
      </w:pPr>
    </w:p>
    <w:p w14:paraId="4AB8CAD4"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39 savaičių tyrimo metu beždžionėms, gavusioms mažiausią 15 mg/kg dozę, vidutiniškai trečdalį didžiausios 800 mg žmogaus dozės pagal kūno paviršiaus plotą, jokio NNPL (nepastebimo nepageidaujamo poveikio lygmens) nenustatyta. Gydymas pablogino šių gyvūnų normaliai slopinamą maliarijos infekciją. </w:t>
      </w:r>
    </w:p>
    <w:p w14:paraId="2E4A0F2B" w14:textId="77777777" w:rsidR="00430A5A" w:rsidRPr="00776407" w:rsidRDefault="00430A5A" w:rsidP="00430A5A">
      <w:pPr>
        <w:autoSpaceDE w:val="0"/>
        <w:autoSpaceDN w:val="0"/>
        <w:adjustRightInd w:val="0"/>
        <w:rPr>
          <w:rFonts w:eastAsia="Calibri"/>
          <w:color w:val="000000"/>
          <w:sz w:val="22"/>
          <w:szCs w:val="22"/>
        </w:rPr>
      </w:pPr>
    </w:p>
    <w:p w14:paraId="6A34AA87"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Imatinibas nebuvo genotoksiškas </w:t>
      </w:r>
      <w:r w:rsidRPr="00776407">
        <w:rPr>
          <w:rFonts w:eastAsia="Calibri"/>
          <w:i/>
          <w:iCs/>
          <w:color w:val="000000"/>
          <w:sz w:val="22"/>
          <w:szCs w:val="22"/>
        </w:rPr>
        <w:t xml:space="preserve">in vitro </w:t>
      </w:r>
      <w:r w:rsidRPr="00776407">
        <w:rPr>
          <w:rFonts w:eastAsia="Calibri"/>
          <w:color w:val="000000"/>
          <w:sz w:val="22"/>
          <w:szCs w:val="22"/>
        </w:rPr>
        <w:t xml:space="preserve">atliekant bakterijų ląstelių testus (Ames testus), </w:t>
      </w:r>
      <w:r w:rsidRPr="00776407">
        <w:rPr>
          <w:rFonts w:eastAsia="Calibri"/>
          <w:i/>
          <w:iCs/>
          <w:color w:val="000000"/>
          <w:sz w:val="22"/>
          <w:szCs w:val="22"/>
        </w:rPr>
        <w:t xml:space="preserve">in vitro </w:t>
      </w:r>
      <w:r w:rsidRPr="00776407">
        <w:rPr>
          <w:rFonts w:eastAsia="Calibri"/>
          <w:color w:val="000000"/>
          <w:sz w:val="22"/>
          <w:szCs w:val="22"/>
        </w:rPr>
        <w:t xml:space="preserve">žinduolių ląstelių tyrimus (pelių limfomos) ir </w:t>
      </w:r>
      <w:r w:rsidRPr="00776407">
        <w:rPr>
          <w:rFonts w:eastAsia="Calibri"/>
          <w:i/>
          <w:iCs/>
          <w:color w:val="000000"/>
          <w:sz w:val="22"/>
          <w:szCs w:val="22"/>
        </w:rPr>
        <w:t xml:space="preserve">in vivo </w:t>
      </w:r>
      <w:r w:rsidRPr="00776407">
        <w:rPr>
          <w:rFonts w:eastAsia="Calibri"/>
          <w:color w:val="000000"/>
          <w:sz w:val="22"/>
          <w:szCs w:val="22"/>
        </w:rPr>
        <w:t xml:space="preserve">žiurkių mikrobranduolių testus. Teigiamas imatinibo genotoksinis poveikis stebėtas atliekant </w:t>
      </w:r>
      <w:r w:rsidRPr="00776407">
        <w:rPr>
          <w:rFonts w:eastAsia="Calibri"/>
          <w:i/>
          <w:iCs/>
          <w:color w:val="000000"/>
          <w:sz w:val="22"/>
          <w:szCs w:val="22"/>
        </w:rPr>
        <w:t xml:space="preserve">in vitro </w:t>
      </w:r>
      <w:r w:rsidRPr="00776407">
        <w:rPr>
          <w:rFonts w:eastAsia="Calibri"/>
          <w:color w:val="000000"/>
          <w:sz w:val="22"/>
          <w:szCs w:val="22"/>
        </w:rPr>
        <w:t xml:space="preserve">žinduolių ląstelių (kinietiškųjų žiurkėnų kiaušidžių) tyrimus klastogeniškumui (chromosomų aberacijoms) nustatyti, kai buvo metabolinis aktyvinimas. Du gamybos proceso tarpiniai produktai, kurių yra ir galutiniame produkte, taip pat veikė mutageniškai Ames testų metu. Vienas šių tarpinių produktų buvo teigiamas pelių limfomos tyrimų metu. </w:t>
      </w:r>
    </w:p>
    <w:p w14:paraId="017EE8F2" w14:textId="77777777" w:rsidR="00430A5A" w:rsidRPr="00776407" w:rsidRDefault="00430A5A" w:rsidP="00430A5A">
      <w:pPr>
        <w:autoSpaceDE w:val="0"/>
        <w:autoSpaceDN w:val="0"/>
        <w:adjustRightInd w:val="0"/>
        <w:rPr>
          <w:rFonts w:eastAsia="Calibri"/>
          <w:color w:val="000000"/>
          <w:sz w:val="22"/>
          <w:szCs w:val="22"/>
        </w:rPr>
      </w:pPr>
    </w:p>
    <w:p w14:paraId="7CBB2E9A"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Tiriant vaisingumą nustatyta, kad žiurkių patinų, prieš poravimąsi 70 dienų gavusių </w:t>
      </w:r>
      <w:r w:rsidR="003557DF" w:rsidRPr="00776407">
        <w:rPr>
          <w:color w:val="000000"/>
          <w:sz w:val="22"/>
          <w:szCs w:val="22"/>
        </w:rPr>
        <w:t>vaistinio preparato</w:t>
      </w:r>
      <w:r w:rsidRPr="00776407">
        <w:rPr>
          <w:rFonts w:eastAsia="Calibri"/>
          <w:color w:val="000000"/>
          <w:sz w:val="22"/>
          <w:szCs w:val="22"/>
        </w:rPr>
        <w:t>, sėklidžių ir sėklidžių prielipo svoris bei judrių spermijų procentas sumažėjo po 60 mg/kg dozės, kuri atitinka didžiausią klinikinę 800 mg per parą dozę, apskaičiuotą pagal kūno paviršiaus plotą. Šito nestebėta vartojant ≤</w:t>
      </w:r>
      <w:r w:rsidR="00364DC6" w:rsidRPr="00776407">
        <w:rPr>
          <w:rFonts w:eastAsia="Calibri"/>
          <w:color w:val="000000"/>
          <w:sz w:val="22"/>
          <w:szCs w:val="22"/>
        </w:rPr>
        <w:t> </w:t>
      </w:r>
      <w:r w:rsidRPr="00776407">
        <w:rPr>
          <w:rFonts w:eastAsia="Calibri"/>
          <w:color w:val="000000"/>
          <w:sz w:val="22"/>
          <w:szCs w:val="22"/>
        </w:rPr>
        <w:t>20</w:t>
      </w:r>
      <w:r w:rsidR="00364DC6" w:rsidRPr="00776407">
        <w:rPr>
          <w:rFonts w:eastAsia="Calibri"/>
          <w:color w:val="000000"/>
          <w:sz w:val="22"/>
          <w:szCs w:val="22"/>
        </w:rPr>
        <w:t> </w:t>
      </w:r>
      <w:r w:rsidRPr="00776407">
        <w:rPr>
          <w:rFonts w:eastAsia="Calibri"/>
          <w:color w:val="000000"/>
          <w:sz w:val="22"/>
          <w:szCs w:val="22"/>
        </w:rPr>
        <w:t xml:space="preserve">mg/kg dozę. Neryškiai ir vidutiniškai sumažėjusi spermatogenezė taip pat nustatyta šunims, gavusiems </w:t>
      </w:r>
      <w:r w:rsidRPr="00776407">
        <w:t>≥</w:t>
      </w:r>
      <w:r w:rsidR="00364DC6" w:rsidRPr="00776407">
        <w:rPr>
          <w:rFonts w:eastAsia="Calibri"/>
          <w:color w:val="000000"/>
          <w:sz w:val="22"/>
          <w:szCs w:val="22"/>
        </w:rPr>
        <w:t> </w:t>
      </w:r>
      <w:r w:rsidRPr="00776407">
        <w:rPr>
          <w:rFonts w:eastAsia="Calibri"/>
          <w:color w:val="000000"/>
          <w:sz w:val="22"/>
          <w:szCs w:val="22"/>
        </w:rPr>
        <w:t>30</w:t>
      </w:r>
      <w:r w:rsidR="00364DC6" w:rsidRPr="00776407">
        <w:rPr>
          <w:rFonts w:eastAsia="Calibri"/>
          <w:color w:val="000000"/>
          <w:sz w:val="22"/>
          <w:szCs w:val="22"/>
        </w:rPr>
        <w:t> </w:t>
      </w:r>
      <w:r w:rsidRPr="00776407">
        <w:rPr>
          <w:rFonts w:eastAsia="Calibri"/>
          <w:color w:val="000000"/>
          <w:sz w:val="22"/>
          <w:szCs w:val="22"/>
        </w:rPr>
        <w:t xml:space="preserve">mg/kg geriamąją dozę. 14 dienų prieš poravimąsi ir iki 6-osios nėštumo dienos žiurkių patelėms duodant </w:t>
      </w:r>
      <w:r w:rsidR="003557DF" w:rsidRPr="00776407">
        <w:rPr>
          <w:color w:val="000000"/>
          <w:sz w:val="22"/>
          <w:szCs w:val="22"/>
        </w:rPr>
        <w:t>vaistinio preparato</w:t>
      </w:r>
      <w:r w:rsidRPr="00776407">
        <w:rPr>
          <w:rFonts w:eastAsia="Calibri"/>
          <w:color w:val="000000"/>
          <w:sz w:val="22"/>
          <w:szCs w:val="22"/>
        </w:rPr>
        <w:t>, poveikio poravimuisi ir nėščių patelių skaičiui nenustatyta, o duodant 60 mg/kg dozę, ryškiai padaugėjo poimplantacinių vaisių netekimų ir sumažėjo gyvų vaisių skaičius. Šių reiškinių nestebėta skiriant ≤</w:t>
      </w:r>
      <w:r w:rsidR="00364DC6" w:rsidRPr="00776407">
        <w:rPr>
          <w:rFonts w:eastAsia="Calibri"/>
          <w:color w:val="000000"/>
          <w:sz w:val="22"/>
          <w:szCs w:val="22"/>
        </w:rPr>
        <w:t> </w:t>
      </w:r>
      <w:r w:rsidRPr="00776407">
        <w:rPr>
          <w:rFonts w:eastAsia="Calibri"/>
          <w:color w:val="000000"/>
          <w:sz w:val="22"/>
          <w:szCs w:val="22"/>
        </w:rPr>
        <w:t>20</w:t>
      </w:r>
      <w:r w:rsidR="00364DC6" w:rsidRPr="00776407">
        <w:rPr>
          <w:rFonts w:eastAsia="Calibri"/>
          <w:color w:val="000000"/>
          <w:sz w:val="22"/>
          <w:szCs w:val="22"/>
        </w:rPr>
        <w:t> </w:t>
      </w:r>
      <w:r w:rsidRPr="00776407">
        <w:rPr>
          <w:rFonts w:eastAsia="Calibri"/>
          <w:color w:val="000000"/>
          <w:sz w:val="22"/>
          <w:szCs w:val="22"/>
        </w:rPr>
        <w:t xml:space="preserve">mg/kg dozę. </w:t>
      </w:r>
    </w:p>
    <w:p w14:paraId="33F7CDF9" w14:textId="77777777" w:rsidR="00430A5A" w:rsidRPr="00776407" w:rsidRDefault="00430A5A" w:rsidP="00430A5A">
      <w:pPr>
        <w:autoSpaceDE w:val="0"/>
        <w:autoSpaceDN w:val="0"/>
        <w:adjustRightInd w:val="0"/>
        <w:rPr>
          <w:rFonts w:eastAsia="Calibri"/>
          <w:color w:val="000000"/>
          <w:sz w:val="22"/>
          <w:szCs w:val="22"/>
        </w:rPr>
      </w:pPr>
    </w:p>
    <w:p w14:paraId="44A58A6B"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Geriamojo </w:t>
      </w:r>
      <w:r w:rsidR="003557DF" w:rsidRPr="00776407">
        <w:rPr>
          <w:color w:val="000000"/>
          <w:sz w:val="22"/>
          <w:szCs w:val="22"/>
        </w:rPr>
        <w:t xml:space="preserve">vaistinio preparato </w:t>
      </w:r>
      <w:r w:rsidRPr="00776407">
        <w:rPr>
          <w:rFonts w:eastAsia="Calibri"/>
          <w:color w:val="000000"/>
          <w:sz w:val="22"/>
          <w:szCs w:val="22"/>
        </w:rPr>
        <w:t>prenatalinės ir ponatalinės raidos tyrimų metu žiurkėms, gaunančioms 45 mg/kg per parą, 14-ąją ar 15-ąją nėštumo dieną stebėta raudonų išskyrų iš makšties. Duodant tą pačią dozę, nustatyta, kad padidėja negyvagimių ir 0–4 dienomis žuvusių palikuonių skaičius. F</w:t>
      </w:r>
      <w:r w:rsidRPr="00776407">
        <w:rPr>
          <w:rFonts w:eastAsia="Calibri"/>
          <w:color w:val="000000"/>
          <w:sz w:val="14"/>
          <w:szCs w:val="14"/>
        </w:rPr>
        <w:t xml:space="preserve">1 </w:t>
      </w:r>
      <w:r w:rsidRPr="00776407">
        <w:rPr>
          <w:rFonts w:eastAsia="Calibri"/>
          <w:color w:val="000000"/>
          <w:sz w:val="22"/>
          <w:szCs w:val="22"/>
        </w:rPr>
        <w:t>palikuonims, duodant tą pačią dozę, vidutinis kūno svoris buvo mažesnis nuo gimimo iki galutinio gyvavimo laiko ir šiek tiek mažesnis buvo jauniklių, pasiekusių apyvarpės atsiskyrimo kriterijus, skaičius. Kai buvo duodama 45 mg/kg per parą dozė, F</w:t>
      </w:r>
      <w:r w:rsidRPr="00776407">
        <w:rPr>
          <w:rFonts w:eastAsia="Calibri"/>
          <w:color w:val="000000"/>
          <w:sz w:val="14"/>
          <w:szCs w:val="14"/>
        </w:rPr>
        <w:t xml:space="preserve">1 </w:t>
      </w:r>
      <w:r w:rsidRPr="00776407">
        <w:rPr>
          <w:rFonts w:eastAsia="Calibri"/>
          <w:color w:val="000000"/>
          <w:sz w:val="22"/>
          <w:szCs w:val="22"/>
        </w:rPr>
        <w:t>vaisingumas buvo nepakitęs, o rezorbcijų skaičius padidėjo bei gyvybingų vaisių skaičius sumažėjo. Nepastebimo poveikio lygmens (NPL) dozė, gyvūnų tėvams ir F</w:t>
      </w:r>
      <w:r w:rsidRPr="00776407">
        <w:rPr>
          <w:rFonts w:eastAsia="Calibri"/>
          <w:color w:val="000000"/>
          <w:sz w:val="14"/>
          <w:szCs w:val="14"/>
        </w:rPr>
        <w:t xml:space="preserve">1 </w:t>
      </w:r>
      <w:r w:rsidRPr="00776407">
        <w:rPr>
          <w:rFonts w:eastAsia="Calibri"/>
          <w:color w:val="000000"/>
          <w:sz w:val="22"/>
          <w:szCs w:val="22"/>
        </w:rPr>
        <w:t xml:space="preserve">generacijai, buvo 15 mg/kg per parą (ketvirtis didžiausios žmogaus 800 mg dozės). </w:t>
      </w:r>
    </w:p>
    <w:p w14:paraId="1DBC1738" w14:textId="77777777" w:rsidR="00430A5A" w:rsidRPr="00776407" w:rsidRDefault="00430A5A" w:rsidP="00430A5A">
      <w:pPr>
        <w:autoSpaceDE w:val="0"/>
        <w:autoSpaceDN w:val="0"/>
        <w:adjustRightInd w:val="0"/>
        <w:rPr>
          <w:rFonts w:eastAsia="Calibri"/>
          <w:color w:val="000000"/>
          <w:sz w:val="22"/>
          <w:szCs w:val="22"/>
        </w:rPr>
      </w:pPr>
    </w:p>
    <w:p w14:paraId="53D38BD8"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Imatinibas, kurio organogenezės laikotarpiu buvo skiriama ≥ 100 mg/kg (maždaug atitinka pagal kūno paviršiaus plotą apskaičiuotą didžiausią klinikinę 800 mg per parą dozę), buvo teratogeniškas žiurkėms. Teratogeninis poveikis pasireiškė eksencefalija ar encefalocele, kaktikaulio nebuvimu ar sumažėjimu ir momenkaulio nebuvimu. Šių reiškinių nestebėta, kai dozė buvo ≤ 30 mg/kg. </w:t>
      </w:r>
    </w:p>
    <w:p w14:paraId="75A8C8C3" w14:textId="77777777" w:rsidR="00276DBE" w:rsidRPr="00776407" w:rsidRDefault="00276DBE" w:rsidP="00276DBE">
      <w:pPr>
        <w:autoSpaceDE w:val="0"/>
        <w:autoSpaceDN w:val="0"/>
        <w:adjustRightInd w:val="0"/>
        <w:rPr>
          <w:rFonts w:eastAsia="Calibri"/>
          <w:color w:val="000000"/>
          <w:sz w:val="22"/>
          <w:szCs w:val="22"/>
        </w:rPr>
      </w:pPr>
    </w:p>
    <w:p w14:paraId="236BB2AE" w14:textId="77777777" w:rsidR="002B7610" w:rsidRPr="00776407" w:rsidRDefault="002B7610" w:rsidP="002B7610">
      <w:pPr>
        <w:autoSpaceDE w:val="0"/>
        <w:autoSpaceDN w:val="0"/>
        <w:adjustRightInd w:val="0"/>
        <w:rPr>
          <w:rFonts w:eastAsia="Calibri"/>
          <w:color w:val="000000"/>
          <w:sz w:val="22"/>
          <w:szCs w:val="22"/>
        </w:rPr>
      </w:pPr>
      <w:r w:rsidRPr="00776407">
        <w:rPr>
          <w:sz w:val="22"/>
          <w:szCs w:val="22"/>
        </w:rPr>
        <w:t>Toksinio poveikio vystimuisi tyrimo, atlikto su žiurkių jaunikliais, metu (vaistinio preparato skiriant nuo 10-osios iki 70-osios dienos po atsivedimo) naujų organų taikinių nenustatyta, lyginant su žinomais organais taikiniais suaugusioms žiurkėms. Toksinio poveikio jauniklių vystimuisi tyrimo metu poveikis augimui, vėlesniam makšties angos atsidarymui ir apyvarpės atsiskyrimui pastebėtas esant tokiai vaistinio preparato ekspozicijai, kuri maždaug 0,3-2 kartus viršija vidutinę ekspoziciją vaikų populiacijoje skiriant didžiausią rekomenduojamą 340 mg/m</w:t>
      </w:r>
      <w:r w:rsidRPr="00776407">
        <w:rPr>
          <w:sz w:val="22"/>
          <w:szCs w:val="22"/>
          <w:vertAlign w:val="superscript"/>
        </w:rPr>
        <w:t xml:space="preserve">2 </w:t>
      </w:r>
      <w:r w:rsidRPr="00776407">
        <w:rPr>
          <w:sz w:val="22"/>
          <w:szCs w:val="22"/>
        </w:rPr>
        <w:t>kūno paviršiaus dozę. Be to, pastebėta gyvūnų jauniklių kritimo atvejų (maždaug nujunkymo fazėje) esant tokiai vaistinio preparato ekspozicijai, kuri maždaug 2 kartus viršija vidutinę ekspoziciją vaikų populiacijoje skiriant didžiausią rekomenduojamą 340 mg/m</w:t>
      </w:r>
      <w:r w:rsidRPr="00776407">
        <w:rPr>
          <w:sz w:val="22"/>
          <w:szCs w:val="22"/>
          <w:vertAlign w:val="superscript"/>
        </w:rPr>
        <w:t>2</w:t>
      </w:r>
      <w:r w:rsidRPr="00776407">
        <w:rPr>
          <w:sz w:val="14"/>
          <w:szCs w:val="14"/>
        </w:rPr>
        <w:t xml:space="preserve"> </w:t>
      </w:r>
      <w:r w:rsidRPr="00776407">
        <w:rPr>
          <w:sz w:val="22"/>
          <w:szCs w:val="22"/>
        </w:rPr>
        <w:t>kūno paviršiaus dozę.</w:t>
      </w:r>
    </w:p>
    <w:p w14:paraId="73A92D7F" w14:textId="77777777" w:rsidR="00430A5A" w:rsidRPr="00776407" w:rsidRDefault="00430A5A" w:rsidP="00430A5A">
      <w:pPr>
        <w:autoSpaceDE w:val="0"/>
        <w:autoSpaceDN w:val="0"/>
        <w:adjustRightInd w:val="0"/>
        <w:rPr>
          <w:rFonts w:eastAsia="Calibri"/>
          <w:color w:val="000000"/>
          <w:sz w:val="22"/>
          <w:szCs w:val="22"/>
        </w:rPr>
      </w:pPr>
    </w:p>
    <w:p w14:paraId="3C436742"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Dviejų metų kancerogeniškumo tyrimų su žiurkėmis, gavusiomis 15 mg/kg, 30 mg/kg ir 60 mg/kg per parą imatinibo dozę, metu statistiškai reikšmingai sumažėjo patinų, gavusių 60 mg/kg per parą, ir patelių, gavusių ≥ 30 mg/kg per parą, gyvenimo trukmė. Kritusių gyvūnėlių histopatologinių tyrimų metu nustatytos pagrindinės gyvūnėlių žūties ar jų užmigdymo priežastys buvo: kardiomiopatija (abiems lytims), lėtinė progresuojanti nefropatija (patelėms) ir apyvarpės liaukų papiloma. Neoplastinis procesas pažeidė inkstus, šlapimo pūslę, šlaplę, apyvarpės ir varputės liaukas, plonąjį žarnyną, prieskydines liaukas, antinksčius ir ne liaukinę skrandžio dalį.</w:t>
      </w:r>
    </w:p>
    <w:p w14:paraId="00DD2E37" w14:textId="77777777" w:rsidR="00430A5A" w:rsidRPr="00776407" w:rsidRDefault="00430A5A" w:rsidP="00430A5A">
      <w:pPr>
        <w:autoSpaceDE w:val="0"/>
        <w:autoSpaceDN w:val="0"/>
        <w:adjustRightInd w:val="0"/>
        <w:rPr>
          <w:rFonts w:eastAsia="Calibri"/>
          <w:color w:val="000000"/>
          <w:sz w:val="22"/>
          <w:szCs w:val="22"/>
        </w:rPr>
      </w:pPr>
    </w:p>
    <w:p w14:paraId="4042A249" w14:textId="77777777" w:rsidR="00364DC6"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Apyvarpės ar varputės liaukų papilomos ar karcinomos stebėtos žiurkėms, kurios gavo nuo 30</w:t>
      </w:r>
      <w:r w:rsidR="00364DC6" w:rsidRPr="00776407">
        <w:rPr>
          <w:rFonts w:eastAsia="Calibri"/>
          <w:color w:val="000000"/>
          <w:sz w:val="22"/>
          <w:szCs w:val="22"/>
        </w:rPr>
        <w:t> </w:t>
      </w:r>
      <w:r w:rsidRPr="00776407">
        <w:rPr>
          <w:rFonts w:eastAsia="Calibri"/>
          <w:color w:val="000000"/>
          <w:sz w:val="22"/>
          <w:szCs w:val="22"/>
        </w:rPr>
        <w:t>mg/kg per parą dozę į priekį kas yra maždaug 0,5 arba 0,3</w:t>
      </w:r>
      <w:r w:rsidR="00364DC6" w:rsidRPr="00776407">
        <w:rPr>
          <w:rFonts w:eastAsia="Calibri"/>
          <w:color w:val="000000"/>
          <w:sz w:val="22"/>
          <w:szCs w:val="22"/>
        </w:rPr>
        <w:t> </w:t>
      </w:r>
      <w:r w:rsidRPr="00776407">
        <w:rPr>
          <w:rFonts w:eastAsia="Calibri"/>
          <w:color w:val="000000"/>
          <w:sz w:val="22"/>
          <w:szCs w:val="22"/>
        </w:rPr>
        <w:t>kartus didesnė ekspozicija (pagal AUC) negu žmonėms vartojant 400</w:t>
      </w:r>
      <w:r w:rsidR="00364DC6" w:rsidRPr="00776407">
        <w:rPr>
          <w:rFonts w:eastAsia="Calibri"/>
          <w:color w:val="000000"/>
          <w:sz w:val="22"/>
          <w:szCs w:val="22"/>
        </w:rPr>
        <w:t> </w:t>
      </w:r>
      <w:r w:rsidRPr="00776407">
        <w:rPr>
          <w:rFonts w:eastAsia="Calibri"/>
          <w:color w:val="000000"/>
          <w:sz w:val="22"/>
          <w:szCs w:val="22"/>
        </w:rPr>
        <w:t>mg arba 800</w:t>
      </w:r>
      <w:r w:rsidR="00364DC6" w:rsidRPr="00776407">
        <w:rPr>
          <w:rFonts w:eastAsia="Calibri"/>
          <w:color w:val="000000"/>
          <w:sz w:val="22"/>
          <w:szCs w:val="22"/>
        </w:rPr>
        <w:t> </w:t>
      </w:r>
      <w:r w:rsidRPr="00776407">
        <w:rPr>
          <w:rFonts w:eastAsia="Calibri"/>
          <w:color w:val="000000"/>
          <w:sz w:val="22"/>
          <w:szCs w:val="22"/>
        </w:rPr>
        <w:t>mg per parą atitinkamai ir 0,4</w:t>
      </w:r>
      <w:r w:rsidR="00364DC6" w:rsidRPr="00776407">
        <w:rPr>
          <w:rFonts w:eastAsia="Calibri"/>
          <w:color w:val="000000"/>
          <w:sz w:val="22"/>
          <w:szCs w:val="22"/>
        </w:rPr>
        <w:t> </w:t>
      </w:r>
      <w:r w:rsidRPr="00776407">
        <w:rPr>
          <w:rFonts w:eastAsia="Calibri"/>
          <w:color w:val="000000"/>
          <w:sz w:val="22"/>
          <w:szCs w:val="22"/>
        </w:rPr>
        <w:t>karto didesnė ekspozicija vaikams</w:t>
      </w:r>
      <w:r w:rsidR="001B7861" w:rsidRPr="00776407">
        <w:rPr>
          <w:rFonts w:eastAsia="Calibri"/>
          <w:color w:val="000000"/>
          <w:sz w:val="22"/>
          <w:szCs w:val="22"/>
        </w:rPr>
        <w:t xml:space="preserve"> </w:t>
      </w:r>
      <w:r w:rsidRPr="00776407">
        <w:rPr>
          <w:rFonts w:eastAsia="Calibri"/>
          <w:color w:val="000000"/>
          <w:sz w:val="22"/>
          <w:szCs w:val="22"/>
        </w:rPr>
        <w:t>(pagal AUC) vartojant 340</w:t>
      </w:r>
      <w:r w:rsidR="00364DC6" w:rsidRPr="00776407">
        <w:rPr>
          <w:rFonts w:eastAsia="Calibri"/>
          <w:color w:val="000000"/>
          <w:sz w:val="22"/>
          <w:szCs w:val="22"/>
        </w:rPr>
        <w:t> </w:t>
      </w:r>
      <w:r w:rsidRPr="00776407">
        <w:rPr>
          <w:rFonts w:eastAsia="Calibri"/>
          <w:color w:val="000000"/>
          <w:sz w:val="22"/>
          <w:szCs w:val="22"/>
        </w:rPr>
        <w:t>mg/m² per parą. Nepastebimo poveikio lygmens (NPL) dozė buvo 15</w:t>
      </w:r>
      <w:r w:rsidR="00364DC6" w:rsidRPr="00776407">
        <w:rPr>
          <w:rFonts w:eastAsia="Calibri"/>
          <w:color w:val="000000"/>
          <w:sz w:val="22"/>
          <w:szCs w:val="22"/>
        </w:rPr>
        <w:t> </w:t>
      </w:r>
      <w:r w:rsidRPr="00776407">
        <w:rPr>
          <w:rFonts w:eastAsia="Calibri"/>
          <w:color w:val="000000"/>
          <w:sz w:val="22"/>
          <w:szCs w:val="22"/>
        </w:rPr>
        <w:t>mg/kg per parą. Inkstų adenoma ar karcinoma, šlapimo pūslės ir šlaplės papiloma, plonojo žarnyno adenokarcinoma, prieskydinių liaukų adenoma, gėrybiniai ir piktybiniai antinksčių šerdinės dalies navikai bei ne liaukinės skrandžio dalies papiloma ar karcinoma stebėtos duodant 60</w:t>
      </w:r>
      <w:r w:rsidR="00364DC6" w:rsidRPr="00776407">
        <w:rPr>
          <w:rFonts w:eastAsia="Calibri"/>
          <w:color w:val="000000"/>
          <w:sz w:val="22"/>
          <w:szCs w:val="22"/>
        </w:rPr>
        <w:t> </w:t>
      </w:r>
      <w:r w:rsidRPr="00776407">
        <w:rPr>
          <w:rFonts w:eastAsia="Calibri"/>
          <w:color w:val="000000"/>
          <w:sz w:val="22"/>
          <w:szCs w:val="22"/>
        </w:rPr>
        <w:t>mg/kg per parą dozę kas yra maždaug 1,7 arba 1</w:t>
      </w:r>
      <w:r w:rsidR="00364DC6" w:rsidRPr="00776407">
        <w:rPr>
          <w:rFonts w:eastAsia="Calibri"/>
          <w:color w:val="000000"/>
          <w:sz w:val="22"/>
          <w:szCs w:val="22"/>
        </w:rPr>
        <w:t> </w:t>
      </w:r>
      <w:r w:rsidR="00070733" w:rsidRPr="00776407">
        <w:rPr>
          <w:rFonts w:eastAsia="Calibri"/>
          <w:color w:val="000000"/>
          <w:sz w:val="22"/>
          <w:szCs w:val="22"/>
        </w:rPr>
        <w:t>kartą</w:t>
      </w:r>
      <w:r w:rsidRPr="00776407">
        <w:rPr>
          <w:rFonts w:eastAsia="Calibri"/>
          <w:color w:val="000000"/>
          <w:sz w:val="22"/>
          <w:szCs w:val="22"/>
        </w:rPr>
        <w:t xml:space="preserve"> didesnė ekspozicija (pagal AUC) negu žmonėms vartojant 400</w:t>
      </w:r>
      <w:r w:rsidR="00364DC6" w:rsidRPr="00776407">
        <w:rPr>
          <w:rFonts w:eastAsia="Calibri"/>
          <w:color w:val="000000"/>
          <w:sz w:val="22"/>
          <w:szCs w:val="22"/>
        </w:rPr>
        <w:t> </w:t>
      </w:r>
      <w:r w:rsidRPr="00776407">
        <w:rPr>
          <w:rFonts w:eastAsia="Calibri"/>
          <w:color w:val="000000"/>
          <w:sz w:val="22"/>
          <w:szCs w:val="22"/>
        </w:rPr>
        <w:t>mg arba 800</w:t>
      </w:r>
      <w:r w:rsidR="00364DC6" w:rsidRPr="00776407">
        <w:rPr>
          <w:rFonts w:eastAsia="Calibri"/>
          <w:color w:val="000000"/>
          <w:sz w:val="22"/>
          <w:szCs w:val="22"/>
        </w:rPr>
        <w:t> </w:t>
      </w:r>
      <w:r w:rsidRPr="00776407">
        <w:rPr>
          <w:rFonts w:eastAsia="Calibri"/>
          <w:color w:val="000000"/>
          <w:sz w:val="22"/>
          <w:szCs w:val="22"/>
        </w:rPr>
        <w:t>mg per parą atitinkamai ir 1,2</w:t>
      </w:r>
      <w:r w:rsidR="00364DC6" w:rsidRPr="00776407">
        <w:rPr>
          <w:rFonts w:eastAsia="Calibri"/>
          <w:color w:val="000000"/>
          <w:sz w:val="22"/>
          <w:szCs w:val="22"/>
        </w:rPr>
        <w:t> </w:t>
      </w:r>
      <w:r w:rsidRPr="00776407">
        <w:rPr>
          <w:rFonts w:eastAsia="Calibri"/>
          <w:color w:val="000000"/>
          <w:sz w:val="22"/>
          <w:szCs w:val="22"/>
        </w:rPr>
        <w:t>karto didesnė ekspozicija vaikams (pagal AUC) vartojant 340</w:t>
      </w:r>
      <w:r w:rsidR="00364DC6" w:rsidRPr="00776407">
        <w:rPr>
          <w:rFonts w:eastAsia="Calibri"/>
          <w:color w:val="000000"/>
          <w:sz w:val="22"/>
          <w:szCs w:val="22"/>
        </w:rPr>
        <w:t> </w:t>
      </w:r>
      <w:r w:rsidRPr="00776407">
        <w:rPr>
          <w:rFonts w:eastAsia="Calibri"/>
          <w:color w:val="000000"/>
          <w:sz w:val="22"/>
          <w:szCs w:val="22"/>
        </w:rPr>
        <w:t xml:space="preserve">mg/m² per parą. </w:t>
      </w:r>
    </w:p>
    <w:p w14:paraId="5758AE19" w14:textId="77777777" w:rsidR="00364DC6" w:rsidRPr="00776407" w:rsidRDefault="00364DC6" w:rsidP="00430A5A">
      <w:pPr>
        <w:autoSpaceDE w:val="0"/>
        <w:autoSpaceDN w:val="0"/>
        <w:adjustRightInd w:val="0"/>
        <w:rPr>
          <w:rFonts w:eastAsia="Calibri"/>
          <w:color w:val="000000"/>
          <w:sz w:val="22"/>
          <w:szCs w:val="22"/>
        </w:rPr>
      </w:pPr>
    </w:p>
    <w:p w14:paraId="001BE9C0"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Nepastebimo poveikio lygmens (NPL) dozė buvo 30</w:t>
      </w:r>
      <w:r w:rsidR="00364DC6" w:rsidRPr="00776407">
        <w:rPr>
          <w:rFonts w:eastAsia="Calibri"/>
          <w:color w:val="000000"/>
          <w:sz w:val="22"/>
          <w:szCs w:val="22"/>
        </w:rPr>
        <w:t> </w:t>
      </w:r>
      <w:r w:rsidRPr="00776407">
        <w:rPr>
          <w:rFonts w:eastAsia="Calibri"/>
          <w:color w:val="000000"/>
          <w:sz w:val="22"/>
          <w:szCs w:val="22"/>
        </w:rPr>
        <w:t xml:space="preserve">mg/kg per parą. </w:t>
      </w:r>
    </w:p>
    <w:p w14:paraId="49E3171B" w14:textId="77777777" w:rsidR="00364DC6" w:rsidRPr="00776407" w:rsidRDefault="00364DC6" w:rsidP="00430A5A">
      <w:pPr>
        <w:autoSpaceDE w:val="0"/>
        <w:autoSpaceDN w:val="0"/>
        <w:adjustRightInd w:val="0"/>
        <w:rPr>
          <w:rFonts w:eastAsia="Calibri"/>
          <w:color w:val="000000"/>
          <w:sz w:val="22"/>
          <w:szCs w:val="22"/>
        </w:rPr>
      </w:pPr>
    </w:p>
    <w:p w14:paraId="27FA5508"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Šių žiurkių kancerogeniškumo tyrimų radinių reikšmė ir mechanizmas žmonėms dar neaiškus. </w:t>
      </w:r>
    </w:p>
    <w:p w14:paraId="499CDD30"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Ankstesniuse tyrimuose nebuvo registruota kitų, ne neoplastinių širdies ir kraujagyslių sistemos, kasos, endokrininių liaukų ir dantų pažeidimų. Svarbiausi pakitimai buvo širdies hipertrofija ir išsiplėtimas, dėl ko kai kuriems gyvūnėliams pasireiškė širdies nepakankamumo simptomai. </w:t>
      </w:r>
    </w:p>
    <w:p w14:paraId="21DE46A4" w14:textId="77777777" w:rsidR="00276DBE" w:rsidRPr="00776407" w:rsidRDefault="00276DBE" w:rsidP="00276DBE">
      <w:pPr>
        <w:autoSpaceDE w:val="0"/>
        <w:autoSpaceDN w:val="0"/>
        <w:adjustRightInd w:val="0"/>
        <w:rPr>
          <w:rFonts w:eastAsia="Calibri"/>
          <w:color w:val="000000"/>
          <w:sz w:val="22"/>
          <w:szCs w:val="22"/>
        </w:rPr>
      </w:pPr>
    </w:p>
    <w:p w14:paraId="6748D100" w14:textId="77777777" w:rsidR="00276DBE" w:rsidRPr="00776407" w:rsidRDefault="00276DBE" w:rsidP="00276DBE">
      <w:pPr>
        <w:autoSpaceDE w:val="0"/>
        <w:autoSpaceDN w:val="0"/>
        <w:adjustRightInd w:val="0"/>
        <w:rPr>
          <w:sz w:val="22"/>
          <w:szCs w:val="22"/>
        </w:rPr>
      </w:pPr>
      <w:r w:rsidRPr="00776407">
        <w:rPr>
          <w:sz w:val="22"/>
          <w:szCs w:val="22"/>
        </w:rPr>
        <w:t>Nustatyta, kad veiklioji medžiaga imatinibas kelia pavojų nuosėdose aptinkamiems organizmams.</w:t>
      </w:r>
    </w:p>
    <w:p w14:paraId="6F86DB84" w14:textId="77777777" w:rsidR="00430A5A" w:rsidRPr="00776407" w:rsidRDefault="00430A5A" w:rsidP="00430A5A">
      <w:pPr>
        <w:autoSpaceDE w:val="0"/>
        <w:autoSpaceDN w:val="0"/>
        <w:adjustRightInd w:val="0"/>
        <w:rPr>
          <w:rFonts w:eastAsia="Calibri"/>
          <w:color w:val="000000"/>
          <w:sz w:val="22"/>
          <w:szCs w:val="22"/>
        </w:rPr>
      </w:pPr>
    </w:p>
    <w:p w14:paraId="23A05416" w14:textId="77777777" w:rsidR="00430A5A" w:rsidRPr="00776407" w:rsidRDefault="00430A5A" w:rsidP="00430A5A">
      <w:pPr>
        <w:autoSpaceDE w:val="0"/>
        <w:autoSpaceDN w:val="0"/>
        <w:adjustRightInd w:val="0"/>
        <w:rPr>
          <w:rFonts w:eastAsia="Calibri"/>
          <w:color w:val="000000"/>
          <w:sz w:val="22"/>
          <w:szCs w:val="22"/>
        </w:rPr>
      </w:pPr>
    </w:p>
    <w:p w14:paraId="58C690A7" w14:textId="77777777" w:rsidR="00430A5A" w:rsidRPr="00776407" w:rsidRDefault="00430A5A" w:rsidP="00864BE6">
      <w:pPr>
        <w:pStyle w:val="Listenabsatz"/>
        <w:numPr>
          <w:ilvl w:val="0"/>
          <w:numId w:val="4"/>
        </w:numPr>
        <w:autoSpaceDE w:val="0"/>
        <w:autoSpaceDN w:val="0"/>
        <w:adjustRightInd w:val="0"/>
        <w:ind w:hanging="720"/>
        <w:rPr>
          <w:rFonts w:eastAsia="Calibri"/>
          <w:b/>
          <w:bCs/>
          <w:color w:val="000000"/>
          <w:sz w:val="22"/>
          <w:szCs w:val="22"/>
        </w:rPr>
      </w:pPr>
      <w:r w:rsidRPr="00776407">
        <w:rPr>
          <w:rFonts w:eastAsia="Calibri"/>
          <w:b/>
          <w:bCs/>
          <w:color w:val="000000"/>
          <w:sz w:val="22"/>
          <w:szCs w:val="22"/>
        </w:rPr>
        <w:t xml:space="preserve">FARMACINĖ INFORMACIJA </w:t>
      </w:r>
    </w:p>
    <w:p w14:paraId="54A84D81" w14:textId="77777777" w:rsidR="00430A5A" w:rsidRPr="00776407" w:rsidRDefault="00430A5A" w:rsidP="006113A0">
      <w:pPr>
        <w:autoSpaceDE w:val="0"/>
        <w:autoSpaceDN w:val="0"/>
        <w:adjustRightInd w:val="0"/>
        <w:ind w:left="709" w:hanging="709"/>
        <w:rPr>
          <w:rFonts w:eastAsia="Calibri"/>
          <w:color w:val="000000"/>
          <w:sz w:val="22"/>
          <w:szCs w:val="22"/>
        </w:rPr>
      </w:pPr>
    </w:p>
    <w:p w14:paraId="57B22AD9" w14:textId="77777777" w:rsidR="00430A5A" w:rsidRPr="00776407" w:rsidRDefault="00430A5A" w:rsidP="00864BE6">
      <w:pPr>
        <w:pStyle w:val="Listenabsatz"/>
        <w:numPr>
          <w:ilvl w:val="1"/>
          <w:numId w:val="5"/>
        </w:numPr>
        <w:autoSpaceDE w:val="0"/>
        <w:autoSpaceDN w:val="0"/>
        <w:adjustRightInd w:val="0"/>
        <w:ind w:left="709" w:hanging="709"/>
        <w:rPr>
          <w:rFonts w:eastAsia="Calibri"/>
          <w:b/>
          <w:bCs/>
          <w:color w:val="000000"/>
          <w:sz w:val="22"/>
          <w:szCs w:val="22"/>
        </w:rPr>
      </w:pPr>
      <w:r w:rsidRPr="00776407">
        <w:rPr>
          <w:rFonts w:eastAsia="Calibri"/>
          <w:b/>
          <w:bCs/>
          <w:color w:val="000000"/>
          <w:sz w:val="22"/>
          <w:szCs w:val="22"/>
        </w:rPr>
        <w:t xml:space="preserve">Pagalbinių medžiagų sąrašas </w:t>
      </w:r>
    </w:p>
    <w:p w14:paraId="6922B0A1" w14:textId="77777777" w:rsidR="00430A5A" w:rsidRPr="00776407" w:rsidRDefault="00430A5A" w:rsidP="00430A5A">
      <w:pPr>
        <w:autoSpaceDE w:val="0"/>
        <w:autoSpaceDN w:val="0"/>
        <w:adjustRightInd w:val="0"/>
        <w:rPr>
          <w:rFonts w:eastAsia="Calibri"/>
          <w:color w:val="000000"/>
          <w:sz w:val="22"/>
          <w:szCs w:val="22"/>
        </w:rPr>
      </w:pPr>
    </w:p>
    <w:p w14:paraId="72DEFC9B" w14:textId="77777777" w:rsidR="00430A5A" w:rsidRPr="00776407" w:rsidRDefault="00364DC6" w:rsidP="00364DC6">
      <w:pPr>
        <w:keepNext/>
        <w:autoSpaceDE w:val="0"/>
        <w:autoSpaceDN w:val="0"/>
        <w:adjustRightInd w:val="0"/>
        <w:rPr>
          <w:rFonts w:eastAsia="Calibri"/>
          <w:color w:val="000000"/>
          <w:sz w:val="22"/>
          <w:szCs w:val="22"/>
          <w:u w:val="single"/>
        </w:rPr>
      </w:pPr>
      <w:r w:rsidRPr="00776407">
        <w:rPr>
          <w:rFonts w:eastAsia="Calibri"/>
          <w:color w:val="000000"/>
          <w:sz w:val="22"/>
          <w:szCs w:val="22"/>
          <w:u w:val="single"/>
        </w:rPr>
        <w:t>Tabletės šerdis</w:t>
      </w:r>
      <w:r w:rsidR="00430A5A" w:rsidRPr="00776407">
        <w:rPr>
          <w:rFonts w:eastAsia="Calibri"/>
          <w:color w:val="000000"/>
          <w:sz w:val="22"/>
          <w:szCs w:val="22"/>
          <w:u w:val="single"/>
        </w:rPr>
        <w:t xml:space="preserve">: </w:t>
      </w:r>
    </w:p>
    <w:p w14:paraId="6F8DCAA1"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Mikrokristalinė celiuliozė </w:t>
      </w:r>
    </w:p>
    <w:p w14:paraId="2DA37A4D"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Kopovidonas</w:t>
      </w:r>
    </w:p>
    <w:p w14:paraId="7397A087"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Krospovidonas </w:t>
      </w:r>
    </w:p>
    <w:p w14:paraId="1AF662F7"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Natrio ste</w:t>
      </w:r>
      <w:r w:rsidR="004F6125" w:rsidRPr="00776407">
        <w:rPr>
          <w:rFonts w:eastAsia="Calibri"/>
          <w:color w:val="000000"/>
          <w:sz w:val="22"/>
          <w:szCs w:val="22"/>
        </w:rPr>
        <w:t>a</w:t>
      </w:r>
      <w:r w:rsidRPr="00776407">
        <w:rPr>
          <w:rFonts w:eastAsia="Calibri"/>
          <w:color w:val="000000"/>
          <w:sz w:val="22"/>
          <w:szCs w:val="22"/>
        </w:rPr>
        <w:t>rilfumaratas</w:t>
      </w:r>
    </w:p>
    <w:p w14:paraId="793F6462"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Koloidinis </w:t>
      </w:r>
      <w:r w:rsidR="006C135D" w:rsidRPr="00776407">
        <w:rPr>
          <w:rFonts w:eastAsia="Calibri"/>
          <w:color w:val="000000"/>
          <w:sz w:val="22"/>
          <w:szCs w:val="22"/>
        </w:rPr>
        <w:t xml:space="preserve">hidrofobinis </w:t>
      </w:r>
      <w:r w:rsidRPr="00776407">
        <w:rPr>
          <w:rFonts w:eastAsia="Calibri"/>
          <w:color w:val="000000"/>
          <w:sz w:val="22"/>
          <w:szCs w:val="22"/>
        </w:rPr>
        <w:t xml:space="preserve">silicio dioksidas </w:t>
      </w:r>
    </w:p>
    <w:p w14:paraId="0FFB0ED2"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Koloidinis </w:t>
      </w:r>
      <w:r w:rsidR="006C135D" w:rsidRPr="00776407">
        <w:rPr>
          <w:rFonts w:eastAsia="Calibri"/>
          <w:color w:val="000000"/>
          <w:sz w:val="22"/>
          <w:szCs w:val="22"/>
        </w:rPr>
        <w:t xml:space="preserve">bevandenis </w:t>
      </w:r>
      <w:r w:rsidRPr="00776407">
        <w:rPr>
          <w:rFonts w:eastAsia="Calibri"/>
          <w:color w:val="000000"/>
          <w:sz w:val="22"/>
          <w:szCs w:val="22"/>
        </w:rPr>
        <w:t xml:space="preserve">silicio dioksidas </w:t>
      </w:r>
    </w:p>
    <w:p w14:paraId="2D7454A6" w14:textId="77777777" w:rsidR="00430A5A" w:rsidRPr="00776407" w:rsidRDefault="00430A5A" w:rsidP="00430A5A">
      <w:pPr>
        <w:autoSpaceDE w:val="0"/>
        <w:autoSpaceDN w:val="0"/>
        <w:adjustRightInd w:val="0"/>
        <w:rPr>
          <w:rFonts w:eastAsia="Calibri"/>
          <w:color w:val="000000"/>
          <w:sz w:val="22"/>
          <w:szCs w:val="22"/>
        </w:rPr>
      </w:pPr>
    </w:p>
    <w:p w14:paraId="62E02D48" w14:textId="77777777" w:rsidR="00430A5A" w:rsidRPr="00776407" w:rsidRDefault="00364DC6" w:rsidP="00430A5A">
      <w:pPr>
        <w:autoSpaceDE w:val="0"/>
        <w:autoSpaceDN w:val="0"/>
        <w:adjustRightInd w:val="0"/>
        <w:rPr>
          <w:rFonts w:eastAsia="Calibri"/>
          <w:color w:val="000000"/>
          <w:sz w:val="22"/>
          <w:szCs w:val="22"/>
          <w:u w:val="single"/>
        </w:rPr>
      </w:pPr>
      <w:r w:rsidRPr="00776407">
        <w:rPr>
          <w:rFonts w:eastAsia="Calibri"/>
          <w:color w:val="000000"/>
          <w:sz w:val="22"/>
          <w:szCs w:val="22"/>
          <w:u w:val="single"/>
        </w:rPr>
        <w:t>Tabletės dangalas</w:t>
      </w:r>
      <w:r w:rsidR="00430A5A" w:rsidRPr="00776407">
        <w:rPr>
          <w:rFonts w:eastAsia="Calibri"/>
          <w:color w:val="000000"/>
          <w:sz w:val="22"/>
          <w:szCs w:val="22"/>
          <w:u w:val="single"/>
        </w:rPr>
        <w:t xml:space="preserve">: </w:t>
      </w:r>
    </w:p>
    <w:p w14:paraId="4D362036" w14:textId="77777777" w:rsidR="00430A5A" w:rsidRPr="00776407" w:rsidRDefault="006C135D" w:rsidP="00430A5A">
      <w:pPr>
        <w:autoSpaceDE w:val="0"/>
        <w:autoSpaceDN w:val="0"/>
        <w:adjustRightInd w:val="0"/>
        <w:rPr>
          <w:rFonts w:eastAsia="Calibri"/>
          <w:color w:val="000000"/>
          <w:sz w:val="22"/>
          <w:szCs w:val="22"/>
        </w:rPr>
      </w:pPr>
      <w:r w:rsidRPr="00776407">
        <w:rPr>
          <w:rFonts w:eastAsia="Calibri"/>
          <w:color w:val="000000"/>
          <w:sz w:val="22"/>
          <w:szCs w:val="22"/>
        </w:rPr>
        <w:t>Dalinai hidrolizuotas p</w:t>
      </w:r>
      <w:r w:rsidR="00364DC6" w:rsidRPr="00776407">
        <w:rPr>
          <w:rFonts w:eastAsia="Calibri"/>
          <w:color w:val="000000"/>
          <w:sz w:val="22"/>
          <w:szCs w:val="22"/>
        </w:rPr>
        <w:t>olivinilo alkoholis</w:t>
      </w:r>
    </w:p>
    <w:p w14:paraId="307E9787" w14:textId="77777777" w:rsidR="00364DC6" w:rsidRPr="00776407" w:rsidRDefault="00364DC6" w:rsidP="00430A5A">
      <w:pPr>
        <w:autoSpaceDE w:val="0"/>
        <w:autoSpaceDN w:val="0"/>
        <w:adjustRightInd w:val="0"/>
        <w:rPr>
          <w:rFonts w:eastAsia="Calibri"/>
          <w:color w:val="000000"/>
          <w:sz w:val="22"/>
          <w:szCs w:val="22"/>
        </w:rPr>
      </w:pPr>
      <w:r w:rsidRPr="00776407">
        <w:rPr>
          <w:rFonts w:eastAsia="Calibri"/>
          <w:color w:val="000000"/>
          <w:sz w:val="22"/>
          <w:szCs w:val="22"/>
        </w:rPr>
        <w:t>Talkas</w:t>
      </w:r>
    </w:p>
    <w:p w14:paraId="0387DCB4" w14:textId="77777777" w:rsidR="00DE3198" w:rsidRPr="00776407" w:rsidRDefault="00DE3198" w:rsidP="00DE3198">
      <w:pPr>
        <w:autoSpaceDE w:val="0"/>
        <w:autoSpaceDN w:val="0"/>
        <w:adjustRightInd w:val="0"/>
        <w:rPr>
          <w:rFonts w:eastAsia="Calibri"/>
          <w:color w:val="000000"/>
          <w:sz w:val="22"/>
          <w:szCs w:val="22"/>
        </w:rPr>
      </w:pPr>
      <w:r w:rsidRPr="00776407">
        <w:rPr>
          <w:rFonts w:eastAsia="Calibri"/>
          <w:color w:val="000000"/>
          <w:sz w:val="22"/>
          <w:szCs w:val="22"/>
        </w:rPr>
        <w:t>Geltonasis geležies oksidas (E172)</w:t>
      </w:r>
    </w:p>
    <w:p w14:paraId="0E2AA3E2" w14:textId="77777777" w:rsidR="00430A5A" w:rsidRPr="00776407" w:rsidRDefault="00430A5A" w:rsidP="00430A5A">
      <w:pPr>
        <w:autoSpaceDE w:val="0"/>
        <w:autoSpaceDN w:val="0"/>
        <w:adjustRightInd w:val="0"/>
        <w:rPr>
          <w:rFonts w:eastAsia="Calibri"/>
          <w:color w:val="000000"/>
          <w:sz w:val="22"/>
          <w:szCs w:val="22"/>
        </w:rPr>
      </w:pPr>
      <w:r w:rsidRPr="00776407">
        <w:rPr>
          <w:rFonts w:eastAsia="Calibri"/>
          <w:color w:val="000000"/>
          <w:sz w:val="22"/>
          <w:szCs w:val="22"/>
        </w:rPr>
        <w:t xml:space="preserve">Titano </w:t>
      </w:r>
      <w:r w:rsidR="00DE3198" w:rsidRPr="00776407">
        <w:rPr>
          <w:rFonts w:eastAsia="Calibri"/>
          <w:color w:val="000000"/>
          <w:sz w:val="22"/>
          <w:szCs w:val="22"/>
        </w:rPr>
        <w:t>di</w:t>
      </w:r>
      <w:r w:rsidRPr="00776407">
        <w:rPr>
          <w:rFonts w:eastAsia="Calibri"/>
          <w:color w:val="000000"/>
          <w:sz w:val="22"/>
          <w:szCs w:val="22"/>
        </w:rPr>
        <w:t xml:space="preserve">oksidas (E171) </w:t>
      </w:r>
    </w:p>
    <w:p w14:paraId="14DDDB50" w14:textId="77777777" w:rsidR="00DE3198" w:rsidRPr="00776407" w:rsidRDefault="00DE3198" w:rsidP="00DE3198">
      <w:pPr>
        <w:autoSpaceDE w:val="0"/>
        <w:autoSpaceDN w:val="0"/>
        <w:adjustRightInd w:val="0"/>
        <w:rPr>
          <w:rFonts w:eastAsia="Calibri"/>
          <w:color w:val="000000"/>
          <w:sz w:val="22"/>
          <w:szCs w:val="22"/>
        </w:rPr>
      </w:pPr>
      <w:r w:rsidRPr="00776407">
        <w:rPr>
          <w:rFonts w:eastAsia="Calibri"/>
          <w:color w:val="000000"/>
          <w:sz w:val="22"/>
          <w:szCs w:val="22"/>
        </w:rPr>
        <w:t>Raudonasis geležies oksidas (E172)</w:t>
      </w:r>
    </w:p>
    <w:p w14:paraId="1E33471C" w14:textId="77777777" w:rsidR="00DE3198" w:rsidRPr="00776407" w:rsidRDefault="00DE3198" w:rsidP="00DE3198">
      <w:pPr>
        <w:autoSpaceDE w:val="0"/>
        <w:autoSpaceDN w:val="0"/>
        <w:adjustRightInd w:val="0"/>
        <w:rPr>
          <w:rFonts w:eastAsia="Calibri"/>
          <w:color w:val="000000"/>
          <w:sz w:val="22"/>
          <w:szCs w:val="22"/>
        </w:rPr>
      </w:pPr>
      <w:r w:rsidRPr="00776407">
        <w:rPr>
          <w:rFonts w:eastAsia="Calibri"/>
          <w:color w:val="000000"/>
          <w:sz w:val="22"/>
          <w:szCs w:val="22"/>
        </w:rPr>
        <w:t>Soj</w:t>
      </w:r>
      <w:r w:rsidR="006C135D" w:rsidRPr="00776407">
        <w:rPr>
          <w:rFonts w:eastAsia="Calibri"/>
          <w:color w:val="000000"/>
          <w:sz w:val="22"/>
          <w:szCs w:val="22"/>
        </w:rPr>
        <w:t>ų</w:t>
      </w:r>
      <w:r w:rsidRPr="00776407">
        <w:rPr>
          <w:rFonts w:eastAsia="Calibri"/>
          <w:color w:val="000000"/>
          <w:sz w:val="22"/>
          <w:szCs w:val="22"/>
        </w:rPr>
        <w:t xml:space="preserve"> lecitinas (E322)</w:t>
      </w:r>
    </w:p>
    <w:p w14:paraId="303BB5BE" w14:textId="77777777" w:rsidR="00DE3198" w:rsidRPr="00776407" w:rsidRDefault="00DE3198" w:rsidP="00DE3198">
      <w:pPr>
        <w:autoSpaceDE w:val="0"/>
        <w:autoSpaceDN w:val="0"/>
        <w:adjustRightInd w:val="0"/>
        <w:rPr>
          <w:rFonts w:eastAsia="Calibri"/>
          <w:color w:val="000000"/>
          <w:sz w:val="22"/>
          <w:szCs w:val="22"/>
        </w:rPr>
      </w:pPr>
      <w:r w:rsidRPr="00776407">
        <w:rPr>
          <w:rFonts w:eastAsia="Calibri"/>
          <w:color w:val="000000"/>
          <w:sz w:val="22"/>
          <w:szCs w:val="22"/>
        </w:rPr>
        <w:t xml:space="preserve">Ksantano </w:t>
      </w:r>
      <w:r w:rsidR="006C135D" w:rsidRPr="00776407">
        <w:rPr>
          <w:rFonts w:eastAsia="Calibri"/>
          <w:color w:val="000000"/>
          <w:sz w:val="22"/>
          <w:szCs w:val="22"/>
        </w:rPr>
        <w:t>lipai</w:t>
      </w:r>
      <w:r w:rsidRPr="00776407">
        <w:rPr>
          <w:rFonts w:eastAsia="Calibri"/>
          <w:color w:val="000000"/>
          <w:sz w:val="22"/>
          <w:szCs w:val="22"/>
        </w:rPr>
        <w:t xml:space="preserve"> (E415)</w:t>
      </w:r>
    </w:p>
    <w:p w14:paraId="7DB8192E" w14:textId="77777777" w:rsidR="00430A5A" w:rsidRPr="00776407" w:rsidRDefault="00430A5A" w:rsidP="00430A5A">
      <w:pPr>
        <w:autoSpaceDE w:val="0"/>
        <w:autoSpaceDN w:val="0"/>
        <w:adjustRightInd w:val="0"/>
        <w:rPr>
          <w:rFonts w:eastAsia="Calibri"/>
          <w:color w:val="000000"/>
          <w:sz w:val="22"/>
          <w:szCs w:val="22"/>
        </w:rPr>
      </w:pPr>
    </w:p>
    <w:p w14:paraId="1AAAEDC7" w14:textId="77777777" w:rsidR="00430A5A" w:rsidRPr="00776407" w:rsidRDefault="00430A5A" w:rsidP="00864BE6">
      <w:pPr>
        <w:pStyle w:val="Listenabsatz"/>
        <w:numPr>
          <w:ilvl w:val="1"/>
          <w:numId w:val="5"/>
        </w:numPr>
        <w:autoSpaceDE w:val="0"/>
        <w:autoSpaceDN w:val="0"/>
        <w:adjustRightInd w:val="0"/>
        <w:ind w:left="709" w:hanging="709"/>
        <w:rPr>
          <w:rFonts w:eastAsia="Calibri"/>
          <w:b/>
          <w:bCs/>
          <w:color w:val="000000"/>
          <w:sz w:val="22"/>
          <w:szCs w:val="22"/>
        </w:rPr>
      </w:pPr>
      <w:r w:rsidRPr="00776407">
        <w:rPr>
          <w:rFonts w:eastAsia="Calibri"/>
          <w:b/>
          <w:bCs/>
          <w:color w:val="000000"/>
          <w:sz w:val="22"/>
          <w:szCs w:val="22"/>
        </w:rPr>
        <w:t xml:space="preserve">Nesuderinamumas </w:t>
      </w:r>
    </w:p>
    <w:p w14:paraId="2A70ACB5" w14:textId="77777777" w:rsidR="00430A5A" w:rsidRPr="00776407" w:rsidRDefault="00430A5A" w:rsidP="00DE3198">
      <w:pPr>
        <w:autoSpaceDE w:val="0"/>
        <w:autoSpaceDN w:val="0"/>
        <w:adjustRightInd w:val="0"/>
        <w:ind w:left="709" w:hanging="709"/>
        <w:rPr>
          <w:rFonts w:eastAsia="Calibri"/>
          <w:color w:val="000000"/>
          <w:sz w:val="22"/>
          <w:szCs w:val="22"/>
        </w:rPr>
      </w:pPr>
    </w:p>
    <w:p w14:paraId="3F9E652F" w14:textId="77777777" w:rsidR="00430A5A" w:rsidRPr="00776407" w:rsidRDefault="00430A5A" w:rsidP="00DE3198">
      <w:pPr>
        <w:autoSpaceDE w:val="0"/>
        <w:autoSpaceDN w:val="0"/>
        <w:adjustRightInd w:val="0"/>
        <w:ind w:left="709" w:hanging="709"/>
        <w:rPr>
          <w:rFonts w:eastAsia="Calibri"/>
          <w:color w:val="000000"/>
          <w:sz w:val="22"/>
          <w:szCs w:val="22"/>
        </w:rPr>
      </w:pPr>
      <w:r w:rsidRPr="00776407">
        <w:rPr>
          <w:rFonts w:eastAsia="Calibri"/>
          <w:color w:val="000000"/>
          <w:sz w:val="22"/>
          <w:szCs w:val="22"/>
        </w:rPr>
        <w:t xml:space="preserve">Duomenys nebūtini. </w:t>
      </w:r>
    </w:p>
    <w:p w14:paraId="3A9C9637" w14:textId="77777777" w:rsidR="00430A5A" w:rsidRPr="00776407" w:rsidRDefault="00430A5A" w:rsidP="00DE3198">
      <w:pPr>
        <w:autoSpaceDE w:val="0"/>
        <w:autoSpaceDN w:val="0"/>
        <w:adjustRightInd w:val="0"/>
        <w:ind w:left="709" w:hanging="709"/>
        <w:rPr>
          <w:rFonts w:eastAsia="Calibri"/>
          <w:color w:val="000000"/>
          <w:sz w:val="22"/>
          <w:szCs w:val="22"/>
        </w:rPr>
      </w:pPr>
    </w:p>
    <w:p w14:paraId="243B832A" w14:textId="77777777" w:rsidR="00430A5A" w:rsidRPr="00776407" w:rsidRDefault="00430A5A" w:rsidP="00864BE6">
      <w:pPr>
        <w:pStyle w:val="Listenabsatz"/>
        <w:numPr>
          <w:ilvl w:val="1"/>
          <w:numId w:val="5"/>
        </w:numPr>
        <w:autoSpaceDE w:val="0"/>
        <w:autoSpaceDN w:val="0"/>
        <w:adjustRightInd w:val="0"/>
        <w:ind w:left="709" w:hanging="709"/>
        <w:rPr>
          <w:rFonts w:eastAsia="Calibri"/>
          <w:b/>
          <w:bCs/>
          <w:color w:val="000000"/>
          <w:sz w:val="22"/>
          <w:szCs w:val="22"/>
        </w:rPr>
      </w:pPr>
      <w:r w:rsidRPr="00776407">
        <w:rPr>
          <w:rFonts w:eastAsia="Calibri"/>
          <w:b/>
          <w:bCs/>
          <w:color w:val="000000"/>
          <w:sz w:val="22"/>
          <w:szCs w:val="22"/>
        </w:rPr>
        <w:t xml:space="preserve">Tinkamumo laikas </w:t>
      </w:r>
    </w:p>
    <w:p w14:paraId="1A23AB2A" w14:textId="77777777" w:rsidR="00430A5A" w:rsidRPr="00776407" w:rsidRDefault="00430A5A" w:rsidP="00DE3198">
      <w:pPr>
        <w:autoSpaceDE w:val="0"/>
        <w:autoSpaceDN w:val="0"/>
        <w:adjustRightInd w:val="0"/>
        <w:ind w:left="709" w:hanging="709"/>
        <w:rPr>
          <w:rFonts w:eastAsia="Calibri"/>
          <w:color w:val="000000"/>
          <w:sz w:val="22"/>
          <w:szCs w:val="22"/>
        </w:rPr>
      </w:pPr>
    </w:p>
    <w:p w14:paraId="656A39FB" w14:textId="77777777" w:rsidR="006D52A1" w:rsidRPr="00776407" w:rsidRDefault="006D52A1" w:rsidP="006D52A1">
      <w:pPr>
        <w:autoSpaceDE w:val="0"/>
        <w:autoSpaceDN w:val="0"/>
        <w:adjustRightInd w:val="0"/>
        <w:rPr>
          <w:rFonts w:eastAsia="Calibri"/>
          <w:sz w:val="22"/>
          <w:szCs w:val="22"/>
          <w:u w:val="single"/>
        </w:rPr>
      </w:pPr>
      <w:r w:rsidRPr="00776407">
        <w:rPr>
          <w:rFonts w:eastAsia="Calibri"/>
          <w:sz w:val="22"/>
          <w:szCs w:val="22"/>
          <w:u w:val="single"/>
        </w:rPr>
        <w:t xml:space="preserve">Imatinib Actavis 100 mg </w:t>
      </w:r>
      <w:r w:rsidR="00190382" w:rsidRPr="00776407">
        <w:rPr>
          <w:rFonts w:eastAsia="Calibri"/>
          <w:sz w:val="22"/>
          <w:szCs w:val="22"/>
          <w:u w:val="single"/>
        </w:rPr>
        <w:t>plėvele dengtos tabletės</w:t>
      </w:r>
    </w:p>
    <w:p w14:paraId="373F3637" w14:textId="77777777" w:rsidR="00DE3198" w:rsidRPr="00776407" w:rsidRDefault="00DE3198" w:rsidP="00DE3198">
      <w:pPr>
        <w:autoSpaceDE w:val="0"/>
        <w:autoSpaceDN w:val="0"/>
        <w:adjustRightInd w:val="0"/>
        <w:rPr>
          <w:sz w:val="22"/>
          <w:szCs w:val="22"/>
        </w:rPr>
      </w:pPr>
      <w:r w:rsidRPr="00776407">
        <w:rPr>
          <w:sz w:val="22"/>
          <w:szCs w:val="22"/>
        </w:rPr>
        <w:t xml:space="preserve">2 </w:t>
      </w:r>
      <w:r w:rsidR="00070733" w:rsidRPr="00776407">
        <w:rPr>
          <w:sz w:val="22"/>
          <w:szCs w:val="22"/>
        </w:rPr>
        <w:t>me</w:t>
      </w:r>
      <w:r w:rsidRPr="00776407">
        <w:rPr>
          <w:sz w:val="22"/>
          <w:szCs w:val="22"/>
        </w:rPr>
        <w:t>tai</w:t>
      </w:r>
    </w:p>
    <w:p w14:paraId="0F0FA244" w14:textId="77777777" w:rsidR="00430A5A" w:rsidRPr="00776407" w:rsidRDefault="00430A5A" w:rsidP="00DE3198">
      <w:pPr>
        <w:autoSpaceDE w:val="0"/>
        <w:autoSpaceDN w:val="0"/>
        <w:adjustRightInd w:val="0"/>
        <w:ind w:left="709" w:hanging="709"/>
        <w:rPr>
          <w:rFonts w:eastAsia="Calibri"/>
          <w:color w:val="000000"/>
          <w:sz w:val="22"/>
          <w:szCs w:val="22"/>
        </w:rPr>
      </w:pPr>
    </w:p>
    <w:p w14:paraId="65D0CCB7" w14:textId="77777777" w:rsidR="006D52A1" w:rsidRPr="00776407" w:rsidRDefault="006D52A1" w:rsidP="006D52A1">
      <w:pPr>
        <w:autoSpaceDE w:val="0"/>
        <w:autoSpaceDN w:val="0"/>
        <w:adjustRightInd w:val="0"/>
        <w:rPr>
          <w:rFonts w:eastAsia="Calibri"/>
          <w:sz w:val="22"/>
          <w:szCs w:val="22"/>
          <w:u w:val="single"/>
        </w:rPr>
      </w:pPr>
      <w:r w:rsidRPr="00776407">
        <w:rPr>
          <w:rFonts w:eastAsia="Calibri"/>
          <w:sz w:val="22"/>
          <w:szCs w:val="22"/>
          <w:u w:val="single"/>
        </w:rPr>
        <w:t xml:space="preserve">Imatinib Actavis 400 mg </w:t>
      </w:r>
      <w:r w:rsidR="00190382" w:rsidRPr="00776407">
        <w:rPr>
          <w:rFonts w:eastAsia="Calibri"/>
          <w:sz w:val="22"/>
          <w:szCs w:val="22"/>
          <w:u w:val="single"/>
        </w:rPr>
        <w:t>plėvele dengtos tabletės</w:t>
      </w:r>
    </w:p>
    <w:p w14:paraId="164A634C" w14:textId="77777777" w:rsidR="006D52A1" w:rsidRPr="00776407" w:rsidRDefault="00190382" w:rsidP="006D52A1">
      <w:pPr>
        <w:autoSpaceDE w:val="0"/>
        <w:autoSpaceDN w:val="0"/>
        <w:adjustRightInd w:val="0"/>
        <w:rPr>
          <w:rFonts w:eastAsia="Calibri"/>
          <w:sz w:val="22"/>
          <w:szCs w:val="22"/>
        </w:rPr>
      </w:pPr>
      <w:r w:rsidRPr="00776407">
        <w:rPr>
          <w:rFonts w:eastAsia="Calibri"/>
          <w:sz w:val="22"/>
          <w:szCs w:val="22"/>
        </w:rPr>
        <w:t>21 mėnuo</w:t>
      </w:r>
    </w:p>
    <w:p w14:paraId="3ED013C8" w14:textId="77777777" w:rsidR="006D52A1" w:rsidRPr="00776407" w:rsidRDefault="006D52A1" w:rsidP="00DE3198">
      <w:pPr>
        <w:autoSpaceDE w:val="0"/>
        <w:autoSpaceDN w:val="0"/>
        <w:adjustRightInd w:val="0"/>
        <w:ind w:left="709" w:hanging="709"/>
        <w:rPr>
          <w:rFonts w:eastAsia="Calibri"/>
          <w:color w:val="000000"/>
          <w:sz w:val="22"/>
          <w:szCs w:val="22"/>
        </w:rPr>
      </w:pPr>
    </w:p>
    <w:p w14:paraId="4F93A9D6" w14:textId="77777777" w:rsidR="00430A5A" w:rsidRPr="00776407" w:rsidRDefault="00430A5A" w:rsidP="00864BE6">
      <w:pPr>
        <w:pStyle w:val="Listenabsatz"/>
        <w:numPr>
          <w:ilvl w:val="1"/>
          <w:numId w:val="5"/>
        </w:numPr>
        <w:autoSpaceDE w:val="0"/>
        <w:autoSpaceDN w:val="0"/>
        <w:adjustRightInd w:val="0"/>
        <w:ind w:left="709" w:hanging="709"/>
        <w:rPr>
          <w:rFonts w:eastAsia="Calibri"/>
          <w:b/>
          <w:bCs/>
          <w:color w:val="000000"/>
          <w:sz w:val="22"/>
          <w:szCs w:val="22"/>
        </w:rPr>
      </w:pPr>
      <w:r w:rsidRPr="00776407">
        <w:rPr>
          <w:rFonts w:eastAsia="Calibri"/>
          <w:b/>
          <w:bCs/>
          <w:color w:val="000000"/>
          <w:sz w:val="22"/>
          <w:szCs w:val="22"/>
        </w:rPr>
        <w:t xml:space="preserve">Specialios laikymo sąlygos </w:t>
      </w:r>
    </w:p>
    <w:p w14:paraId="6EE749D6" w14:textId="77777777" w:rsidR="00430A5A" w:rsidRPr="00776407" w:rsidRDefault="00430A5A" w:rsidP="00DE3198">
      <w:pPr>
        <w:autoSpaceDE w:val="0"/>
        <w:autoSpaceDN w:val="0"/>
        <w:adjustRightInd w:val="0"/>
        <w:ind w:left="709" w:hanging="709"/>
        <w:rPr>
          <w:rFonts w:eastAsia="Calibri"/>
          <w:color w:val="000000"/>
          <w:sz w:val="22"/>
          <w:szCs w:val="22"/>
        </w:rPr>
      </w:pPr>
    </w:p>
    <w:p w14:paraId="3A088171" w14:textId="77777777" w:rsidR="00430A5A" w:rsidRPr="00776407" w:rsidRDefault="00430A5A" w:rsidP="00DE3198">
      <w:pPr>
        <w:autoSpaceDE w:val="0"/>
        <w:autoSpaceDN w:val="0"/>
        <w:adjustRightInd w:val="0"/>
        <w:ind w:left="709" w:hanging="709"/>
        <w:rPr>
          <w:rFonts w:eastAsia="Calibri"/>
          <w:color w:val="000000"/>
          <w:sz w:val="22"/>
          <w:szCs w:val="22"/>
        </w:rPr>
      </w:pPr>
      <w:r w:rsidRPr="00776407">
        <w:rPr>
          <w:rFonts w:eastAsia="Calibri"/>
          <w:color w:val="000000"/>
          <w:sz w:val="22"/>
          <w:szCs w:val="22"/>
        </w:rPr>
        <w:t xml:space="preserve">Laikyti ne aukštesnėje kaip </w:t>
      </w:r>
      <w:r w:rsidRPr="00776407">
        <w:rPr>
          <w:sz w:val="22"/>
          <w:szCs w:val="22"/>
        </w:rPr>
        <w:t>30</w:t>
      </w:r>
      <w:r w:rsidR="009F4021" w:rsidRPr="00776407">
        <w:rPr>
          <w:sz w:val="22"/>
          <w:szCs w:val="22"/>
        </w:rPr>
        <w:t> </w:t>
      </w:r>
      <w:r w:rsidRPr="00776407">
        <w:rPr>
          <w:sz w:val="22"/>
          <w:szCs w:val="22"/>
        </w:rPr>
        <w:t>°C</w:t>
      </w:r>
      <w:r w:rsidRPr="00776407">
        <w:rPr>
          <w:rFonts w:eastAsia="Calibri"/>
          <w:color w:val="000000"/>
          <w:sz w:val="22"/>
          <w:szCs w:val="22"/>
        </w:rPr>
        <w:t xml:space="preserve"> temperatūroje. </w:t>
      </w:r>
    </w:p>
    <w:p w14:paraId="735A98B3" w14:textId="77777777" w:rsidR="00430A5A" w:rsidRPr="00776407" w:rsidRDefault="00430A5A" w:rsidP="00DE3198">
      <w:pPr>
        <w:autoSpaceDE w:val="0"/>
        <w:autoSpaceDN w:val="0"/>
        <w:adjustRightInd w:val="0"/>
        <w:ind w:left="709" w:hanging="709"/>
        <w:rPr>
          <w:rFonts w:ascii="Arial" w:eastAsia="Calibri" w:hAnsi="Arial" w:cs="Arial"/>
          <w:color w:val="000000"/>
          <w:sz w:val="16"/>
          <w:szCs w:val="16"/>
        </w:rPr>
      </w:pPr>
      <w:r w:rsidRPr="00776407">
        <w:rPr>
          <w:rFonts w:eastAsia="Calibri"/>
          <w:color w:val="000000"/>
          <w:sz w:val="22"/>
          <w:szCs w:val="22"/>
        </w:rPr>
        <w:t>Laikyti gamintojo pakuotėje, kad preparatas būtų apsaugotas nuo drėgmės.</w:t>
      </w:r>
    </w:p>
    <w:p w14:paraId="75A10442" w14:textId="77777777" w:rsidR="00430A5A" w:rsidRPr="00776407" w:rsidRDefault="00430A5A" w:rsidP="00DE3198">
      <w:pPr>
        <w:autoSpaceDE w:val="0"/>
        <w:autoSpaceDN w:val="0"/>
        <w:adjustRightInd w:val="0"/>
        <w:ind w:left="709" w:hanging="709"/>
        <w:rPr>
          <w:rFonts w:eastAsia="Calibri"/>
          <w:sz w:val="22"/>
          <w:szCs w:val="22"/>
        </w:rPr>
      </w:pPr>
    </w:p>
    <w:p w14:paraId="3D2D5448" w14:textId="77777777" w:rsidR="00430A5A" w:rsidRPr="00776407" w:rsidRDefault="00430A5A" w:rsidP="00864BE6">
      <w:pPr>
        <w:pStyle w:val="Listenabsatz"/>
        <w:numPr>
          <w:ilvl w:val="1"/>
          <w:numId w:val="5"/>
        </w:numPr>
        <w:autoSpaceDE w:val="0"/>
        <w:autoSpaceDN w:val="0"/>
        <w:adjustRightInd w:val="0"/>
        <w:ind w:left="709" w:hanging="709"/>
        <w:rPr>
          <w:rFonts w:eastAsia="Calibri"/>
          <w:b/>
          <w:sz w:val="22"/>
          <w:szCs w:val="22"/>
        </w:rPr>
      </w:pPr>
      <w:r w:rsidRPr="00776407">
        <w:rPr>
          <w:rFonts w:eastAsia="Calibri"/>
          <w:b/>
          <w:sz w:val="22"/>
          <w:szCs w:val="22"/>
        </w:rPr>
        <w:t>Talpyklės pobūdis ir jos turinys</w:t>
      </w:r>
    </w:p>
    <w:p w14:paraId="0F073530" w14:textId="77777777" w:rsidR="00430A5A" w:rsidRPr="00776407" w:rsidRDefault="00430A5A" w:rsidP="00430A5A">
      <w:pPr>
        <w:autoSpaceDE w:val="0"/>
        <w:autoSpaceDN w:val="0"/>
        <w:adjustRightInd w:val="0"/>
        <w:rPr>
          <w:rFonts w:eastAsia="Calibri"/>
          <w:sz w:val="22"/>
          <w:szCs w:val="22"/>
        </w:rPr>
      </w:pPr>
    </w:p>
    <w:p w14:paraId="22901C8D" w14:textId="77777777" w:rsidR="00430A5A" w:rsidRPr="00776407" w:rsidRDefault="00430A5A" w:rsidP="00430A5A">
      <w:pPr>
        <w:autoSpaceDE w:val="0"/>
        <w:autoSpaceDN w:val="0"/>
        <w:adjustRightInd w:val="0"/>
        <w:rPr>
          <w:rFonts w:eastAsia="Calibri"/>
          <w:sz w:val="22"/>
          <w:szCs w:val="22"/>
        </w:rPr>
      </w:pPr>
      <w:r w:rsidRPr="00776407">
        <w:rPr>
          <w:rFonts w:eastAsia="Calibri"/>
          <w:sz w:val="22"/>
          <w:szCs w:val="22"/>
        </w:rPr>
        <w:t>Al/PVC/Aclar lizdinės plokštelės</w:t>
      </w:r>
      <w:r w:rsidR="006C135D" w:rsidRPr="00776407">
        <w:rPr>
          <w:rFonts w:eastAsia="Calibri"/>
          <w:sz w:val="22"/>
          <w:szCs w:val="22"/>
        </w:rPr>
        <w:t>.</w:t>
      </w:r>
      <w:r w:rsidR="00834C98" w:rsidRPr="00776407">
        <w:rPr>
          <w:rFonts w:eastAsia="Calibri"/>
          <w:sz w:val="22"/>
          <w:szCs w:val="22"/>
        </w:rPr>
        <w:t xml:space="preserve"> Vienoje lizdinėje plokštelėje yra 10 tablečių.</w:t>
      </w:r>
    </w:p>
    <w:p w14:paraId="0DA403D9" w14:textId="77777777" w:rsidR="00430A5A" w:rsidRPr="00776407" w:rsidRDefault="00430A5A" w:rsidP="00430A5A">
      <w:pPr>
        <w:autoSpaceDE w:val="0"/>
        <w:autoSpaceDN w:val="0"/>
        <w:adjustRightInd w:val="0"/>
        <w:rPr>
          <w:rFonts w:eastAsia="Calibri"/>
          <w:sz w:val="22"/>
          <w:szCs w:val="22"/>
        </w:rPr>
      </w:pPr>
    </w:p>
    <w:p w14:paraId="68345F44" w14:textId="77777777" w:rsidR="006D52A1" w:rsidRPr="00776407" w:rsidRDefault="006D52A1" w:rsidP="006D52A1">
      <w:pPr>
        <w:autoSpaceDE w:val="0"/>
        <w:autoSpaceDN w:val="0"/>
        <w:adjustRightInd w:val="0"/>
        <w:rPr>
          <w:rFonts w:eastAsia="Calibri"/>
          <w:sz w:val="22"/>
          <w:szCs w:val="22"/>
        </w:rPr>
      </w:pPr>
      <w:r w:rsidRPr="00776407">
        <w:rPr>
          <w:rFonts w:eastAsia="Calibri"/>
          <w:sz w:val="22"/>
          <w:szCs w:val="22"/>
        </w:rPr>
        <w:t xml:space="preserve">Imatinib Actavis 100 mg </w:t>
      </w:r>
      <w:r w:rsidR="00190382" w:rsidRPr="00776407">
        <w:rPr>
          <w:rFonts w:eastAsia="Calibri"/>
          <w:sz w:val="22"/>
          <w:szCs w:val="22"/>
        </w:rPr>
        <w:t>plėvele dengtos tabletės</w:t>
      </w:r>
    </w:p>
    <w:p w14:paraId="3C379FD3" w14:textId="77777777" w:rsidR="00430A5A" w:rsidRPr="00776407" w:rsidRDefault="00430A5A" w:rsidP="00430A5A">
      <w:pPr>
        <w:autoSpaceDE w:val="0"/>
        <w:autoSpaceDN w:val="0"/>
        <w:adjustRightInd w:val="0"/>
        <w:rPr>
          <w:rFonts w:eastAsia="Calibri"/>
          <w:sz w:val="22"/>
          <w:szCs w:val="22"/>
        </w:rPr>
      </w:pPr>
      <w:r w:rsidRPr="00776407">
        <w:rPr>
          <w:rFonts w:eastAsia="Calibri"/>
          <w:sz w:val="22"/>
          <w:szCs w:val="22"/>
        </w:rPr>
        <w:t xml:space="preserve">Pakuotėje yra </w:t>
      </w:r>
      <w:r w:rsidR="00DE3198" w:rsidRPr="00776407">
        <w:rPr>
          <w:sz w:val="22"/>
          <w:szCs w:val="22"/>
        </w:rPr>
        <w:t>10, 20, 30, 60, 90, 120</w:t>
      </w:r>
      <w:r w:rsidRPr="00776407">
        <w:rPr>
          <w:rFonts w:eastAsia="Calibri"/>
          <w:sz w:val="22"/>
          <w:szCs w:val="22"/>
        </w:rPr>
        <w:t xml:space="preserve"> ar </w:t>
      </w:r>
      <w:r w:rsidR="00DE3198" w:rsidRPr="00776407">
        <w:rPr>
          <w:rFonts w:eastAsia="Calibri"/>
          <w:sz w:val="22"/>
          <w:szCs w:val="22"/>
        </w:rPr>
        <w:t>18</w:t>
      </w:r>
      <w:r w:rsidRPr="00776407">
        <w:rPr>
          <w:rFonts w:eastAsia="Calibri"/>
          <w:sz w:val="22"/>
          <w:szCs w:val="22"/>
        </w:rPr>
        <w:t>0</w:t>
      </w:r>
      <w:r w:rsidR="00DE3198" w:rsidRPr="00776407">
        <w:rPr>
          <w:rFonts w:eastAsia="Calibri"/>
          <w:sz w:val="22"/>
          <w:szCs w:val="22"/>
        </w:rPr>
        <w:t> plėvele dengtų tablečių</w:t>
      </w:r>
      <w:r w:rsidR="006C135D" w:rsidRPr="00776407">
        <w:rPr>
          <w:rFonts w:eastAsia="Calibri"/>
          <w:sz w:val="22"/>
          <w:szCs w:val="22"/>
        </w:rPr>
        <w:t>.</w:t>
      </w:r>
    </w:p>
    <w:p w14:paraId="3CFB3F9D" w14:textId="77777777" w:rsidR="00430A5A" w:rsidRPr="00776407" w:rsidRDefault="00430A5A" w:rsidP="00430A5A">
      <w:pPr>
        <w:autoSpaceDE w:val="0"/>
        <w:autoSpaceDN w:val="0"/>
        <w:adjustRightInd w:val="0"/>
        <w:rPr>
          <w:rFonts w:eastAsia="Calibri"/>
          <w:sz w:val="22"/>
          <w:szCs w:val="22"/>
        </w:rPr>
      </w:pPr>
    </w:p>
    <w:p w14:paraId="0DC43B56" w14:textId="77777777" w:rsidR="006D52A1" w:rsidRPr="00776407" w:rsidRDefault="006D52A1" w:rsidP="006D52A1">
      <w:pPr>
        <w:autoSpaceDE w:val="0"/>
        <w:autoSpaceDN w:val="0"/>
        <w:adjustRightInd w:val="0"/>
        <w:rPr>
          <w:rFonts w:eastAsia="Calibri"/>
          <w:sz w:val="22"/>
          <w:szCs w:val="22"/>
        </w:rPr>
      </w:pPr>
      <w:r w:rsidRPr="00776407">
        <w:rPr>
          <w:rFonts w:eastAsia="Calibri"/>
          <w:sz w:val="22"/>
          <w:szCs w:val="22"/>
        </w:rPr>
        <w:t xml:space="preserve">Imatinib Actavis 400 mg </w:t>
      </w:r>
      <w:r w:rsidR="00190382" w:rsidRPr="00776407">
        <w:rPr>
          <w:rFonts w:eastAsia="Calibri"/>
          <w:sz w:val="22"/>
          <w:szCs w:val="22"/>
        </w:rPr>
        <w:t>plėvele dengtos tabletės</w:t>
      </w:r>
    </w:p>
    <w:p w14:paraId="3C2508CA" w14:textId="77777777" w:rsidR="006D52A1" w:rsidRPr="00776407" w:rsidRDefault="00190382" w:rsidP="006D52A1">
      <w:pPr>
        <w:rPr>
          <w:rFonts w:eastAsia="Calibri"/>
          <w:sz w:val="22"/>
          <w:szCs w:val="22"/>
        </w:rPr>
      </w:pPr>
      <w:r w:rsidRPr="00776407">
        <w:rPr>
          <w:rFonts w:eastAsia="Calibri"/>
          <w:sz w:val="22"/>
          <w:szCs w:val="22"/>
        </w:rPr>
        <w:t>Pakuotėje yra 10, 30, 60 ar 90 plėvele dengtų tablečių.</w:t>
      </w:r>
    </w:p>
    <w:p w14:paraId="73CF1036" w14:textId="77777777" w:rsidR="006D52A1" w:rsidRPr="00776407" w:rsidRDefault="006D52A1" w:rsidP="00430A5A">
      <w:pPr>
        <w:autoSpaceDE w:val="0"/>
        <w:autoSpaceDN w:val="0"/>
        <w:adjustRightInd w:val="0"/>
        <w:rPr>
          <w:rFonts w:eastAsia="Calibri"/>
          <w:sz w:val="22"/>
          <w:szCs w:val="22"/>
        </w:rPr>
      </w:pPr>
    </w:p>
    <w:p w14:paraId="69ADD7DC" w14:textId="77777777" w:rsidR="00430A5A" w:rsidRPr="00776407" w:rsidRDefault="00430A5A" w:rsidP="00430A5A">
      <w:pPr>
        <w:autoSpaceDE w:val="0"/>
        <w:autoSpaceDN w:val="0"/>
        <w:adjustRightInd w:val="0"/>
        <w:rPr>
          <w:rFonts w:eastAsia="Calibri"/>
          <w:sz w:val="22"/>
          <w:szCs w:val="22"/>
        </w:rPr>
      </w:pPr>
      <w:r w:rsidRPr="00776407">
        <w:rPr>
          <w:rFonts w:eastAsia="Calibri"/>
          <w:sz w:val="22"/>
          <w:szCs w:val="22"/>
        </w:rPr>
        <w:t>Gali būti tiekiamos ne visų dydžių pakuotės.</w:t>
      </w:r>
    </w:p>
    <w:p w14:paraId="4D3EF0A8" w14:textId="77777777" w:rsidR="00430A5A" w:rsidRPr="00776407" w:rsidRDefault="00430A5A" w:rsidP="00430A5A">
      <w:pPr>
        <w:autoSpaceDE w:val="0"/>
        <w:autoSpaceDN w:val="0"/>
        <w:adjustRightInd w:val="0"/>
        <w:rPr>
          <w:rFonts w:eastAsia="Calibri"/>
          <w:sz w:val="22"/>
          <w:szCs w:val="22"/>
        </w:rPr>
      </w:pPr>
    </w:p>
    <w:p w14:paraId="02A33FCA" w14:textId="77777777" w:rsidR="00430A5A" w:rsidRPr="00776407" w:rsidRDefault="00430A5A" w:rsidP="00430A5A">
      <w:pPr>
        <w:autoSpaceDE w:val="0"/>
        <w:autoSpaceDN w:val="0"/>
        <w:adjustRightInd w:val="0"/>
        <w:rPr>
          <w:rFonts w:eastAsia="Calibri"/>
          <w:b/>
          <w:sz w:val="22"/>
          <w:szCs w:val="22"/>
        </w:rPr>
      </w:pPr>
      <w:r w:rsidRPr="00776407">
        <w:rPr>
          <w:rFonts w:eastAsia="Calibri"/>
          <w:b/>
          <w:sz w:val="22"/>
          <w:szCs w:val="22"/>
        </w:rPr>
        <w:t>6.6.</w:t>
      </w:r>
      <w:r w:rsidRPr="00776407">
        <w:rPr>
          <w:rFonts w:eastAsia="Calibri"/>
          <w:b/>
          <w:sz w:val="22"/>
          <w:szCs w:val="22"/>
        </w:rPr>
        <w:tab/>
        <w:t>Specialūs reikalavimai atliekoms tvarkyti</w:t>
      </w:r>
    </w:p>
    <w:p w14:paraId="4BD2EB4B" w14:textId="77777777" w:rsidR="00430A5A" w:rsidRPr="00776407" w:rsidRDefault="00430A5A" w:rsidP="00430A5A">
      <w:pPr>
        <w:autoSpaceDE w:val="0"/>
        <w:autoSpaceDN w:val="0"/>
        <w:adjustRightInd w:val="0"/>
        <w:rPr>
          <w:rFonts w:eastAsia="Calibri"/>
          <w:b/>
          <w:sz w:val="22"/>
          <w:szCs w:val="22"/>
        </w:rPr>
      </w:pPr>
    </w:p>
    <w:p w14:paraId="75997DF4" w14:textId="77777777" w:rsidR="00D23EE1" w:rsidRPr="00776407" w:rsidRDefault="00D23EE1" w:rsidP="00D23EE1">
      <w:pPr>
        <w:pStyle w:val="Endnotentext"/>
        <w:widowControl w:val="0"/>
        <w:rPr>
          <w:color w:val="000000"/>
          <w:sz w:val="22"/>
          <w:szCs w:val="22"/>
        </w:rPr>
      </w:pPr>
      <w:r w:rsidRPr="00776407">
        <w:rPr>
          <w:color w:val="000000"/>
          <w:sz w:val="22"/>
          <w:szCs w:val="22"/>
        </w:rPr>
        <w:t>Nesuvartotą vaistinį preparatą ar atliekas reikia tvarkyti laikantis vietinių reikalavimų.</w:t>
      </w:r>
    </w:p>
    <w:p w14:paraId="1C81E517" w14:textId="77777777" w:rsidR="00304805" w:rsidRPr="00776407" w:rsidRDefault="00304805" w:rsidP="00D23EE1">
      <w:pPr>
        <w:pStyle w:val="Endnotentext"/>
        <w:widowControl w:val="0"/>
        <w:rPr>
          <w:color w:val="000000"/>
          <w:sz w:val="22"/>
          <w:szCs w:val="22"/>
        </w:rPr>
      </w:pPr>
    </w:p>
    <w:p w14:paraId="3E3E691D" w14:textId="77777777" w:rsidR="00430A5A" w:rsidRPr="00776407" w:rsidRDefault="00430A5A" w:rsidP="00430A5A">
      <w:pPr>
        <w:autoSpaceDE w:val="0"/>
        <w:autoSpaceDN w:val="0"/>
        <w:adjustRightInd w:val="0"/>
        <w:rPr>
          <w:rFonts w:eastAsia="Calibri"/>
          <w:sz w:val="22"/>
          <w:szCs w:val="22"/>
        </w:rPr>
      </w:pPr>
    </w:p>
    <w:p w14:paraId="7B535B7E" w14:textId="77777777" w:rsidR="00430A5A" w:rsidRPr="00776407" w:rsidRDefault="00944055" w:rsidP="00864BE6">
      <w:pPr>
        <w:pStyle w:val="Listenabsatz"/>
        <w:numPr>
          <w:ilvl w:val="0"/>
          <w:numId w:val="3"/>
        </w:numPr>
        <w:autoSpaceDE w:val="0"/>
        <w:autoSpaceDN w:val="0"/>
        <w:adjustRightInd w:val="0"/>
        <w:ind w:left="851" w:hanging="851"/>
        <w:rPr>
          <w:rFonts w:eastAsia="Calibri"/>
          <w:b/>
          <w:sz w:val="22"/>
          <w:szCs w:val="22"/>
        </w:rPr>
      </w:pPr>
      <w:r w:rsidRPr="00776407">
        <w:rPr>
          <w:rFonts w:eastAsia="Calibri"/>
          <w:b/>
          <w:sz w:val="22"/>
          <w:szCs w:val="22"/>
        </w:rPr>
        <w:t>REGISTRUOTOJAS</w:t>
      </w:r>
    </w:p>
    <w:p w14:paraId="47E9E86F" w14:textId="77777777" w:rsidR="00430A5A" w:rsidRPr="00776407" w:rsidRDefault="00430A5A" w:rsidP="00D71C6C">
      <w:pPr>
        <w:autoSpaceDE w:val="0"/>
        <w:autoSpaceDN w:val="0"/>
        <w:adjustRightInd w:val="0"/>
        <w:ind w:left="709" w:hanging="709"/>
        <w:rPr>
          <w:rFonts w:eastAsia="Calibri"/>
          <w:b/>
          <w:sz w:val="22"/>
          <w:szCs w:val="22"/>
        </w:rPr>
      </w:pPr>
    </w:p>
    <w:p w14:paraId="7386C74F" w14:textId="77777777" w:rsidR="00430A5A" w:rsidRPr="00776407" w:rsidRDefault="00430A5A" w:rsidP="00D71C6C">
      <w:pPr>
        <w:autoSpaceDE w:val="0"/>
        <w:autoSpaceDN w:val="0"/>
        <w:adjustRightInd w:val="0"/>
        <w:ind w:left="709" w:hanging="709"/>
        <w:rPr>
          <w:sz w:val="22"/>
          <w:szCs w:val="22"/>
        </w:rPr>
      </w:pPr>
      <w:r w:rsidRPr="00776407">
        <w:rPr>
          <w:sz w:val="22"/>
          <w:szCs w:val="22"/>
        </w:rPr>
        <w:t>Actavis Group PTC ehf.</w:t>
      </w:r>
    </w:p>
    <w:p w14:paraId="14990B80" w14:textId="77777777" w:rsidR="00430A5A" w:rsidRPr="00776407" w:rsidRDefault="00430A5A" w:rsidP="00D71C6C">
      <w:pPr>
        <w:autoSpaceDE w:val="0"/>
        <w:autoSpaceDN w:val="0"/>
        <w:adjustRightInd w:val="0"/>
        <w:ind w:left="709" w:hanging="709"/>
        <w:rPr>
          <w:sz w:val="22"/>
          <w:szCs w:val="22"/>
        </w:rPr>
      </w:pPr>
      <w:r w:rsidRPr="00776407">
        <w:rPr>
          <w:sz w:val="22"/>
          <w:szCs w:val="22"/>
        </w:rPr>
        <w:t>Reykjavíkurvegur 76-78</w:t>
      </w:r>
    </w:p>
    <w:p w14:paraId="4E5AF342" w14:textId="77777777" w:rsidR="00430A5A" w:rsidRPr="00776407" w:rsidRDefault="00430A5A" w:rsidP="00D71C6C">
      <w:pPr>
        <w:autoSpaceDE w:val="0"/>
        <w:autoSpaceDN w:val="0"/>
        <w:adjustRightInd w:val="0"/>
        <w:ind w:left="709" w:hanging="709"/>
        <w:rPr>
          <w:sz w:val="22"/>
          <w:szCs w:val="22"/>
        </w:rPr>
      </w:pPr>
      <w:r w:rsidRPr="00776407">
        <w:rPr>
          <w:sz w:val="22"/>
          <w:szCs w:val="22"/>
        </w:rPr>
        <w:t>IS-220 Hafnarfjörður</w:t>
      </w:r>
    </w:p>
    <w:p w14:paraId="123308F1" w14:textId="77777777" w:rsidR="00430A5A" w:rsidRPr="00776407" w:rsidRDefault="00430A5A" w:rsidP="00D71C6C">
      <w:pPr>
        <w:autoSpaceDE w:val="0"/>
        <w:autoSpaceDN w:val="0"/>
        <w:adjustRightInd w:val="0"/>
        <w:ind w:left="709" w:hanging="709"/>
        <w:rPr>
          <w:sz w:val="22"/>
          <w:szCs w:val="22"/>
        </w:rPr>
      </w:pPr>
      <w:r w:rsidRPr="00776407">
        <w:rPr>
          <w:sz w:val="22"/>
          <w:szCs w:val="22"/>
        </w:rPr>
        <w:t>Islandija</w:t>
      </w:r>
    </w:p>
    <w:p w14:paraId="4AEAB07C" w14:textId="77777777" w:rsidR="00430A5A" w:rsidRPr="00776407" w:rsidRDefault="00430A5A" w:rsidP="00D71C6C">
      <w:pPr>
        <w:autoSpaceDE w:val="0"/>
        <w:autoSpaceDN w:val="0"/>
        <w:adjustRightInd w:val="0"/>
        <w:ind w:left="709" w:hanging="709"/>
        <w:rPr>
          <w:sz w:val="22"/>
          <w:szCs w:val="22"/>
        </w:rPr>
      </w:pPr>
    </w:p>
    <w:p w14:paraId="288161F6" w14:textId="77777777" w:rsidR="00430A5A" w:rsidRPr="00776407" w:rsidRDefault="00430A5A" w:rsidP="00D71C6C">
      <w:pPr>
        <w:autoSpaceDE w:val="0"/>
        <w:autoSpaceDN w:val="0"/>
        <w:adjustRightInd w:val="0"/>
        <w:ind w:left="709" w:hanging="709"/>
        <w:rPr>
          <w:sz w:val="22"/>
          <w:szCs w:val="22"/>
        </w:rPr>
      </w:pPr>
    </w:p>
    <w:p w14:paraId="0697D6D7" w14:textId="77777777" w:rsidR="00430A5A" w:rsidRPr="00776407" w:rsidRDefault="00420E99" w:rsidP="00864BE6">
      <w:pPr>
        <w:pStyle w:val="Listenabsatz"/>
        <w:numPr>
          <w:ilvl w:val="0"/>
          <w:numId w:val="3"/>
        </w:numPr>
        <w:autoSpaceDE w:val="0"/>
        <w:autoSpaceDN w:val="0"/>
        <w:adjustRightInd w:val="0"/>
        <w:ind w:left="709" w:hanging="709"/>
        <w:rPr>
          <w:rFonts w:eastAsia="Calibri"/>
          <w:b/>
          <w:sz w:val="22"/>
          <w:szCs w:val="22"/>
        </w:rPr>
      </w:pPr>
      <w:r w:rsidRPr="00776407">
        <w:rPr>
          <w:rFonts w:eastAsia="Calibri"/>
          <w:b/>
          <w:sz w:val="22"/>
          <w:szCs w:val="22"/>
        </w:rPr>
        <w:t>REGISTRACIJOS PAŽYMĖJIMO NUMERIAI</w:t>
      </w:r>
    </w:p>
    <w:p w14:paraId="0A1999A0" w14:textId="77777777" w:rsidR="00430A5A" w:rsidRPr="00776407" w:rsidRDefault="00430A5A" w:rsidP="00D71C6C">
      <w:pPr>
        <w:autoSpaceDE w:val="0"/>
        <w:autoSpaceDN w:val="0"/>
        <w:adjustRightInd w:val="0"/>
        <w:ind w:left="709" w:hanging="709"/>
        <w:rPr>
          <w:bCs/>
          <w:sz w:val="22"/>
          <w:szCs w:val="22"/>
        </w:rPr>
      </w:pPr>
    </w:p>
    <w:p w14:paraId="1327465A" w14:textId="77777777" w:rsidR="006D52A1" w:rsidRPr="00776407" w:rsidRDefault="006D52A1" w:rsidP="006D52A1">
      <w:pPr>
        <w:autoSpaceDE w:val="0"/>
        <w:autoSpaceDN w:val="0"/>
        <w:adjustRightInd w:val="0"/>
        <w:rPr>
          <w:rFonts w:eastAsia="Calibri"/>
          <w:sz w:val="22"/>
          <w:szCs w:val="22"/>
          <w:u w:val="single"/>
        </w:rPr>
      </w:pPr>
      <w:r w:rsidRPr="00776407">
        <w:rPr>
          <w:rFonts w:eastAsia="Calibri"/>
          <w:sz w:val="22"/>
          <w:szCs w:val="22"/>
          <w:u w:val="single"/>
        </w:rPr>
        <w:t xml:space="preserve">Imatinib Actavis 100 mg </w:t>
      </w:r>
      <w:r w:rsidR="00190382" w:rsidRPr="00776407">
        <w:rPr>
          <w:rFonts w:eastAsia="Calibri"/>
          <w:sz w:val="22"/>
          <w:szCs w:val="22"/>
          <w:u w:val="single"/>
        </w:rPr>
        <w:t>plėvele dengtos tabletės</w:t>
      </w:r>
    </w:p>
    <w:p w14:paraId="64C29926" w14:textId="77777777" w:rsidR="002657B6" w:rsidRPr="00776407" w:rsidRDefault="002657B6" w:rsidP="002657B6">
      <w:pPr>
        <w:autoSpaceDE w:val="0"/>
        <w:autoSpaceDN w:val="0"/>
        <w:adjustRightInd w:val="0"/>
      </w:pPr>
      <w:r w:rsidRPr="00776407">
        <w:t>EU/1/13/825/008</w:t>
      </w:r>
    </w:p>
    <w:p w14:paraId="187A3853" w14:textId="77777777" w:rsidR="002657B6" w:rsidRPr="00776407" w:rsidRDefault="002657B6" w:rsidP="002657B6">
      <w:pPr>
        <w:autoSpaceDE w:val="0"/>
        <w:autoSpaceDN w:val="0"/>
        <w:adjustRightInd w:val="0"/>
      </w:pPr>
      <w:r w:rsidRPr="00776407">
        <w:t>EU/1/13/825/009</w:t>
      </w:r>
    </w:p>
    <w:p w14:paraId="23CF82C0" w14:textId="77777777" w:rsidR="002657B6" w:rsidRPr="00776407" w:rsidRDefault="002657B6" w:rsidP="002657B6">
      <w:pPr>
        <w:autoSpaceDE w:val="0"/>
        <w:autoSpaceDN w:val="0"/>
        <w:adjustRightInd w:val="0"/>
      </w:pPr>
      <w:r w:rsidRPr="00776407">
        <w:t>EU/1/13/825/010</w:t>
      </w:r>
    </w:p>
    <w:p w14:paraId="6AD7B4DF" w14:textId="77777777" w:rsidR="002657B6" w:rsidRPr="00776407" w:rsidRDefault="002657B6" w:rsidP="002657B6">
      <w:pPr>
        <w:autoSpaceDE w:val="0"/>
        <w:autoSpaceDN w:val="0"/>
        <w:adjustRightInd w:val="0"/>
      </w:pPr>
      <w:r w:rsidRPr="00776407">
        <w:t>EU/1/13/825/011</w:t>
      </w:r>
    </w:p>
    <w:p w14:paraId="7042C6E5" w14:textId="77777777" w:rsidR="002657B6" w:rsidRPr="00776407" w:rsidRDefault="002657B6" w:rsidP="002657B6">
      <w:pPr>
        <w:autoSpaceDE w:val="0"/>
        <w:autoSpaceDN w:val="0"/>
        <w:adjustRightInd w:val="0"/>
      </w:pPr>
      <w:r w:rsidRPr="00776407">
        <w:t>EU/1/13/825/012</w:t>
      </w:r>
    </w:p>
    <w:p w14:paraId="4CD53102" w14:textId="77777777" w:rsidR="002657B6" w:rsidRPr="00776407" w:rsidRDefault="002657B6" w:rsidP="002657B6">
      <w:pPr>
        <w:autoSpaceDE w:val="0"/>
        <w:autoSpaceDN w:val="0"/>
        <w:adjustRightInd w:val="0"/>
      </w:pPr>
      <w:r w:rsidRPr="00776407">
        <w:t>EU/1/13/825/013</w:t>
      </w:r>
    </w:p>
    <w:p w14:paraId="29C5F045" w14:textId="77777777" w:rsidR="00430A5A" w:rsidRPr="00776407" w:rsidRDefault="002657B6" w:rsidP="00D71C6C">
      <w:pPr>
        <w:autoSpaceDE w:val="0"/>
        <w:autoSpaceDN w:val="0"/>
        <w:adjustRightInd w:val="0"/>
        <w:ind w:left="709" w:hanging="709"/>
        <w:rPr>
          <w:sz w:val="22"/>
          <w:szCs w:val="22"/>
        </w:rPr>
      </w:pPr>
      <w:r w:rsidRPr="00776407">
        <w:t>EU/1/13/825/014</w:t>
      </w:r>
    </w:p>
    <w:p w14:paraId="299F590A" w14:textId="77777777" w:rsidR="00430A5A" w:rsidRPr="00776407" w:rsidRDefault="00430A5A" w:rsidP="00D71C6C">
      <w:pPr>
        <w:autoSpaceDE w:val="0"/>
        <w:autoSpaceDN w:val="0"/>
        <w:adjustRightInd w:val="0"/>
        <w:ind w:left="709" w:hanging="709"/>
        <w:rPr>
          <w:sz w:val="22"/>
          <w:szCs w:val="22"/>
        </w:rPr>
      </w:pPr>
    </w:p>
    <w:p w14:paraId="6127A388" w14:textId="77777777" w:rsidR="006D52A1" w:rsidRPr="00776407" w:rsidRDefault="006D52A1" w:rsidP="006D52A1">
      <w:pPr>
        <w:autoSpaceDE w:val="0"/>
        <w:autoSpaceDN w:val="0"/>
        <w:adjustRightInd w:val="0"/>
        <w:rPr>
          <w:rFonts w:eastAsia="Calibri"/>
          <w:sz w:val="22"/>
          <w:szCs w:val="22"/>
          <w:u w:val="single"/>
        </w:rPr>
      </w:pPr>
      <w:r w:rsidRPr="00776407">
        <w:rPr>
          <w:rFonts w:eastAsia="Calibri"/>
          <w:sz w:val="22"/>
          <w:szCs w:val="22"/>
          <w:u w:val="single"/>
        </w:rPr>
        <w:t xml:space="preserve">Imatinib Actavis 400 mg </w:t>
      </w:r>
      <w:r w:rsidR="00190382" w:rsidRPr="00776407">
        <w:rPr>
          <w:rFonts w:eastAsia="Calibri"/>
          <w:sz w:val="22"/>
          <w:szCs w:val="22"/>
          <w:u w:val="single"/>
        </w:rPr>
        <w:t>plėvele dengtos tabletės</w:t>
      </w:r>
    </w:p>
    <w:p w14:paraId="48B97C83" w14:textId="77777777" w:rsidR="006D52A1" w:rsidRPr="00776407" w:rsidRDefault="006D52A1" w:rsidP="006D52A1">
      <w:pPr>
        <w:autoSpaceDE w:val="0"/>
        <w:autoSpaceDN w:val="0"/>
        <w:adjustRightInd w:val="0"/>
        <w:rPr>
          <w:rFonts w:eastAsia="Calibri"/>
          <w:sz w:val="22"/>
          <w:szCs w:val="22"/>
        </w:rPr>
      </w:pPr>
      <w:r w:rsidRPr="00776407">
        <w:rPr>
          <w:rFonts w:eastAsia="Calibri"/>
          <w:sz w:val="22"/>
          <w:szCs w:val="22"/>
        </w:rPr>
        <w:t>EU/1/13/825/015</w:t>
      </w:r>
    </w:p>
    <w:p w14:paraId="0EEA7AD8" w14:textId="77777777" w:rsidR="006D52A1" w:rsidRPr="00776407" w:rsidRDefault="006D52A1" w:rsidP="006D52A1">
      <w:pPr>
        <w:autoSpaceDE w:val="0"/>
        <w:autoSpaceDN w:val="0"/>
        <w:adjustRightInd w:val="0"/>
        <w:rPr>
          <w:rFonts w:eastAsia="Calibri"/>
          <w:sz w:val="22"/>
          <w:szCs w:val="22"/>
        </w:rPr>
      </w:pPr>
      <w:r w:rsidRPr="00776407">
        <w:rPr>
          <w:rFonts w:eastAsia="Calibri"/>
          <w:sz w:val="22"/>
          <w:szCs w:val="22"/>
        </w:rPr>
        <w:t>EU/1/13/825/016</w:t>
      </w:r>
    </w:p>
    <w:p w14:paraId="54776E5C" w14:textId="77777777" w:rsidR="006D52A1" w:rsidRPr="00776407" w:rsidRDefault="006D52A1" w:rsidP="006D52A1">
      <w:pPr>
        <w:autoSpaceDE w:val="0"/>
        <w:autoSpaceDN w:val="0"/>
        <w:adjustRightInd w:val="0"/>
        <w:rPr>
          <w:rFonts w:eastAsia="Calibri"/>
          <w:sz w:val="22"/>
          <w:szCs w:val="22"/>
        </w:rPr>
      </w:pPr>
      <w:r w:rsidRPr="00776407">
        <w:rPr>
          <w:rFonts w:eastAsia="Calibri"/>
          <w:sz w:val="22"/>
          <w:szCs w:val="22"/>
        </w:rPr>
        <w:t>EU/1/13/825/017</w:t>
      </w:r>
    </w:p>
    <w:p w14:paraId="04D19A9D" w14:textId="77777777" w:rsidR="006D52A1" w:rsidRPr="00776407" w:rsidRDefault="006D52A1" w:rsidP="006D52A1">
      <w:pPr>
        <w:autoSpaceDE w:val="0"/>
        <w:autoSpaceDN w:val="0"/>
        <w:adjustRightInd w:val="0"/>
        <w:rPr>
          <w:rFonts w:eastAsia="Calibri"/>
          <w:sz w:val="22"/>
          <w:szCs w:val="22"/>
        </w:rPr>
      </w:pPr>
      <w:r w:rsidRPr="00776407">
        <w:rPr>
          <w:rFonts w:eastAsia="Calibri"/>
          <w:sz w:val="22"/>
          <w:szCs w:val="22"/>
        </w:rPr>
        <w:t>EU/1/13/825/018</w:t>
      </w:r>
    </w:p>
    <w:p w14:paraId="78252EAE" w14:textId="77777777" w:rsidR="00430A5A" w:rsidRPr="00776407" w:rsidRDefault="00430A5A" w:rsidP="00D71C6C">
      <w:pPr>
        <w:autoSpaceDE w:val="0"/>
        <w:autoSpaceDN w:val="0"/>
        <w:adjustRightInd w:val="0"/>
        <w:ind w:left="709" w:hanging="709"/>
        <w:rPr>
          <w:b/>
          <w:sz w:val="22"/>
          <w:szCs w:val="22"/>
        </w:rPr>
      </w:pPr>
    </w:p>
    <w:p w14:paraId="457CCB83" w14:textId="77777777" w:rsidR="006D52A1" w:rsidRPr="00776407" w:rsidRDefault="006D52A1" w:rsidP="00D71C6C">
      <w:pPr>
        <w:autoSpaceDE w:val="0"/>
        <w:autoSpaceDN w:val="0"/>
        <w:adjustRightInd w:val="0"/>
        <w:ind w:left="709" w:hanging="709"/>
        <w:rPr>
          <w:b/>
          <w:sz w:val="22"/>
          <w:szCs w:val="22"/>
        </w:rPr>
      </w:pPr>
    </w:p>
    <w:p w14:paraId="5F9835A2" w14:textId="77777777" w:rsidR="00430A5A" w:rsidRPr="00776407" w:rsidRDefault="00420E99" w:rsidP="00864BE6">
      <w:pPr>
        <w:pStyle w:val="Listenabsatz"/>
        <w:numPr>
          <w:ilvl w:val="0"/>
          <w:numId w:val="3"/>
        </w:numPr>
        <w:autoSpaceDE w:val="0"/>
        <w:autoSpaceDN w:val="0"/>
        <w:adjustRightInd w:val="0"/>
        <w:ind w:left="709" w:hanging="709"/>
        <w:rPr>
          <w:b/>
          <w:sz w:val="22"/>
          <w:szCs w:val="22"/>
        </w:rPr>
      </w:pPr>
      <w:r w:rsidRPr="00776407">
        <w:rPr>
          <w:b/>
          <w:sz w:val="22"/>
          <w:szCs w:val="22"/>
        </w:rPr>
        <w:t xml:space="preserve">REGISTRAVIMO / PERREGISTRAVIMO </w:t>
      </w:r>
      <w:r w:rsidR="00430A5A" w:rsidRPr="00776407">
        <w:rPr>
          <w:b/>
          <w:sz w:val="22"/>
          <w:szCs w:val="22"/>
        </w:rPr>
        <w:t>DATA</w:t>
      </w:r>
    </w:p>
    <w:p w14:paraId="6D4E67E8" w14:textId="77777777" w:rsidR="00430A5A" w:rsidRPr="00776407" w:rsidRDefault="00430A5A" w:rsidP="00D71C6C">
      <w:pPr>
        <w:autoSpaceDE w:val="0"/>
        <w:autoSpaceDN w:val="0"/>
        <w:adjustRightInd w:val="0"/>
        <w:ind w:left="709" w:hanging="709"/>
        <w:rPr>
          <w:b/>
          <w:sz w:val="22"/>
          <w:szCs w:val="22"/>
        </w:rPr>
      </w:pPr>
    </w:p>
    <w:p w14:paraId="73F52A3C" w14:textId="77777777" w:rsidR="00493541" w:rsidRPr="00776407" w:rsidRDefault="00420E99" w:rsidP="00493541">
      <w:pPr>
        <w:autoSpaceDE w:val="0"/>
        <w:autoSpaceDN w:val="0"/>
        <w:adjustRightInd w:val="0"/>
        <w:rPr>
          <w:b/>
          <w:sz w:val="22"/>
          <w:szCs w:val="22"/>
        </w:rPr>
      </w:pPr>
      <w:r w:rsidRPr="00776407">
        <w:rPr>
          <w:sz w:val="22"/>
          <w:szCs w:val="22"/>
        </w:rPr>
        <w:t>Registracijos data</w:t>
      </w:r>
      <w:r w:rsidR="009A5433" w:rsidRPr="00776407">
        <w:rPr>
          <w:sz w:val="22"/>
          <w:szCs w:val="22"/>
        </w:rPr>
        <w:t xml:space="preserve"> </w:t>
      </w:r>
      <w:r w:rsidR="00493541" w:rsidRPr="00776407">
        <w:rPr>
          <w:sz w:val="22"/>
          <w:szCs w:val="22"/>
        </w:rPr>
        <w:t>2013 m. balandžio mėn. 17 d.</w:t>
      </w:r>
    </w:p>
    <w:p w14:paraId="1F6242D9" w14:textId="77777777" w:rsidR="00FF45C4" w:rsidRPr="00776407" w:rsidRDefault="00FF45C4" w:rsidP="00D71C6C">
      <w:pPr>
        <w:autoSpaceDE w:val="0"/>
        <w:autoSpaceDN w:val="0"/>
        <w:adjustRightInd w:val="0"/>
        <w:ind w:left="709" w:hanging="709"/>
        <w:rPr>
          <w:b/>
          <w:sz w:val="22"/>
          <w:szCs w:val="22"/>
        </w:rPr>
      </w:pPr>
    </w:p>
    <w:p w14:paraId="17AB4CD6" w14:textId="77777777" w:rsidR="00493541" w:rsidRPr="00776407" w:rsidRDefault="00493541" w:rsidP="00D71C6C">
      <w:pPr>
        <w:autoSpaceDE w:val="0"/>
        <w:autoSpaceDN w:val="0"/>
        <w:adjustRightInd w:val="0"/>
        <w:ind w:left="709" w:hanging="709"/>
        <w:rPr>
          <w:b/>
          <w:sz w:val="22"/>
          <w:szCs w:val="22"/>
        </w:rPr>
      </w:pPr>
    </w:p>
    <w:p w14:paraId="21AF6498" w14:textId="77777777" w:rsidR="00430A5A" w:rsidRPr="00776407" w:rsidRDefault="00430A5A" w:rsidP="00864BE6">
      <w:pPr>
        <w:pStyle w:val="Listenabsatz"/>
        <w:numPr>
          <w:ilvl w:val="0"/>
          <w:numId w:val="3"/>
        </w:numPr>
        <w:autoSpaceDE w:val="0"/>
        <w:autoSpaceDN w:val="0"/>
        <w:adjustRightInd w:val="0"/>
        <w:ind w:left="709" w:hanging="709"/>
        <w:rPr>
          <w:b/>
          <w:sz w:val="22"/>
          <w:szCs w:val="22"/>
        </w:rPr>
      </w:pPr>
      <w:r w:rsidRPr="00776407">
        <w:rPr>
          <w:b/>
          <w:sz w:val="22"/>
          <w:szCs w:val="22"/>
        </w:rPr>
        <w:t>TEKSTO PERŽIŪROS DATA</w:t>
      </w:r>
    </w:p>
    <w:p w14:paraId="60B2CD32" w14:textId="77777777" w:rsidR="00430A5A" w:rsidRPr="00776407" w:rsidRDefault="00430A5A" w:rsidP="00D71C6C">
      <w:pPr>
        <w:autoSpaceDE w:val="0"/>
        <w:autoSpaceDN w:val="0"/>
        <w:adjustRightInd w:val="0"/>
        <w:ind w:left="709" w:hanging="709"/>
        <w:rPr>
          <w:b/>
          <w:sz w:val="22"/>
          <w:szCs w:val="22"/>
        </w:rPr>
      </w:pPr>
    </w:p>
    <w:p w14:paraId="4676D6EC" w14:textId="77777777" w:rsidR="008F0E35" w:rsidRPr="00776407" w:rsidRDefault="00430A5A" w:rsidP="006D52A1">
      <w:pPr>
        <w:autoSpaceDE w:val="0"/>
        <w:autoSpaceDN w:val="0"/>
        <w:adjustRightInd w:val="0"/>
        <w:rPr>
          <w:sz w:val="22"/>
          <w:szCs w:val="22"/>
        </w:rPr>
      </w:pPr>
      <w:r w:rsidRPr="00776407">
        <w:rPr>
          <w:sz w:val="22"/>
          <w:szCs w:val="22"/>
        </w:rPr>
        <w:t xml:space="preserve">Išsami informacija apie šį vaistinį preparatą pateikiama Europos vaistų agentūros tinklalapyje </w:t>
      </w:r>
      <w:hyperlink r:id="rId15" w:history="1">
        <w:r w:rsidRPr="00776407">
          <w:rPr>
            <w:rStyle w:val="Hyperlink"/>
            <w:sz w:val="22"/>
            <w:szCs w:val="22"/>
          </w:rPr>
          <w:t>http://www.ema.europa.eu</w:t>
        </w:r>
      </w:hyperlink>
      <w:r w:rsidR="009E7E37" w:rsidRPr="00776407">
        <w:rPr>
          <w:sz w:val="22"/>
          <w:szCs w:val="22"/>
        </w:rPr>
        <w:t>.</w:t>
      </w:r>
    </w:p>
    <w:p w14:paraId="581FFAD1" w14:textId="77777777" w:rsidR="006358E3" w:rsidRPr="00776407" w:rsidRDefault="00EB1CCD" w:rsidP="004140FF">
      <w:pPr>
        <w:jc w:val="center"/>
        <w:rPr>
          <w:sz w:val="22"/>
          <w:szCs w:val="22"/>
        </w:rPr>
      </w:pPr>
      <w:r w:rsidRPr="00776407">
        <w:rPr>
          <w:sz w:val="22"/>
          <w:szCs w:val="22"/>
        </w:rPr>
        <w:br w:type="page"/>
      </w:r>
    </w:p>
    <w:p w14:paraId="5DE61105" w14:textId="77777777" w:rsidR="006358E3" w:rsidRPr="00776407" w:rsidRDefault="006358E3" w:rsidP="004140FF">
      <w:pPr>
        <w:jc w:val="center"/>
        <w:rPr>
          <w:sz w:val="22"/>
          <w:szCs w:val="22"/>
        </w:rPr>
      </w:pPr>
    </w:p>
    <w:p w14:paraId="5E27D8A3" w14:textId="77777777" w:rsidR="006358E3" w:rsidRPr="00776407" w:rsidRDefault="006358E3" w:rsidP="004140FF">
      <w:pPr>
        <w:jc w:val="center"/>
        <w:rPr>
          <w:sz w:val="22"/>
          <w:szCs w:val="22"/>
        </w:rPr>
      </w:pPr>
    </w:p>
    <w:p w14:paraId="39AECDAA" w14:textId="77777777" w:rsidR="006358E3" w:rsidRPr="00776407" w:rsidRDefault="006358E3" w:rsidP="004140FF">
      <w:pPr>
        <w:jc w:val="center"/>
        <w:rPr>
          <w:sz w:val="22"/>
          <w:szCs w:val="22"/>
        </w:rPr>
      </w:pPr>
    </w:p>
    <w:p w14:paraId="0214D48B" w14:textId="77777777" w:rsidR="006358E3" w:rsidRPr="00776407" w:rsidRDefault="006358E3" w:rsidP="004140FF">
      <w:pPr>
        <w:jc w:val="center"/>
        <w:rPr>
          <w:sz w:val="22"/>
          <w:szCs w:val="22"/>
        </w:rPr>
      </w:pPr>
    </w:p>
    <w:p w14:paraId="742A8D8B" w14:textId="77777777" w:rsidR="006358E3" w:rsidRPr="00776407" w:rsidRDefault="006358E3" w:rsidP="004140FF">
      <w:pPr>
        <w:jc w:val="center"/>
        <w:rPr>
          <w:sz w:val="22"/>
          <w:szCs w:val="22"/>
        </w:rPr>
      </w:pPr>
    </w:p>
    <w:p w14:paraId="1F84FE6B" w14:textId="77777777" w:rsidR="006358E3" w:rsidRPr="00776407" w:rsidRDefault="006358E3" w:rsidP="004140FF">
      <w:pPr>
        <w:jc w:val="center"/>
        <w:rPr>
          <w:sz w:val="22"/>
          <w:szCs w:val="22"/>
        </w:rPr>
      </w:pPr>
    </w:p>
    <w:p w14:paraId="4C210F16" w14:textId="77777777" w:rsidR="006358E3" w:rsidRPr="00776407" w:rsidRDefault="006358E3" w:rsidP="004140FF">
      <w:pPr>
        <w:jc w:val="center"/>
        <w:rPr>
          <w:sz w:val="22"/>
          <w:szCs w:val="22"/>
        </w:rPr>
      </w:pPr>
    </w:p>
    <w:p w14:paraId="2B4C8C05" w14:textId="77777777" w:rsidR="006358E3" w:rsidRPr="00776407" w:rsidRDefault="006358E3" w:rsidP="004140FF">
      <w:pPr>
        <w:jc w:val="center"/>
        <w:rPr>
          <w:sz w:val="22"/>
          <w:szCs w:val="22"/>
        </w:rPr>
      </w:pPr>
    </w:p>
    <w:p w14:paraId="32A46B2B" w14:textId="77777777" w:rsidR="00775CC3" w:rsidRPr="00776407" w:rsidRDefault="00775CC3" w:rsidP="00EB1CCD">
      <w:pPr>
        <w:contextualSpacing/>
        <w:jc w:val="center"/>
        <w:rPr>
          <w:b/>
          <w:bCs/>
          <w:sz w:val="22"/>
          <w:szCs w:val="22"/>
        </w:rPr>
      </w:pPr>
    </w:p>
    <w:p w14:paraId="68B011CE" w14:textId="77777777" w:rsidR="00775CC3" w:rsidRPr="00776407" w:rsidRDefault="00775CC3" w:rsidP="00EB1CCD">
      <w:pPr>
        <w:contextualSpacing/>
        <w:jc w:val="center"/>
        <w:rPr>
          <w:b/>
          <w:bCs/>
          <w:sz w:val="22"/>
          <w:szCs w:val="22"/>
        </w:rPr>
      </w:pPr>
    </w:p>
    <w:p w14:paraId="45A80D16" w14:textId="77777777" w:rsidR="00775CC3" w:rsidRPr="00776407" w:rsidRDefault="00775CC3" w:rsidP="00EB1CCD">
      <w:pPr>
        <w:contextualSpacing/>
        <w:jc w:val="center"/>
        <w:rPr>
          <w:b/>
          <w:bCs/>
          <w:sz w:val="22"/>
          <w:szCs w:val="22"/>
        </w:rPr>
      </w:pPr>
    </w:p>
    <w:p w14:paraId="5B0AEB7E" w14:textId="77777777" w:rsidR="00775CC3" w:rsidRPr="00776407" w:rsidRDefault="00775CC3" w:rsidP="00EB1CCD">
      <w:pPr>
        <w:contextualSpacing/>
        <w:jc w:val="center"/>
        <w:rPr>
          <w:b/>
          <w:bCs/>
          <w:sz w:val="22"/>
          <w:szCs w:val="22"/>
        </w:rPr>
      </w:pPr>
    </w:p>
    <w:p w14:paraId="4CF92D32" w14:textId="77777777" w:rsidR="00775CC3" w:rsidRPr="00776407" w:rsidRDefault="00775CC3" w:rsidP="00EB1CCD">
      <w:pPr>
        <w:contextualSpacing/>
        <w:jc w:val="center"/>
        <w:rPr>
          <w:b/>
          <w:bCs/>
          <w:sz w:val="22"/>
          <w:szCs w:val="22"/>
        </w:rPr>
      </w:pPr>
    </w:p>
    <w:p w14:paraId="0E47AAA3" w14:textId="77777777" w:rsidR="00775CC3" w:rsidRPr="00776407" w:rsidRDefault="00775CC3" w:rsidP="00EB1CCD">
      <w:pPr>
        <w:contextualSpacing/>
        <w:jc w:val="center"/>
        <w:rPr>
          <w:b/>
          <w:bCs/>
          <w:sz w:val="22"/>
          <w:szCs w:val="22"/>
        </w:rPr>
      </w:pPr>
    </w:p>
    <w:p w14:paraId="6E69F006" w14:textId="77777777" w:rsidR="007E1376" w:rsidRPr="00776407" w:rsidRDefault="007E1376" w:rsidP="004333E9">
      <w:pPr>
        <w:contextualSpacing/>
        <w:jc w:val="center"/>
        <w:rPr>
          <w:b/>
          <w:bCs/>
          <w:sz w:val="22"/>
          <w:szCs w:val="22"/>
        </w:rPr>
      </w:pPr>
    </w:p>
    <w:p w14:paraId="712A1AF3" w14:textId="77777777" w:rsidR="00775CC3" w:rsidRPr="00776407" w:rsidRDefault="00775CC3" w:rsidP="002657B6">
      <w:pPr>
        <w:contextualSpacing/>
        <w:jc w:val="center"/>
        <w:rPr>
          <w:b/>
          <w:bCs/>
          <w:sz w:val="22"/>
          <w:szCs w:val="22"/>
        </w:rPr>
      </w:pPr>
    </w:p>
    <w:p w14:paraId="7758D762" w14:textId="77777777" w:rsidR="00775CC3" w:rsidRPr="00776407" w:rsidRDefault="00775CC3" w:rsidP="00775CC3">
      <w:pPr>
        <w:contextualSpacing/>
        <w:jc w:val="center"/>
        <w:rPr>
          <w:b/>
          <w:bCs/>
          <w:sz w:val="22"/>
          <w:szCs w:val="22"/>
        </w:rPr>
      </w:pPr>
      <w:r w:rsidRPr="00776407">
        <w:rPr>
          <w:b/>
          <w:bCs/>
          <w:sz w:val="22"/>
          <w:szCs w:val="22"/>
        </w:rPr>
        <w:t>II PRIEDAS</w:t>
      </w:r>
    </w:p>
    <w:p w14:paraId="264BB53A" w14:textId="77777777" w:rsidR="00775CC3" w:rsidRPr="00776407" w:rsidRDefault="00775CC3" w:rsidP="00775CC3">
      <w:pPr>
        <w:contextualSpacing/>
        <w:jc w:val="center"/>
        <w:rPr>
          <w:sz w:val="22"/>
          <w:szCs w:val="22"/>
        </w:rPr>
      </w:pPr>
    </w:p>
    <w:p w14:paraId="417437D4" w14:textId="77777777" w:rsidR="00EC0FFB" w:rsidRPr="00776407" w:rsidRDefault="00EC0FFB" w:rsidP="00EC0FFB">
      <w:pPr>
        <w:tabs>
          <w:tab w:val="left" w:pos="567"/>
        </w:tabs>
        <w:rPr>
          <w:b/>
          <w:bCs/>
          <w:sz w:val="22"/>
          <w:szCs w:val="22"/>
        </w:rPr>
      </w:pPr>
      <w:r w:rsidRPr="00776407">
        <w:rPr>
          <w:b/>
          <w:bCs/>
          <w:sz w:val="22"/>
          <w:szCs w:val="22"/>
        </w:rPr>
        <w:tab/>
        <w:t>A.</w:t>
      </w:r>
      <w:r w:rsidRPr="00776407">
        <w:rPr>
          <w:b/>
          <w:bCs/>
          <w:sz w:val="22"/>
          <w:szCs w:val="22"/>
        </w:rPr>
        <w:tab/>
      </w:r>
      <w:r w:rsidRPr="00776407">
        <w:rPr>
          <w:b/>
          <w:sz w:val="22"/>
          <w:szCs w:val="22"/>
        </w:rPr>
        <w:t>GAMINTOJAS (-AI), ATSAKINGAS (-I) UŽ SERIJŲ IŠLEIDIMĄ</w:t>
      </w:r>
    </w:p>
    <w:p w14:paraId="228E9DFA" w14:textId="77777777" w:rsidR="00EC0FFB" w:rsidRPr="00776407" w:rsidRDefault="00EC0FFB" w:rsidP="00EC0FFB">
      <w:pPr>
        <w:contextualSpacing/>
        <w:jc w:val="center"/>
        <w:rPr>
          <w:sz w:val="22"/>
          <w:szCs w:val="22"/>
        </w:rPr>
      </w:pPr>
    </w:p>
    <w:p w14:paraId="544F511E" w14:textId="77777777" w:rsidR="00EC0FFB" w:rsidRPr="00776407" w:rsidRDefault="00EC0FFB" w:rsidP="00EC0FFB">
      <w:pPr>
        <w:ind w:left="567"/>
        <w:contextualSpacing/>
        <w:rPr>
          <w:b/>
          <w:bCs/>
          <w:sz w:val="22"/>
          <w:szCs w:val="22"/>
        </w:rPr>
      </w:pPr>
      <w:r w:rsidRPr="00776407">
        <w:rPr>
          <w:b/>
          <w:bCs/>
          <w:sz w:val="22"/>
          <w:szCs w:val="22"/>
        </w:rPr>
        <w:t>B.</w:t>
      </w:r>
      <w:r w:rsidRPr="00776407">
        <w:rPr>
          <w:b/>
          <w:bCs/>
          <w:sz w:val="22"/>
          <w:szCs w:val="22"/>
        </w:rPr>
        <w:tab/>
      </w:r>
      <w:r w:rsidRPr="00776407">
        <w:rPr>
          <w:b/>
          <w:sz w:val="22"/>
          <w:szCs w:val="22"/>
        </w:rPr>
        <w:t>TIEKIMO IR VARTOJIMO SĄLYGOS AR APRIBOJIMAI</w:t>
      </w:r>
    </w:p>
    <w:p w14:paraId="01E7C8D0" w14:textId="77777777" w:rsidR="00EC0FFB" w:rsidRPr="00776407" w:rsidRDefault="00EC0FFB" w:rsidP="00EC0FFB">
      <w:pPr>
        <w:contextualSpacing/>
        <w:jc w:val="center"/>
        <w:rPr>
          <w:sz w:val="22"/>
          <w:szCs w:val="22"/>
        </w:rPr>
      </w:pPr>
    </w:p>
    <w:p w14:paraId="340F9008" w14:textId="77777777" w:rsidR="00EC0FFB" w:rsidRPr="00776407" w:rsidRDefault="00EC0FFB" w:rsidP="00EC0FFB">
      <w:pPr>
        <w:ind w:left="1418" w:hanging="851"/>
        <w:contextualSpacing/>
        <w:rPr>
          <w:b/>
          <w:bCs/>
          <w:sz w:val="22"/>
          <w:szCs w:val="22"/>
        </w:rPr>
      </w:pPr>
      <w:r w:rsidRPr="00776407">
        <w:rPr>
          <w:b/>
          <w:bCs/>
          <w:sz w:val="22"/>
          <w:szCs w:val="22"/>
        </w:rPr>
        <w:t>C.</w:t>
      </w:r>
      <w:r w:rsidRPr="00776407">
        <w:rPr>
          <w:b/>
          <w:bCs/>
          <w:sz w:val="22"/>
          <w:szCs w:val="22"/>
        </w:rPr>
        <w:tab/>
      </w:r>
      <w:r w:rsidRPr="00776407">
        <w:rPr>
          <w:b/>
          <w:sz w:val="22"/>
          <w:szCs w:val="22"/>
        </w:rPr>
        <w:t>KITOS SĄLYGOS IR REIKALAVIMAI REGISTRUOTOJUI</w:t>
      </w:r>
    </w:p>
    <w:p w14:paraId="54154CC9" w14:textId="77777777" w:rsidR="00EC0FFB" w:rsidRPr="00776407" w:rsidRDefault="00EC0FFB" w:rsidP="00EC0FFB">
      <w:pPr>
        <w:ind w:left="2154" w:hanging="1020"/>
        <w:contextualSpacing/>
        <w:rPr>
          <w:b/>
          <w:bCs/>
          <w:sz w:val="22"/>
          <w:szCs w:val="22"/>
        </w:rPr>
      </w:pPr>
    </w:p>
    <w:p w14:paraId="502FAF9B" w14:textId="77777777" w:rsidR="00EC0FFB" w:rsidRPr="00776407" w:rsidRDefault="00EC0FFB" w:rsidP="00EC0FFB">
      <w:pPr>
        <w:ind w:left="1418" w:hanging="851"/>
        <w:contextualSpacing/>
        <w:rPr>
          <w:b/>
          <w:bCs/>
          <w:sz w:val="22"/>
          <w:szCs w:val="22"/>
        </w:rPr>
      </w:pPr>
      <w:r w:rsidRPr="00776407">
        <w:rPr>
          <w:b/>
          <w:bCs/>
          <w:sz w:val="22"/>
          <w:szCs w:val="22"/>
        </w:rPr>
        <w:t>D.</w:t>
      </w:r>
      <w:r w:rsidRPr="00776407">
        <w:rPr>
          <w:b/>
          <w:bCs/>
          <w:sz w:val="22"/>
          <w:szCs w:val="22"/>
        </w:rPr>
        <w:tab/>
        <w:t xml:space="preserve">SĄLYGOS AR APRIBOJIMAI SAUGIAM IR </w:t>
      </w:r>
      <w:r w:rsidRPr="00776407">
        <w:rPr>
          <w:b/>
          <w:caps/>
          <w:sz w:val="22"/>
          <w:szCs w:val="22"/>
        </w:rPr>
        <w:t xml:space="preserve">VEIKSMINGAM </w:t>
      </w:r>
      <w:r w:rsidRPr="00776407">
        <w:rPr>
          <w:b/>
          <w:bCs/>
          <w:sz w:val="22"/>
          <w:szCs w:val="22"/>
        </w:rPr>
        <w:t xml:space="preserve">VAISTINIO PREPARATO VARTOJIMUI UŽTIKRINTI </w:t>
      </w:r>
    </w:p>
    <w:p w14:paraId="5070BF6C" w14:textId="77777777" w:rsidR="00775CC3" w:rsidRPr="00776407" w:rsidRDefault="00775CC3" w:rsidP="00775CC3">
      <w:pPr>
        <w:contextualSpacing/>
        <w:rPr>
          <w:sz w:val="22"/>
          <w:szCs w:val="22"/>
        </w:rPr>
      </w:pPr>
    </w:p>
    <w:p w14:paraId="106C8494" w14:textId="77777777" w:rsidR="00775CC3" w:rsidRPr="00776407" w:rsidRDefault="00775CC3" w:rsidP="00864BE6">
      <w:pPr>
        <w:pStyle w:val="TitleB"/>
        <w:keepNext w:val="0"/>
        <w:widowControl/>
        <w:numPr>
          <w:ilvl w:val="0"/>
          <w:numId w:val="13"/>
        </w:numPr>
        <w:autoSpaceDE/>
        <w:autoSpaceDN/>
        <w:adjustRightInd/>
        <w:spacing w:before="0" w:after="0"/>
        <w:ind w:left="720" w:right="0" w:hanging="720"/>
        <w:rPr>
          <w:rFonts w:eastAsia="Calibri"/>
          <w:bCs w:val="0"/>
          <w:szCs w:val="22"/>
          <w:lang w:val="lt-LT" w:eastAsia="en-US"/>
        </w:rPr>
      </w:pPr>
      <w:r w:rsidRPr="00776407">
        <w:rPr>
          <w:lang w:val="lt-LT"/>
        </w:rPr>
        <w:br w:type="page"/>
      </w:r>
      <w:r w:rsidRPr="00776407">
        <w:rPr>
          <w:rFonts w:eastAsia="Calibri"/>
          <w:bCs w:val="0"/>
          <w:szCs w:val="22"/>
          <w:lang w:val="lt-LT" w:eastAsia="en-US"/>
        </w:rPr>
        <w:t>GAMINTOJAS (-AI), ATSAKINGAS (-I) UŽ SERIJŲ IŠLEIDIMĄ</w:t>
      </w:r>
    </w:p>
    <w:p w14:paraId="2E26DC49" w14:textId="77777777" w:rsidR="00775CC3" w:rsidRPr="00776407" w:rsidRDefault="00775CC3" w:rsidP="00775CC3">
      <w:pPr>
        <w:pStyle w:val="KeinLeerraum"/>
        <w:rPr>
          <w:b/>
          <w:bCs/>
          <w:sz w:val="22"/>
          <w:szCs w:val="22"/>
        </w:rPr>
      </w:pPr>
    </w:p>
    <w:p w14:paraId="23DDB10A" w14:textId="77777777" w:rsidR="00775CC3" w:rsidRPr="00776407" w:rsidRDefault="00775CC3" w:rsidP="00775CC3">
      <w:pPr>
        <w:pStyle w:val="KeinLeerraum"/>
        <w:rPr>
          <w:sz w:val="22"/>
          <w:szCs w:val="22"/>
          <w:u w:val="single"/>
        </w:rPr>
      </w:pPr>
      <w:r w:rsidRPr="00776407">
        <w:rPr>
          <w:sz w:val="22"/>
          <w:szCs w:val="22"/>
          <w:u w:val="single"/>
        </w:rPr>
        <w:t>Gamintojo (-ų), atsakingo (-ų) už serijų išleidimą, pavadinimas (-ai) ir adresas (-ai)</w:t>
      </w:r>
    </w:p>
    <w:p w14:paraId="0ADDA248" w14:textId="77777777" w:rsidR="00775CC3" w:rsidRPr="00776407" w:rsidRDefault="00775CC3" w:rsidP="00775CC3">
      <w:pPr>
        <w:pStyle w:val="KeinLeerraum"/>
        <w:rPr>
          <w:sz w:val="22"/>
          <w:szCs w:val="22"/>
          <w:u w:val="single"/>
        </w:rPr>
      </w:pPr>
    </w:p>
    <w:p w14:paraId="73A748DE" w14:textId="77777777" w:rsidR="00775CC3" w:rsidRPr="00776407" w:rsidRDefault="00775CC3" w:rsidP="00775CC3">
      <w:pPr>
        <w:widowControl w:val="0"/>
        <w:autoSpaceDE w:val="0"/>
        <w:autoSpaceDN w:val="0"/>
        <w:adjustRightInd w:val="0"/>
        <w:ind w:right="120"/>
        <w:rPr>
          <w:rFonts w:eastAsia="SimSun"/>
          <w:sz w:val="22"/>
          <w:szCs w:val="22"/>
          <w:lang w:eastAsia="zh-CN"/>
        </w:rPr>
      </w:pPr>
      <w:r w:rsidRPr="00776407">
        <w:rPr>
          <w:rFonts w:eastAsia="SimSun"/>
          <w:sz w:val="22"/>
          <w:szCs w:val="22"/>
          <w:lang w:eastAsia="zh-CN"/>
        </w:rPr>
        <w:t>S.C. Sindan-Pharma S.R.L.</w:t>
      </w:r>
    </w:p>
    <w:p w14:paraId="73A36CFF" w14:textId="77777777" w:rsidR="00775CC3" w:rsidRPr="00776407" w:rsidRDefault="00775CC3" w:rsidP="00775CC3">
      <w:pPr>
        <w:widowControl w:val="0"/>
        <w:autoSpaceDE w:val="0"/>
        <w:autoSpaceDN w:val="0"/>
        <w:adjustRightInd w:val="0"/>
        <w:ind w:right="120"/>
        <w:rPr>
          <w:rFonts w:eastAsia="SimSun"/>
          <w:sz w:val="22"/>
          <w:szCs w:val="22"/>
          <w:lang w:eastAsia="zh-CN"/>
        </w:rPr>
      </w:pPr>
      <w:r w:rsidRPr="00776407">
        <w:rPr>
          <w:rFonts w:eastAsia="SimSun"/>
          <w:sz w:val="22"/>
          <w:szCs w:val="22"/>
          <w:lang w:eastAsia="zh-CN"/>
        </w:rPr>
        <w:t>11</w:t>
      </w:r>
      <w:r w:rsidRPr="00776407">
        <w:rPr>
          <w:rFonts w:eastAsia="SimSun"/>
          <w:sz w:val="22"/>
          <w:szCs w:val="22"/>
          <w:vertAlign w:val="superscript"/>
          <w:lang w:eastAsia="zh-CN"/>
        </w:rPr>
        <w:t>th</w:t>
      </w:r>
      <w:r w:rsidRPr="00776407">
        <w:rPr>
          <w:rFonts w:eastAsia="SimSun"/>
          <w:sz w:val="22"/>
          <w:szCs w:val="22"/>
          <w:lang w:eastAsia="zh-CN"/>
        </w:rPr>
        <w:t xml:space="preserve"> Ion Mihalache Ave, The 1</w:t>
      </w:r>
      <w:r w:rsidRPr="00776407">
        <w:rPr>
          <w:rFonts w:eastAsia="SimSun"/>
          <w:sz w:val="22"/>
          <w:szCs w:val="22"/>
          <w:vertAlign w:val="superscript"/>
          <w:lang w:eastAsia="zh-CN"/>
        </w:rPr>
        <w:t>st</w:t>
      </w:r>
      <w:r w:rsidRPr="00776407">
        <w:rPr>
          <w:rFonts w:eastAsia="SimSun"/>
          <w:sz w:val="22"/>
          <w:szCs w:val="22"/>
          <w:lang w:eastAsia="zh-CN"/>
        </w:rPr>
        <w:t xml:space="preserve"> district,</w:t>
      </w:r>
      <w:r w:rsidRPr="00776407">
        <w:rPr>
          <w:rFonts w:eastAsia="SimSun"/>
          <w:sz w:val="22"/>
          <w:szCs w:val="22"/>
          <w:lang w:eastAsia="zh-CN"/>
        </w:rPr>
        <w:br/>
        <w:t>RO-011171 Bucharest</w:t>
      </w:r>
      <w:r w:rsidRPr="00776407">
        <w:rPr>
          <w:rFonts w:eastAsia="SimSun"/>
          <w:sz w:val="22"/>
          <w:szCs w:val="22"/>
          <w:lang w:eastAsia="zh-CN"/>
        </w:rPr>
        <w:br/>
        <w:t>Rumunija</w:t>
      </w:r>
    </w:p>
    <w:p w14:paraId="5F9978AF" w14:textId="77777777" w:rsidR="00775CC3" w:rsidRPr="00776407" w:rsidRDefault="00775CC3" w:rsidP="00775CC3">
      <w:pPr>
        <w:contextualSpacing/>
        <w:rPr>
          <w:sz w:val="22"/>
          <w:szCs w:val="22"/>
        </w:rPr>
      </w:pPr>
    </w:p>
    <w:p w14:paraId="1DB7A9C4" w14:textId="77777777" w:rsidR="00775CC3" w:rsidRPr="00776407" w:rsidRDefault="00775CC3" w:rsidP="00775CC3">
      <w:pPr>
        <w:contextualSpacing/>
        <w:rPr>
          <w:sz w:val="22"/>
          <w:szCs w:val="22"/>
        </w:rPr>
      </w:pPr>
    </w:p>
    <w:p w14:paraId="29F89607" w14:textId="77777777" w:rsidR="00775CC3" w:rsidRPr="00776407" w:rsidRDefault="00775CC3" w:rsidP="004B1629">
      <w:pPr>
        <w:pStyle w:val="TitleB"/>
        <w:spacing w:before="0" w:after="0"/>
        <w:rPr>
          <w:lang w:val="lt-LT"/>
        </w:rPr>
      </w:pPr>
      <w:r w:rsidRPr="00776407">
        <w:rPr>
          <w:lang w:val="lt-LT"/>
        </w:rPr>
        <w:t>B.</w:t>
      </w:r>
      <w:r w:rsidRPr="00776407">
        <w:rPr>
          <w:lang w:val="lt-LT"/>
        </w:rPr>
        <w:tab/>
        <w:t>TIEKIMO IR VARTOJIMO SĄLYGOS IR APRIBOJIMAI</w:t>
      </w:r>
    </w:p>
    <w:p w14:paraId="40A04B82" w14:textId="77777777" w:rsidR="00775CC3" w:rsidRPr="00776407" w:rsidRDefault="00775CC3" w:rsidP="00775CC3">
      <w:pPr>
        <w:tabs>
          <w:tab w:val="left" w:pos="6675"/>
        </w:tabs>
        <w:contextualSpacing/>
        <w:rPr>
          <w:b/>
          <w:bCs/>
          <w:sz w:val="22"/>
          <w:szCs w:val="22"/>
        </w:rPr>
      </w:pPr>
    </w:p>
    <w:p w14:paraId="607D8035" w14:textId="77777777" w:rsidR="00775CC3" w:rsidRPr="00776407" w:rsidRDefault="00775CC3" w:rsidP="00775CC3">
      <w:pPr>
        <w:contextualSpacing/>
        <w:rPr>
          <w:sz w:val="22"/>
          <w:szCs w:val="22"/>
        </w:rPr>
      </w:pPr>
      <w:r w:rsidRPr="00776407">
        <w:rPr>
          <w:sz w:val="22"/>
          <w:szCs w:val="22"/>
        </w:rPr>
        <w:t>Receptinis vaistinis preparatas (žr. Priedo I Preparatų charakteristikų santraukos 4.2 skyrių).</w:t>
      </w:r>
    </w:p>
    <w:p w14:paraId="49AC641E" w14:textId="77777777" w:rsidR="00775CC3" w:rsidRPr="00776407" w:rsidRDefault="00775CC3" w:rsidP="00775CC3">
      <w:pPr>
        <w:contextualSpacing/>
        <w:rPr>
          <w:sz w:val="22"/>
          <w:szCs w:val="22"/>
        </w:rPr>
      </w:pPr>
    </w:p>
    <w:p w14:paraId="7589BE31" w14:textId="77777777" w:rsidR="00775CC3" w:rsidRPr="00776407" w:rsidRDefault="00775CC3" w:rsidP="00775CC3">
      <w:pPr>
        <w:contextualSpacing/>
        <w:rPr>
          <w:sz w:val="22"/>
          <w:szCs w:val="22"/>
        </w:rPr>
      </w:pPr>
    </w:p>
    <w:p w14:paraId="40526233" w14:textId="77777777" w:rsidR="00775CC3" w:rsidRPr="00776407" w:rsidRDefault="00775CC3" w:rsidP="004B1629">
      <w:pPr>
        <w:pStyle w:val="TitleB"/>
        <w:spacing w:before="0" w:after="0"/>
        <w:rPr>
          <w:lang w:val="lt-LT"/>
        </w:rPr>
      </w:pPr>
      <w:r w:rsidRPr="00776407">
        <w:rPr>
          <w:lang w:val="lt-LT"/>
        </w:rPr>
        <w:t>C.</w:t>
      </w:r>
      <w:r w:rsidRPr="00776407">
        <w:rPr>
          <w:lang w:val="lt-LT"/>
        </w:rPr>
        <w:tab/>
        <w:t xml:space="preserve">KITOS SĄLYGOS IR REIKALAVIMAI </w:t>
      </w:r>
      <w:r w:rsidR="009A5433" w:rsidRPr="00776407">
        <w:rPr>
          <w:lang w:val="lt-LT"/>
        </w:rPr>
        <w:t>REGISTRUOTOJUI</w:t>
      </w:r>
      <w:r w:rsidRPr="00776407">
        <w:rPr>
          <w:lang w:val="lt-LT"/>
        </w:rPr>
        <w:t xml:space="preserve"> </w:t>
      </w:r>
    </w:p>
    <w:p w14:paraId="338E16DE" w14:textId="77777777" w:rsidR="00775CC3" w:rsidRPr="00776407" w:rsidRDefault="00775CC3" w:rsidP="00775CC3">
      <w:pPr>
        <w:ind w:left="720" w:hanging="720"/>
        <w:contextualSpacing/>
        <w:rPr>
          <w:b/>
          <w:bCs/>
          <w:sz w:val="22"/>
          <w:szCs w:val="22"/>
        </w:rPr>
      </w:pPr>
    </w:p>
    <w:p w14:paraId="6D102268" w14:textId="150BF20A" w:rsidR="00775CC3" w:rsidRPr="00776407" w:rsidRDefault="00775CC3" w:rsidP="00775CC3">
      <w:pPr>
        <w:tabs>
          <w:tab w:val="left" w:pos="709"/>
        </w:tabs>
        <w:rPr>
          <w:b/>
          <w:bCs/>
          <w:sz w:val="22"/>
          <w:szCs w:val="22"/>
        </w:rPr>
      </w:pPr>
      <w:r w:rsidRPr="00776407">
        <w:rPr>
          <w:b/>
          <w:bCs/>
          <w:sz w:val="22"/>
          <w:szCs w:val="22"/>
        </w:rPr>
        <w:t>•</w:t>
      </w:r>
      <w:r w:rsidRPr="00776407">
        <w:rPr>
          <w:b/>
          <w:bCs/>
          <w:sz w:val="22"/>
          <w:szCs w:val="22"/>
        </w:rPr>
        <w:tab/>
        <w:t>Periodiškai atnaujinami saugumo protokolai</w:t>
      </w:r>
      <w:r w:rsidR="00AA08DE" w:rsidRPr="00776407">
        <w:rPr>
          <w:b/>
          <w:bCs/>
          <w:sz w:val="22"/>
          <w:szCs w:val="22"/>
        </w:rPr>
        <w:t xml:space="preserve"> (PASP)</w:t>
      </w:r>
    </w:p>
    <w:p w14:paraId="1F04CEDE" w14:textId="77777777" w:rsidR="0089413D" w:rsidRPr="00776407" w:rsidRDefault="0089413D" w:rsidP="00775CC3">
      <w:pPr>
        <w:tabs>
          <w:tab w:val="left" w:pos="709"/>
        </w:tabs>
        <w:rPr>
          <w:sz w:val="22"/>
          <w:szCs w:val="22"/>
        </w:rPr>
      </w:pPr>
    </w:p>
    <w:p w14:paraId="1680E175" w14:textId="3AD568EF" w:rsidR="00775CC3" w:rsidRPr="00776407" w:rsidRDefault="00775CC3" w:rsidP="00775CC3">
      <w:pPr>
        <w:contextualSpacing/>
        <w:rPr>
          <w:sz w:val="22"/>
          <w:szCs w:val="22"/>
        </w:rPr>
      </w:pPr>
      <w:r w:rsidRPr="00776407">
        <w:rPr>
          <w:sz w:val="22"/>
          <w:szCs w:val="22"/>
        </w:rPr>
        <w:t xml:space="preserve">Suteikiant šio vaistinio preparato rinkodaros teisę </w:t>
      </w:r>
      <w:r w:rsidR="00AA08DE" w:rsidRPr="00776407">
        <w:rPr>
          <w:sz w:val="22"/>
          <w:szCs w:val="22"/>
        </w:rPr>
        <w:t>PASP</w:t>
      </w:r>
      <w:r w:rsidRPr="00776407">
        <w:rPr>
          <w:sz w:val="22"/>
          <w:szCs w:val="22"/>
        </w:rPr>
        <w:t xml:space="preserve"> nereikalaujama. Tačiau </w:t>
      </w:r>
      <w:r w:rsidR="000509C9" w:rsidRPr="00776407">
        <w:rPr>
          <w:sz w:val="22"/>
          <w:szCs w:val="22"/>
        </w:rPr>
        <w:t>r</w:t>
      </w:r>
      <w:r w:rsidR="00944055" w:rsidRPr="00776407">
        <w:rPr>
          <w:sz w:val="22"/>
          <w:szCs w:val="22"/>
        </w:rPr>
        <w:t>egistruotojas</w:t>
      </w:r>
      <w:r w:rsidRPr="00776407">
        <w:rPr>
          <w:sz w:val="22"/>
          <w:szCs w:val="22"/>
        </w:rPr>
        <w:t xml:space="preserve"> teikia šio vaistinio preparato </w:t>
      </w:r>
      <w:r w:rsidR="00AA08DE" w:rsidRPr="00776407">
        <w:rPr>
          <w:sz w:val="22"/>
          <w:szCs w:val="22"/>
        </w:rPr>
        <w:t>PASP</w:t>
      </w:r>
      <w:r w:rsidRPr="00776407">
        <w:rPr>
          <w:sz w:val="22"/>
          <w:szCs w:val="22"/>
        </w:rPr>
        <w:t>, jei preparatas įtrauktas į Direktyvos 2001/83/EB 107c straipsnio 7 dalyje numatytą Sąjungos orientacinių datų sąrašą (</w:t>
      </w:r>
      <w:r w:rsidRPr="00776407">
        <w:rPr>
          <w:i/>
          <w:sz w:val="22"/>
          <w:szCs w:val="22"/>
        </w:rPr>
        <w:t>EURD</w:t>
      </w:r>
      <w:r w:rsidRPr="00776407">
        <w:rPr>
          <w:sz w:val="22"/>
          <w:szCs w:val="22"/>
        </w:rPr>
        <w:t xml:space="preserve">), kuris skelbiamas Europos vaistų interneto portale. </w:t>
      </w:r>
    </w:p>
    <w:p w14:paraId="695611EE" w14:textId="77777777" w:rsidR="00775CC3" w:rsidRPr="00776407" w:rsidRDefault="00775CC3" w:rsidP="00775CC3">
      <w:pPr>
        <w:contextualSpacing/>
        <w:rPr>
          <w:sz w:val="22"/>
          <w:szCs w:val="22"/>
        </w:rPr>
      </w:pPr>
    </w:p>
    <w:p w14:paraId="25FABBCB" w14:textId="77777777" w:rsidR="00775CC3" w:rsidRPr="00776407" w:rsidRDefault="00775CC3" w:rsidP="00775CC3">
      <w:pPr>
        <w:contextualSpacing/>
        <w:rPr>
          <w:sz w:val="22"/>
          <w:szCs w:val="22"/>
        </w:rPr>
      </w:pPr>
    </w:p>
    <w:p w14:paraId="1F03168B" w14:textId="77777777" w:rsidR="00775CC3" w:rsidRPr="00776407" w:rsidRDefault="00775CC3" w:rsidP="004B1629">
      <w:pPr>
        <w:pStyle w:val="TitleB"/>
        <w:spacing w:before="0"/>
        <w:rPr>
          <w:lang w:val="lt-LT"/>
        </w:rPr>
      </w:pPr>
      <w:r w:rsidRPr="00776407">
        <w:rPr>
          <w:lang w:val="lt-LT"/>
        </w:rPr>
        <w:t>D.</w:t>
      </w:r>
      <w:r w:rsidRPr="00776407">
        <w:rPr>
          <w:lang w:val="lt-LT"/>
        </w:rPr>
        <w:tab/>
        <w:t xml:space="preserve">SĄLYGOS AR APRIBOJIMAI SAUGIAM IR </w:t>
      </w:r>
      <w:r w:rsidRPr="00776407">
        <w:rPr>
          <w:caps/>
          <w:lang w:val="lt-LT"/>
        </w:rPr>
        <w:t xml:space="preserve">VEIKSMINGAM </w:t>
      </w:r>
      <w:r w:rsidRPr="00776407">
        <w:rPr>
          <w:lang w:val="lt-LT"/>
        </w:rPr>
        <w:t xml:space="preserve">VAISTINIO PREPARATO VARTOJIMUI UŽTIKRINTI </w:t>
      </w:r>
    </w:p>
    <w:p w14:paraId="54848406" w14:textId="77777777" w:rsidR="00775CC3" w:rsidRPr="00776407" w:rsidRDefault="00775CC3" w:rsidP="00775CC3">
      <w:pPr>
        <w:ind w:left="720" w:hanging="720"/>
        <w:contextualSpacing/>
        <w:rPr>
          <w:b/>
          <w:bCs/>
          <w:sz w:val="22"/>
          <w:szCs w:val="22"/>
        </w:rPr>
      </w:pPr>
    </w:p>
    <w:p w14:paraId="7AC9B67D" w14:textId="77777777" w:rsidR="00775CC3" w:rsidRPr="00776407" w:rsidRDefault="00775CC3" w:rsidP="00775CC3">
      <w:pPr>
        <w:rPr>
          <w:b/>
          <w:bCs/>
          <w:sz w:val="22"/>
          <w:szCs w:val="22"/>
        </w:rPr>
      </w:pPr>
      <w:r w:rsidRPr="00776407">
        <w:rPr>
          <w:b/>
          <w:bCs/>
          <w:sz w:val="22"/>
          <w:szCs w:val="22"/>
        </w:rPr>
        <w:t>•</w:t>
      </w:r>
      <w:r w:rsidRPr="00776407">
        <w:rPr>
          <w:b/>
          <w:bCs/>
          <w:sz w:val="22"/>
          <w:szCs w:val="22"/>
        </w:rPr>
        <w:tab/>
        <w:t>Rizikos valdymo planas (RVP)</w:t>
      </w:r>
    </w:p>
    <w:p w14:paraId="276AD139" w14:textId="77777777" w:rsidR="00EB1CCD" w:rsidRPr="00776407" w:rsidRDefault="00EB1CCD" w:rsidP="00775CC3">
      <w:pPr>
        <w:rPr>
          <w:sz w:val="22"/>
          <w:szCs w:val="22"/>
        </w:rPr>
      </w:pPr>
    </w:p>
    <w:p w14:paraId="47E93C44" w14:textId="77777777" w:rsidR="00775CC3" w:rsidRPr="00776407" w:rsidRDefault="00775CC3" w:rsidP="00775CC3">
      <w:pPr>
        <w:contextualSpacing/>
        <w:rPr>
          <w:sz w:val="22"/>
          <w:szCs w:val="22"/>
        </w:rPr>
      </w:pPr>
      <w:r w:rsidRPr="00776407">
        <w:rPr>
          <w:sz w:val="22"/>
          <w:szCs w:val="22"/>
        </w:rPr>
        <w:t>Nereikia.</w:t>
      </w:r>
    </w:p>
    <w:p w14:paraId="59B9DE42" w14:textId="77777777" w:rsidR="006358E3" w:rsidRPr="00776407" w:rsidRDefault="00775CC3" w:rsidP="00775CC3">
      <w:pPr>
        <w:rPr>
          <w:sz w:val="22"/>
          <w:szCs w:val="22"/>
        </w:rPr>
      </w:pPr>
      <w:r w:rsidRPr="00776407">
        <w:rPr>
          <w:sz w:val="22"/>
          <w:szCs w:val="22"/>
        </w:rPr>
        <w:br w:type="page"/>
      </w:r>
    </w:p>
    <w:p w14:paraId="4A9076D9" w14:textId="77777777" w:rsidR="006358E3" w:rsidRPr="00776407" w:rsidRDefault="006358E3" w:rsidP="006358E3">
      <w:pPr>
        <w:rPr>
          <w:sz w:val="22"/>
          <w:szCs w:val="22"/>
        </w:rPr>
      </w:pPr>
    </w:p>
    <w:p w14:paraId="232C39C0" w14:textId="77777777" w:rsidR="006358E3" w:rsidRPr="00776407" w:rsidRDefault="006358E3" w:rsidP="006358E3">
      <w:pPr>
        <w:rPr>
          <w:sz w:val="22"/>
          <w:szCs w:val="22"/>
        </w:rPr>
      </w:pPr>
    </w:p>
    <w:p w14:paraId="72B04932" w14:textId="77777777" w:rsidR="006358E3" w:rsidRPr="00776407" w:rsidRDefault="006358E3" w:rsidP="006358E3">
      <w:pPr>
        <w:rPr>
          <w:sz w:val="22"/>
          <w:szCs w:val="22"/>
        </w:rPr>
      </w:pPr>
    </w:p>
    <w:p w14:paraId="6FF50A2F" w14:textId="77777777" w:rsidR="007E1376" w:rsidRPr="00776407" w:rsidRDefault="007E1376" w:rsidP="006358E3">
      <w:pPr>
        <w:rPr>
          <w:sz w:val="22"/>
          <w:szCs w:val="22"/>
        </w:rPr>
      </w:pPr>
    </w:p>
    <w:p w14:paraId="26949334" w14:textId="77777777" w:rsidR="007E1376" w:rsidRPr="00776407" w:rsidRDefault="007E1376" w:rsidP="006358E3">
      <w:pPr>
        <w:rPr>
          <w:sz w:val="22"/>
          <w:szCs w:val="22"/>
        </w:rPr>
      </w:pPr>
    </w:p>
    <w:p w14:paraId="2CDFFB8C" w14:textId="77777777" w:rsidR="007E1376" w:rsidRPr="00776407" w:rsidRDefault="007E1376" w:rsidP="006358E3">
      <w:pPr>
        <w:rPr>
          <w:sz w:val="22"/>
          <w:szCs w:val="22"/>
        </w:rPr>
      </w:pPr>
    </w:p>
    <w:p w14:paraId="27C1F28B" w14:textId="77777777" w:rsidR="007E1376" w:rsidRPr="00776407" w:rsidRDefault="007E1376" w:rsidP="006358E3">
      <w:pPr>
        <w:rPr>
          <w:sz w:val="22"/>
          <w:szCs w:val="22"/>
        </w:rPr>
      </w:pPr>
    </w:p>
    <w:p w14:paraId="56827950" w14:textId="77777777" w:rsidR="007E1376" w:rsidRPr="00776407" w:rsidRDefault="007E1376" w:rsidP="006358E3">
      <w:pPr>
        <w:rPr>
          <w:sz w:val="22"/>
          <w:szCs w:val="22"/>
        </w:rPr>
      </w:pPr>
    </w:p>
    <w:p w14:paraId="6674E274" w14:textId="77777777" w:rsidR="007E1376" w:rsidRPr="00776407" w:rsidRDefault="007E1376" w:rsidP="006358E3">
      <w:pPr>
        <w:rPr>
          <w:sz w:val="22"/>
          <w:szCs w:val="22"/>
        </w:rPr>
      </w:pPr>
    </w:p>
    <w:p w14:paraId="2D2067AA" w14:textId="77777777" w:rsidR="007E1376" w:rsidRPr="00776407" w:rsidRDefault="007E1376" w:rsidP="006358E3">
      <w:pPr>
        <w:rPr>
          <w:sz w:val="22"/>
          <w:szCs w:val="22"/>
        </w:rPr>
      </w:pPr>
    </w:p>
    <w:p w14:paraId="4F35B155" w14:textId="77777777" w:rsidR="007E1376" w:rsidRPr="00776407" w:rsidRDefault="007E1376" w:rsidP="006358E3">
      <w:pPr>
        <w:rPr>
          <w:sz w:val="22"/>
          <w:szCs w:val="22"/>
        </w:rPr>
      </w:pPr>
    </w:p>
    <w:p w14:paraId="59E0FC25" w14:textId="77777777" w:rsidR="007E1376" w:rsidRPr="00776407" w:rsidRDefault="007E1376" w:rsidP="006358E3">
      <w:pPr>
        <w:rPr>
          <w:sz w:val="22"/>
          <w:szCs w:val="22"/>
        </w:rPr>
      </w:pPr>
    </w:p>
    <w:p w14:paraId="2735F15B" w14:textId="77777777" w:rsidR="007E1376" w:rsidRPr="00776407" w:rsidRDefault="007E1376" w:rsidP="006358E3">
      <w:pPr>
        <w:rPr>
          <w:sz w:val="22"/>
          <w:szCs w:val="22"/>
        </w:rPr>
      </w:pPr>
    </w:p>
    <w:p w14:paraId="5B7908B3" w14:textId="77777777" w:rsidR="007E1376" w:rsidRPr="00776407" w:rsidRDefault="007E1376" w:rsidP="006358E3">
      <w:pPr>
        <w:rPr>
          <w:sz w:val="22"/>
          <w:szCs w:val="22"/>
        </w:rPr>
      </w:pPr>
    </w:p>
    <w:p w14:paraId="4D4F904C" w14:textId="77777777" w:rsidR="007E1376" w:rsidRPr="00776407" w:rsidRDefault="007E1376" w:rsidP="006358E3">
      <w:pPr>
        <w:rPr>
          <w:sz w:val="22"/>
          <w:szCs w:val="22"/>
        </w:rPr>
      </w:pPr>
    </w:p>
    <w:p w14:paraId="005F8237" w14:textId="77777777" w:rsidR="007E1376" w:rsidRPr="00776407" w:rsidRDefault="007E1376" w:rsidP="006358E3">
      <w:pPr>
        <w:rPr>
          <w:sz w:val="22"/>
          <w:szCs w:val="22"/>
        </w:rPr>
      </w:pPr>
    </w:p>
    <w:p w14:paraId="6B1319D9" w14:textId="77777777" w:rsidR="007E1376" w:rsidRPr="00776407" w:rsidRDefault="007E1376" w:rsidP="006358E3">
      <w:pPr>
        <w:rPr>
          <w:sz w:val="22"/>
          <w:szCs w:val="22"/>
        </w:rPr>
      </w:pPr>
    </w:p>
    <w:p w14:paraId="56D37791" w14:textId="77777777" w:rsidR="007E1376" w:rsidRPr="00776407" w:rsidRDefault="007E1376" w:rsidP="006358E3">
      <w:pPr>
        <w:rPr>
          <w:sz w:val="22"/>
          <w:szCs w:val="22"/>
        </w:rPr>
      </w:pPr>
    </w:p>
    <w:p w14:paraId="099EE6E5" w14:textId="77777777" w:rsidR="007E1376" w:rsidRPr="00776407" w:rsidRDefault="007E1376" w:rsidP="006358E3">
      <w:pPr>
        <w:rPr>
          <w:sz w:val="22"/>
          <w:szCs w:val="22"/>
        </w:rPr>
      </w:pPr>
    </w:p>
    <w:p w14:paraId="300CA447" w14:textId="77777777" w:rsidR="007E1376" w:rsidRPr="00776407" w:rsidRDefault="007E1376" w:rsidP="006358E3">
      <w:pPr>
        <w:rPr>
          <w:sz w:val="22"/>
          <w:szCs w:val="22"/>
        </w:rPr>
      </w:pPr>
    </w:p>
    <w:p w14:paraId="7006FD66" w14:textId="77777777" w:rsidR="007E1376" w:rsidRPr="00776407" w:rsidRDefault="007E1376" w:rsidP="006358E3">
      <w:pPr>
        <w:rPr>
          <w:sz w:val="22"/>
          <w:szCs w:val="22"/>
        </w:rPr>
      </w:pPr>
    </w:p>
    <w:p w14:paraId="57342871" w14:textId="77777777" w:rsidR="007E1376" w:rsidRPr="00776407" w:rsidRDefault="007E1376" w:rsidP="006358E3">
      <w:pPr>
        <w:rPr>
          <w:sz w:val="22"/>
          <w:szCs w:val="22"/>
        </w:rPr>
      </w:pPr>
    </w:p>
    <w:p w14:paraId="07005098" w14:textId="77777777" w:rsidR="007E1376" w:rsidRPr="00776407" w:rsidRDefault="007E1376" w:rsidP="006358E3">
      <w:pPr>
        <w:rPr>
          <w:sz w:val="22"/>
          <w:szCs w:val="22"/>
        </w:rPr>
      </w:pPr>
    </w:p>
    <w:p w14:paraId="32208D05" w14:textId="77777777" w:rsidR="007E1376" w:rsidRPr="00776407" w:rsidRDefault="007E1376" w:rsidP="006358E3">
      <w:pPr>
        <w:rPr>
          <w:sz w:val="22"/>
          <w:szCs w:val="22"/>
        </w:rPr>
      </w:pPr>
    </w:p>
    <w:p w14:paraId="25CEBC54" w14:textId="77777777" w:rsidR="006358E3" w:rsidRPr="00776407" w:rsidRDefault="006358E3" w:rsidP="006358E3">
      <w:pPr>
        <w:pStyle w:val="berschrift2"/>
        <w:spacing w:before="0" w:after="0" w:line="240" w:lineRule="auto"/>
        <w:jc w:val="center"/>
        <w:rPr>
          <w:rFonts w:ascii="Times New Roman" w:hAnsi="Times New Roman"/>
          <w:i w:val="0"/>
          <w:iCs/>
          <w:sz w:val="22"/>
          <w:szCs w:val="22"/>
          <w:lang w:val="lt-LT"/>
        </w:rPr>
      </w:pPr>
      <w:r w:rsidRPr="00776407">
        <w:rPr>
          <w:rFonts w:ascii="Times New Roman" w:hAnsi="Times New Roman"/>
          <w:i w:val="0"/>
          <w:iCs/>
          <w:sz w:val="22"/>
          <w:szCs w:val="22"/>
          <w:lang w:val="lt-LT"/>
        </w:rPr>
        <w:t>III PRIEDAS</w:t>
      </w:r>
    </w:p>
    <w:p w14:paraId="071BAF3F" w14:textId="77777777" w:rsidR="006358E3" w:rsidRPr="00776407" w:rsidRDefault="006358E3" w:rsidP="006358E3">
      <w:pPr>
        <w:rPr>
          <w:sz w:val="22"/>
          <w:szCs w:val="22"/>
        </w:rPr>
      </w:pPr>
    </w:p>
    <w:p w14:paraId="4C1EB75D" w14:textId="77777777" w:rsidR="006358E3" w:rsidRPr="00776407" w:rsidRDefault="006358E3" w:rsidP="006358E3">
      <w:pPr>
        <w:pStyle w:val="berschrift2"/>
        <w:spacing w:before="0" w:after="0" w:line="240" w:lineRule="auto"/>
        <w:jc w:val="center"/>
        <w:rPr>
          <w:rFonts w:ascii="Times New Roman" w:hAnsi="Times New Roman"/>
          <w:i w:val="0"/>
          <w:iCs/>
          <w:sz w:val="22"/>
          <w:szCs w:val="22"/>
          <w:lang w:val="lt-LT"/>
        </w:rPr>
      </w:pPr>
      <w:r w:rsidRPr="00776407">
        <w:rPr>
          <w:rFonts w:ascii="Times New Roman" w:hAnsi="Times New Roman"/>
          <w:i w:val="0"/>
          <w:iCs/>
          <w:sz w:val="22"/>
          <w:szCs w:val="22"/>
          <w:lang w:val="lt-LT"/>
        </w:rPr>
        <w:t>ŽENKLINIMAS IR PAKUOTĖS LAPELIS</w:t>
      </w:r>
    </w:p>
    <w:p w14:paraId="516D3C75" w14:textId="77777777" w:rsidR="006358E3" w:rsidRPr="00776407" w:rsidRDefault="006358E3" w:rsidP="006358E3">
      <w:pPr>
        <w:rPr>
          <w:sz w:val="22"/>
          <w:szCs w:val="22"/>
        </w:rPr>
      </w:pPr>
      <w:r w:rsidRPr="00776407">
        <w:rPr>
          <w:sz w:val="22"/>
          <w:szCs w:val="22"/>
        </w:rPr>
        <w:br w:type="page"/>
      </w:r>
    </w:p>
    <w:p w14:paraId="66B52DE4" w14:textId="77777777" w:rsidR="006358E3" w:rsidRPr="00776407" w:rsidRDefault="006358E3" w:rsidP="006358E3">
      <w:pPr>
        <w:rPr>
          <w:sz w:val="22"/>
          <w:szCs w:val="22"/>
        </w:rPr>
      </w:pPr>
    </w:p>
    <w:p w14:paraId="4FAE786A" w14:textId="77777777" w:rsidR="006358E3" w:rsidRPr="00776407" w:rsidRDefault="006358E3" w:rsidP="006358E3">
      <w:pPr>
        <w:rPr>
          <w:sz w:val="22"/>
          <w:szCs w:val="22"/>
        </w:rPr>
      </w:pPr>
    </w:p>
    <w:p w14:paraId="734E6C9F" w14:textId="77777777" w:rsidR="006358E3" w:rsidRPr="00776407" w:rsidRDefault="006358E3" w:rsidP="006358E3">
      <w:pPr>
        <w:rPr>
          <w:sz w:val="22"/>
          <w:szCs w:val="22"/>
        </w:rPr>
      </w:pPr>
    </w:p>
    <w:p w14:paraId="22AA021B" w14:textId="77777777" w:rsidR="006358E3" w:rsidRPr="00776407" w:rsidRDefault="006358E3" w:rsidP="006358E3">
      <w:pPr>
        <w:rPr>
          <w:sz w:val="22"/>
          <w:szCs w:val="22"/>
        </w:rPr>
      </w:pPr>
    </w:p>
    <w:p w14:paraId="6F1F807A" w14:textId="77777777" w:rsidR="006358E3" w:rsidRPr="00776407" w:rsidRDefault="006358E3" w:rsidP="006358E3">
      <w:pPr>
        <w:rPr>
          <w:sz w:val="22"/>
          <w:szCs w:val="22"/>
        </w:rPr>
      </w:pPr>
    </w:p>
    <w:p w14:paraId="2690AAC7" w14:textId="77777777" w:rsidR="006358E3" w:rsidRPr="00776407" w:rsidRDefault="006358E3" w:rsidP="006358E3">
      <w:pPr>
        <w:rPr>
          <w:sz w:val="22"/>
          <w:szCs w:val="22"/>
        </w:rPr>
      </w:pPr>
    </w:p>
    <w:p w14:paraId="16F461D9" w14:textId="77777777" w:rsidR="006358E3" w:rsidRPr="00776407" w:rsidRDefault="006358E3" w:rsidP="006358E3">
      <w:pPr>
        <w:rPr>
          <w:sz w:val="22"/>
          <w:szCs w:val="22"/>
        </w:rPr>
      </w:pPr>
    </w:p>
    <w:p w14:paraId="385A753C" w14:textId="77777777" w:rsidR="006358E3" w:rsidRPr="00776407" w:rsidRDefault="006358E3" w:rsidP="006358E3">
      <w:pPr>
        <w:rPr>
          <w:sz w:val="22"/>
          <w:szCs w:val="22"/>
        </w:rPr>
      </w:pPr>
    </w:p>
    <w:p w14:paraId="01504981" w14:textId="77777777" w:rsidR="006358E3" w:rsidRPr="00776407" w:rsidRDefault="006358E3" w:rsidP="006358E3">
      <w:pPr>
        <w:rPr>
          <w:sz w:val="22"/>
          <w:szCs w:val="22"/>
        </w:rPr>
      </w:pPr>
    </w:p>
    <w:p w14:paraId="00209104" w14:textId="77777777" w:rsidR="006358E3" w:rsidRPr="00776407" w:rsidRDefault="006358E3" w:rsidP="006358E3">
      <w:pPr>
        <w:rPr>
          <w:sz w:val="22"/>
          <w:szCs w:val="22"/>
        </w:rPr>
      </w:pPr>
    </w:p>
    <w:p w14:paraId="7C67EDF0" w14:textId="77777777" w:rsidR="006358E3" w:rsidRPr="00776407" w:rsidRDefault="006358E3" w:rsidP="006358E3">
      <w:pPr>
        <w:rPr>
          <w:sz w:val="22"/>
          <w:szCs w:val="22"/>
        </w:rPr>
      </w:pPr>
    </w:p>
    <w:p w14:paraId="3A201153" w14:textId="77777777" w:rsidR="006358E3" w:rsidRPr="00776407" w:rsidRDefault="006358E3" w:rsidP="006358E3">
      <w:pPr>
        <w:rPr>
          <w:sz w:val="22"/>
          <w:szCs w:val="22"/>
        </w:rPr>
      </w:pPr>
    </w:p>
    <w:p w14:paraId="7B457856" w14:textId="77777777" w:rsidR="006358E3" w:rsidRPr="00776407" w:rsidRDefault="006358E3" w:rsidP="006358E3">
      <w:pPr>
        <w:rPr>
          <w:sz w:val="22"/>
          <w:szCs w:val="22"/>
        </w:rPr>
      </w:pPr>
    </w:p>
    <w:p w14:paraId="33267D9E" w14:textId="77777777" w:rsidR="006358E3" w:rsidRPr="00776407" w:rsidRDefault="006358E3" w:rsidP="006358E3">
      <w:pPr>
        <w:rPr>
          <w:sz w:val="22"/>
          <w:szCs w:val="22"/>
        </w:rPr>
      </w:pPr>
    </w:p>
    <w:p w14:paraId="66ADF255" w14:textId="77777777" w:rsidR="006358E3" w:rsidRPr="00776407" w:rsidRDefault="006358E3" w:rsidP="006358E3">
      <w:pPr>
        <w:rPr>
          <w:sz w:val="22"/>
          <w:szCs w:val="22"/>
        </w:rPr>
      </w:pPr>
    </w:p>
    <w:p w14:paraId="3A36A236" w14:textId="77777777" w:rsidR="006358E3" w:rsidRPr="00776407" w:rsidRDefault="006358E3" w:rsidP="006358E3">
      <w:pPr>
        <w:rPr>
          <w:sz w:val="22"/>
          <w:szCs w:val="22"/>
        </w:rPr>
      </w:pPr>
    </w:p>
    <w:p w14:paraId="5CF9CAB5" w14:textId="77777777" w:rsidR="006358E3" w:rsidRPr="00776407" w:rsidRDefault="006358E3" w:rsidP="006358E3">
      <w:pPr>
        <w:rPr>
          <w:sz w:val="22"/>
          <w:szCs w:val="22"/>
        </w:rPr>
      </w:pPr>
    </w:p>
    <w:p w14:paraId="75E25A77" w14:textId="77777777" w:rsidR="006358E3" w:rsidRPr="00776407" w:rsidRDefault="006358E3" w:rsidP="006358E3">
      <w:pPr>
        <w:rPr>
          <w:sz w:val="22"/>
          <w:szCs w:val="22"/>
        </w:rPr>
      </w:pPr>
    </w:p>
    <w:p w14:paraId="07B589D6" w14:textId="77777777" w:rsidR="006358E3" w:rsidRPr="00776407" w:rsidRDefault="006358E3" w:rsidP="006358E3">
      <w:pPr>
        <w:rPr>
          <w:sz w:val="22"/>
          <w:szCs w:val="22"/>
        </w:rPr>
      </w:pPr>
    </w:p>
    <w:p w14:paraId="5A757AEE" w14:textId="77777777" w:rsidR="006358E3" w:rsidRPr="00776407" w:rsidRDefault="006358E3" w:rsidP="006358E3">
      <w:pPr>
        <w:rPr>
          <w:sz w:val="22"/>
          <w:szCs w:val="22"/>
        </w:rPr>
      </w:pPr>
    </w:p>
    <w:p w14:paraId="67F9F265" w14:textId="77777777" w:rsidR="006358E3" w:rsidRPr="00776407" w:rsidRDefault="006358E3" w:rsidP="006358E3">
      <w:pPr>
        <w:rPr>
          <w:sz w:val="22"/>
          <w:szCs w:val="22"/>
        </w:rPr>
      </w:pPr>
    </w:p>
    <w:p w14:paraId="7AD50925" w14:textId="77777777" w:rsidR="006358E3" w:rsidRPr="00776407" w:rsidRDefault="006358E3" w:rsidP="006358E3">
      <w:pPr>
        <w:rPr>
          <w:sz w:val="22"/>
          <w:szCs w:val="22"/>
        </w:rPr>
      </w:pPr>
    </w:p>
    <w:p w14:paraId="59CCC554" w14:textId="77777777" w:rsidR="006358E3" w:rsidRPr="00776407" w:rsidRDefault="006358E3" w:rsidP="004B1629">
      <w:pPr>
        <w:pStyle w:val="TitleA"/>
        <w:rPr>
          <w:lang w:val="lt-LT"/>
        </w:rPr>
      </w:pPr>
      <w:r w:rsidRPr="00776407">
        <w:rPr>
          <w:lang w:val="lt-LT"/>
        </w:rPr>
        <w:t>A. ŽENKLINIMAS</w:t>
      </w:r>
    </w:p>
    <w:p w14:paraId="1FBB0F25" w14:textId="77777777" w:rsidR="006358E3" w:rsidRPr="00776407" w:rsidRDefault="006358E3" w:rsidP="006358E3">
      <w:pPr>
        <w:rPr>
          <w:sz w:val="22"/>
          <w:szCs w:val="22"/>
        </w:rPr>
      </w:pPr>
      <w:r w:rsidRPr="00776407">
        <w:rPr>
          <w:sz w:val="22"/>
          <w:szCs w:val="22"/>
        </w:rPr>
        <w:br w:type="page"/>
      </w:r>
    </w:p>
    <w:p w14:paraId="6640B9EF"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rPr>
          <w:b/>
          <w:sz w:val="22"/>
          <w:szCs w:val="22"/>
        </w:rPr>
      </w:pPr>
      <w:r w:rsidRPr="00776407">
        <w:rPr>
          <w:b/>
          <w:sz w:val="22"/>
          <w:szCs w:val="22"/>
        </w:rPr>
        <w:t>INFORMACIJA ANT IŠORINĖ</w:t>
      </w:r>
      <w:r w:rsidR="00EB1CCD" w:rsidRPr="00776407">
        <w:rPr>
          <w:b/>
          <w:sz w:val="22"/>
          <w:szCs w:val="22"/>
        </w:rPr>
        <w:t>S</w:t>
      </w:r>
      <w:r w:rsidRPr="00776407">
        <w:rPr>
          <w:b/>
          <w:sz w:val="22"/>
          <w:szCs w:val="22"/>
        </w:rPr>
        <w:t xml:space="preserve"> PAKUOTĖS</w:t>
      </w:r>
    </w:p>
    <w:p w14:paraId="5C29E834"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ind w:left="567" w:hanging="567"/>
        <w:rPr>
          <w:b/>
          <w:sz w:val="22"/>
          <w:szCs w:val="22"/>
        </w:rPr>
      </w:pPr>
    </w:p>
    <w:p w14:paraId="4EBDFFB0"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rPr>
          <w:b/>
          <w:sz w:val="22"/>
          <w:szCs w:val="22"/>
        </w:rPr>
      </w:pPr>
      <w:r w:rsidRPr="00776407">
        <w:rPr>
          <w:b/>
          <w:sz w:val="22"/>
          <w:szCs w:val="22"/>
        </w:rPr>
        <w:t>KARTONINĖ DĖŽUTĖ</w:t>
      </w:r>
    </w:p>
    <w:p w14:paraId="6A06D2E2" w14:textId="77777777" w:rsidR="006358E3" w:rsidRPr="00776407" w:rsidRDefault="006358E3" w:rsidP="006358E3">
      <w:pPr>
        <w:rPr>
          <w:sz w:val="22"/>
          <w:szCs w:val="22"/>
        </w:rPr>
      </w:pPr>
    </w:p>
    <w:p w14:paraId="22D5210A"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1.</w:t>
      </w:r>
      <w:r w:rsidRPr="00776407">
        <w:rPr>
          <w:b/>
          <w:sz w:val="22"/>
          <w:szCs w:val="22"/>
        </w:rPr>
        <w:tab/>
      </w:r>
      <w:r w:rsidRPr="00776407">
        <w:rPr>
          <w:b/>
          <w:caps/>
          <w:sz w:val="22"/>
          <w:szCs w:val="22"/>
        </w:rPr>
        <w:t>VAISTINIO</w:t>
      </w:r>
      <w:r w:rsidRPr="00776407">
        <w:rPr>
          <w:b/>
          <w:sz w:val="22"/>
          <w:szCs w:val="22"/>
        </w:rPr>
        <w:t xml:space="preserve"> PREPARATO PAVADINIMAS</w:t>
      </w:r>
    </w:p>
    <w:p w14:paraId="6561368D" w14:textId="77777777" w:rsidR="006358E3" w:rsidRPr="00776407" w:rsidRDefault="006358E3" w:rsidP="006358E3">
      <w:pPr>
        <w:rPr>
          <w:sz w:val="22"/>
          <w:szCs w:val="22"/>
        </w:rPr>
      </w:pPr>
    </w:p>
    <w:p w14:paraId="5D76A8B8" w14:textId="77777777" w:rsidR="006358E3" w:rsidRPr="00776407" w:rsidRDefault="006358E3" w:rsidP="006358E3">
      <w:pPr>
        <w:autoSpaceDE w:val="0"/>
        <w:autoSpaceDN w:val="0"/>
        <w:adjustRightInd w:val="0"/>
        <w:rPr>
          <w:sz w:val="22"/>
          <w:szCs w:val="22"/>
        </w:rPr>
      </w:pPr>
      <w:r w:rsidRPr="00776407">
        <w:rPr>
          <w:sz w:val="22"/>
          <w:szCs w:val="22"/>
        </w:rPr>
        <w:t xml:space="preserve">Imatinib Actavis 50 mg </w:t>
      </w:r>
      <w:r w:rsidR="00632436" w:rsidRPr="00776407">
        <w:rPr>
          <w:sz w:val="22"/>
          <w:szCs w:val="22"/>
        </w:rPr>
        <w:t>kietosios kapsulės</w:t>
      </w:r>
    </w:p>
    <w:p w14:paraId="2C339175" w14:textId="28277A9B" w:rsidR="006358E3" w:rsidRPr="00881EFD" w:rsidRDefault="00AA08DE" w:rsidP="006358E3">
      <w:pPr>
        <w:autoSpaceDE w:val="0"/>
        <w:autoSpaceDN w:val="0"/>
        <w:adjustRightInd w:val="0"/>
        <w:rPr>
          <w:i/>
          <w:sz w:val="22"/>
          <w:szCs w:val="22"/>
        </w:rPr>
      </w:pPr>
      <w:r w:rsidRPr="00776407">
        <w:rPr>
          <w:i/>
          <w:sz w:val="22"/>
          <w:szCs w:val="22"/>
        </w:rPr>
        <w:t>i</w:t>
      </w:r>
      <w:r w:rsidR="006358E3" w:rsidRPr="00881EFD">
        <w:rPr>
          <w:i/>
          <w:sz w:val="22"/>
          <w:szCs w:val="22"/>
        </w:rPr>
        <w:t>matinib</w:t>
      </w:r>
      <w:r w:rsidR="00C948C1" w:rsidRPr="00881EFD">
        <w:rPr>
          <w:i/>
          <w:sz w:val="22"/>
          <w:szCs w:val="22"/>
        </w:rPr>
        <w:t>um</w:t>
      </w:r>
    </w:p>
    <w:p w14:paraId="515FFD96" w14:textId="77777777" w:rsidR="006358E3" w:rsidRPr="00776407" w:rsidRDefault="006358E3" w:rsidP="006358E3">
      <w:pPr>
        <w:rPr>
          <w:sz w:val="22"/>
          <w:szCs w:val="22"/>
        </w:rPr>
      </w:pPr>
    </w:p>
    <w:p w14:paraId="6A90334A" w14:textId="77777777" w:rsidR="006358E3" w:rsidRPr="00776407" w:rsidRDefault="006358E3" w:rsidP="006358E3">
      <w:pPr>
        <w:rPr>
          <w:sz w:val="22"/>
          <w:szCs w:val="22"/>
        </w:rPr>
      </w:pPr>
    </w:p>
    <w:p w14:paraId="390C88E2"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ind w:left="567" w:hanging="567"/>
        <w:outlineLvl w:val="0"/>
        <w:rPr>
          <w:b/>
          <w:sz w:val="22"/>
          <w:szCs w:val="22"/>
        </w:rPr>
      </w:pPr>
      <w:r w:rsidRPr="00776407">
        <w:rPr>
          <w:b/>
          <w:sz w:val="22"/>
          <w:szCs w:val="22"/>
        </w:rPr>
        <w:t>2.</w:t>
      </w:r>
      <w:r w:rsidRPr="00776407">
        <w:rPr>
          <w:b/>
          <w:sz w:val="22"/>
          <w:szCs w:val="22"/>
        </w:rPr>
        <w:tab/>
        <w:t>VEIKLIOJI (-IOS) MEDŽIAGA (-OS) IR JOS (-Ų) KIEKIS (-IAI)</w:t>
      </w:r>
    </w:p>
    <w:p w14:paraId="30EC0844" w14:textId="77777777" w:rsidR="006358E3" w:rsidRPr="00776407" w:rsidRDefault="006358E3" w:rsidP="006358E3">
      <w:pPr>
        <w:rPr>
          <w:sz w:val="22"/>
          <w:szCs w:val="22"/>
        </w:rPr>
      </w:pPr>
    </w:p>
    <w:p w14:paraId="6A05DB16" w14:textId="77777777" w:rsidR="006358E3" w:rsidRPr="00776407" w:rsidRDefault="00632436" w:rsidP="006358E3">
      <w:pPr>
        <w:rPr>
          <w:sz w:val="22"/>
          <w:szCs w:val="22"/>
        </w:rPr>
      </w:pPr>
      <w:r w:rsidRPr="00776407">
        <w:rPr>
          <w:sz w:val="22"/>
          <w:szCs w:val="22"/>
        </w:rPr>
        <w:t xml:space="preserve">Kiekvienoje </w:t>
      </w:r>
      <w:r w:rsidR="00940F53" w:rsidRPr="00776407">
        <w:rPr>
          <w:sz w:val="22"/>
          <w:szCs w:val="22"/>
        </w:rPr>
        <w:t xml:space="preserve">kietojoje </w:t>
      </w:r>
      <w:r w:rsidRPr="00776407">
        <w:rPr>
          <w:sz w:val="22"/>
          <w:szCs w:val="22"/>
        </w:rPr>
        <w:t>kapsulėje yra 50 mg imatinibo (mesilato pav</w:t>
      </w:r>
      <w:r w:rsidR="0089413D" w:rsidRPr="00776407">
        <w:rPr>
          <w:sz w:val="22"/>
          <w:szCs w:val="22"/>
        </w:rPr>
        <w:t>i</w:t>
      </w:r>
      <w:r w:rsidRPr="00776407">
        <w:rPr>
          <w:sz w:val="22"/>
          <w:szCs w:val="22"/>
        </w:rPr>
        <w:t>dalu).</w:t>
      </w:r>
    </w:p>
    <w:p w14:paraId="7DB2D8A5" w14:textId="77777777" w:rsidR="00632436" w:rsidRPr="00776407" w:rsidRDefault="00632436" w:rsidP="006358E3">
      <w:pPr>
        <w:rPr>
          <w:sz w:val="22"/>
          <w:szCs w:val="22"/>
        </w:rPr>
      </w:pPr>
    </w:p>
    <w:p w14:paraId="512E233B" w14:textId="77777777" w:rsidR="006358E3" w:rsidRPr="00776407" w:rsidRDefault="006358E3" w:rsidP="006358E3">
      <w:pPr>
        <w:rPr>
          <w:sz w:val="22"/>
          <w:szCs w:val="22"/>
        </w:rPr>
      </w:pPr>
    </w:p>
    <w:p w14:paraId="720A80D9"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3.</w:t>
      </w:r>
      <w:r w:rsidRPr="00776407">
        <w:rPr>
          <w:b/>
          <w:sz w:val="22"/>
          <w:szCs w:val="22"/>
        </w:rPr>
        <w:tab/>
        <w:t>PAGALBINIŲ MEDŽIAGŲ SĄRAŠAS</w:t>
      </w:r>
    </w:p>
    <w:p w14:paraId="17FDECAF" w14:textId="77777777" w:rsidR="006358E3" w:rsidRPr="00776407" w:rsidRDefault="006358E3" w:rsidP="006358E3">
      <w:pPr>
        <w:rPr>
          <w:sz w:val="22"/>
          <w:szCs w:val="22"/>
        </w:rPr>
      </w:pPr>
    </w:p>
    <w:p w14:paraId="036DC620" w14:textId="77777777" w:rsidR="006358E3" w:rsidRPr="00776407" w:rsidRDefault="006358E3" w:rsidP="006358E3">
      <w:pPr>
        <w:rPr>
          <w:sz w:val="22"/>
          <w:szCs w:val="22"/>
        </w:rPr>
      </w:pPr>
    </w:p>
    <w:p w14:paraId="25567738"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4.</w:t>
      </w:r>
      <w:r w:rsidRPr="00776407">
        <w:rPr>
          <w:b/>
          <w:sz w:val="22"/>
          <w:szCs w:val="22"/>
        </w:rPr>
        <w:tab/>
        <w:t>FARMACINĖ FORMA IR KIEKIS PAKUOTĖJE</w:t>
      </w:r>
    </w:p>
    <w:p w14:paraId="01285EAA" w14:textId="77777777" w:rsidR="00632436" w:rsidRPr="00776407" w:rsidRDefault="00632436" w:rsidP="00632436">
      <w:pPr>
        <w:pStyle w:val="KeinLeerraum"/>
        <w:rPr>
          <w:sz w:val="22"/>
          <w:szCs w:val="22"/>
          <w:highlight w:val="lightGray"/>
        </w:rPr>
      </w:pPr>
    </w:p>
    <w:p w14:paraId="04C43F88" w14:textId="77777777" w:rsidR="00632436" w:rsidRPr="00776407" w:rsidRDefault="00632436" w:rsidP="00632436">
      <w:pPr>
        <w:pStyle w:val="KeinLeerraum"/>
        <w:rPr>
          <w:sz w:val="22"/>
          <w:szCs w:val="22"/>
          <w:highlight w:val="lightGray"/>
        </w:rPr>
      </w:pPr>
      <w:r w:rsidRPr="00776407">
        <w:rPr>
          <w:sz w:val="22"/>
          <w:szCs w:val="22"/>
        </w:rPr>
        <w:t>30 </w:t>
      </w:r>
      <w:r w:rsidR="00940F53" w:rsidRPr="00776407">
        <w:rPr>
          <w:sz w:val="22"/>
          <w:szCs w:val="22"/>
        </w:rPr>
        <w:t xml:space="preserve">kietųjų </w:t>
      </w:r>
      <w:r w:rsidRPr="00776407">
        <w:rPr>
          <w:sz w:val="22"/>
          <w:szCs w:val="22"/>
        </w:rPr>
        <w:t>kapsulių</w:t>
      </w:r>
    </w:p>
    <w:p w14:paraId="77C5F87B" w14:textId="77777777" w:rsidR="00632436" w:rsidRPr="00776407" w:rsidRDefault="00632436" w:rsidP="00632436">
      <w:pPr>
        <w:pStyle w:val="KeinLeerraum"/>
        <w:rPr>
          <w:sz w:val="22"/>
          <w:szCs w:val="22"/>
        </w:rPr>
      </w:pPr>
      <w:r w:rsidRPr="00776407">
        <w:rPr>
          <w:sz w:val="22"/>
          <w:szCs w:val="22"/>
          <w:highlight w:val="lightGray"/>
        </w:rPr>
        <w:t>90 </w:t>
      </w:r>
      <w:r w:rsidR="00940F53" w:rsidRPr="00776407">
        <w:rPr>
          <w:sz w:val="22"/>
          <w:szCs w:val="22"/>
          <w:highlight w:val="lightGray"/>
        </w:rPr>
        <w:t xml:space="preserve">kietųjų </w:t>
      </w:r>
      <w:r w:rsidRPr="00776407">
        <w:rPr>
          <w:sz w:val="22"/>
          <w:szCs w:val="22"/>
          <w:highlight w:val="lightGray"/>
        </w:rPr>
        <w:t>kapsulių</w:t>
      </w:r>
    </w:p>
    <w:p w14:paraId="00DA753D" w14:textId="77777777" w:rsidR="00632436" w:rsidRPr="00776407" w:rsidRDefault="00632436" w:rsidP="00632436">
      <w:pPr>
        <w:pStyle w:val="KeinLeerraum"/>
        <w:rPr>
          <w:sz w:val="22"/>
          <w:szCs w:val="22"/>
        </w:rPr>
      </w:pPr>
    </w:p>
    <w:p w14:paraId="57D064A0" w14:textId="77777777" w:rsidR="006358E3" w:rsidRPr="00776407" w:rsidRDefault="006358E3" w:rsidP="006358E3">
      <w:pPr>
        <w:rPr>
          <w:sz w:val="22"/>
          <w:szCs w:val="22"/>
        </w:rPr>
      </w:pPr>
    </w:p>
    <w:p w14:paraId="70B12231"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5.</w:t>
      </w:r>
      <w:r w:rsidRPr="00776407">
        <w:rPr>
          <w:b/>
          <w:sz w:val="22"/>
          <w:szCs w:val="22"/>
        </w:rPr>
        <w:tab/>
        <w:t>VARTOJIMO METODAS IR BŪDAS (-AI)</w:t>
      </w:r>
    </w:p>
    <w:p w14:paraId="5679B5D3" w14:textId="77777777" w:rsidR="006358E3" w:rsidRPr="00776407" w:rsidRDefault="006358E3" w:rsidP="006358E3">
      <w:pPr>
        <w:rPr>
          <w:sz w:val="22"/>
          <w:szCs w:val="22"/>
        </w:rPr>
      </w:pPr>
    </w:p>
    <w:p w14:paraId="16413B98" w14:textId="77777777" w:rsidR="00AB3AB1" w:rsidRPr="00776407" w:rsidRDefault="00AB3AB1" w:rsidP="006358E3">
      <w:pPr>
        <w:rPr>
          <w:sz w:val="22"/>
          <w:szCs w:val="22"/>
        </w:rPr>
      </w:pPr>
      <w:r w:rsidRPr="00776407">
        <w:rPr>
          <w:sz w:val="22"/>
          <w:szCs w:val="22"/>
        </w:rPr>
        <w:t>Vartoti per burną.</w:t>
      </w:r>
    </w:p>
    <w:p w14:paraId="5F97E4D3" w14:textId="77777777" w:rsidR="006358E3" w:rsidRPr="00776407" w:rsidRDefault="006358E3" w:rsidP="006358E3">
      <w:pPr>
        <w:rPr>
          <w:sz w:val="22"/>
          <w:szCs w:val="22"/>
        </w:rPr>
      </w:pPr>
      <w:r w:rsidRPr="00776407">
        <w:rPr>
          <w:sz w:val="22"/>
          <w:szCs w:val="22"/>
        </w:rPr>
        <w:t>Prieš vartojimą perskaitykite pakuotės lapelį.</w:t>
      </w:r>
    </w:p>
    <w:p w14:paraId="61324BBE" w14:textId="77777777" w:rsidR="006358E3" w:rsidRPr="00776407" w:rsidRDefault="006358E3" w:rsidP="006358E3">
      <w:pPr>
        <w:rPr>
          <w:sz w:val="22"/>
          <w:szCs w:val="22"/>
        </w:rPr>
      </w:pPr>
    </w:p>
    <w:p w14:paraId="619090BD" w14:textId="77777777" w:rsidR="006358E3" w:rsidRPr="00776407" w:rsidRDefault="006358E3" w:rsidP="006358E3">
      <w:pPr>
        <w:rPr>
          <w:sz w:val="22"/>
          <w:szCs w:val="22"/>
        </w:rPr>
      </w:pPr>
    </w:p>
    <w:p w14:paraId="020D7EE7"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6.</w:t>
      </w:r>
      <w:r w:rsidRPr="00776407">
        <w:rPr>
          <w:b/>
          <w:sz w:val="22"/>
          <w:szCs w:val="22"/>
        </w:rPr>
        <w:tab/>
        <w:t>SPECIALUS ĮSPĖJIMAS, KAD VAISTINĮ PREPARATĄ BŪTINA LAIKYTI VAIKAMS NEPASTEBIMOJE IR NEPASIEKIAMOJE VIETOJE</w:t>
      </w:r>
    </w:p>
    <w:p w14:paraId="5ACA0808" w14:textId="77777777" w:rsidR="006358E3" w:rsidRPr="00776407" w:rsidRDefault="006358E3" w:rsidP="006358E3">
      <w:pPr>
        <w:rPr>
          <w:sz w:val="22"/>
          <w:szCs w:val="22"/>
        </w:rPr>
      </w:pPr>
    </w:p>
    <w:p w14:paraId="13A309E1" w14:textId="77777777" w:rsidR="006358E3" w:rsidRPr="00776407" w:rsidRDefault="006358E3" w:rsidP="006358E3">
      <w:pPr>
        <w:rPr>
          <w:sz w:val="22"/>
          <w:szCs w:val="22"/>
        </w:rPr>
      </w:pPr>
      <w:r w:rsidRPr="00776407">
        <w:rPr>
          <w:sz w:val="22"/>
          <w:szCs w:val="22"/>
        </w:rPr>
        <w:t>Laikyti vaikams nepastebimoje ir nepasiekiamoje vietoje.</w:t>
      </w:r>
    </w:p>
    <w:p w14:paraId="70BEC797" w14:textId="77777777" w:rsidR="006358E3" w:rsidRPr="00776407" w:rsidRDefault="006358E3" w:rsidP="006358E3">
      <w:pPr>
        <w:rPr>
          <w:sz w:val="22"/>
          <w:szCs w:val="22"/>
        </w:rPr>
      </w:pPr>
    </w:p>
    <w:p w14:paraId="61FBD74D" w14:textId="77777777" w:rsidR="006358E3" w:rsidRPr="00776407" w:rsidRDefault="006358E3" w:rsidP="006358E3">
      <w:pPr>
        <w:rPr>
          <w:sz w:val="22"/>
          <w:szCs w:val="22"/>
        </w:rPr>
      </w:pPr>
    </w:p>
    <w:p w14:paraId="157F9119"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7.</w:t>
      </w:r>
      <w:r w:rsidRPr="00776407">
        <w:rPr>
          <w:b/>
          <w:sz w:val="22"/>
          <w:szCs w:val="22"/>
        </w:rPr>
        <w:tab/>
        <w:t>KITAS (-I) SPECIALUS (-ŪS) ĮSPĖJIMAS (-AI) (JEI REIKIA)</w:t>
      </w:r>
    </w:p>
    <w:p w14:paraId="59EE23AD" w14:textId="77777777" w:rsidR="006358E3" w:rsidRPr="00776407" w:rsidRDefault="006358E3" w:rsidP="006358E3">
      <w:pPr>
        <w:rPr>
          <w:sz w:val="22"/>
          <w:szCs w:val="22"/>
        </w:rPr>
      </w:pPr>
    </w:p>
    <w:p w14:paraId="1FDB9B83" w14:textId="77777777" w:rsidR="00632436" w:rsidRPr="00776407" w:rsidRDefault="00632436" w:rsidP="006358E3">
      <w:pPr>
        <w:rPr>
          <w:sz w:val="22"/>
          <w:szCs w:val="22"/>
        </w:rPr>
      </w:pPr>
      <w:r w:rsidRPr="00776407">
        <w:rPr>
          <w:sz w:val="22"/>
          <w:szCs w:val="22"/>
        </w:rPr>
        <w:t>Vartoti taip, kaip nurodė gydytojas.</w:t>
      </w:r>
    </w:p>
    <w:p w14:paraId="46E9A723" w14:textId="77777777" w:rsidR="00632436" w:rsidRPr="00776407" w:rsidRDefault="00632436" w:rsidP="006358E3">
      <w:pPr>
        <w:rPr>
          <w:sz w:val="22"/>
          <w:szCs w:val="22"/>
        </w:rPr>
      </w:pPr>
    </w:p>
    <w:p w14:paraId="0CBDCC8C" w14:textId="77777777" w:rsidR="006358E3" w:rsidRPr="00776407" w:rsidRDefault="006358E3" w:rsidP="006358E3">
      <w:pPr>
        <w:rPr>
          <w:sz w:val="22"/>
          <w:szCs w:val="22"/>
        </w:rPr>
      </w:pPr>
    </w:p>
    <w:p w14:paraId="685CE0BD"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8.</w:t>
      </w:r>
      <w:r w:rsidRPr="00776407">
        <w:rPr>
          <w:b/>
          <w:sz w:val="22"/>
          <w:szCs w:val="22"/>
        </w:rPr>
        <w:tab/>
        <w:t>TINKAMUMO LAIKAS</w:t>
      </w:r>
    </w:p>
    <w:p w14:paraId="4E26903F" w14:textId="77777777" w:rsidR="006358E3" w:rsidRPr="00776407" w:rsidRDefault="006358E3" w:rsidP="006358E3">
      <w:pPr>
        <w:rPr>
          <w:sz w:val="22"/>
          <w:szCs w:val="22"/>
        </w:rPr>
      </w:pPr>
    </w:p>
    <w:p w14:paraId="387895B5" w14:textId="77777777" w:rsidR="006358E3" w:rsidRPr="00776407" w:rsidRDefault="00B11495" w:rsidP="006358E3">
      <w:pPr>
        <w:rPr>
          <w:sz w:val="22"/>
          <w:szCs w:val="22"/>
        </w:rPr>
      </w:pPr>
      <w:r w:rsidRPr="00776407">
        <w:rPr>
          <w:sz w:val="22"/>
          <w:szCs w:val="22"/>
        </w:rPr>
        <w:t>EXP</w:t>
      </w:r>
    </w:p>
    <w:p w14:paraId="05140BE9" w14:textId="77777777" w:rsidR="00632436" w:rsidRPr="00776407" w:rsidRDefault="00632436" w:rsidP="006358E3">
      <w:pPr>
        <w:rPr>
          <w:sz w:val="22"/>
          <w:szCs w:val="22"/>
        </w:rPr>
      </w:pPr>
    </w:p>
    <w:p w14:paraId="6D19A43C" w14:textId="77777777" w:rsidR="006358E3" w:rsidRPr="00776407" w:rsidRDefault="006358E3" w:rsidP="006358E3">
      <w:pPr>
        <w:rPr>
          <w:sz w:val="22"/>
          <w:szCs w:val="22"/>
        </w:rPr>
      </w:pPr>
    </w:p>
    <w:p w14:paraId="0BBE93A7" w14:textId="77777777" w:rsidR="006358E3" w:rsidRPr="00776407" w:rsidRDefault="006358E3" w:rsidP="006358E3">
      <w:pPr>
        <w:keepNext/>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9.</w:t>
      </w:r>
      <w:r w:rsidRPr="00776407">
        <w:rPr>
          <w:b/>
          <w:sz w:val="22"/>
          <w:szCs w:val="22"/>
        </w:rPr>
        <w:tab/>
        <w:t>SPECIALIOS LAIKYMO SĄLYGOS</w:t>
      </w:r>
    </w:p>
    <w:p w14:paraId="293318E7" w14:textId="77777777" w:rsidR="006358E3" w:rsidRPr="00776407" w:rsidRDefault="006358E3" w:rsidP="006358E3">
      <w:pPr>
        <w:rPr>
          <w:sz w:val="22"/>
          <w:szCs w:val="22"/>
        </w:rPr>
      </w:pPr>
    </w:p>
    <w:p w14:paraId="284F2857" w14:textId="77777777" w:rsidR="006358E3" w:rsidRPr="00776407" w:rsidRDefault="00632436" w:rsidP="006358E3">
      <w:pPr>
        <w:rPr>
          <w:sz w:val="22"/>
          <w:szCs w:val="22"/>
        </w:rPr>
      </w:pPr>
      <w:r w:rsidRPr="00776407">
        <w:rPr>
          <w:sz w:val="22"/>
          <w:szCs w:val="22"/>
        </w:rPr>
        <w:t xml:space="preserve">Laikyti ne aukštesnėje kaip </w:t>
      </w:r>
      <w:r w:rsidR="00893547" w:rsidRPr="00776407">
        <w:rPr>
          <w:sz w:val="22"/>
          <w:szCs w:val="22"/>
        </w:rPr>
        <w:t>25</w:t>
      </w:r>
      <w:r w:rsidR="006358E3" w:rsidRPr="00776407">
        <w:rPr>
          <w:sz w:val="22"/>
          <w:szCs w:val="22"/>
        </w:rPr>
        <w:t xml:space="preserve"> </w:t>
      </w:r>
      <w:r w:rsidR="006358E3" w:rsidRPr="00776407">
        <w:rPr>
          <w:sz w:val="22"/>
          <w:szCs w:val="22"/>
        </w:rPr>
        <w:sym w:font="Symbol" w:char="F0B0"/>
      </w:r>
      <w:r w:rsidR="006358E3" w:rsidRPr="00776407">
        <w:rPr>
          <w:sz w:val="22"/>
          <w:szCs w:val="22"/>
        </w:rPr>
        <w:t>C</w:t>
      </w:r>
      <w:r w:rsidRPr="00776407">
        <w:rPr>
          <w:sz w:val="22"/>
          <w:szCs w:val="22"/>
        </w:rPr>
        <w:t xml:space="preserve"> temperatūroje</w:t>
      </w:r>
      <w:r w:rsidR="006358E3" w:rsidRPr="00776407">
        <w:rPr>
          <w:sz w:val="22"/>
          <w:szCs w:val="22"/>
        </w:rPr>
        <w:t xml:space="preserve">. </w:t>
      </w:r>
    </w:p>
    <w:p w14:paraId="7FCB63F3" w14:textId="77777777" w:rsidR="006358E3" w:rsidRPr="00776407" w:rsidRDefault="00632436" w:rsidP="00632436">
      <w:pPr>
        <w:ind w:left="567" w:hanging="567"/>
        <w:rPr>
          <w:sz w:val="22"/>
          <w:szCs w:val="22"/>
        </w:rPr>
      </w:pPr>
      <w:r w:rsidRPr="00776407">
        <w:rPr>
          <w:sz w:val="22"/>
          <w:szCs w:val="22"/>
        </w:rPr>
        <w:t xml:space="preserve">Laikyti gamintojo pakuotėje, </w:t>
      </w:r>
      <w:r w:rsidR="006358E3" w:rsidRPr="00776407">
        <w:rPr>
          <w:sz w:val="22"/>
          <w:szCs w:val="22"/>
        </w:rPr>
        <w:t>kad preparatas</w:t>
      </w:r>
      <w:r w:rsidRPr="00776407">
        <w:rPr>
          <w:sz w:val="22"/>
          <w:szCs w:val="22"/>
        </w:rPr>
        <w:t xml:space="preserve"> būtų apsaugotas nuo drėgmės.</w:t>
      </w:r>
    </w:p>
    <w:p w14:paraId="38C65305" w14:textId="77777777" w:rsidR="006358E3" w:rsidRPr="00776407" w:rsidRDefault="006358E3" w:rsidP="006358E3">
      <w:pPr>
        <w:rPr>
          <w:sz w:val="22"/>
          <w:szCs w:val="22"/>
        </w:rPr>
      </w:pPr>
    </w:p>
    <w:p w14:paraId="2B6BB677" w14:textId="77777777" w:rsidR="00BC3DAD" w:rsidRPr="00776407" w:rsidRDefault="00BC3DAD" w:rsidP="006358E3">
      <w:pPr>
        <w:rPr>
          <w:sz w:val="22"/>
          <w:szCs w:val="22"/>
        </w:rPr>
      </w:pPr>
    </w:p>
    <w:p w14:paraId="5E43D04A"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10.</w:t>
      </w:r>
      <w:r w:rsidRPr="00776407">
        <w:rPr>
          <w:b/>
          <w:sz w:val="22"/>
          <w:szCs w:val="22"/>
        </w:rPr>
        <w:tab/>
        <w:t>SPECIALIOS ATSARGUMO PRIEMONĖS DĖL NESUVARTOTO VAISTINIO PREPARATO AR JO ATLIEKŲ TVARKYMO (JEI REIKIA)</w:t>
      </w:r>
    </w:p>
    <w:p w14:paraId="6A9A97A6" w14:textId="77777777" w:rsidR="006358E3" w:rsidRPr="00776407" w:rsidRDefault="006358E3" w:rsidP="006358E3">
      <w:pPr>
        <w:rPr>
          <w:sz w:val="22"/>
          <w:szCs w:val="22"/>
        </w:rPr>
      </w:pPr>
    </w:p>
    <w:p w14:paraId="47B8A34E" w14:textId="77777777" w:rsidR="006358E3" w:rsidRPr="00776407" w:rsidRDefault="006358E3" w:rsidP="006358E3">
      <w:pPr>
        <w:rPr>
          <w:sz w:val="22"/>
          <w:szCs w:val="22"/>
        </w:rPr>
      </w:pPr>
    </w:p>
    <w:p w14:paraId="115DC5AD"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11.</w:t>
      </w:r>
      <w:r w:rsidRPr="00776407">
        <w:rPr>
          <w:b/>
          <w:sz w:val="22"/>
          <w:szCs w:val="22"/>
        </w:rPr>
        <w:tab/>
      </w:r>
      <w:r w:rsidR="000509C9" w:rsidRPr="00776407">
        <w:rPr>
          <w:b/>
          <w:caps/>
          <w:sz w:val="22"/>
          <w:szCs w:val="22"/>
        </w:rPr>
        <w:t>REGISTRUOTOJO</w:t>
      </w:r>
      <w:r w:rsidRPr="00776407">
        <w:rPr>
          <w:b/>
          <w:caps/>
          <w:sz w:val="22"/>
          <w:szCs w:val="22"/>
        </w:rPr>
        <w:t>PAVADINIMAS IR ADRESAS</w:t>
      </w:r>
    </w:p>
    <w:p w14:paraId="55752542" w14:textId="77777777" w:rsidR="006358E3" w:rsidRPr="00776407" w:rsidRDefault="006358E3" w:rsidP="006358E3">
      <w:pPr>
        <w:rPr>
          <w:sz w:val="22"/>
          <w:szCs w:val="22"/>
        </w:rPr>
      </w:pPr>
    </w:p>
    <w:p w14:paraId="0A2343A6" w14:textId="77777777" w:rsidR="00632436" w:rsidRPr="00776407" w:rsidRDefault="00632436" w:rsidP="00632436">
      <w:pPr>
        <w:autoSpaceDE w:val="0"/>
        <w:autoSpaceDN w:val="0"/>
        <w:adjustRightInd w:val="0"/>
        <w:rPr>
          <w:sz w:val="22"/>
          <w:szCs w:val="22"/>
        </w:rPr>
      </w:pPr>
      <w:r w:rsidRPr="00776407">
        <w:rPr>
          <w:sz w:val="22"/>
          <w:szCs w:val="22"/>
        </w:rPr>
        <w:t>Actavis Group PTC ehf.</w:t>
      </w:r>
    </w:p>
    <w:p w14:paraId="05E6F5A6" w14:textId="77777777" w:rsidR="00632436" w:rsidRPr="00776407" w:rsidRDefault="0089413D" w:rsidP="00632436">
      <w:pPr>
        <w:autoSpaceDE w:val="0"/>
        <w:autoSpaceDN w:val="0"/>
        <w:adjustRightInd w:val="0"/>
        <w:rPr>
          <w:sz w:val="22"/>
          <w:szCs w:val="22"/>
        </w:rPr>
      </w:pPr>
      <w:r w:rsidRPr="00776407">
        <w:rPr>
          <w:sz w:val="22"/>
          <w:szCs w:val="22"/>
        </w:rPr>
        <w:t xml:space="preserve">220 </w:t>
      </w:r>
      <w:r w:rsidR="00632436" w:rsidRPr="00776407">
        <w:rPr>
          <w:sz w:val="22"/>
          <w:szCs w:val="22"/>
        </w:rPr>
        <w:t>Hafnarfjörður</w:t>
      </w:r>
    </w:p>
    <w:p w14:paraId="086A9994" w14:textId="77777777" w:rsidR="00632436" w:rsidRPr="00776407" w:rsidRDefault="00632436" w:rsidP="00632436">
      <w:pPr>
        <w:autoSpaceDE w:val="0"/>
        <w:autoSpaceDN w:val="0"/>
        <w:adjustRightInd w:val="0"/>
        <w:rPr>
          <w:sz w:val="22"/>
          <w:szCs w:val="22"/>
        </w:rPr>
      </w:pPr>
      <w:r w:rsidRPr="00776407">
        <w:rPr>
          <w:sz w:val="22"/>
          <w:szCs w:val="22"/>
        </w:rPr>
        <w:t>Islandija</w:t>
      </w:r>
    </w:p>
    <w:p w14:paraId="7C92860C" w14:textId="77777777" w:rsidR="006358E3" w:rsidRPr="00776407" w:rsidRDefault="006358E3" w:rsidP="006358E3">
      <w:pPr>
        <w:rPr>
          <w:sz w:val="22"/>
          <w:szCs w:val="22"/>
        </w:rPr>
      </w:pPr>
    </w:p>
    <w:p w14:paraId="1C2D7EE9" w14:textId="77777777" w:rsidR="006358E3" w:rsidRPr="00776407" w:rsidRDefault="006358E3" w:rsidP="006358E3">
      <w:pPr>
        <w:rPr>
          <w:sz w:val="22"/>
          <w:szCs w:val="22"/>
        </w:rPr>
      </w:pPr>
    </w:p>
    <w:p w14:paraId="186A7090"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outlineLvl w:val="0"/>
        <w:rPr>
          <w:sz w:val="22"/>
          <w:szCs w:val="22"/>
        </w:rPr>
      </w:pPr>
      <w:r w:rsidRPr="00776407">
        <w:rPr>
          <w:b/>
          <w:sz w:val="22"/>
          <w:szCs w:val="22"/>
        </w:rPr>
        <w:t>12.</w:t>
      </w:r>
      <w:r w:rsidRPr="00776407">
        <w:rPr>
          <w:b/>
          <w:sz w:val="22"/>
          <w:szCs w:val="22"/>
        </w:rPr>
        <w:tab/>
      </w:r>
      <w:r w:rsidR="000509C9" w:rsidRPr="00776407">
        <w:rPr>
          <w:b/>
          <w:sz w:val="22"/>
          <w:szCs w:val="22"/>
        </w:rPr>
        <w:t>REGISTRACIJOS PAŽYMĖJIMO NUMERIS</w:t>
      </w:r>
      <w:r w:rsidRPr="00776407">
        <w:rPr>
          <w:b/>
          <w:sz w:val="22"/>
          <w:szCs w:val="22"/>
        </w:rPr>
        <w:t xml:space="preserve">(-IAI) </w:t>
      </w:r>
    </w:p>
    <w:p w14:paraId="466CF577" w14:textId="77777777" w:rsidR="006358E3" w:rsidRPr="00776407" w:rsidRDefault="006358E3" w:rsidP="006358E3">
      <w:pPr>
        <w:rPr>
          <w:sz w:val="22"/>
          <w:szCs w:val="22"/>
        </w:rPr>
      </w:pPr>
    </w:p>
    <w:p w14:paraId="5D11B610" w14:textId="77777777" w:rsidR="002657B6" w:rsidRPr="00776407" w:rsidRDefault="002657B6" w:rsidP="002657B6">
      <w:pPr>
        <w:pStyle w:val="KeinLeerraum"/>
        <w:rPr>
          <w:sz w:val="22"/>
          <w:szCs w:val="22"/>
          <w:highlight w:val="lightGray"/>
        </w:rPr>
      </w:pPr>
      <w:r w:rsidRPr="00776407">
        <w:rPr>
          <w:sz w:val="22"/>
          <w:szCs w:val="22"/>
        </w:rPr>
        <w:t xml:space="preserve">EU/1/13/825/001 </w:t>
      </w:r>
      <w:r w:rsidRPr="00776407">
        <w:rPr>
          <w:sz w:val="22"/>
          <w:szCs w:val="22"/>
          <w:highlight w:val="lightGray"/>
        </w:rPr>
        <w:t xml:space="preserve">30  </w:t>
      </w:r>
      <w:r w:rsidR="00E05C8F" w:rsidRPr="00776407">
        <w:rPr>
          <w:sz w:val="22"/>
          <w:szCs w:val="22"/>
          <w:highlight w:val="lightGray"/>
        </w:rPr>
        <w:t>kapsulių</w:t>
      </w:r>
    </w:p>
    <w:p w14:paraId="0B8269DE" w14:textId="77777777" w:rsidR="006358E3" w:rsidRPr="00776407" w:rsidRDefault="002657B6" w:rsidP="002657B6">
      <w:pPr>
        <w:pStyle w:val="Kopfzeile"/>
        <w:rPr>
          <w:sz w:val="22"/>
          <w:szCs w:val="22"/>
        </w:rPr>
      </w:pPr>
      <w:r w:rsidRPr="00776407">
        <w:rPr>
          <w:sz w:val="22"/>
          <w:szCs w:val="22"/>
          <w:highlight w:val="lightGray"/>
        </w:rPr>
        <w:t xml:space="preserve">EU/1/13/825/002 90  </w:t>
      </w:r>
      <w:r w:rsidR="00E05C8F" w:rsidRPr="00776407">
        <w:rPr>
          <w:sz w:val="22"/>
          <w:szCs w:val="22"/>
          <w:highlight w:val="lightGray"/>
        </w:rPr>
        <w:t>kapsulių</w:t>
      </w:r>
      <w:r w:rsidR="00E05C8F" w:rsidRPr="00776407" w:rsidDel="002657B6">
        <w:rPr>
          <w:sz w:val="22"/>
          <w:szCs w:val="22"/>
        </w:rPr>
        <w:t xml:space="preserve"> </w:t>
      </w:r>
    </w:p>
    <w:p w14:paraId="25242C43" w14:textId="77777777" w:rsidR="006358E3" w:rsidRPr="00776407" w:rsidRDefault="006358E3" w:rsidP="006358E3">
      <w:pPr>
        <w:rPr>
          <w:sz w:val="22"/>
          <w:szCs w:val="22"/>
        </w:rPr>
      </w:pPr>
    </w:p>
    <w:p w14:paraId="77C2CC2C" w14:textId="77777777" w:rsidR="006358E3" w:rsidRPr="00776407" w:rsidRDefault="006358E3" w:rsidP="006358E3">
      <w:pPr>
        <w:rPr>
          <w:sz w:val="22"/>
          <w:szCs w:val="22"/>
        </w:rPr>
      </w:pPr>
    </w:p>
    <w:p w14:paraId="071F98EB"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outlineLvl w:val="0"/>
        <w:rPr>
          <w:sz w:val="22"/>
          <w:szCs w:val="22"/>
        </w:rPr>
      </w:pPr>
      <w:r w:rsidRPr="00776407">
        <w:rPr>
          <w:b/>
          <w:sz w:val="22"/>
          <w:szCs w:val="22"/>
        </w:rPr>
        <w:t>13.</w:t>
      </w:r>
      <w:r w:rsidRPr="00776407">
        <w:rPr>
          <w:b/>
          <w:sz w:val="22"/>
          <w:szCs w:val="22"/>
        </w:rPr>
        <w:tab/>
        <w:t xml:space="preserve">SERIJOS NUMERIS </w:t>
      </w:r>
    </w:p>
    <w:p w14:paraId="623A1642" w14:textId="77777777" w:rsidR="006358E3" w:rsidRPr="00776407" w:rsidRDefault="006358E3" w:rsidP="006358E3">
      <w:pPr>
        <w:rPr>
          <w:sz w:val="22"/>
          <w:szCs w:val="22"/>
        </w:rPr>
      </w:pPr>
    </w:p>
    <w:p w14:paraId="6974C63A" w14:textId="77777777" w:rsidR="006358E3" w:rsidRPr="00776407" w:rsidRDefault="00B11495" w:rsidP="006358E3">
      <w:pPr>
        <w:rPr>
          <w:sz w:val="22"/>
          <w:szCs w:val="22"/>
        </w:rPr>
      </w:pPr>
      <w:r w:rsidRPr="00776407">
        <w:rPr>
          <w:sz w:val="22"/>
          <w:szCs w:val="22"/>
        </w:rPr>
        <w:t>Lot</w:t>
      </w:r>
    </w:p>
    <w:p w14:paraId="3FE5A09F" w14:textId="77777777" w:rsidR="006358E3" w:rsidRPr="00776407" w:rsidRDefault="006358E3" w:rsidP="006358E3">
      <w:pPr>
        <w:rPr>
          <w:sz w:val="22"/>
          <w:szCs w:val="22"/>
        </w:rPr>
      </w:pPr>
    </w:p>
    <w:p w14:paraId="674FCFC6" w14:textId="77777777" w:rsidR="006358E3" w:rsidRPr="00776407" w:rsidRDefault="006358E3" w:rsidP="006358E3">
      <w:pPr>
        <w:rPr>
          <w:sz w:val="22"/>
          <w:szCs w:val="22"/>
        </w:rPr>
      </w:pPr>
    </w:p>
    <w:p w14:paraId="7BE2BADD" w14:textId="77777777" w:rsidR="006358E3" w:rsidRPr="00776407" w:rsidRDefault="006358E3" w:rsidP="006358E3">
      <w:pPr>
        <w:suppressLineNumbers/>
        <w:pBdr>
          <w:top w:val="single" w:sz="4" w:space="1" w:color="auto"/>
          <w:left w:val="single" w:sz="4" w:space="4" w:color="auto"/>
          <w:bottom w:val="single" w:sz="4" w:space="1" w:color="auto"/>
          <w:right w:val="single" w:sz="4" w:space="4" w:color="auto"/>
        </w:pBdr>
        <w:outlineLvl w:val="0"/>
        <w:rPr>
          <w:sz w:val="22"/>
          <w:szCs w:val="22"/>
        </w:rPr>
      </w:pPr>
      <w:r w:rsidRPr="00776407">
        <w:rPr>
          <w:b/>
          <w:sz w:val="22"/>
          <w:szCs w:val="22"/>
        </w:rPr>
        <w:t>14.</w:t>
      </w:r>
      <w:r w:rsidRPr="00776407">
        <w:rPr>
          <w:b/>
          <w:sz w:val="22"/>
          <w:szCs w:val="22"/>
        </w:rPr>
        <w:tab/>
        <w:t>PARDAVIMO (IŠDAVIMO) TVARKA</w:t>
      </w:r>
    </w:p>
    <w:p w14:paraId="4427AB9E" w14:textId="77777777" w:rsidR="006358E3" w:rsidRPr="00776407" w:rsidRDefault="006358E3" w:rsidP="006358E3">
      <w:pPr>
        <w:rPr>
          <w:sz w:val="22"/>
          <w:szCs w:val="22"/>
        </w:rPr>
      </w:pPr>
    </w:p>
    <w:p w14:paraId="40EFA5A3" w14:textId="77777777" w:rsidR="006358E3" w:rsidRPr="00776407" w:rsidRDefault="006358E3" w:rsidP="006358E3">
      <w:pPr>
        <w:rPr>
          <w:sz w:val="22"/>
          <w:szCs w:val="22"/>
        </w:rPr>
      </w:pPr>
    </w:p>
    <w:p w14:paraId="44B244DE" w14:textId="77777777" w:rsidR="006358E3" w:rsidRPr="00776407" w:rsidRDefault="006358E3" w:rsidP="006358E3">
      <w:pPr>
        <w:suppressLineNumbers/>
        <w:pBdr>
          <w:top w:val="single" w:sz="4" w:space="2" w:color="auto"/>
          <w:left w:val="single" w:sz="4" w:space="4" w:color="auto"/>
          <w:bottom w:val="single" w:sz="4" w:space="1" w:color="auto"/>
          <w:right w:val="single" w:sz="4" w:space="4" w:color="auto"/>
        </w:pBdr>
        <w:outlineLvl w:val="0"/>
        <w:rPr>
          <w:sz w:val="22"/>
          <w:szCs w:val="22"/>
        </w:rPr>
      </w:pPr>
      <w:r w:rsidRPr="00776407">
        <w:rPr>
          <w:b/>
          <w:sz w:val="22"/>
          <w:szCs w:val="22"/>
        </w:rPr>
        <w:t>15.</w:t>
      </w:r>
      <w:r w:rsidRPr="00776407">
        <w:rPr>
          <w:b/>
          <w:sz w:val="22"/>
          <w:szCs w:val="22"/>
        </w:rPr>
        <w:tab/>
        <w:t>VARTOJIMO INSTRUKCIJA</w:t>
      </w:r>
    </w:p>
    <w:p w14:paraId="0608CCA6" w14:textId="77777777" w:rsidR="006358E3" w:rsidRPr="00776407" w:rsidRDefault="006358E3" w:rsidP="006358E3">
      <w:pPr>
        <w:rPr>
          <w:sz w:val="22"/>
          <w:szCs w:val="22"/>
        </w:rPr>
      </w:pPr>
    </w:p>
    <w:p w14:paraId="1A9FA12C" w14:textId="77777777" w:rsidR="006358E3" w:rsidRPr="00776407" w:rsidRDefault="006358E3" w:rsidP="006358E3">
      <w:pPr>
        <w:rPr>
          <w:sz w:val="22"/>
          <w:szCs w:val="22"/>
        </w:rPr>
      </w:pPr>
    </w:p>
    <w:p w14:paraId="78F6D68B" w14:textId="77777777" w:rsidR="006358E3" w:rsidRPr="00776407" w:rsidRDefault="006358E3" w:rsidP="006358E3">
      <w:pPr>
        <w:suppressLineNumbers/>
        <w:pBdr>
          <w:top w:val="single" w:sz="4" w:space="1" w:color="auto"/>
          <w:left w:val="single" w:sz="4" w:space="4" w:color="auto"/>
          <w:bottom w:val="single" w:sz="4" w:space="0" w:color="auto"/>
          <w:right w:val="single" w:sz="4" w:space="4" w:color="auto"/>
        </w:pBdr>
        <w:rPr>
          <w:color w:val="008000"/>
          <w:sz w:val="22"/>
          <w:szCs w:val="22"/>
        </w:rPr>
      </w:pPr>
      <w:r w:rsidRPr="00776407">
        <w:rPr>
          <w:b/>
          <w:sz w:val="22"/>
          <w:szCs w:val="22"/>
        </w:rPr>
        <w:t>16.</w:t>
      </w:r>
      <w:r w:rsidRPr="00776407">
        <w:rPr>
          <w:b/>
          <w:sz w:val="22"/>
          <w:szCs w:val="22"/>
        </w:rPr>
        <w:tab/>
        <w:t>INFORMACIJA BRAILIO RAŠTU</w:t>
      </w:r>
    </w:p>
    <w:p w14:paraId="3091903A" w14:textId="77777777" w:rsidR="006358E3" w:rsidRPr="00776407" w:rsidRDefault="006358E3" w:rsidP="006358E3">
      <w:pPr>
        <w:rPr>
          <w:sz w:val="22"/>
          <w:szCs w:val="22"/>
        </w:rPr>
      </w:pPr>
    </w:p>
    <w:p w14:paraId="5B56D31E" w14:textId="77777777" w:rsidR="00632436" w:rsidRPr="00776407" w:rsidRDefault="00632436" w:rsidP="00632436">
      <w:pPr>
        <w:autoSpaceDE w:val="0"/>
        <w:autoSpaceDN w:val="0"/>
        <w:adjustRightInd w:val="0"/>
        <w:rPr>
          <w:sz w:val="22"/>
          <w:szCs w:val="22"/>
        </w:rPr>
      </w:pPr>
      <w:r w:rsidRPr="00776407">
        <w:rPr>
          <w:sz w:val="22"/>
          <w:szCs w:val="22"/>
        </w:rPr>
        <w:t>Imatinib Actavis 50 mg</w:t>
      </w:r>
    </w:p>
    <w:p w14:paraId="2CEDFBC5" w14:textId="77777777" w:rsidR="000509C9" w:rsidRPr="00776407" w:rsidRDefault="000509C9" w:rsidP="00632436">
      <w:pPr>
        <w:autoSpaceDE w:val="0"/>
        <w:autoSpaceDN w:val="0"/>
        <w:adjustRightInd w:val="0"/>
        <w:rPr>
          <w:sz w:val="22"/>
          <w:szCs w:val="22"/>
        </w:rPr>
      </w:pPr>
    </w:p>
    <w:p w14:paraId="40E06E30" w14:textId="77777777" w:rsidR="000509C9" w:rsidRPr="00776407" w:rsidRDefault="000509C9" w:rsidP="000509C9">
      <w:pPr>
        <w:tabs>
          <w:tab w:val="left" w:pos="567"/>
        </w:tabs>
        <w:rPr>
          <w:noProof/>
          <w:sz w:val="22"/>
          <w:szCs w:val="22"/>
          <w:shd w:val="clear" w:color="auto" w:fill="CCCCCC"/>
          <w:lang w:eastAsia="lt-LT" w:bidi="lt-LT"/>
        </w:rPr>
      </w:pPr>
    </w:p>
    <w:p w14:paraId="7CEFF50F" w14:textId="77777777" w:rsidR="000509C9" w:rsidRPr="00776407" w:rsidRDefault="000509C9" w:rsidP="00C97C0E">
      <w:pPr>
        <w:keepNext/>
        <w:numPr>
          <w:ilvl w:val="0"/>
          <w:numId w:val="14"/>
        </w:numPr>
        <w:pBdr>
          <w:top w:val="single" w:sz="4" w:space="1" w:color="auto"/>
          <w:left w:val="single" w:sz="4" w:space="4" w:color="auto"/>
          <w:bottom w:val="single" w:sz="4" w:space="1" w:color="auto"/>
          <w:right w:val="single" w:sz="4" w:space="4" w:color="auto"/>
        </w:pBdr>
        <w:tabs>
          <w:tab w:val="left" w:pos="567"/>
        </w:tabs>
        <w:spacing w:line="260" w:lineRule="exact"/>
        <w:ind w:left="851" w:hanging="851"/>
        <w:outlineLvl w:val="0"/>
        <w:rPr>
          <w:i/>
          <w:noProof/>
          <w:sz w:val="22"/>
          <w:szCs w:val="20"/>
          <w:lang w:eastAsia="lt-LT" w:bidi="lt-LT"/>
        </w:rPr>
      </w:pPr>
      <w:r w:rsidRPr="00776407">
        <w:rPr>
          <w:b/>
          <w:noProof/>
          <w:sz w:val="22"/>
          <w:szCs w:val="20"/>
          <w:lang w:eastAsia="lt-LT" w:bidi="lt-LT"/>
        </w:rPr>
        <w:t>UNIKALUS IDENTIFIKATORIUS – 2D BRŪKŠNINIS KODAS</w:t>
      </w:r>
    </w:p>
    <w:p w14:paraId="1C99478C" w14:textId="77777777" w:rsidR="000509C9" w:rsidRPr="00776407" w:rsidRDefault="000509C9" w:rsidP="00C97C0E">
      <w:pPr>
        <w:keepNext/>
        <w:rPr>
          <w:noProof/>
          <w:sz w:val="22"/>
          <w:szCs w:val="20"/>
          <w:lang w:eastAsia="lt-LT" w:bidi="lt-LT"/>
        </w:rPr>
      </w:pPr>
    </w:p>
    <w:p w14:paraId="3F5A8C84" w14:textId="77777777" w:rsidR="006D52A1" w:rsidRPr="00776407" w:rsidRDefault="006D099C" w:rsidP="00C97C0E">
      <w:pPr>
        <w:keepNext/>
        <w:autoSpaceDE w:val="0"/>
        <w:autoSpaceDN w:val="0"/>
        <w:adjustRightInd w:val="0"/>
        <w:rPr>
          <w:noProof/>
          <w:sz w:val="22"/>
          <w:szCs w:val="20"/>
          <w:highlight w:val="lightGray"/>
          <w:lang w:bidi="lt-LT"/>
        </w:rPr>
      </w:pPr>
      <w:r w:rsidRPr="00776407">
        <w:rPr>
          <w:noProof/>
          <w:sz w:val="22"/>
          <w:szCs w:val="20"/>
          <w:highlight w:val="lightGray"/>
          <w:lang w:bidi="lt-LT"/>
        </w:rPr>
        <w:t>&lt;2D brūkšninis kodas su nurodytu unikaliu identifikatoriumi.&gt;</w:t>
      </w:r>
    </w:p>
    <w:p w14:paraId="0FCD88CF" w14:textId="77777777" w:rsidR="000509C9" w:rsidRPr="00776407" w:rsidRDefault="000509C9" w:rsidP="00C97C0E">
      <w:pPr>
        <w:keepNext/>
        <w:rPr>
          <w:noProof/>
          <w:sz w:val="22"/>
          <w:szCs w:val="20"/>
          <w:lang w:eastAsia="lt-LT" w:bidi="lt-LT"/>
        </w:rPr>
      </w:pPr>
    </w:p>
    <w:p w14:paraId="5B063368" w14:textId="77777777" w:rsidR="006D52A1" w:rsidRPr="00776407" w:rsidRDefault="006D52A1" w:rsidP="00C97C0E">
      <w:pPr>
        <w:keepNext/>
        <w:rPr>
          <w:noProof/>
          <w:sz w:val="22"/>
          <w:szCs w:val="20"/>
          <w:lang w:eastAsia="lt-LT" w:bidi="lt-LT"/>
        </w:rPr>
      </w:pPr>
    </w:p>
    <w:p w14:paraId="17EEFE31" w14:textId="77777777" w:rsidR="000509C9" w:rsidRPr="00776407" w:rsidRDefault="000509C9" w:rsidP="00C97C0E">
      <w:pPr>
        <w:keepNext/>
        <w:numPr>
          <w:ilvl w:val="0"/>
          <w:numId w:val="14"/>
        </w:numPr>
        <w:pBdr>
          <w:top w:val="single" w:sz="4" w:space="1" w:color="auto"/>
          <w:left w:val="single" w:sz="4" w:space="4" w:color="auto"/>
          <w:bottom w:val="single" w:sz="4" w:space="1" w:color="auto"/>
          <w:right w:val="single" w:sz="4" w:space="4" w:color="auto"/>
        </w:pBdr>
        <w:tabs>
          <w:tab w:val="left" w:pos="567"/>
        </w:tabs>
        <w:spacing w:line="260" w:lineRule="exact"/>
        <w:ind w:hanging="720"/>
        <w:outlineLvl w:val="0"/>
        <w:rPr>
          <w:i/>
          <w:noProof/>
          <w:sz w:val="22"/>
          <w:szCs w:val="20"/>
          <w:lang w:eastAsia="lt-LT" w:bidi="lt-LT"/>
        </w:rPr>
      </w:pPr>
      <w:r w:rsidRPr="00776407">
        <w:rPr>
          <w:b/>
          <w:noProof/>
          <w:sz w:val="22"/>
          <w:szCs w:val="20"/>
          <w:lang w:eastAsia="lt-LT" w:bidi="lt-LT"/>
        </w:rPr>
        <w:t>UNIKALUS IDENTIFIKATORIUS – ŽMONĖMS SUPRANTAMI DUOMENYS</w:t>
      </w:r>
    </w:p>
    <w:p w14:paraId="469A565F" w14:textId="77777777" w:rsidR="000509C9" w:rsidRPr="00776407" w:rsidRDefault="000509C9" w:rsidP="00C97C0E">
      <w:pPr>
        <w:keepNext/>
        <w:rPr>
          <w:noProof/>
          <w:sz w:val="22"/>
          <w:szCs w:val="20"/>
          <w:lang w:eastAsia="lt-LT" w:bidi="lt-LT"/>
        </w:rPr>
      </w:pPr>
    </w:p>
    <w:p w14:paraId="29F059AC" w14:textId="0D9767B9" w:rsidR="006D52A1" w:rsidRPr="00776407" w:rsidRDefault="006D099C" w:rsidP="00C97C0E">
      <w:pPr>
        <w:keepNext/>
        <w:tabs>
          <w:tab w:val="left" w:pos="567"/>
        </w:tabs>
        <w:rPr>
          <w:sz w:val="22"/>
          <w:szCs w:val="22"/>
        </w:rPr>
      </w:pPr>
      <w:r w:rsidRPr="00776407">
        <w:rPr>
          <w:sz w:val="22"/>
          <w:szCs w:val="22"/>
        </w:rPr>
        <w:t>PC {numeris</w:t>
      </w:r>
      <w:r w:rsidR="006D52A1" w:rsidRPr="00776407">
        <w:rPr>
          <w:sz w:val="22"/>
          <w:szCs w:val="22"/>
        </w:rPr>
        <w:t>}</w:t>
      </w:r>
    </w:p>
    <w:p w14:paraId="04ACE930" w14:textId="0472EEC4" w:rsidR="006D52A1" w:rsidRPr="00776407" w:rsidRDefault="006D099C" w:rsidP="00C97C0E">
      <w:pPr>
        <w:keepNext/>
        <w:tabs>
          <w:tab w:val="left" w:pos="567"/>
        </w:tabs>
        <w:rPr>
          <w:sz w:val="22"/>
          <w:szCs w:val="22"/>
        </w:rPr>
      </w:pPr>
      <w:r w:rsidRPr="00776407">
        <w:rPr>
          <w:sz w:val="22"/>
          <w:szCs w:val="22"/>
        </w:rPr>
        <w:t>SN {numeris</w:t>
      </w:r>
      <w:r w:rsidR="006D52A1" w:rsidRPr="00776407">
        <w:rPr>
          <w:sz w:val="22"/>
          <w:szCs w:val="22"/>
        </w:rPr>
        <w:t>}</w:t>
      </w:r>
    </w:p>
    <w:p w14:paraId="787A97C6" w14:textId="483E7E6A" w:rsidR="006D52A1" w:rsidRPr="00776407" w:rsidRDefault="006D099C" w:rsidP="00C97C0E">
      <w:pPr>
        <w:keepNext/>
        <w:tabs>
          <w:tab w:val="left" w:pos="567"/>
        </w:tabs>
        <w:rPr>
          <w:b/>
          <w:noProof/>
          <w:sz w:val="22"/>
          <w:szCs w:val="22"/>
          <w:u w:val="single"/>
        </w:rPr>
      </w:pPr>
      <w:r w:rsidRPr="00776407">
        <w:rPr>
          <w:sz w:val="22"/>
          <w:szCs w:val="22"/>
        </w:rPr>
        <w:t>NN {numeris</w:t>
      </w:r>
      <w:r w:rsidR="006D52A1" w:rsidRPr="00776407">
        <w:rPr>
          <w:sz w:val="22"/>
          <w:szCs w:val="22"/>
        </w:rPr>
        <w:t>}</w:t>
      </w:r>
    </w:p>
    <w:p w14:paraId="121D6FC2" w14:textId="77777777" w:rsidR="006D52A1" w:rsidRPr="00776407" w:rsidRDefault="006D52A1" w:rsidP="00C97C0E">
      <w:pPr>
        <w:keepNext/>
        <w:rPr>
          <w:noProof/>
          <w:sz w:val="22"/>
          <w:szCs w:val="20"/>
          <w:lang w:eastAsia="lt-LT" w:bidi="lt-LT"/>
        </w:rPr>
      </w:pPr>
    </w:p>
    <w:p w14:paraId="0E551D74" w14:textId="77777777" w:rsidR="000509C9" w:rsidRPr="00776407" w:rsidRDefault="000509C9" w:rsidP="00C97C0E">
      <w:pPr>
        <w:keepNext/>
        <w:autoSpaceDE w:val="0"/>
        <w:autoSpaceDN w:val="0"/>
        <w:adjustRightInd w:val="0"/>
        <w:rPr>
          <w:sz w:val="22"/>
          <w:szCs w:val="22"/>
        </w:rPr>
      </w:pPr>
    </w:p>
    <w:p w14:paraId="7257928D" w14:textId="77777777" w:rsidR="001878C1" w:rsidRPr="00776407" w:rsidRDefault="006358E3" w:rsidP="001878C1">
      <w:pPr>
        <w:pBdr>
          <w:top w:val="single" w:sz="4" w:space="1" w:color="auto"/>
          <w:left w:val="single" w:sz="4" w:space="4" w:color="auto"/>
          <w:bottom w:val="single" w:sz="4" w:space="1" w:color="auto"/>
          <w:right w:val="single" w:sz="4" w:space="4" w:color="auto"/>
        </w:pBdr>
        <w:rPr>
          <w:sz w:val="22"/>
          <w:szCs w:val="22"/>
        </w:rPr>
      </w:pPr>
      <w:r w:rsidRPr="00776407">
        <w:rPr>
          <w:sz w:val="22"/>
          <w:szCs w:val="22"/>
        </w:rPr>
        <w:br w:type="page"/>
      </w:r>
      <w:r w:rsidR="001878C1" w:rsidRPr="00776407">
        <w:rPr>
          <w:b/>
          <w:sz w:val="22"/>
          <w:szCs w:val="22"/>
        </w:rPr>
        <w:t>MINIMALI INFORMACIJA ANT LIZDINIŲ PLOKŠTELIŲ ARBA DVISLUOKSNIŲ JUOSTELIŲ</w:t>
      </w:r>
      <w:r w:rsidR="001878C1" w:rsidRPr="00776407">
        <w:rPr>
          <w:b/>
          <w:sz w:val="22"/>
          <w:szCs w:val="22"/>
        </w:rPr>
        <w:br/>
      </w:r>
      <w:r w:rsidR="001878C1" w:rsidRPr="00776407">
        <w:rPr>
          <w:b/>
          <w:sz w:val="22"/>
          <w:szCs w:val="22"/>
        </w:rPr>
        <w:br/>
        <w:t>LIZDINĖ PLOKŠTELĖ</w:t>
      </w:r>
    </w:p>
    <w:p w14:paraId="249E19E5" w14:textId="77777777" w:rsidR="001878C1" w:rsidRPr="00776407" w:rsidRDefault="001878C1" w:rsidP="001878C1">
      <w:pPr>
        <w:rPr>
          <w:sz w:val="22"/>
          <w:szCs w:val="22"/>
        </w:rPr>
      </w:pPr>
    </w:p>
    <w:p w14:paraId="6054249B" w14:textId="77777777" w:rsidR="001878C1" w:rsidRPr="00776407" w:rsidRDefault="001878C1" w:rsidP="001878C1">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1.</w:t>
      </w:r>
      <w:r w:rsidRPr="00776407">
        <w:rPr>
          <w:b/>
          <w:sz w:val="22"/>
          <w:szCs w:val="22"/>
        </w:rPr>
        <w:tab/>
      </w:r>
      <w:r w:rsidRPr="00776407">
        <w:rPr>
          <w:b/>
          <w:caps/>
          <w:sz w:val="22"/>
          <w:szCs w:val="22"/>
        </w:rPr>
        <w:t>VAISTINIO</w:t>
      </w:r>
      <w:r w:rsidRPr="00776407">
        <w:rPr>
          <w:b/>
          <w:sz w:val="22"/>
          <w:szCs w:val="22"/>
        </w:rPr>
        <w:t xml:space="preserve"> PREPARATO PAVADINIMAS</w:t>
      </w:r>
    </w:p>
    <w:p w14:paraId="170D33EA" w14:textId="77777777" w:rsidR="001878C1" w:rsidRPr="00776407" w:rsidRDefault="001878C1" w:rsidP="001878C1">
      <w:pPr>
        <w:rPr>
          <w:sz w:val="22"/>
          <w:szCs w:val="22"/>
        </w:rPr>
      </w:pPr>
    </w:p>
    <w:p w14:paraId="708D572B" w14:textId="77777777" w:rsidR="001878C1" w:rsidRPr="00776407" w:rsidRDefault="001878C1" w:rsidP="001878C1">
      <w:pPr>
        <w:autoSpaceDE w:val="0"/>
        <w:autoSpaceDN w:val="0"/>
        <w:adjustRightInd w:val="0"/>
        <w:rPr>
          <w:sz w:val="22"/>
          <w:szCs w:val="22"/>
        </w:rPr>
      </w:pPr>
      <w:r w:rsidRPr="00776407">
        <w:rPr>
          <w:sz w:val="22"/>
          <w:szCs w:val="22"/>
        </w:rPr>
        <w:t>Imatinib Actavis 50 mg kietosios kapsulės</w:t>
      </w:r>
    </w:p>
    <w:p w14:paraId="7956118A" w14:textId="20847E9A" w:rsidR="001878C1" w:rsidRPr="00881EFD" w:rsidRDefault="00AA08DE" w:rsidP="001878C1">
      <w:pPr>
        <w:autoSpaceDE w:val="0"/>
        <w:autoSpaceDN w:val="0"/>
        <w:adjustRightInd w:val="0"/>
        <w:rPr>
          <w:i/>
          <w:sz w:val="22"/>
          <w:szCs w:val="22"/>
        </w:rPr>
      </w:pPr>
      <w:r w:rsidRPr="00881EFD">
        <w:rPr>
          <w:i/>
          <w:sz w:val="22"/>
          <w:szCs w:val="22"/>
        </w:rPr>
        <w:t>i</w:t>
      </w:r>
      <w:r w:rsidR="001878C1" w:rsidRPr="00881EFD">
        <w:rPr>
          <w:i/>
          <w:sz w:val="22"/>
          <w:szCs w:val="22"/>
        </w:rPr>
        <w:t>matinib</w:t>
      </w:r>
      <w:r w:rsidR="00C948C1" w:rsidRPr="00881EFD">
        <w:rPr>
          <w:i/>
          <w:sz w:val="22"/>
          <w:szCs w:val="22"/>
        </w:rPr>
        <w:t>um</w:t>
      </w:r>
    </w:p>
    <w:p w14:paraId="75EBE453" w14:textId="77777777" w:rsidR="001878C1" w:rsidRPr="00776407" w:rsidRDefault="001878C1" w:rsidP="001878C1">
      <w:pPr>
        <w:rPr>
          <w:sz w:val="22"/>
          <w:szCs w:val="22"/>
        </w:rPr>
      </w:pPr>
    </w:p>
    <w:p w14:paraId="75A33478" w14:textId="77777777" w:rsidR="001878C1" w:rsidRPr="00776407" w:rsidRDefault="001878C1" w:rsidP="001878C1">
      <w:pPr>
        <w:rPr>
          <w:sz w:val="22"/>
          <w:szCs w:val="22"/>
        </w:rPr>
      </w:pPr>
    </w:p>
    <w:p w14:paraId="1120C43A" w14:textId="77777777" w:rsidR="001878C1" w:rsidRPr="00776407" w:rsidRDefault="001878C1" w:rsidP="001878C1">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2.</w:t>
      </w:r>
      <w:r w:rsidRPr="00776407">
        <w:rPr>
          <w:b/>
          <w:sz w:val="22"/>
          <w:szCs w:val="22"/>
        </w:rPr>
        <w:tab/>
      </w:r>
      <w:r w:rsidR="000509C9" w:rsidRPr="00776407">
        <w:rPr>
          <w:b/>
          <w:caps/>
          <w:sz w:val="22"/>
          <w:szCs w:val="22"/>
        </w:rPr>
        <w:t>REGISTRUOTOJO</w:t>
      </w:r>
      <w:r w:rsidR="00E51881" w:rsidRPr="00776407">
        <w:rPr>
          <w:b/>
          <w:caps/>
          <w:sz w:val="22"/>
          <w:szCs w:val="22"/>
        </w:rPr>
        <w:t xml:space="preserve"> </w:t>
      </w:r>
      <w:r w:rsidRPr="00776407">
        <w:rPr>
          <w:b/>
          <w:caps/>
          <w:sz w:val="22"/>
          <w:szCs w:val="22"/>
        </w:rPr>
        <w:t>pavadinimas</w:t>
      </w:r>
    </w:p>
    <w:p w14:paraId="31149673" w14:textId="77777777" w:rsidR="001878C1" w:rsidRPr="00776407" w:rsidRDefault="001878C1" w:rsidP="001878C1">
      <w:pPr>
        <w:rPr>
          <w:sz w:val="22"/>
          <w:szCs w:val="22"/>
        </w:rPr>
      </w:pPr>
    </w:p>
    <w:p w14:paraId="7DDC8826" w14:textId="77777777" w:rsidR="001878C1" w:rsidRPr="00776407" w:rsidRDefault="001878C1" w:rsidP="001878C1">
      <w:pPr>
        <w:rPr>
          <w:sz w:val="22"/>
          <w:szCs w:val="22"/>
        </w:rPr>
      </w:pPr>
      <w:r w:rsidRPr="00776407">
        <w:rPr>
          <w:sz w:val="22"/>
          <w:szCs w:val="22"/>
        </w:rPr>
        <w:t>[Actavis logo]</w:t>
      </w:r>
    </w:p>
    <w:p w14:paraId="106019DC" w14:textId="77777777" w:rsidR="001878C1" w:rsidRPr="00776407" w:rsidRDefault="001878C1" w:rsidP="001878C1">
      <w:pPr>
        <w:rPr>
          <w:sz w:val="22"/>
          <w:szCs w:val="22"/>
        </w:rPr>
      </w:pPr>
    </w:p>
    <w:p w14:paraId="51CCD0BB" w14:textId="77777777" w:rsidR="001878C1" w:rsidRPr="00776407" w:rsidRDefault="001878C1" w:rsidP="001878C1">
      <w:pPr>
        <w:rPr>
          <w:sz w:val="22"/>
          <w:szCs w:val="22"/>
        </w:rPr>
      </w:pPr>
    </w:p>
    <w:p w14:paraId="39707E89" w14:textId="77777777" w:rsidR="001878C1" w:rsidRPr="00776407" w:rsidRDefault="001878C1" w:rsidP="001878C1">
      <w:pPr>
        <w:suppressLineNumbers/>
        <w:pBdr>
          <w:top w:val="single" w:sz="4" w:space="1" w:color="auto"/>
          <w:left w:val="single" w:sz="4" w:space="4" w:color="auto"/>
          <w:bottom w:val="single" w:sz="4" w:space="2" w:color="auto"/>
          <w:right w:val="single" w:sz="4" w:space="4" w:color="auto"/>
        </w:pBdr>
        <w:outlineLvl w:val="0"/>
        <w:rPr>
          <w:b/>
          <w:sz w:val="22"/>
          <w:szCs w:val="22"/>
        </w:rPr>
      </w:pPr>
      <w:r w:rsidRPr="00776407">
        <w:rPr>
          <w:b/>
          <w:sz w:val="22"/>
          <w:szCs w:val="22"/>
        </w:rPr>
        <w:t>3.</w:t>
      </w:r>
      <w:r w:rsidRPr="00776407">
        <w:rPr>
          <w:b/>
          <w:sz w:val="22"/>
          <w:szCs w:val="22"/>
        </w:rPr>
        <w:tab/>
        <w:t>TINKAMUMO LAIKAS</w:t>
      </w:r>
    </w:p>
    <w:p w14:paraId="2BB31720" w14:textId="77777777" w:rsidR="001878C1" w:rsidRPr="00776407" w:rsidRDefault="001878C1" w:rsidP="001878C1">
      <w:pPr>
        <w:rPr>
          <w:sz w:val="22"/>
          <w:szCs w:val="22"/>
        </w:rPr>
      </w:pPr>
    </w:p>
    <w:p w14:paraId="108AF9CC" w14:textId="77777777" w:rsidR="001878C1" w:rsidRPr="00776407" w:rsidRDefault="001878C1" w:rsidP="001878C1">
      <w:pPr>
        <w:rPr>
          <w:sz w:val="22"/>
          <w:szCs w:val="22"/>
        </w:rPr>
      </w:pPr>
      <w:r w:rsidRPr="00776407">
        <w:rPr>
          <w:sz w:val="22"/>
          <w:szCs w:val="22"/>
        </w:rPr>
        <w:t>EXP</w:t>
      </w:r>
    </w:p>
    <w:p w14:paraId="3E9DD26A" w14:textId="77777777" w:rsidR="001878C1" w:rsidRPr="00776407" w:rsidRDefault="001878C1" w:rsidP="001878C1">
      <w:pPr>
        <w:rPr>
          <w:sz w:val="22"/>
          <w:szCs w:val="22"/>
        </w:rPr>
      </w:pPr>
    </w:p>
    <w:p w14:paraId="479DF50A" w14:textId="77777777" w:rsidR="001878C1" w:rsidRPr="00776407" w:rsidRDefault="001878C1" w:rsidP="001878C1">
      <w:pPr>
        <w:rPr>
          <w:sz w:val="22"/>
          <w:szCs w:val="22"/>
        </w:rPr>
      </w:pPr>
    </w:p>
    <w:p w14:paraId="11CE53E2" w14:textId="77777777" w:rsidR="001878C1" w:rsidRPr="00776407" w:rsidRDefault="001878C1" w:rsidP="001878C1">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4.</w:t>
      </w:r>
      <w:r w:rsidRPr="00776407">
        <w:rPr>
          <w:b/>
          <w:sz w:val="22"/>
          <w:szCs w:val="22"/>
        </w:rPr>
        <w:tab/>
        <w:t>SERIJOS NUMERIS</w:t>
      </w:r>
    </w:p>
    <w:p w14:paraId="3374B103" w14:textId="77777777" w:rsidR="001878C1" w:rsidRPr="00776407" w:rsidRDefault="001878C1" w:rsidP="001878C1">
      <w:pPr>
        <w:rPr>
          <w:sz w:val="22"/>
          <w:szCs w:val="22"/>
        </w:rPr>
      </w:pPr>
    </w:p>
    <w:p w14:paraId="1EB78480" w14:textId="77777777" w:rsidR="001878C1" w:rsidRPr="00776407" w:rsidRDefault="001878C1" w:rsidP="001878C1">
      <w:pPr>
        <w:rPr>
          <w:sz w:val="22"/>
          <w:szCs w:val="22"/>
        </w:rPr>
      </w:pPr>
      <w:r w:rsidRPr="00776407">
        <w:rPr>
          <w:sz w:val="22"/>
          <w:szCs w:val="22"/>
        </w:rPr>
        <w:t>Lot</w:t>
      </w:r>
    </w:p>
    <w:p w14:paraId="0162F620" w14:textId="77777777" w:rsidR="001878C1" w:rsidRPr="00776407" w:rsidRDefault="001878C1" w:rsidP="001878C1">
      <w:pPr>
        <w:rPr>
          <w:sz w:val="22"/>
          <w:szCs w:val="22"/>
        </w:rPr>
      </w:pPr>
    </w:p>
    <w:p w14:paraId="4C88D203" w14:textId="77777777" w:rsidR="001878C1" w:rsidRPr="00776407" w:rsidRDefault="001878C1" w:rsidP="001878C1">
      <w:pPr>
        <w:rPr>
          <w:sz w:val="22"/>
          <w:szCs w:val="22"/>
        </w:rPr>
      </w:pPr>
    </w:p>
    <w:p w14:paraId="37ED9342" w14:textId="77777777" w:rsidR="001878C1" w:rsidRPr="00776407" w:rsidRDefault="001878C1" w:rsidP="001878C1">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5.</w:t>
      </w:r>
      <w:r w:rsidRPr="00776407">
        <w:rPr>
          <w:b/>
          <w:sz w:val="22"/>
          <w:szCs w:val="22"/>
        </w:rPr>
        <w:tab/>
        <w:t>KITA</w:t>
      </w:r>
    </w:p>
    <w:p w14:paraId="30372BEF" w14:textId="77777777" w:rsidR="001878C1" w:rsidRPr="00776407" w:rsidRDefault="001878C1" w:rsidP="001878C1">
      <w:pPr>
        <w:rPr>
          <w:sz w:val="22"/>
          <w:szCs w:val="22"/>
        </w:rPr>
      </w:pPr>
    </w:p>
    <w:p w14:paraId="4F9D4B50" w14:textId="77777777" w:rsidR="001878C1" w:rsidRPr="00776407" w:rsidRDefault="001878C1" w:rsidP="001878C1"/>
    <w:p w14:paraId="605F0D95" w14:textId="77777777" w:rsidR="00EB1CCD" w:rsidRPr="00776407" w:rsidRDefault="001878C1" w:rsidP="00EB1CCD">
      <w:pPr>
        <w:rPr>
          <w:sz w:val="22"/>
          <w:szCs w:val="22"/>
        </w:rPr>
      </w:pPr>
      <w:r w:rsidRPr="00776407">
        <w:rPr>
          <w:b/>
        </w:rPr>
        <w:br w:type="page"/>
      </w:r>
    </w:p>
    <w:p w14:paraId="3998FEF2"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rPr>
          <w:b/>
          <w:sz w:val="22"/>
          <w:szCs w:val="22"/>
        </w:rPr>
      </w:pPr>
      <w:r w:rsidRPr="00776407">
        <w:rPr>
          <w:b/>
          <w:sz w:val="22"/>
          <w:szCs w:val="22"/>
        </w:rPr>
        <w:t>INFORMACIJA ANT IŠORINĖS PAKUOTĖS</w:t>
      </w:r>
    </w:p>
    <w:p w14:paraId="3D796062"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rPr>
          <w:b/>
          <w:sz w:val="22"/>
          <w:szCs w:val="22"/>
        </w:rPr>
      </w:pPr>
    </w:p>
    <w:p w14:paraId="74735A9A"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rPr>
          <w:b/>
          <w:sz w:val="22"/>
          <w:szCs w:val="22"/>
        </w:rPr>
      </w:pPr>
      <w:r w:rsidRPr="00776407">
        <w:rPr>
          <w:b/>
          <w:sz w:val="22"/>
          <w:szCs w:val="22"/>
        </w:rPr>
        <w:t>KARTONINĖ DĖŽUTĖ</w:t>
      </w:r>
    </w:p>
    <w:p w14:paraId="0867BF55" w14:textId="77777777" w:rsidR="00EB1CCD" w:rsidRPr="00776407" w:rsidRDefault="00EB1CCD" w:rsidP="00EB1CCD">
      <w:pPr>
        <w:rPr>
          <w:sz w:val="22"/>
          <w:szCs w:val="22"/>
        </w:rPr>
      </w:pPr>
    </w:p>
    <w:p w14:paraId="0F23DD40"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1.</w:t>
      </w:r>
      <w:r w:rsidRPr="00776407">
        <w:rPr>
          <w:b/>
          <w:sz w:val="22"/>
          <w:szCs w:val="22"/>
        </w:rPr>
        <w:tab/>
      </w:r>
      <w:r w:rsidRPr="00776407">
        <w:rPr>
          <w:b/>
          <w:caps/>
          <w:sz w:val="22"/>
          <w:szCs w:val="22"/>
        </w:rPr>
        <w:t>VAISTINIO</w:t>
      </w:r>
      <w:r w:rsidRPr="00776407">
        <w:rPr>
          <w:b/>
          <w:sz w:val="22"/>
          <w:szCs w:val="22"/>
        </w:rPr>
        <w:t xml:space="preserve"> PREPARATO PAVADINIMAS</w:t>
      </w:r>
    </w:p>
    <w:p w14:paraId="6DEB8AA8" w14:textId="77777777" w:rsidR="00EB1CCD" w:rsidRPr="00776407" w:rsidRDefault="00EB1CCD" w:rsidP="00EB1CCD">
      <w:pPr>
        <w:rPr>
          <w:sz w:val="22"/>
          <w:szCs w:val="22"/>
        </w:rPr>
      </w:pPr>
    </w:p>
    <w:p w14:paraId="003347E5" w14:textId="77777777" w:rsidR="00EB1CCD" w:rsidRPr="00776407" w:rsidRDefault="00EB1CCD" w:rsidP="00EB1CCD">
      <w:pPr>
        <w:autoSpaceDE w:val="0"/>
        <w:autoSpaceDN w:val="0"/>
        <w:adjustRightInd w:val="0"/>
        <w:rPr>
          <w:sz w:val="22"/>
          <w:szCs w:val="22"/>
        </w:rPr>
      </w:pPr>
      <w:r w:rsidRPr="00776407">
        <w:rPr>
          <w:sz w:val="22"/>
          <w:szCs w:val="22"/>
        </w:rPr>
        <w:t>Imatinib Actavis 100 mg kietosios kapsulės</w:t>
      </w:r>
    </w:p>
    <w:p w14:paraId="4A59CF38" w14:textId="15F9A879" w:rsidR="00EB1CCD" w:rsidRPr="00881EFD" w:rsidRDefault="00AA08DE" w:rsidP="00EB1CCD">
      <w:pPr>
        <w:autoSpaceDE w:val="0"/>
        <w:autoSpaceDN w:val="0"/>
        <w:adjustRightInd w:val="0"/>
        <w:rPr>
          <w:i/>
          <w:sz w:val="22"/>
          <w:szCs w:val="22"/>
        </w:rPr>
      </w:pPr>
      <w:r w:rsidRPr="00776407">
        <w:rPr>
          <w:i/>
          <w:sz w:val="22"/>
          <w:szCs w:val="22"/>
        </w:rPr>
        <w:t>i</w:t>
      </w:r>
      <w:r w:rsidR="00EB1CCD" w:rsidRPr="00881EFD">
        <w:rPr>
          <w:i/>
          <w:sz w:val="22"/>
          <w:szCs w:val="22"/>
        </w:rPr>
        <w:t>matinibum</w:t>
      </w:r>
    </w:p>
    <w:p w14:paraId="726F6591" w14:textId="77777777" w:rsidR="00EB1CCD" w:rsidRPr="00776407" w:rsidRDefault="00EB1CCD" w:rsidP="00EB1CCD">
      <w:pPr>
        <w:rPr>
          <w:sz w:val="22"/>
          <w:szCs w:val="22"/>
        </w:rPr>
      </w:pPr>
    </w:p>
    <w:p w14:paraId="36986C2E" w14:textId="77777777" w:rsidR="00EB1CCD" w:rsidRPr="00776407" w:rsidRDefault="00EB1CCD" w:rsidP="00EB1CCD">
      <w:pPr>
        <w:rPr>
          <w:sz w:val="22"/>
          <w:szCs w:val="22"/>
        </w:rPr>
      </w:pPr>
    </w:p>
    <w:p w14:paraId="107AE7F9"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b/>
          <w:sz w:val="22"/>
          <w:szCs w:val="22"/>
        </w:rPr>
      </w:pPr>
      <w:r w:rsidRPr="00776407">
        <w:rPr>
          <w:b/>
          <w:sz w:val="22"/>
          <w:szCs w:val="22"/>
        </w:rPr>
        <w:t>2.</w:t>
      </w:r>
      <w:r w:rsidRPr="00776407">
        <w:rPr>
          <w:b/>
          <w:sz w:val="22"/>
          <w:szCs w:val="22"/>
        </w:rPr>
        <w:tab/>
        <w:t>VEIKLIOJI (-IOS) MEDŽIAGA (-OS) IR JOS (-Ų) KIEKIS (-IAI)</w:t>
      </w:r>
    </w:p>
    <w:p w14:paraId="5621E4F7" w14:textId="77777777" w:rsidR="00EB1CCD" w:rsidRPr="00776407" w:rsidRDefault="00EB1CCD" w:rsidP="00EB1CCD">
      <w:pPr>
        <w:rPr>
          <w:sz w:val="22"/>
          <w:szCs w:val="22"/>
        </w:rPr>
      </w:pPr>
    </w:p>
    <w:p w14:paraId="6D59C9B2" w14:textId="77777777" w:rsidR="00EB1CCD" w:rsidRPr="00776407" w:rsidRDefault="00EB1CCD" w:rsidP="00EB1CCD">
      <w:pPr>
        <w:rPr>
          <w:sz w:val="22"/>
          <w:szCs w:val="22"/>
        </w:rPr>
      </w:pPr>
      <w:r w:rsidRPr="00776407">
        <w:rPr>
          <w:sz w:val="22"/>
          <w:szCs w:val="22"/>
        </w:rPr>
        <w:t>Kiekvienoje</w:t>
      </w:r>
      <w:r w:rsidR="00940F53" w:rsidRPr="00776407">
        <w:rPr>
          <w:sz w:val="22"/>
          <w:szCs w:val="22"/>
        </w:rPr>
        <w:t xml:space="preserve"> kietojoje</w:t>
      </w:r>
      <w:r w:rsidRPr="00776407">
        <w:rPr>
          <w:sz w:val="22"/>
          <w:szCs w:val="22"/>
        </w:rPr>
        <w:t xml:space="preserve"> kapsulėje yra 100 mg imatinibo (mesilato pav</w:t>
      </w:r>
      <w:r w:rsidR="0089413D" w:rsidRPr="00776407">
        <w:rPr>
          <w:sz w:val="22"/>
          <w:szCs w:val="22"/>
        </w:rPr>
        <w:t>i</w:t>
      </w:r>
      <w:r w:rsidRPr="00776407">
        <w:rPr>
          <w:sz w:val="22"/>
          <w:szCs w:val="22"/>
        </w:rPr>
        <w:t>dalu).</w:t>
      </w:r>
    </w:p>
    <w:p w14:paraId="289B9612" w14:textId="77777777" w:rsidR="00EB1CCD" w:rsidRPr="00776407" w:rsidRDefault="00EB1CCD" w:rsidP="00EB1CCD">
      <w:pPr>
        <w:rPr>
          <w:sz w:val="22"/>
          <w:szCs w:val="22"/>
        </w:rPr>
      </w:pPr>
    </w:p>
    <w:p w14:paraId="73D8F34C" w14:textId="77777777" w:rsidR="00EB1CCD" w:rsidRPr="00776407" w:rsidRDefault="00EB1CCD" w:rsidP="00EB1CCD">
      <w:pPr>
        <w:rPr>
          <w:sz w:val="22"/>
          <w:szCs w:val="22"/>
        </w:rPr>
      </w:pPr>
    </w:p>
    <w:p w14:paraId="64FAA4BE"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3.</w:t>
      </w:r>
      <w:r w:rsidRPr="00776407">
        <w:rPr>
          <w:b/>
          <w:sz w:val="22"/>
          <w:szCs w:val="22"/>
        </w:rPr>
        <w:tab/>
        <w:t>PAGALBINIŲ MEDŽIAGŲ SĄRAŠAS</w:t>
      </w:r>
    </w:p>
    <w:p w14:paraId="7E8EE9DB" w14:textId="77777777" w:rsidR="00EB1CCD" w:rsidRPr="00776407" w:rsidRDefault="00EB1CCD" w:rsidP="00EB1CCD">
      <w:pPr>
        <w:rPr>
          <w:sz w:val="22"/>
          <w:szCs w:val="22"/>
        </w:rPr>
      </w:pPr>
    </w:p>
    <w:p w14:paraId="4BAE78C9" w14:textId="77777777" w:rsidR="00EB1CCD" w:rsidRPr="00776407" w:rsidRDefault="00EB1CCD" w:rsidP="00EB1CCD">
      <w:pPr>
        <w:rPr>
          <w:sz w:val="22"/>
          <w:szCs w:val="22"/>
        </w:rPr>
      </w:pPr>
    </w:p>
    <w:p w14:paraId="7F5C852B"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4.</w:t>
      </w:r>
      <w:r w:rsidRPr="00776407">
        <w:rPr>
          <w:b/>
          <w:sz w:val="22"/>
          <w:szCs w:val="22"/>
        </w:rPr>
        <w:tab/>
        <w:t>FARMACINĖ FORMA IR KIEKIS PAKUOTĖJE</w:t>
      </w:r>
    </w:p>
    <w:p w14:paraId="1B6DADC5" w14:textId="77777777" w:rsidR="00EB1CCD" w:rsidRPr="00776407" w:rsidRDefault="00EB1CCD" w:rsidP="00EB1CCD">
      <w:pPr>
        <w:pStyle w:val="KeinLeerraum"/>
        <w:rPr>
          <w:sz w:val="22"/>
          <w:szCs w:val="22"/>
          <w:highlight w:val="lightGray"/>
        </w:rPr>
      </w:pPr>
    </w:p>
    <w:p w14:paraId="59B02ED0" w14:textId="77777777" w:rsidR="00EB1CCD" w:rsidRPr="00776407" w:rsidRDefault="00EB1CCD" w:rsidP="00EB1CCD">
      <w:pPr>
        <w:pStyle w:val="KeinLeerraum"/>
        <w:rPr>
          <w:sz w:val="22"/>
          <w:szCs w:val="22"/>
        </w:rPr>
      </w:pPr>
      <w:r w:rsidRPr="00776407">
        <w:rPr>
          <w:sz w:val="22"/>
          <w:szCs w:val="22"/>
        </w:rPr>
        <w:t>24 </w:t>
      </w:r>
      <w:r w:rsidR="00940F53" w:rsidRPr="00776407">
        <w:rPr>
          <w:sz w:val="22"/>
          <w:szCs w:val="22"/>
        </w:rPr>
        <w:t xml:space="preserve">kietosios </w:t>
      </w:r>
      <w:r w:rsidRPr="00776407">
        <w:rPr>
          <w:sz w:val="22"/>
          <w:szCs w:val="22"/>
        </w:rPr>
        <w:t>kapsulės</w:t>
      </w:r>
    </w:p>
    <w:p w14:paraId="5700D001" w14:textId="77777777" w:rsidR="00EB1CCD" w:rsidRPr="00776407" w:rsidRDefault="00EB1CCD" w:rsidP="00EB1CCD">
      <w:pPr>
        <w:pStyle w:val="KeinLeerraum"/>
        <w:rPr>
          <w:sz w:val="22"/>
          <w:szCs w:val="22"/>
          <w:highlight w:val="lightGray"/>
        </w:rPr>
      </w:pPr>
      <w:r w:rsidRPr="00776407">
        <w:rPr>
          <w:sz w:val="22"/>
          <w:szCs w:val="22"/>
          <w:highlight w:val="lightGray"/>
        </w:rPr>
        <w:t>48 </w:t>
      </w:r>
      <w:r w:rsidR="00940F53" w:rsidRPr="00776407">
        <w:rPr>
          <w:sz w:val="22"/>
          <w:szCs w:val="22"/>
          <w:highlight w:val="lightGray"/>
        </w:rPr>
        <w:t xml:space="preserve">kietosios </w:t>
      </w:r>
      <w:r w:rsidRPr="00776407">
        <w:rPr>
          <w:sz w:val="22"/>
          <w:szCs w:val="22"/>
          <w:highlight w:val="lightGray"/>
        </w:rPr>
        <w:t>kapsulės</w:t>
      </w:r>
    </w:p>
    <w:p w14:paraId="5538AC86" w14:textId="77777777" w:rsidR="008144B1" w:rsidRPr="00776407" w:rsidRDefault="008144B1" w:rsidP="00EB1CCD">
      <w:pPr>
        <w:pStyle w:val="KeinLeerraum"/>
        <w:rPr>
          <w:sz w:val="22"/>
          <w:szCs w:val="22"/>
          <w:highlight w:val="lightGray"/>
        </w:rPr>
      </w:pPr>
      <w:r w:rsidRPr="00776407">
        <w:rPr>
          <w:sz w:val="22"/>
          <w:szCs w:val="22"/>
          <w:highlight w:val="lightGray"/>
        </w:rPr>
        <w:t>60 </w:t>
      </w:r>
      <w:r w:rsidR="00940F53" w:rsidRPr="00776407">
        <w:rPr>
          <w:sz w:val="22"/>
          <w:szCs w:val="22"/>
          <w:highlight w:val="lightGray"/>
        </w:rPr>
        <w:t xml:space="preserve">kietųjų </w:t>
      </w:r>
      <w:r w:rsidRPr="00776407">
        <w:rPr>
          <w:sz w:val="22"/>
          <w:szCs w:val="22"/>
          <w:highlight w:val="lightGray"/>
        </w:rPr>
        <w:t>kapsulių</w:t>
      </w:r>
    </w:p>
    <w:p w14:paraId="7A3F7BAD" w14:textId="77777777" w:rsidR="00EB1CCD" w:rsidRPr="00776407" w:rsidRDefault="00EB1CCD" w:rsidP="00EB1CCD">
      <w:pPr>
        <w:pStyle w:val="KeinLeerraum"/>
        <w:rPr>
          <w:sz w:val="22"/>
          <w:szCs w:val="22"/>
          <w:highlight w:val="lightGray"/>
        </w:rPr>
      </w:pPr>
      <w:r w:rsidRPr="00776407">
        <w:rPr>
          <w:sz w:val="22"/>
          <w:szCs w:val="22"/>
          <w:highlight w:val="lightGray"/>
        </w:rPr>
        <w:t>96 </w:t>
      </w:r>
      <w:r w:rsidR="00940F53" w:rsidRPr="00776407">
        <w:rPr>
          <w:sz w:val="22"/>
          <w:szCs w:val="22"/>
          <w:highlight w:val="lightGray"/>
        </w:rPr>
        <w:t xml:space="preserve">kietosios </w:t>
      </w:r>
      <w:r w:rsidRPr="00776407">
        <w:rPr>
          <w:sz w:val="22"/>
          <w:szCs w:val="22"/>
          <w:highlight w:val="lightGray"/>
        </w:rPr>
        <w:t>kapsulės</w:t>
      </w:r>
    </w:p>
    <w:p w14:paraId="7078845F" w14:textId="77777777" w:rsidR="00EB1CCD" w:rsidRPr="00776407" w:rsidRDefault="00EB1CCD" w:rsidP="00EB1CCD">
      <w:pPr>
        <w:pStyle w:val="KeinLeerraum"/>
        <w:rPr>
          <w:sz w:val="22"/>
          <w:szCs w:val="22"/>
          <w:highlight w:val="lightGray"/>
        </w:rPr>
      </w:pPr>
      <w:r w:rsidRPr="00776407">
        <w:rPr>
          <w:sz w:val="22"/>
          <w:szCs w:val="22"/>
          <w:highlight w:val="lightGray"/>
        </w:rPr>
        <w:t>120 </w:t>
      </w:r>
      <w:r w:rsidR="00940F53" w:rsidRPr="00776407">
        <w:rPr>
          <w:sz w:val="22"/>
          <w:szCs w:val="22"/>
          <w:highlight w:val="lightGray"/>
        </w:rPr>
        <w:t xml:space="preserve">kietųjų </w:t>
      </w:r>
      <w:r w:rsidRPr="00776407">
        <w:rPr>
          <w:sz w:val="22"/>
          <w:szCs w:val="22"/>
          <w:highlight w:val="lightGray"/>
        </w:rPr>
        <w:t>kapsulių</w:t>
      </w:r>
    </w:p>
    <w:p w14:paraId="5A7B1956" w14:textId="77777777" w:rsidR="00EB1CCD" w:rsidRPr="00776407" w:rsidRDefault="00EB1CCD" w:rsidP="00EB1CCD">
      <w:pPr>
        <w:pStyle w:val="KeinLeerraum"/>
        <w:rPr>
          <w:sz w:val="22"/>
          <w:szCs w:val="22"/>
        </w:rPr>
      </w:pPr>
      <w:r w:rsidRPr="00776407">
        <w:rPr>
          <w:sz w:val="22"/>
          <w:szCs w:val="22"/>
          <w:highlight w:val="lightGray"/>
        </w:rPr>
        <w:t>180 </w:t>
      </w:r>
      <w:r w:rsidR="00940F53" w:rsidRPr="00776407">
        <w:rPr>
          <w:sz w:val="22"/>
          <w:szCs w:val="22"/>
          <w:highlight w:val="lightGray"/>
        </w:rPr>
        <w:t xml:space="preserve">kietųjų </w:t>
      </w:r>
      <w:r w:rsidRPr="00776407">
        <w:rPr>
          <w:sz w:val="22"/>
          <w:szCs w:val="22"/>
          <w:highlight w:val="lightGray"/>
        </w:rPr>
        <w:t>kapsulių</w:t>
      </w:r>
    </w:p>
    <w:p w14:paraId="3F87D694" w14:textId="77777777" w:rsidR="00EB1CCD" w:rsidRPr="00776407" w:rsidRDefault="00EB1CCD" w:rsidP="00EB1CCD">
      <w:pPr>
        <w:rPr>
          <w:sz w:val="22"/>
          <w:szCs w:val="22"/>
        </w:rPr>
      </w:pPr>
    </w:p>
    <w:p w14:paraId="593FB98A" w14:textId="77777777" w:rsidR="00EB1CCD" w:rsidRPr="00776407" w:rsidRDefault="00EB1CCD" w:rsidP="00EB1CCD">
      <w:pPr>
        <w:rPr>
          <w:sz w:val="22"/>
          <w:szCs w:val="22"/>
        </w:rPr>
      </w:pPr>
    </w:p>
    <w:p w14:paraId="7CBDD1CC"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5.</w:t>
      </w:r>
      <w:r w:rsidRPr="00776407">
        <w:rPr>
          <w:b/>
          <w:sz w:val="22"/>
          <w:szCs w:val="22"/>
        </w:rPr>
        <w:tab/>
        <w:t>VARTOJIMO METODAS IR BŪDAS (-AI)</w:t>
      </w:r>
    </w:p>
    <w:p w14:paraId="19268A2E" w14:textId="77777777" w:rsidR="00EB1CCD" w:rsidRPr="00776407" w:rsidRDefault="00EB1CCD" w:rsidP="00EB1CCD">
      <w:pPr>
        <w:rPr>
          <w:sz w:val="22"/>
          <w:szCs w:val="22"/>
        </w:rPr>
      </w:pPr>
    </w:p>
    <w:p w14:paraId="768FBEFB" w14:textId="77777777" w:rsidR="00EB1CCD" w:rsidRPr="00776407" w:rsidRDefault="00EB1CCD" w:rsidP="00EB1CCD">
      <w:pPr>
        <w:rPr>
          <w:sz w:val="22"/>
          <w:szCs w:val="22"/>
        </w:rPr>
      </w:pPr>
      <w:r w:rsidRPr="00776407">
        <w:rPr>
          <w:sz w:val="22"/>
          <w:szCs w:val="22"/>
        </w:rPr>
        <w:t>Vartoti per burną.</w:t>
      </w:r>
    </w:p>
    <w:p w14:paraId="039E8CD6" w14:textId="77777777" w:rsidR="00EB1CCD" w:rsidRPr="00776407" w:rsidRDefault="00EB1CCD" w:rsidP="00EB1CCD">
      <w:pPr>
        <w:rPr>
          <w:sz w:val="22"/>
          <w:szCs w:val="22"/>
        </w:rPr>
      </w:pPr>
      <w:r w:rsidRPr="00776407">
        <w:rPr>
          <w:sz w:val="22"/>
          <w:szCs w:val="22"/>
        </w:rPr>
        <w:t>Prieš vartojimą perskaitykite pakuotės lapelį.</w:t>
      </w:r>
    </w:p>
    <w:p w14:paraId="748DA5B6" w14:textId="77777777" w:rsidR="00EB1CCD" w:rsidRPr="00776407" w:rsidRDefault="00EB1CCD" w:rsidP="00EB1CCD">
      <w:pPr>
        <w:rPr>
          <w:sz w:val="22"/>
          <w:szCs w:val="22"/>
        </w:rPr>
      </w:pPr>
    </w:p>
    <w:p w14:paraId="791B2B41" w14:textId="77777777" w:rsidR="00EB1CCD" w:rsidRPr="00776407" w:rsidRDefault="00EB1CCD" w:rsidP="00EB1CCD">
      <w:pPr>
        <w:rPr>
          <w:sz w:val="22"/>
          <w:szCs w:val="22"/>
        </w:rPr>
      </w:pPr>
    </w:p>
    <w:p w14:paraId="22574B6F"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6.</w:t>
      </w:r>
      <w:r w:rsidRPr="00776407">
        <w:rPr>
          <w:b/>
          <w:sz w:val="22"/>
          <w:szCs w:val="22"/>
        </w:rPr>
        <w:tab/>
        <w:t>SPECIALUS ĮSPĖJIMAS, KAD VAISTINĮ PREPARATĄ BŪTINA LAIKYTI VAIKAMS NEPASTEBIMOJE IR NEPASIEKIAMOJE VIETOJE</w:t>
      </w:r>
    </w:p>
    <w:p w14:paraId="09F5ADAE" w14:textId="77777777" w:rsidR="00EB1CCD" w:rsidRPr="00776407" w:rsidRDefault="00EB1CCD" w:rsidP="00EB1CCD">
      <w:pPr>
        <w:rPr>
          <w:sz w:val="22"/>
          <w:szCs w:val="22"/>
        </w:rPr>
      </w:pPr>
    </w:p>
    <w:p w14:paraId="3114A336" w14:textId="77777777" w:rsidR="00EB1CCD" w:rsidRPr="00776407" w:rsidRDefault="00EB1CCD" w:rsidP="00EB1CCD">
      <w:pPr>
        <w:rPr>
          <w:sz w:val="22"/>
          <w:szCs w:val="22"/>
        </w:rPr>
      </w:pPr>
      <w:r w:rsidRPr="00776407">
        <w:rPr>
          <w:sz w:val="22"/>
          <w:szCs w:val="22"/>
        </w:rPr>
        <w:t>Laikyti vaikams nepastebimoje ir nepasiekiamoje vietoje.</w:t>
      </w:r>
    </w:p>
    <w:p w14:paraId="7FC60E87" w14:textId="77777777" w:rsidR="00EB1CCD" w:rsidRPr="00776407" w:rsidRDefault="00EB1CCD" w:rsidP="00EB1CCD">
      <w:pPr>
        <w:rPr>
          <w:sz w:val="22"/>
          <w:szCs w:val="22"/>
        </w:rPr>
      </w:pPr>
    </w:p>
    <w:p w14:paraId="6C284EEC" w14:textId="77777777" w:rsidR="00EB1CCD" w:rsidRPr="00776407" w:rsidRDefault="00EB1CCD" w:rsidP="00EB1CCD">
      <w:pPr>
        <w:rPr>
          <w:sz w:val="22"/>
          <w:szCs w:val="22"/>
        </w:rPr>
      </w:pPr>
    </w:p>
    <w:p w14:paraId="61689391"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7.</w:t>
      </w:r>
      <w:r w:rsidRPr="00776407">
        <w:rPr>
          <w:b/>
          <w:sz w:val="22"/>
          <w:szCs w:val="22"/>
        </w:rPr>
        <w:tab/>
        <w:t>KITAS (-I) SPECIALUS (-ŪS) ĮSPĖJIMAS (-AI) (JEI REIKIA)</w:t>
      </w:r>
    </w:p>
    <w:p w14:paraId="03F207CF" w14:textId="77777777" w:rsidR="00EB1CCD" w:rsidRPr="00776407" w:rsidRDefault="00EB1CCD" w:rsidP="00EB1CCD">
      <w:pPr>
        <w:rPr>
          <w:sz w:val="22"/>
          <w:szCs w:val="22"/>
        </w:rPr>
      </w:pPr>
    </w:p>
    <w:p w14:paraId="7722336A" w14:textId="77777777" w:rsidR="00EB1CCD" w:rsidRPr="00776407" w:rsidRDefault="00EB1CCD" w:rsidP="00EB1CCD">
      <w:pPr>
        <w:rPr>
          <w:sz w:val="22"/>
          <w:szCs w:val="22"/>
        </w:rPr>
      </w:pPr>
      <w:r w:rsidRPr="00776407">
        <w:rPr>
          <w:sz w:val="22"/>
          <w:szCs w:val="22"/>
        </w:rPr>
        <w:t>Vartoti taip, kaip nurodė gydytojas.</w:t>
      </w:r>
    </w:p>
    <w:p w14:paraId="761B5195" w14:textId="77777777" w:rsidR="00EB1CCD" w:rsidRPr="00776407" w:rsidRDefault="00EB1CCD" w:rsidP="00EB1CCD">
      <w:pPr>
        <w:rPr>
          <w:sz w:val="22"/>
          <w:szCs w:val="22"/>
        </w:rPr>
      </w:pPr>
    </w:p>
    <w:p w14:paraId="1115A683" w14:textId="77777777" w:rsidR="00EB1CCD" w:rsidRPr="00776407" w:rsidRDefault="00EB1CCD" w:rsidP="00EB1CCD">
      <w:pPr>
        <w:rPr>
          <w:sz w:val="22"/>
          <w:szCs w:val="22"/>
        </w:rPr>
      </w:pPr>
    </w:p>
    <w:p w14:paraId="06A199EE"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8.</w:t>
      </w:r>
      <w:r w:rsidRPr="00776407">
        <w:rPr>
          <w:b/>
          <w:sz w:val="22"/>
          <w:szCs w:val="22"/>
        </w:rPr>
        <w:tab/>
        <w:t>TINKAMUMO LAIKAS</w:t>
      </w:r>
    </w:p>
    <w:p w14:paraId="009AE4A1" w14:textId="77777777" w:rsidR="00EB1CCD" w:rsidRPr="00776407" w:rsidRDefault="00EB1CCD" w:rsidP="00EB1CCD">
      <w:pPr>
        <w:rPr>
          <w:sz w:val="22"/>
          <w:szCs w:val="22"/>
        </w:rPr>
      </w:pPr>
    </w:p>
    <w:p w14:paraId="5141AB8F" w14:textId="77777777" w:rsidR="00EB1CCD" w:rsidRPr="00776407" w:rsidRDefault="00B11495" w:rsidP="00EB1CCD">
      <w:pPr>
        <w:rPr>
          <w:sz w:val="22"/>
          <w:szCs w:val="22"/>
        </w:rPr>
      </w:pPr>
      <w:r w:rsidRPr="00776407">
        <w:rPr>
          <w:sz w:val="22"/>
          <w:szCs w:val="22"/>
        </w:rPr>
        <w:t>EXP</w:t>
      </w:r>
    </w:p>
    <w:p w14:paraId="5F5F7A32" w14:textId="77777777" w:rsidR="00EB1CCD" w:rsidRPr="00776407" w:rsidRDefault="00EB1CCD" w:rsidP="00EB1CCD">
      <w:pPr>
        <w:rPr>
          <w:sz w:val="22"/>
          <w:szCs w:val="22"/>
        </w:rPr>
      </w:pPr>
    </w:p>
    <w:p w14:paraId="6CDFAF05" w14:textId="77777777" w:rsidR="00EB1CCD" w:rsidRPr="00776407" w:rsidRDefault="00EB1CCD" w:rsidP="00EB1CCD">
      <w:pPr>
        <w:rPr>
          <w:sz w:val="22"/>
          <w:szCs w:val="22"/>
        </w:rPr>
      </w:pPr>
    </w:p>
    <w:p w14:paraId="5C4A515E" w14:textId="77777777" w:rsidR="00EB1CCD" w:rsidRPr="00776407" w:rsidRDefault="00EB1CCD" w:rsidP="00EB1CCD">
      <w:pPr>
        <w:keepNext/>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9.</w:t>
      </w:r>
      <w:r w:rsidRPr="00776407">
        <w:rPr>
          <w:b/>
          <w:sz w:val="22"/>
          <w:szCs w:val="22"/>
        </w:rPr>
        <w:tab/>
        <w:t>SPECIALIOS LAIKYMO SĄLYGOS</w:t>
      </w:r>
    </w:p>
    <w:p w14:paraId="2A207B69" w14:textId="77777777" w:rsidR="00EB1CCD" w:rsidRPr="00776407" w:rsidRDefault="00EB1CCD" w:rsidP="00EB1CCD">
      <w:pPr>
        <w:rPr>
          <w:sz w:val="22"/>
          <w:szCs w:val="22"/>
        </w:rPr>
      </w:pPr>
    </w:p>
    <w:p w14:paraId="3B2B3314" w14:textId="77777777" w:rsidR="00EB1CCD" w:rsidRPr="00776407" w:rsidRDefault="00EB1CCD" w:rsidP="00EB1CCD">
      <w:pPr>
        <w:rPr>
          <w:sz w:val="22"/>
          <w:szCs w:val="22"/>
        </w:rPr>
      </w:pPr>
      <w:r w:rsidRPr="00776407">
        <w:rPr>
          <w:sz w:val="22"/>
          <w:szCs w:val="22"/>
        </w:rPr>
        <w:t xml:space="preserve">Laikyti ne aukštesnėje kaip </w:t>
      </w:r>
      <w:r w:rsidR="00893547" w:rsidRPr="00776407">
        <w:rPr>
          <w:sz w:val="22"/>
          <w:szCs w:val="22"/>
        </w:rPr>
        <w:t>25</w:t>
      </w:r>
      <w:r w:rsidRPr="00776407">
        <w:rPr>
          <w:sz w:val="22"/>
          <w:szCs w:val="22"/>
        </w:rPr>
        <w:t xml:space="preserve"> </w:t>
      </w:r>
      <w:r w:rsidRPr="00776407">
        <w:rPr>
          <w:sz w:val="22"/>
          <w:szCs w:val="22"/>
        </w:rPr>
        <w:sym w:font="Symbol" w:char="F0B0"/>
      </w:r>
      <w:r w:rsidRPr="00776407">
        <w:rPr>
          <w:sz w:val="22"/>
          <w:szCs w:val="22"/>
        </w:rPr>
        <w:t xml:space="preserve">C temperatūroje. </w:t>
      </w:r>
    </w:p>
    <w:p w14:paraId="03534822" w14:textId="77777777" w:rsidR="00EB1CCD" w:rsidRPr="00776407" w:rsidRDefault="00EB1CCD" w:rsidP="00EB1CCD">
      <w:pPr>
        <w:ind w:left="567" w:hanging="567"/>
        <w:rPr>
          <w:sz w:val="22"/>
          <w:szCs w:val="22"/>
        </w:rPr>
      </w:pPr>
      <w:r w:rsidRPr="00776407">
        <w:rPr>
          <w:sz w:val="22"/>
          <w:szCs w:val="22"/>
        </w:rPr>
        <w:t>Laikyti gamintojo pakuotėje, kad preparatas būtų apsaugotas nuo drėgmės.</w:t>
      </w:r>
    </w:p>
    <w:p w14:paraId="2D02E6DE" w14:textId="77777777" w:rsidR="00EB1CCD" w:rsidRPr="00776407" w:rsidRDefault="00EB1CCD" w:rsidP="00EB1CCD">
      <w:pPr>
        <w:rPr>
          <w:sz w:val="22"/>
          <w:szCs w:val="22"/>
        </w:rPr>
      </w:pPr>
    </w:p>
    <w:p w14:paraId="635F9410" w14:textId="77777777" w:rsidR="00EB1CCD" w:rsidRPr="00776407" w:rsidRDefault="00EB1CCD" w:rsidP="00EB1CCD">
      <w:pPr>
        <w:rPr>
          <w:sz w:val="22"/>
          <w:szCs w:val="22"/>
        </w:rPr>
      </w:pPr>
    </w:p>
    <w:p w14:paraId="64C00A3E"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10.</w:t>
      </w:r>
      <w:r w:rsidRPr="00776407">
        <w:rPr>
          <w:b/>
          <w:sz w:val="22"/>
          <w:szCs w:val="22"/>
        </w:rPr>
        <w:tab/>
        <w:t>SPECIALIOS ATSARGUMO PRIEMONĖS DĖL NESUVARTOTO VAISTINIO PREPARATO AR JO ATLIEKŲ TVARKYMO (JEI REIKIA)</w:t>
      </w:r>
    </w:p>
    <w:p w14:paraId="3655E3F6" w14:textId="77777777" w:rsidR="00EB1CCD" w:rsidRPr="00776407" w:rsidRDefault="00EB1CCD" w:rsidP="00EB1CCD">
      <w:pPr>
        <w:rPr>
          <w:sz w:val="22"/>
          <w:szCs w:val="22"/>
        </w:rPr>
      </w:pPr>
    </w:p>
    <w:p w14:paraId="18171C60" w14:textId="77777777" w:rsidR="00EB1CCD" w:rsidRPr="00776407" w:rsidRDefault="00EB1CCD" w:rsidP="00EB1CCD">
      <w:pPr>
        <w:rPr>
          <w:sz w:val="22"/>
          <w:szCs w:val="22"/>
        </w:rPr>
      </w:pPr>
    </w:p>
    <w:p w14:paraId="49A857B4"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11.</w:t>
      </w:r>
      <w:r w:rsidRPr="00776407">
        <w:rPr>
          <w:b/>
          <w:sz w:val="22"/>
          <w:szCs w:val="22"/>
        </w:rPr>
        <w:tab/>
      </w:r>
      <w:r w:rsidR="000509C9" w:rsidRPr="00776407">
        <w:rPr>
          <w:b/>
          <w:caps/>
          <w:sz w:val="22"/>
          <w:szCs w:val="22"/>
        </w:rPr>
        <w:t>REGISTRUOTOJO</w:t>
      </w:r>
      <w:r w:rsidR="00E51881" w:rsidRPr="00776407">
        <w:rPr>
          <w:b/>
          <w:caps/>
          <w:sz w:val="22"/>
          <w:szCs w:val="22"/>
        </w:rPr>
        <w:t xml:space="preserve"> </w:t>
      </w:r>
      <w:r w:rsidRPr="00776407">
        <w:rPr>
          <w:b/>
          <w:caps/>
          <w:sz w:val="22"/>
          <w:szCs w:val="22"/>
        </w:rPr>
        <w:t>PAVADINIMAS IR ADRESAS</w:t>
      </w:r>
    </w:p>
    <w:p w14:paraId="5A398382" w14:textId="77777777" w:rsidR="00EB1CCD" w:rsidRPr="00776407" w:rsidRDefault="00EB1CCD" w:rsidP="00EB1CCD">
      <w:pPr>
        <w:rPr>
          <w:sz w:val="22"/>
          <w:szCs w:val="22"/>
        </w:rPr>
      </w:pPr>
    </w:p>
    <w:p w14:paraId="6B76FA60" w14:textId="77777777" w:rsidR="00EB1CCD" w:rsidRPr="00776407" w:rsidRDefault="00EB1CCD" w:rsidP="00EB1CCD">
      <w:pPr>
        <w:autoSpaceDE w:val="0"/>
        <w:autoSpaceDN w:val="0"/>
        <w:adjustRightInd w:val="0"/>
        <w:rPr>
          <w:sz w:val="22"/>
          <w:szCs w:val="22"/>
        </w:rPr>
      </w:pPr>
      <w:r w:rsidRPr="00776407">
        <w:rPr>
          <w:sz w:val="22"/>
          <w:szCs w:val="22"/>
        </w:rPr>
        <w:t>Actavis Group PTC ehf.</w:t>
      </w:r>
    </w:p>
    <w:p w14:paraId="4E702125" w14:textId="77777777" w:rsidR="00EB1CCD" w:rsidRPr="00776407" w:rsidRDefault="0089413D" w:rsidP="00EB1CCD">
      <w:pPr>
        <w:autoSpaceDE w:val="0"/>
        <w:autoSpaceDN w:val="0"/>
        <w:adjustRightInd w:val="0"/>
        <w:rPr>
          <w:sz w:val="22"/>
          <w:szCs w:val="22"/>
        </w:rPr>
      </w:pPr>
      <w:r w:rsidRPr="00776407">
        <w:rPr>
          <w:sz w:val="22"/>
          <w:szCs w:val="22"/>
        </w:rPr>
        <w:t xml:space="preserve">220 </w:t>
      </w:r>
      <w:r w:rsidR="00EB1CCD" w:rsidRPr="00776407">
        <w:rPr>
          <w:sz w:val="22"/>
          <w:szCs w:val="22"/>
        </w:rPr>
        <w:t>Hafnarfjörður</w:t>
      </w:r>
    </w:p>
    <w:p w14:paraId="3EB4746A" w14:textId="77777777" w:rsidR="00EB1CCD" w:rsidRPr="00776407" w:rsidRDefault="00EB1CCD" w:rsidP="00EB1CCD">
      <w:pPr>
        <w:autoSpaceDE w:val="0"/>
        <w:autoSpaceDN w:val="0"/>
        <w:adjustRightInd w:val="0"/>
        <w:rPr>
          <w:sz w:val="22"/>
          <w:szCs w:val="22"/>
        </w:rPr>
      </w:pPr>
      <w:r w:rsidRPr="00776407">
        <w:rPr>
          <w:sz w:val="22"/>
          <w:szCs w:val="22"/>
        </w:rPr>
        <w:t>Islandija</w:t>
      </w:r>
    </w:p>
    <w:p w14:paraId="2BE2D688" w14:textId="77777777" w:rsidR="00EB1CCD" w:rsidRPr="00776407" w:rsidRDefault="00EB1CCD" w:rsidP="00EB1CCD">
      <w:pPr>
        <w:rPr>
          <w:sz w:val="22"/>
          <w:szCs w:val="22"/>
        </w:rPr>
      </w:pPr>
    </w:p>
    <w:p w14:paraId="384CF8F2" w14:textId="77777777" w:rsidR="00EB1CCD" w:rsidRPr="00776407" w:rsidRDefault="00EB1CCD" w:rsidP="00EB1CCD">
      <w:pPr>
        <w:rPr>
          <w:sz w:val="22"/>
          <w:szCs w:val="22"/>
        </w:rPr>
      </w:pPr>
    </w:p>
    <w:p w14:paraId="7BF73813"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sz w:val="22"/>
          <w:szCs w:val="22"/>
        </w:rPr>
      </w:pPr>
      <w:r w:rsidRPr="00776407">
        <w:rPr>
          <w:b/>
          <w:sz w:val="22"/>
          <w:szCs w:val="22"/>
        </w:rPr>
        <w:t>12.</w:t>
      </w:r>
      <w:r w:rsidRPr="00776407">
        <w:rPr>
          <w:b/>
          <w:sz w:val="22"/>
          <w:szCs w:val="22"/>
        </w:rPr>
        <w:tab/>
      </w:r>
      <w:r w:rsidR="000509C9" w:rsidRPr="00776407">
        <w:rPr>
          <w:b/>
          <w:sz w:val="22"/>
          <w:szCs w:val="22"/>
        </w:rPr>
        <w:t>REGISTRACIJOS PAŽYMĖJIMO NUMERIS</w:t>
      </w:r>
      <w:r w:rsidRPr="00776407">
        <w:rPr>
          <w:b/>
          <w:sz w:val="22"/>
          <w:szCs w:val="22"/>
        </w:rPr>
        <w:t xml:space="preserve">(-IAI) </w:t>
      </w:r>
    </w:p>
    <w:p w14:paraId="562F1AC6" w14:textId="77777777" w:rsidR="00EB1CCD" w:rsidRPr="00776407" w:rsidRDefault="00EB1CCD" w:rsidP="00EB1CCD">
      <w:pPr>
        <w:rPr>
          <w:sz w:val="22"/>
          <w:szCs w:val="22"/>
        </w:rPr>
      </w:pPr>
    </w:p>
    <w:p w14:paraId="68231118" w14:textId="77777777" w:rsidR="002657B6" w:rsidRPr="00776407" w:rsidRDefault="002657B6" w:rsidP="002657B6">
      <w:pPr>
        <w:pStyle w:val="KeinLeerraum"/>
        <w:rPr>
          <w:sz w:val="22"/>
          <w:szCs w:val="22"/>
          <w:highlight w:val="lightGray"/>
        </w:rPr>
      </w:pPr>
      <w:r w:rsidRPr="00776407">
        <w:rPr>
          <w:sz w:val="22"/>
          <w:szCs w:val="22"/>
        </w:rPr>
        <w:t xml:space="preserve">EU/1/13/825/003 </w:t>
      </w:r>
      <w:r w:rsidRPr="00776407">
        <w:rPr>
          <w:sz w:val="22"/>
          <w:szCs w:val="22"/>
          <w:highlight w:val="lightGray"/>
        </w:rPr>
        <w:t>24 </w:t>
      </w:r>
      <w:r w:rsidR="00E05C8F" w:rsidRPr="00776407">
        <w:rPr>
          <w:sz w:val="22"/>
          <w:szCs w:val="22"/>
          <w:highlight w:val="lightGray"/>
        </w:rPr>
        <w:t>kapsul</w:t>
      </w:r>
      <w:r w:rsidR="0089413D" w:rsidRPr="00776407">
        <w:rPr>
          <w:sz w:val="22"/>
          <w:szCs w:val="22"/>
          <w:highlight w:val="lightGray"/>
        </w:rPr>
        <w:t>ės</w:t>
      </w:r>
    </w:p>
    <w:p w14:paraId="2453A687" w14:textId="77777777" w:rsidR="002657B6" w:rsidRPr="00776407" w:rsidRDefault="002657B6" w:rsidP="002657B6">
      <w:pPr>
        <w:autoSpaceDE w:val="0"/>
        <w:autoSpaceDN w:val="0"/>
        <w:adjustRightInd w:val="0"/>
        <w:rPr>
          <w:sz w:val="22"/>
          <w:szCs w:val="22"/>
          <w:highlight w:val="lightGray"/>
        </w:rPr>
      </w:pPr>
      <w:r w:rsidRPr="00776407">
        <w:rPr>
          <w:sz w:val="22"/>
          <w:szCs w:val="22"/>
          <w:highlight w:val="lightGray"/>
        </w:rPr>
        <w:t>EU/1/13/825/004 48 </w:t>
      </w:r>
      <w:r w:rsidR="00E05C8F" w:rsidRPr="00776407">
        <w:rPr>
          <w:sz w:val="22"/>
          <w:szCs w:val="22"/>
          <w:highlight w:val="lightGray"/>
        </w:rPr>
        <w:t>kapsul</w:t>
      </w:r>
      <w:r w:rsidR="0089413D" w:rsidRPr="00776407">
        <w:rPr>
          <w:sz w:val="22"/>
          <w:szCs w:val="22"/>
          <w:highlight w:val="lightGray"/>
        </w:rPr>
        <w:t>ės</w:t>
      </w:r>
    </w:p>
    <w:p w14:paraId="38285698" w14:textId="77777777" w:rsidR="008144B1" w:rsidRPr="00776407" w:rsidRDefault="008144B1" w:rsidP="002657B6">
      <w:pPr>
        <w:autoSpaceDE w:val="0"/>
        <w:autoSpaceDN w:val="0"/>
        <w:adjustRightInd w:val="0"/>
        <w:rPr>
          <w:sz w:val="22"/>
          <w:szCs w:val="22"/>
          <w:highlight w:val="lightGray"/>
        </w:rPr>
      </w:pPr>
      <w:r w:rsidRPr="00776407">
        <w:rPr>
          <w:sz w:val="22"/>
          <w:szCs w:val="22"/>
          <w:highlight w:val="lightGray"/>
        </w:rPr>
        <w:t>EU/1/13/825/019 60 kapsulių</w:t>
      </w:r>
    </w:p>
    <w:p w14:paraId="7E8EDEFB" w14:textId="77777777" w:rsidR="002657B6" w:rsidRPr="00776407" w:rsidRDefault="002657B6" w:rsidP="002657B6">
      <w:pPr>
        <w:pStyle w:val="KeinLeerraum"/>
        <w:rPr>
          <w:sz w:val="22"/>
          <w:szCs w:val="22"/>
          <w:highlight w:val="lightGray"/>
        </w:rPr>
      </w:pPr>
      <w:r w:rsidRPr="00776407">
        <w:rPr>
          <w:sz w:val="22"/>
          <w:szCs w:val="22"/>
          <w:highlight w:val="lightGray"/>
        </w:rPr>
        <w:t>EU/1/13/825/005 96 </w:t>
      </w:r>
      <w:r w:rsidR="00E05C8F" w:rsidRPr="00776407">
        <w:rPr>
          <w:sz w:val="22"/>
          <w:szCs w:val="22"/>
          <w:highlight w:val="lightGray"/>
        </w:rPr>
        <w:t>kapsul</w:t>
      </w:r>
      <w:r w:rsidR="0089413D" w:rsidRPr="00776407">
        <w:rPr>
          <w:sz w:val="22"/>
          <w:szCs w:val="22"/>
          <w:highlight w:val="lightGray"/>
        </w:rPr>
        <w:t>ės</w:t>
      </w:r>
    </w:p>
    <w:p w14:paraId="4A0D3440" w14:textId="77777777" w:rsidR="00E05C8F" w:rsidRPr="00776407" w:rsidRDefault="002657B6" w:rsidP="00E05C8F">
      <w:pPr>
        <w:pStyle w:val="KeinLeerraum"/>
        <w:rPr>
          <w:sz w:val="22"/>
          <w:szCs w:val="22"/>
          <w:highlight w:val="lightGray"/>
        </w:rPr>
      </w:pPr>
      <w:r w:rsidRPr="00776407">
        <w:rPr>
          <w:sz w:val="22"/>
          <w:szCs w:val="22"/>
          <w:highlight w:val="lightGray"/>
        </w:rPr>
        <w:t>EU/1/13/825/006 120 </w:t>
      </w:r>
      <w:r w:rsidR="00E05C8F" w:rsidRPr="00776407">
        <w:rPr>
          <w:sz w:val="22"/>
          <w:szCs w:val="22"/>
          <w:highlight w:val="lightGray"/>
        </w:rPr>
        <w:t xml:space="preserve">kapsulių </w:t>
      </w:r>
    </w:p>
    <w:p w14:paraId="779A58D5" w14:textId="77777777" w:rsidR="00EB1CCD" w:rsidRPr="00776407" w:rsidRDefault="002657B6" w:rsidP="00E05C8F">
      <w:pPr>
        <w:pStyle w:val="KeinLeerraum"/>
        <w:rPr>
          <w:sz w:val="22"/>
          <w:szCs w:val="22"/>
        </w:rPr>
      </w:pPr>
      <w:r w:rsidRPr="00776407">
        <w:rPr>
          <w:sz w:val="22"/>
          <w:szCs w:val="22"/>
          <w:highlight w:val="lightGray"/>
        </w:rPr>
        <w:t>EU/1/13/825/007 180 </w:t>
      </w:r>
      <w:r w:rsidR="00E05C8F" w:rsidRPr="00776407">
        <w:rPr>
          <w:sz w:val="22"/>
          <w:szCs w:val="22"/>
          <w:highlight w:val="lightGray"/>
        </w:rPr>
        <w:t>kapsulių</w:t>
      </w:r>
      <w:r w:rsidR="00E05C8F" w:rsidRPr="00776407" w:rsidDel="002657B6">
        <w:rPr>
          <w:sz w:val="22"/>
          <w:szCs w:val="22"/>
        </w:rPr>
        <w:t xml:space="preserve"> </w:t>
      </w:r>
    </w:p>
    <w:p w14:paraId="774EDE8F" w14:textId="77777777" w:rsidR="00EB1CCD" w:rsidRPr="00776407" w:rsidRDefault="00EB1CCD" w:rsidP="00EB1CCD">
      <w:pPr>
        <w:rPr>
          <w:sz w:val="22"/>
          <w:szCs w:val="22"/>
        </w:rPr>
      </w:pPr>
    </w:p>
    <w:p w14:paraId="27BD0578" w14:textId="77777777" w:rsidR="00EB1CCD" w:rsidRPr="00776407" w:rsidRDefault="00EB1CCD" w:rsidP="00EB1CCD">
      <w:pPr>
        <w:rPr>
          <w:sz w:val="22"/>
          <w:szCs w:val="22"/>
        </w:rPr>
      </w:pPr>
    </w:p>
    <w:p w14:paraId="19878744"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sz w:val="22"/>
          <w:szCs w:val="22"/>
        </w:rPr>
      </w:pPr>
      <w:r w:rsidRPr="00776407">
        <w:rPr>
          <w:b/>
          <w:sz w:val="22"/>
          <w:szCs w:val="22"/>
        </w:rPr>
        <w:t>13.</w:t>
      </w:r>
      <w:r w:rsidRPr="00776407">
        <w:rPr>
          <w:b/>
          <w:sz w:val="22"/>
          <w:szCs w:val="22"/>
        </w:rPr>
        <w:tab/>
        <w:t xml:space="preserve">SERIJOS NUMERIS </w:t>
      </w:r>
    </w:p>
    <w:p w14:paraId="7F5CF7CB" w14:textId="77777777" w:rsidR="00EB1CCD" w:rsidRPr="00776407" w:rsidRDefault="00EB1CCD" w:rsidP="00EB1CCD">
      <w:pPr>
        <w:rPr>
          <w:sz w:val="22"/>
          <w:szCs w:val="22"/>
        </w:rPr>
      </w:pPr>
    </w:p>
    <w:p w14:paraId="2C9B1A83" w14:textId="77777777" w:rsidR="00EB1CCD" w:rsidRPr="00776407" w:rsidRDefault="00B11495" w:rsidP="00EB1CCD">
      <w:pPr>
        <w:rPr>
          <w:sz w:val="22"/>
          <w:szCs w:val="22"/>
        </w:rPr>
      </w:pPr>
      <w:r w:rsidRPr="00776407">
        <w:rPr>
          <w:sz w:val="22"/>
          <w:szCs w:val="22"/>
        </w:rPr>
        <w:t>Lot</w:t>
      </w:r>
    </w:p>
    <w:p w14:paraId="5554DF7E" w14:textId="77777777" w:rsidR="00EB1CCD" w:rsidRPr="00776407" w:rsidRDefault="00EB1CCD" w:rsidP="00EB1CCD">
      <w:pPr>
        <w:rPr>
          <w:sz w:val="22"/>
          <w:szCs w:val="22"/>
        </w:rPr>
      </w:pPr>
    </w:p>
    <w:p w14:paraId="340EBEB0" w14:textId="77777777" w:rsidR="00EB1CCD" w:rsidRPr="00776407" w:rsidRDefault="00EB1CCD" w:rsidP="00EB1CCD">
      <w:pPr>
        <w:rPr>
          <w:sz w:val="22"/>
          <w:szCs w:val="22"/>
        </w:rPr>
      </w:pPr>
    </w:p>
    <w:p w14:paraId="34B63E94"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sz w:val="22"/>
          <w:szCs w:val="22"/>
        </w:rPr>
      </w:pPr>
      <w:r w:rsidRPr="00776407">
        <w:rPr>
          <w:b/>
          <w:sz w:val="22"/>
          <w:szCs w:val="22"/>
        </w:rPr>
        <w:t>14.</w:t>
      </w:r>
      <w:r w:rsidRPr="00776407">
        <w:rPr>
          <w:b/>
          <w:sz w:val="22"/>
          <w:szCs w:val="22"/>
        </w:rPr>
        <w:tab/>
        <w:t>PARDAVIMO (IŠDAVIMO) TVARKA</w:t>
      </w:r>
    </w:p>
    <w:p w14:paraId="4E8B8909" w14:textId="77777777" w:rsidR="00EB1CCD" w:rsidRPr="00776407" w:rsidRDefault="00EB1CCD" w:rsidP="00EB1CCD">
      <w:pPr>
        <w:rPr>
          <w:sz w:val="22"/>
          <w:szCs w:val="22"/>
        </w:rPr>
      </w:pPr>
    </w:p>
    <w:p w14:paraId="5A14ECDE" w14:textId="77777777" w:rsidR="00EB1CCD" w:rsidRPr="00776407" w:rsidRDefault="00EB1CCD" w:rsidP="00EB1CCD">
      <w:pPr>
        <w:rPr>
          <w:sz w:val="22"/>
          <w:szCs w:val="22"/>
        </w:rPr>
      </w:pPr>
    </w:p>
    <w:p w14:paraId="6FCFEF3D" w14:textId="77777777" w:rsidR="00EB1CCD" w:rsidRPr="00776407" w:rsidRDefault="00EB1CCD" w:rsidP="00EB1CCD">
      <w:pPr>
        <w:suppressLineNumbers/>
        <w:pBdr>
          <w:top w:val="single" w:sz="4" w:space="2" w:color="auto"/>
          <w:left w:val="single" w:sz="4" w:space="4" w:color="auto"/>
          <w:bottom w:val="single" w:sz="4" w:space="1" w:color="auto"/>
          <w:right w:val="single" w:sz="4" w:space="4" w:color="auto"/>
        </w:pBdr>
        <w:outlineLvl w:val="0"/>
        <w:rPr>
          <w:sz w:val="22"/>
          <w:szCs w:val="22"/>
        </w:rPr>
      </w:pPr>
      <w:r w:rsidRPr="00776407">
        <w:rPr>
          <w:b/>
          <w:sz w:val="22"/>
          <w:szCs w:val="22"/>
        </w:rPr>
        <w:t>15.</w:t>
      </w:r>
      <w:r w:rsidRPr="00776407">
        <w:rPr>
          <w:b/>
          <w:sz w:val="22"/>
          <w:szCs w:val="22"/>
        </w:rPr>
        <w:tab/>
        <w:t>VARTOJIMO INSTRUKCIJA</w:t>
      </w:r>
    </w:p>
    <w:p w14:paraId="1719FB43" w14:textId="77777777" w:rsidR="00EB1CCD" w:rsidRPr="00776407" w:rsidRDefault="00EB1CCD" w:rsidP="00EB1CCD">
      <w:pPr>
        <w:rPr>
          <w:sz w:val="22"/>
          <w:szCs w:val="22"/>
        </w:rPr>
      </w:pPr>
    </w:p>
    <w:p w14:paraId="5AC8F5CE" w14:textId="77777777" w:rsidR="00EB1CCD" w:rsidRPr="00776407" w:rsidRDefault="00EB1CCD" w:rsidP="00EB1CCD">
      <w:pPr>
        <w:rPr>
          <w:sz w:val="22"/>
          <w:szCs w:val="22"/>
        </w:rPr>
      </w:pPr>
    </w:p>
    <w:p w14:paraId="6A8AD014" w14:textId="77777777" w:rsidR="00EB1CCD" w:rsidRPr="00776407" w:rsidRDefault="00EB1CCD" w:rsidP="00EB1CCD">
      <w:pPr>
        <w:suppressLineNumbers/>
        <w:pBdr>
          <w:top w:val="single" w:sz="4" w:space="1" w:color="auto"/>
          <w:left w:val="single" w:sz="4" w:space="4" w:color="auto"/>
          <w:bottom w:val="single" w:sz="4" w:space="0" w:color="auto"/>
          <w:right w:val="single" w:sz="4" w:space="4" w:color="auto"/>
        </w:pBdr>
        <w:rPr>
          <w:color w:val="008000"/>
          <w:sz w:val="22"/>
          <w:szCs w:val="22"/>
        </w:rPr>
      </w:pPr>
      <w:r w:rsidRPr="00776407">
        <w:rPr>
          <w:b/>
          <w:sz w:val="22"/>
          <w:szCs w:val="22"/>
        </w:rPr>
        <w:t>16.</w:t>
      </w:r>
      <w:r w:rsidRPr="00776407">
        <w:rPr>
          <w:b/>
          <w:sz w:val="22"/>
          <w:szCs w:val="22"/>
        </w:rPr>
        <w:tab/>
        <w:t>INFORMACIJA BRAILIO RAŠTU</w:t>
      </w:r>
    </w:p>
    <w:p w14:paraId="6A5D6CD9" w14:textId="77777777" w:rsidR="00EB1CCD" w:rsidRPr="00776407" w:rsidRDefault="00EB1CCD" w:rsidP="00EB1CCD">
      <w:pPr>
        <w:rPr>
          <w:sz w:val="22"/>
          <w:szCs w:val="22"/>
        </w:rPr>
      </w:pPr>
    </w:p>
    <w:p w14:paraId="1D25BC04" w14:textId="77777777" w:rsidR="00EB1CCD" w:rsidRPr="00776407" w:rsidRDefault="00EB1CCD" w:rsidP="00EB1CCD">
      <w:pPr>
        <w:autoSpaceDE w:val="0"/>
        <w:autoSpaceDN w:val="0"/>
        <w:adjustRightInd w:val="0"/>
        <w:rPr>
          <w:sz w:val="22"/>
          <w:szCs w:val="22"/>
        </w:rPr>
      </w:pPr>
      <w:r w:rsidRPr="00776407">
        <w:rPr>
          <w:sz w:val="22"/>
          <w:szCs w:val="22"/>
        </w:rPr>
        <w:t>Imatinib Actavis 100 mg</w:t>
      </w:r>
    </w:p>
    <w:p w14:paraId="4BAAB09B" w14:textId="77777777" w:rsidR="000509C9" w:rsidRPr="00776407" w:rsidRDefault="000509C9" w:rsidP="00EB1CCD">
      <w:pPr>
        <w:autoSpaceDE w:val="0"/>
        <w:autoSpaceDN w:val="0"/>
        <w:adjustRightInd w:val="0"/>
        <w:rPr>
          <w:sz w:val="22"/>
          <w:szCs w:val="22"/>
        </w:rPr>
      </w:pPr>
    </w:p>
    <w:p w14:paraId="6E460B43" w14:textId="77777777" w:rsidR="000509C9" w:rsidRPr="00776407" w:rsidRDefault="000509C9" w:rsidP="000509C9">
      <w:pPr>
        <w:tabs>
          <w:tab w:val="left" w:pos="567"/>
        </w:tabs>
        <w:rPr>
          <w:noProof/>
          <w:sz w:val="22"/>
          <w:szCs w:val="22"/>
          <w:shd w:val="clear" w:color="auto" w:fill="CCCCCC"/>
          <w:lang w:eastAsia="lt-LT" w:bidi="lt-LT"/>
        </w:rPr>
      </w:pPr>
    </w:p>
    <w:p w14:paraId="102B0B32" w14:textId="77777777" w:rsidR="000509C9" w:rsidRPr="00776407" w:rsidRDefault="000509C9" w:rsidP="00864BE6">
      <w:pPr>
        <w:keepNext/>
        <w:numPr>
          <w:ilvl w:val="0"/>
          <w:numId w:val="15"/>
        </w:numPr>
        <w:pBdr>
          <w:top w:val="single" w:sz="4" w:space="1" w:color="auto"/>
          <w:left w:val="single" w:sz="4" w:space="4" w:color="auto"/>
          <w:bottom w:val="single" w:sz="4" w:space="1" w:color="auto"/>
          <w:right w:val="single" w:sz="4" w:space="4" w:color="auto"/>
        </w:pBdr>
        <w:tabs>
          <w:tab w:val="left" w:pos="567"/>
        </w:tabs>
        <w:spacing w:line="260" w:lineRule="exact"/>
        <w:ind w:hanging="720"/>
        <w:outlineLvl w:val="0"/>
        <w:rPr>
          <w:i/>
          <w:noProof/>
          <w:sz w:val="22"/>
          <w:szCs w:val="20"/>
          <w:lang w:eastAsia="lt-LT" w:bidi="lt-LT"/>
        </w:rPr>
      </w:pPr>
      <w:r w:rsidRPr="00776407">
        <w:rPr>
          <w:b/>
          <w:noProof/>
          <w:sz w:val="22"/>
          <w:szCs w:val="20"/>
          <w:lang w:eastAsia="lt-LT" w:bidi="lt-LT"/>
        </w:rPr>
        <w:t>UNIKALUS IDENTIFIKATORIUS – 2D BRŪKŠNINIS KODAS</w:t>
      </w:r>
    </w:p>
    <w:p w14:paraId="5E592865" w14:textId="77777777" w:rsidR="000509C9" w:rsidRPr="00776407" w:rsidRDefault="000509C9" w:rsidP="000509C9">
      <w:pPr>
        <w:rPr>
          <w:noProof/>
          <w:sz w:val="22"/>
          <w:szCs w:val="20"/>
          <w:lang w:eastAsia="lt-LT" w:bidi="lt-LT"/>
        </w:rPr>
      </w:pPr>
    </w:p>
    <w:p w14:paraId="1D6FA37A" w14:textId="77777777" w:rsidR="006D099C" w:rsidRPr="00776407" w:rsidRDefault="006D099C" w:rsidP="006D099C">
      <w:pPr>
        <w:rPr>
          <w:noProof/>
          <w:sz w:val="22"/>
          <w:szCs w:val="20"/>
          <w:highlight w:val="lightGray"/>
          <w:lang w:bidi="lt-LT"/>
        </w:rPr>
      </w:pPr>
      <w:r w:rsidRPr="00776407">
        <w:rPr>
          <w:noProof/>
          <w:sz w:val="22"/>
          <w:szCs w:val="20"/>
          <w:highlight w:val="lightGray"/>
          <w:lang w:bidi="lt-LT"/>
        </w:rPr>
        <w:t>&lt;2D brūkšninis kodas su nurodytu unikaliu identifikatoriumi.&gt;</w:t>
      </w:r>
    </w:p>
    <w:p w14:paraId="5EDF51AA" w14:textId="77777777" w:rsidR="009050B3" w:rsidRPr="00776407" w:rsidRDefault="009050B3" w:rsidP="000509C9">
      <w:pPr>
        <w:rPr>
          <w:noProof/>
          <w:sz w:val="22"/>
          <w:szCs w:val="20"/>
          <w:lang w:eastAsia="lt-LT" w:bidi="lt-LT"/>
        </w:rPr>
      </w:pPr>
    </w:p>
    <w:p w14:paraId="384CD880" w14:textId="77777777" w:rsidR="000509C9" w:rsidRPr="00776407" w:rsidRDefault="000509C9" w:rsidP="000509C9">
      <w:pPr>
        <w:rPr>
          <w:noProof/>
          <w:sz w:val="22"/>
          <w:szCs w:val="20"/>
          <w:lang w:eastAsia="lt-LT" w:bidi="lt-LT"/>
        </w:rPr>
      </w:pPr>
    </w:p>
    <w:p w14:paraId="771A75FF" w14:textId="77777777" w:rsidR="000509C9" w:rsidRPr="00776407" w:rsidRDefault="000509C9" w:rsidP="00864BE6">
      <w:pPr>
        <w:keepNext/>
        <w:numPr>
          <w:ilvl w:val="0"/>
          <w:numId w:val="15"/>
        </w:numPr>
        <w:pBdr>
          <w:top w:val="single" w:sz="4" w:space="1" w:color="auto"/>
          <w:left w:val="single" w:sz="4" w:space="4" w:color="auto"/>
          <w:bottom w:val="single" w:sz="4" w:space="1" w:color="auto"/>
          <w:right w:val="single" w:sz="4" w:space="4" w:color="auto"/>
        </w:pBdr>
        <w:tabs>
          <w:tab w:val="left" w:pos="567"/>
        </w:tabs>
        <w:spacing w:line="260" w:lineRule="exact"/>
        <w:ind w:hanging="720"/>
        <w:outlineLvl w:val="0"/>
        <w:rPr>
          <w:i/>
          <w:noProof/>
          <w:sz w:val="22"/>
          <w:szCs w:val="20"/>
          <w:lang w:eastAsia="lt-LT" w:bidi="lt-LT"/>
        </w:rPr>
      </w:pPr>
      <w:r w:rsidRPr="00776407">
        <w:rPr>
          <w:b/>
          <w:noProof/>
          <w:sz w:val="22"/>
          <w:szCs w:val="20"/>
          <w:lang w:eastAsia="lt-LT" w:bidi="lt-LT"/>
        </w:rPr>
        <w:t>UNIKALUS IDENTIFIKATORIUS – ŽMONĖMS SUPRANTAMI DUOMENYS</w:t>
      </w:r>
    </w:p>
    <w:p w14:paraId="4D2DAD20" w14:textId="77777777" w:rsidR="000509C9" w:rsidRPr="00776407" w:rsidRDefault="000509C9" w:rsidP="000509C9">
      <w:pPr>
        <w:rPr>
          <w:noProof/>
          <w:sz w:val="22"/>
          <w:szCs w:val="20"/>
          <w:lang w:eastAsia="lt-LT" w:bidi="lt-LT"/>
        </w:rPr>
      </w:pPr>
    </w:p>
    <w:p w14:paraId="6C577745" w14:textId="25C0EB39" w:rsidR="009050B3" w:rsidRPr="00776407" w:rsidRDefault="006D099C" w:rsidP="009050B3">
      <w:pPr>
        <w:tabs>
          <w:tab w:val="left" w:pos="567"/>
        </w:tabs>
        <w:rPr>
          <w:sz w:val="22"/>
          <w:szCs w:val="22"/>
        </w:rPr>
      </w:pPr>
      <w:r w:rsidRPr="00776407">
        <w:rPr>
          <w:sz w:val="22"/>
          <w:szCs w:val="22"/>
        </w:rPr>
        <w:t>PC {numeris</w:t>
      </w:r>
      <w:r w:rsidR="009050B3" w:rsidRPr="00776407">
        <w:rPr>
          <w:sz w:val="22"/>
          <w:szCs w:val="22"/>
        </w:rPr>
        <w:t>}</w:t>
      </w:r>
    </w:p>
    <w:p w14:paraId="72877951" w14:textId="750CA532" w:rsidR="009050B3" w:rsidRPr="00776407" w:rsidRDefault="006D099C" w:rsidP="009050B3">
      <w:pPr>
        <w:tabs>
          <w:tab w:val="left" w:pos="567"/>
        </w:tabs>
        <w:rPr>
          <w:sz w:val="22"/>
          <w:szCs w:val="22"/>
        </w:rPr>
      </w:pPr>
      <w:r w:rsidRPr="00776407">
        <w:rPr>
          <w:sz w:val="22"/>
          <w:szCs w:val="22"/>
        </w:rPr>
        <w:t>SN {numeris</w:t>
      </w:r>
      <w:r w:rsidR="009050B3" w:rsidRPr="00776407">
        <w:rPr>
          <w:sz w:val="22"/>
          <w:szCs w:val="22"/>
        </w:rPr>
        <w:t>}</w:t>
      </w:r>
    </w:p>
    <w:p w14:paraId="5245FDF4" w14:textId="012A77EA" w:rsidR="009050B3" w:rsidRPr="00776407" w:rsidRDefault="006D099C" w:rsidP="009050B3">
      <w:pPr>
        <w:tabs>
          <w:tab w:val="left" w:pos="567"/>
        </w:tabs>
        <w:rPr>
          <w:b/>
          <w:noProof/>
          <w:sz w:val="22"/>
          <w:szCs w:val="22"/>
          <w:u w:val="single"/>
        </w:rPr>
      </w:pPr>
      <w:r w:rsidRPr="00776407">
        <w:rPr>
          <w:sz w:val="22"/>
          <w:szCs w:val="22"/>
        </w:rPr>
        <w:t>NN {numeris</w:t>
      </w:r>
      <w:r w:rsidR="009050B3" w:rsidRPr="00776407">
        <w:rPr>
          <w:sz w:val="22"/>
          <w:szCs w:val="22"/>
        </w:rPr>
        <w:t>}</w:t>
      </w:r>
    </w:p>
    <w:p w14:paraId="622C5846" w14:textId="77777777" w:rsidR="000509C9" w:rsidRPr="00776407" w:rsidRDefault="000509C9" w:rsidP="00EB1CCD">
      <w:pPr>
        <w:autoSpaceDE w:val="0"/>
        <w:autoSpaceDN w:val="0"/>
        <w:adjustRightInd w:val="0"/>
        <w:rPr>
          <w:sz w:val="22"/>
          <w:szCs w:val="22"/>
        </w:rPr>
      </w:pPr>
    </w:p>
    <w:p w14:paraId="5A435F14" w14:textId="77777777" w:rsidR="00EB1CCD" w:rsidRPr="00776407" w:rsidRDefault="00EB1CCD" w:rsidP="00EB1CCD">
      <w:pPr>
        <w:pBdr>
          <w:top w:val="single" w:sz="4" w:space="1" w:color="auto"/>
          <w:left w:val="single" w:sz="4" w:space="4" w:color="auto"/>
          <w:bottom w:val="single" w:sz="4" w:space="1" w:color="auto"/>
          <w:right w:val="single" w:sz="4" w:space="4" w:color="auto"/>
        </w:pBdr>
        <w:rPr>
          <w:sz w:val="22"/>
          <w:szCs w:val="22"/>
        </w:rPr>
      </w:pPr>
      <w:r w:rsidRPr="00776407">
        <w:rPr>
          <w:sz w:val="22"/>
          <w:szCs w:val="22"/>
        </w:rPr>
        <w:br w:type="page"/>
      </w:r>
      <w:r w:rsidRPr="00776407">
        <w:rPr>
          <w:b/>
          <w:sz w:val="22"/>
          <w:szCs w:val="22"/>
        </w:rPr>
        <w:t>MINIMALI INFORMACIJA ANT LIZDINIŲ PLOKŠTELIŲ ARBA DVISLUOKSNIŲ JUOSTELIŲ</w:t>
      </w:r>
      <w:r w:rsidRPr="00776407">
        <w:rPr>
          <w:b/>
          <w:sz w:val="22"/>
          <w:szCs w:val="22"/>
        </w:rPr>
        <w:br/>
      </w:r>
      <w:r w:rsidRPr="00776407">
        <w:rPr>
          <w:b/>
          <w:sz w:val="22"/>
          <w:szCs w:val="22"/>
        </w:rPr>
        <w:br/>
        <w:t>LIZDINĖ PLOKŠTELĖ</w:t>
      </w:r>
    </w:p>
    <w:p w14:paraId="65A36073" w14:textId="77777777" w:rsidR="00EB1CCD" w:rsidRPr="00776407" w:rsidRDefault="00EB1CCD" w:rsidP="00EB1CCD">
      <w:pPr>
        <w:rPr>
          <w:sz w:val="22"/>
          <w:szCs w:val="22"/>
        </w:rPr>
      </w:pPr>
    </w:p>
    <w:p w14:paraId="47B801FB"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1.</w:t>
      </w:r>
      <w:r w:rsidRPr="00776407">
        <w:rPr>
          <w:b/>
          <w:sz w:val="22"/>
          <w:szCs w:val="22"/>
        </w:rPr>
        <w:tab/>
      </w:r>
      <w:r w:rsidRPr="00776407">
        <w:rPr>
          <w:b/>
          <w:caps/>
          <w:sz w:val="22"/>
          <w:szCs w:val="22"/>
        </w:rPr>
        <w:t>VAISTINIO</w:t>
      </w:r>
      <w:r w:rsidRPr="00776407">
        <w:rPr>
          <w:b/>
          <w:sz w:val="22"/>
          <w:szCs w:val="22"/>
        </w:rPr>
        <w:t xml:space="preserve"> PREPARATO PAVADINIMAS</w:t>
      </w:r>
    </w:p>
    <w:p w14:paraId="7930CABA" w14:textId="77777777" w:rsidR="00EB1CCD" w:rsidRPr="00776407" w:rsidRDefault="00EB1CCD" w:rsidP="00EB1CCD">
      <w:pPr>
        <w:rPr>
          <w:sz w:val="22"/>
          <w:szCs w:val="22"/>
        </w:rPr>
      </w:pPr>
    </w:p>
    <w:p w14:paraId="5FDE4BE3" w14:textId="77777777" w:rsidR="00EB1CCD" w:rsidRPr="00776407" w:rsidRDefault="00EB1CCD" w:rsidP="00EB1CCD">
      <w:pPr>
        <w:autoSpaceDE w:val="0"/>
        <w:autoSpaceDN w:val="0"/>
        <w:adjustRightInd w:val="0"/>
        <w:rPr>
          <w:sz w:val="22"/>
          <w:szCs w:val="22"/>
        </w:rPr>
      </w:pPr>
      <w:r w:rsidRPr="00776407">
        <w:rPr>
          <w:sz w:val="22"/>
          <w:szCs w:val="22"/>
        </w:rPr>
        <w:t>Imatinib Actavis 100 mg kietosios kapsulės</w:t>
      </w:r>
    </w:p>
    <w:p w14:paraId="6E12294A" w14:textId="5546EC27" w:rsidR="00EB1CCD" w:rsidRPr="00881EFD" w:rsidRDefault="00AA08DE" w:rsidP="00EB1CCD">
      <w:pPr>
        <w:autoSpaceDE w:val="0"/>
        <w:autoSpaceDN w:val="0"/>
        <w:adjustRightInd w:val="0"/>
        <w:rPr>
          <w:i/>
          <w:sz w:val="22"/>
          <w:szCs w:val="22"/>
        </w:rPr>
      </w:pPr>
      <w:r w:rsidRPr="00881EFD">
        <w:rPr>
          <w:i/>
          <w:sz w:val="22"/>
          <w:szCs w:val="22"/>
        </w:rPr>
        <w:t>i</w:t>
      </w:r>
      <w:r w:rsidR="00EB1CCD" w:rsidRPr="00881EFD">
        <w:rPr>
          <w:i/>
          <w:sz w:val="22"/>
          <w:szCs w:val="22"/>
        </w:rPr>
        <w:t>matinibum</w:t>
      </w:r>
    </w:p>
    <w:p w14:paraId="49C6F651" w14:textId="77777777" w:rsidR="00EB1CCD" w:rsidRPr="00776407" w:rsidRDefault="00EB1CCD" w:rsidP="00EB1CCD">
      <w:pPr>
        <w:rPr>
          <w:sz w:val="22"/>
          <w:szCs w:val="22"/>
        </w:rPr>
      </w:pPr>
    </w:p>
    <w:p w14:paraId="70E453C5" w14:textId="77777777" w:rsidR="00EB1CCD" w:rsidRPr="00776407" w:rsidRDefault="00EB1CCD" w:rsidP="00EB1CCD">
      <w:pPr>
        <w:rPr>
          <w:sz w:val="22"/>
          <w:szCs w:val="22"/>
        </w:rPr>
      </w:pPr>
    </w:p>
    <w:p w14:paraId="026E9E50"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2.</w:t>
      </w:r>
      <w:r w:rsidRPr="00776407">
        <w:rPr>
          <w:b/>
          <w:sz w:val="22"/>
          <w:szCs w:val="22"/>
        </w:rPr>
        <w:tab/>
      </w:r>
      <w:r w:rsidR="000509C9" w:rsidRPr="00776407">
        <w:rPr>
          <w:b/>
          <w:caps/>
          <w:sz w:val="22"/>
          <w:szCs w:val="22"/>
        </w:rPr>
        <w:t>REGISTRUOTOJO</w:t>
      </w:r>
      <w:r w:rsidR="00E51881" w:rsidRPr="00776407">
        <w:rPr>
          <w:b/>
          <w:caps/>
          <w:sz w:val="22"/>
          <w:szCs w:val="22"/>
        </w:rPr>
        <w:t xml:space="preserve"> </w:t>
      </w:r>
      <w:r w:rsidRPr="00776407">
        <w:rPr>
          <w:b/>
          <w:caps/>
          <w:sz w:val="22"/>
          <w:szCs w:val="22"/>
        </w:rPr>
        <w:t>pavadinimas</w:t>
      </w:r>
    </w:p>
    <w:p w14:paraId="68BC0C59" w14:textId="77777777" w:rsidR="00EB1CCD" w:rsidRPr="00776407" w:rsidRDefault="00EB1CCD" w:rsidP="00EB1CCD">
      <w:pPr>
        <w:rPr>
          <w:sz w:val="22"/>
          <w:szCs w:val="22"/>
        </w:rPr>
      </w:pPr>
    </w:p>
    <w:p w14:paraId="11328F66" w14:textId="77777777" w:rsidR="00EB1CCD" w:rsidRPr="00776407" w:rsidRDefault="00EB1CCD" w:rsidP="00EB1CCD">
      <w:pPr>
        <w:rPr>
          <w:sz w:val="22"/>
          <w:szCs w:val="22"/>
        </w:rPr>
      </w:pPr>
      <w:r w:rsidRPr="00776407">
        <w:rPr>
          <w:sz w:val="22"/>
          <w:szCs w:val="22"/>
        </w:rPr>
        <w:t>[Actavis logo]</w:t>
      </w:r>
    </w:p>
    <w:p w14:paraId="5BB3F719" w14:textId="77777777" w:rsidR="00EB1CCD" w:rsidRPr="00776407" w:rsidRDefault="00EB1CCD" w:rsidP="00EB1CCD">
      <w:pPr>
        <w:rPr>
          <w:sz w:val="22"/>
          <w:szCs w:val="22"/>
        </w:rPr>
      </w:pPr>
    </w:p>
    <w:p w14:paraId="221B5905" w14:textId="77777777" w:rsidR="00EB1CCD" w:rsidRPr="00776407" w:rsidRDefault="00EB1CCD" w:rsidP="00EB1CCD">
      <w:pPr>
        <w:rPr>
          <w:sz w:val="22"/>
          <w:szCs w:val="22"/>
        </w:rPr>
      </w:pPr>
    </w:p>
    <w:p w14:paraId="0E32CD9E" w14:textId="77777777" w:rsidR="00EB1CCD" w:rsidRPr="00776407" w:rsidRDefault="00EB1CCD" w:rsidP="00EB1CCD">
      <w:pPr>
        <w:suppressLineNumbers/>
        <w:pBdr>
          <w:top w:val="single" w:sz="4" w:space="1" w:color="auto"/>
          <w:left w:val="single" w:sz="4" w:space="4" w:color="auto"/>
          <w:bottom w:val="single" w:sz="4" w:space="2" w:color="auto"/>
          <w:right w:val="single" w:sz="4" w:space="4" w:color="auto"/>
        </w:pBdr>
        <w:outlineLvl w:val="0"/>
        <w:rPr>
          <w:b/>
          <w:sz w:val="22"/>
          <w:szCs w:val="22"/>
        </w:rPr>
      </w:pPr>
      <w:r w:rsidRPr="00776407">
        <w:rPr>
          <w:b/>
          <w:sz w:val="22"/>
          <w:szCs w:val="22"/>
        </w:rPr>
        <w:t>3.</w:t>
      </w:r>
      <w:r w:rsidRPr="00776407">
        <w:rPr>
          <w:b/>
          <w:sz w:val="22"/>
          <w:szCs w:val="22"/>
        </w:rPr>
        <w:tab/>
        <w:t>TINKAMUMO LAIKAS</w:t>
      </w:r>
    </w:p>
    <w:p w14:paraId="4E06CDBC" w14:textId="77777777" w:rsidR="00EB1CCD" w:rsidRPr="00776407" w:rsidRDefault="00EB1CCD" w:rsidP="00EB1CCD">
      <w:pPr>
        <w:rPr>
          <w:sz w:val="22"/>
          <w:szCs w:val="22"/>
        </w:rPr>
      </w:pPr>
    </w:p>
    <w:p w14:paraId="760F8CFF" w14:textId="77777777" w:rsidR="00EB1CCD" w:rsidRPr="00776407" w:rsidRDefault="00EB1CCD" w:rsidP="00EB1CCD">
      <w:pPr>
        <w:rPr>
          <w:sz w:val="22"/>
          <w:szCs w:val="22"/>
        </w:rPr>
      </w:pPr>
      <w:r w:rsidRPr="00776407">
        <w:rPr>
          <w:sz w:val="22"/>
          <w:szCs w:val="22"/>
        </w:rPr>
        <w:t>EXP</w:t>
      </w:r>
    </w:p>
    <w:p w14:paraId="4DA0FB76" w14:textId="77777777" w:rsidR="00EB1CCD" w:rsidRPr="00776407" w:rsidRDefault="00EB1CCD" w:rsidP="00EB1CCD">
      <w:pPr>
        <w:rPr>
          <w:sz w:val="22"/>
          <w:szCs w:val="22"/>
        </w:rPr>
      </w:pPr>
    </w:p>
    <w:p w14:paraId="33DBBC34" w14:textId="77777777" w:rsidR="00EB1CCD" w:rsidRPr="00776407" w:rsidRDefault="00EB1CCD" w:rsidP="00EB1CCD">
      <w:pPr>
        <w:rPr>
          <w:sz w:val="22"/>
          <w:szCs w:val="22"/>
        </w:rPr>
      </w:pPr>
    </w:p>
    <w:p w14:paraId="0FCFE4AB"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4.</w:t>
      </w:r>
      <w:r w:rsidRPr="00776407">
        <w:rPr>
          <w:b/>
          <w:sz w:val="22"/>
          <w:szCs w:val="22"/>
        </w:rPr>
        <w:tab/>
        <w:t>SERIJOS NUMERIS</w:t>
      </w:r>
    </w:p>
    <w:p w14:paraId="35843C6E" w14:textId="77777777" w:rsidR="00EB1CCD" w:rsidRPr="00776407" w:rsidRDefault="00EB1CCD" w:rsidP="00EB1CCD">
      <w:pPr>
        <w:rPr>
          <w:sz w:val="22"/>
          <w:szCs w:val="22"/>
        </w:rPr>
      </w:pPr>
    </w:p>
    <w:p w14:paraId="2D0F064E" w14:textId="77777777" w:rsidR="00EB1CCD" w:rsidRPr="00776407" w:rsidRDefault="00EB1CCD" w:rsidP="00EB1CCD">
      <w:pPr>
        <w:rPr>
          <w:sz w:val="22"/>
          <w:szCs w:val="22"/>
        </w:rPr>
      </w:pPr>
      <w:r w:rsidRPr="00776407">
        <w:rPr>
          <w:sz w:val="22"/>
          <w:szCs w:val="22"/>
        </w:rPr>
        <w:t>Lot</w:t>
      </w:r>
    </w:p>
    <w:p w14:paraId="3471969C" w14:textId="77777777" w:rsidR="00EB1CCD" w:rsidRPr="00776407" w:rsidRDefault="00EB1CCD" w:rsidP="00EB1CCD">
      <w:pPr>
        <w:rPr>
          <w:sz w:val="22"/>
          <w:szCs w:val="22"/>
        </w:rPr>
      </w:pPr>
    </w:p>
    <w:p w14:paraId="04ABA1F6" w14:textId="77777777" w:rsidR="00EB1CCD" w:rsidRPr="00776407" w:rsidRDefault="00EB1CCD" w:rsidP="00EB1CCD">
      <w:pPr>
        <w:rPr>
          <w:sz w:val="22"/>
          <w:szCs w:val="22"/>
        </w:rPr>
      </w:pPr>
    </w:p>
    <w:p w14:paraId="47711230"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5.</w:t>
      </w:r>
      <w:r w:rsidRPr="00776407">
        <w:rPr>
          <w:b/>
          <w:sz w:val="22"/>
          <w:szCs w:val="22"/>
        </w:rPr>
        <w:tab/>
        <w:t>KITA</w:t>
      </w:r>
    </w:p>
    <w:p w14:paraId="57D3A1A3" w14:textId="77777777" w:rsidR="00EB1CCD" w:rsidRPr="00776407" w:rsidRDefault="00EB1CCD" w:rsidP="00EB1CCD">
      <w:pPr>
        <w:rPr>
          <w:sz w:val="22"/>
          <w:szCs w:val="22"/>
        </w:rPr>
      </w:pPr>
    </w:p>
    <w:p w14:paraId="6CECE120" w14:textId="77777777" w:rsidR="00EB1CCD" w:rsidRPr="00776407" w:rsidRDefault="00EB1CCD" w:rsidP="00EB1CCD"/>
    <w:p w14:paraId="56856C94" w14:textId="77777777" w:rsidR="002D2BD8" w:rsidRPr="00776407" w:rsidRDefault="00EB1CCD" w:rsidP="002D2BD8">
      <w:pPr>
        <w:autoSpaceDE w:val="0"/>
        <w:autoSpaceDN w:val="0"/>
        <w:adjustRightInd w:val="0"/>
        <w:rPr>
          <w:rFonts w:eastAsia="Calibri"/>
          <w:sz w:val="22"/>
          <w:szCs w:val="22"/>
        </w:rPr>
      </w:pPr>
      <w:r w:rsidRPr="00776407">
        <w:rPr>
          <w:b/>
        </w:rPr>
        <w:br w:type="page"/>
      </w:r>
    </w:p>
    <w:p w14:paraId="57A34F98"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rPr>
          <w:rFonts w:eastAsia="Calibri"/>
          <w:b/>
          <w:bCs/>
          <w:sz w:val="22"/>
          <w:szCs w:val="22"/>
        </w:rPr>
      </w:pPr>
      <w:r w:rsidRPr="00776407">
        <w:rPr>
          <w:rFonts w:eastAsia="Calibri"/>
          <w:b/>
          <w:bCs/>
          <w:sz w:val="22"/>
          <w:szCs w:val="22"/>
        </w:rPr>
        <w:t>INFORMACIJA ANT IŠORINĖS PAKUOTĖS</w:t>
      </w:r>
    </w:p>
    <w:p w14:paraId="2F314E4A"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rPr>
          <w:rFonts w:eastAsia="Calibri"/>
          <w:bCs/>
          <w:sz w:val="22"/>
          <w:szCs w:val="22"/>
        </w:rPr>
      </w:pPr>
    </w:p>
    <w:p w14:paraId="11953F15"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rPr>
          <w:rFonts w:eastAsia="Calibri"/>
          <w:sz w:val="22"/>
          <w:szCs w:val="22"/>
        </w:rPr>
      </w:pPr>
      <w:r w:rsidRPr="00776407">
        <w:rPr>
          <w:rFonts w:eastAsia="Calibri"/>
          <w:b/>
          <w:bCs/>
          <w:sz w:val="22"/>
          <w:szCs w:val="22"/>
        </w:rPr>
        <w:t>KARTONINĖ DĖŽUTĖ</w:t>
      </w:r>
    </w:p>
    <w:p w14:paraId="25A1C612" w14:textId="77777777" w:rsidR="002D2BD8" w:rsidRPr="00776407" w:rsidRDefault="002D2BD8" w:rsidP="002D2BD8">
      <w:pPr>
        <w:autoSpaceDE w:val="0"/>
        <w:autoSpaceDN w:val="0"/>
        <w:adjustRightInd w:val="0"/>
        <w:rPr>
          <w:rFonts w:eastAsia="Calibri"/>
          <w:sz w:val="22"/>
          <w:szCs w:val="22"/>
        </w:rPr>
      </w:pPr>
    </w:p>
    <w:p w14:paraId="4A387848" w14:textId="77777777" w:rsidR="002D2BD8" w:rsidRPr="00776407" w:rsidRDefault="002D2BD8" w:rsidP="002D2BD8">
      <w:pPr>
        <w:autoSpaceDE w:val="0"/>
        <w:autoSpaceDN w:val="0"/>
        <w:adjustRightInd w:val="0"/>
        <w:rPr>
          <w:rFonts w:eastAsia="Calibri"/>
          <w:sz w:val="22"/>
          <w:szCs w:val="22"/>
        </w:rPr>
      </w:pPr>
    </w:p>
    <w:p w14:paraId="736B3087"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1.</w:t>
      </w:r>
      <w:r w:rsidRPr="00776407">
        <w:rPr>
          <w:rFonts w:eastAsia="Calibri"/>
          <w:b/>
          <w:bCs/>
          <w:sz w:val="22"/>
          <w:szCs w:val="22"/>
        </w:rPr>
        <w:tab/>
        <w:t>VAISTINIO PREPARATO PAVADINIMAS</w:t>
      </w:r>
    </w:p>
    <w:p w14:paraId="7231AB18" w14:textId="77777777" w:rsidR="002D2BD8" w:rsidRPr="00776407" w:rsidRDefault="002D2BD8" w:rsidP="002D2BD8">
      <w:pPr>
        <w:autoSpaceDE w:val="0"/>
        <w:autoSpaceDN w:val="0"/>
        <w:adjustRightInd w:val="0"/>
        <w:rPr>
          <w:rFonts w:eastAsia="Calibri"/>
          <w:sz w:val="22"/>
          <w:szCs w:val="22"/>
        </w:rPr>
      </w:pPr>
    </w:p>
    <w:p w14:paraId="767DA1E4"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Imatinib Actavis 400 mg kietosios kapsulės</w:t>
      </w:r>
    </w:p>
    <w:p w14:paraId="4CB89081" w14:textId="1CDE6B17" w:rsidR="002D2BD8" w:rsidRPr="00881EFD" w:rsidRDefault="00AA08DE" w:rsidP="002D2BD8">
      <w:pPr>
        <w:autoSpaceDE w:val="0"/>
        <w:autoSpaceDN w:val="0"/>
        <w:adjustRightInd w:val="0"/>
        <w:rPr>
          <w:rFonts w:eastAsia="Calibri"/>
          <w:i/>
          <w:sz w:val="22"/>
          <w:szCs w:val="22"/>
        </w:rPr>
      </w:pPr>
      <w:r w:rsidRPr="00881EFD">
        <w:rPr>
          <w:rFonts w:eastAsia="Calibri"/>
          <w:i/>
          <w:sz w:val="22"/>
          <w:szCs w:val="22"/>
        </w:rPr>
        <w:t>i</w:t>
      </w:r>
      <w:r w:rsidR="002D2BD8" w:rsidRPr="00881EFD">
        <w:rPr>
          <w:rFonts w:eastAsia="Calibri"/>
          <w:i/>
          <w:sz w:val="22"/>
          <w:szCs w:val="22"/>
        </w:rPr>
        <w:t>matinibum</w:t>
      </w:r>
    </w:p>
    <w:p w14:paraId="5F8C7542" w14:textId="77777777" w:rsidR="002D2BD8" w:rsidRPr="00776407" w:rsidRDefault="002D2BD8" w:rsidP="002D2BD8">
      <w:pPr>
        <w:autoSpaceDE w:val="0"/>
        <w:autoSpaceDN w:val="0"/>
        <w:adjustRightInd w:val="0"/>
        <w:rPr>
          <w:rFonts w:eastAsia="Calibri"/>
          <w:sz w:val="22"/>
          <w:szCs w:val="22"/>
        </w:rPr>
      </w:pPr>
    </w:p>
    <w:p w14:paraId="2A7B615C" w14:textId="77777777" w:rsidR="002D2BD8" w:rsidRPr="00776407" w:rsidRDefault="002D2BD8" w:rsidP="002D2BD8">
      <w:pPr>
        <w:autoSpaceDE w:val="0"/>
        <w:autoSpaceDN w:val="0"/>
        <w:adjustRightInd w:val="0"/>
        <w:rPr>
          <w:rFonts w:eastAsia="Calibri"/>
          <w:sz w:val="22"/>
          <w:szCs w:val="22"/>
        </w:rPr>
      </w:pPr>
    </w:p>
    <w:p w14:paraId="5A52CDFA" w14:textId="77777777" w:rsidR="002D2BD8" w:rsidRPr="00776407" w:rsidRDefault="002D2BD8" w:rsidP="002D2BD8">
      <w:pPr>
        <w:suppressLineNumbers/>
        <w:pBdr>
          <w:top w:val="single" w:sz="4" w:space="1" w:color="auto"/>
          <w:left w:val="single" w:sz="4" w:space="4" w:color="auto"/>
          <w:bottom w:val="single" w:sz="4" w:space="1" w:color="auto"/>
          <w:right w:val="single" w:sz="4" w:space="4" w:color="auto"/>
        </w:pBdr>
        <w:spacing w:after="200" w:line="276" w:lineRule="auto"/>
        <w:ind w:left="567" w:hanging="567"/>
        <w:outlineLvl w:val="0"/>
        <w:rPr>
          <w:rFonts w:eastAsia="Calibri"/>
          <w:sz w:val="22"/>
          <w:szCs w:val="22"/>
        </w:rPr>
      </w:pPr>
      <w:r w:rsidRPr="00776407">
        <w:rPr>
          <w:rFonts w:eastAsia="Calibri"/>
          <w:b/>
          <w:bCs/>
          <w:sz w:val="22"/>
          <w:szCs w:val="22"/>
        </w:rPr>
        <w:t>2.</w:t>
      </w:r>
      <w:r w:rsidRPr="00776407">
        <w:rPr>
          <w:rFonts w:eastAsia="Calibri"/>
          <w:b/>
          <w:bCs/>
          <w:sz w:val="22"/>
          <w:szCs w:val="22"/>
        </w:rPr>
        <w:tab/>
      </w:r>
      <w:r w:rsidRPr="00776407">
        <w:rPr>
          <w:b/>
          <w:sz w:val="22"/>
          <w:szCs w:val="22"/>
        </w:rPr>
        <w:t>VEIKLIOJI (-IOS) MEDŽIAGA (-OS) IR JOS (-Ų) KIEKIS (-IAI)</w:t>
      </w:r>
    </w:p>
    <w:p w14:paraId="35B4DB91" w14:textId="77777777" w:rsidR="002D2BD8" w:rsidRPr="00776407" w:rsidRDefault="002D2BD8" w:rsidP="002D2BD8">
      <w:pPr>
        <w:rPr>
          <w:sz w:val="22"/>
          <w:szCs w:val="22"/>
        </w:rPr>
      </w:pPr>
      <w:r w:rsidRPr="00776407">
        <w:rPr>
          <w:sz w:val="22"/>
          <w:szCs w:val="22"/>
        </w:rPr>
        <w:t>Kiekvienoje kietojoje kapsulėje yra 400 mg imatinibo (mesilato pavidalu).</w:t>
      </w:r>
    </w:p>
    <w:p w14:paraId="76582B28" w14:textId="77777777" w:rsidR="002D2BD8" w:rsidRPr="00776407" w:rsidRDefault="002D2BD8" w:rsidP="002D2BD8">
      <w:pPr>
        <w:autoSpaceDE w:val="0"/>
        <w:autoSpaceDN w:val="0"/>
        <w:adjustRightInd w:val="0"/>
        <w:rPr>
          <w:rFonts w:eastAsia="Calibri"/>
          <w:sz w:val="22"/>
          <w:szCs w:val="22"/>
        </w:rPr>
      </w:pPr>
    </w:p>
    <w:p w14:paraId="2F7C836F" w14:textId="77777777" w:rsidR="002D2BD8" w:rsidRPr="00776407" w:rsidRDefault="002D2BD8" w:rsidP="002D2BD8">
      <w:pPr>
        <w:autoSpaceDE w:val="0"/>
        <w:autoSpaceDN w:val="0"/>
        <w:adjustRightInd w:val="0"/>
        <w:rPr>
          <w:rFonts w:eastAsia="Calibri"/>
          <w:sz w:val="22"/>
          <w:szCs w:val="22"/>
        </w:rPr>
      </w:pPr>
    </w:p>
    <w:p w14:paraId="56CB145C"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3.</w:t>
      </w:r>
      <w:r w:rsidRPr="00776407">
        <w:rPr>
          <w:rFonts w:eastAsia="Calibri"/>
          <w:b/>
          <w:bCs/>
          <w:sz w:val="22"/>
          <w:szCs w:val="22"/>
        </w:rPr>
        <w:tab/>
        <w:t>PAGALBINIŲ MEDŽIAGŲ SĄRAŠAS</w:t>
      </w:r>
    </w:p>
    <w:p w14:paraId="47D901DC" w14:textId="77777777" w:rsidR="002D2BD8" w:rsidRPr="00776407" w:rsidRDefault="002D2BD8" w:rsidP="002D2BD8">
      <w:pPr>
        <w:autoSpaceDE w:val="0"/>
        <w:autoSpaceDN w:val="0"/>
        <w:adjustRightInd w:val="0"/>
        <w:rPr>
          <w:rFonts w:eastAsia="Calibri"/>
          <w:sz w:val="22"/>
          <w:szCs w:val="22"/>
        </w:rPr>
      </w:pPr>
    </w:p>
    <w:p w14:paraId="6B293919" w14:textId="77777777" w:rsidR="002D2BD8" w:rsidRPr="00776407" w:rsidRDefault="002D2BD8" w:rsidP="002D2BD8">
      <w:pPr>
        <w:autoSpaceDE w:val="0"/>
        <w:autoSpaceDN w:val="0"/>
        <w:adjustRightInd w:val="0"/>
        <w:rPr>
          <w:rFonts w:eastAsia="Calibri"/>
          <w:sz w:val="22"/>
          <w:szCs w:val="22"/>
        </w:rPr>
      </w:pPr>
    </w:p>
    <w:p w14:paraId="27806EAB"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4.</w:t>
      </w:r>
      <w:r w:rsidRPr="00776407">
        <w:rPr>
          <w:rFonts w:eastAsia="Calibri"/>
          <w:b/>
          <w:bCs/>
          <w:sz w:val="22"/>
          <w:szCs w:val="22"/>
        </w:rPr>
        <w:tab/>
        <w:t>FARMACINĖ FORMA IR KIEKIS PAKUOTĖJE</w:t>
      </w:r>
    </w:p>
    <w:p w14:paraId="05224FE5" w14:textId="77777777" w:rsidR="002D2BD8" w:rsidRPr="00776407" w:rsidRDefault="002D2BD8" w:rsidP="002D2BD8">
      <w:pPr>
        <w:autoSpaceDE w:val="0"/>
        <w:autoSpaceDN w:val="0"/>
        <w:adjustRightInd w:val="0"/>
        <w:rPr>
          <w:rFonts w:eastAsia="Calibri"/>
          <w:sz w:val="22"/>
          <w:szCs w:val="22"/>
        </w:rPr>
      </w:pPr>
    </w:p>
    <w:p w14:paraId="105FB965" w14:textId="77777777" w:rsidR="002D2BD8" w:rsidRPr="00776407" w:rsidRDefault="002D2BD8" w:rsidP="002D2BD8">
      <w:pPr>
        <w:rPr>
          <w:rFonts w:eastAsia="Calibri"/>
          <w:sz w:val="22"/>
          <w:szCs w:val="22"/>
        </w:rPr>
      </w:pPr>
      <w:r w:rsidRPr="00776407">
        <w:rPr>
          <w:rFonts w:eastAsia="Calibri"/>
          <w:sz w:val="22"/>
          <w:szCs w:val="22"/>
        </w:rPr>
        <w:t>10 kietųjų kapsulių</w:t>
      </w:r>
    </w:p>
    <w:p w14:paraId="435809D2" w14:textId="77777777" w:rsidR="002D2BD8" w:rsidRPr="00776407" w:rsidRDefault="002D2BD8" w:rsidP="002D2BD8">
      <w:pPr>
        <w:rPr>
          <w:rFonts w:eastAsia="Calibri"/>
          <w:sz w:val="22"/>
          <w:szCs w:val="22"/>
          <w:highlight w:val="lightGray"/>
        </w:rPr>
      </w:pPr>
      <w:r w:rsidRPr="00776407">
        <w:rPr>
          <w:rFonts w:eastAsia="Calibri"/>
          <w:sz w:val="22"/>
          <w:szCs w:val="22"/>
          <w:highlight w:val="lightGray"/>
        </w:rPr>
        <w:t>30 kietųjų kapsulių</w:t>
      </w:r>
    </w:p>
    <w:p w14:paraId="237D849F" w14:textId="77777777" w:rsidR="002D2BD8" w:rsidRPr="00776407" w:rsidRDefault="002D2BD8" w:rsidP="002D2BD8">
      <w:pPr>
        <w:rPr>
          <w:rFonts w:eastAsia="Calibri"/>
          <w:sz w:val="22"/>
          <w:szCs w:val="22"/>
          <w:highlight w:val="lightGray"/>
        </w:rPr>
      </w:pPr>
      <w:r w:rsidRPr="00776407">
        <w:rPr>
          <w:rFonts w:eastAsia="Calibri"/>
          <w:sz w:val="22"/>
          <w:szCs w:val="22"/>
          <w:highlight w:val="lightGray"/>
        </w:rPr>
        <w:t>60 kietųjų kapsulių</w:t>
      </w:r>
    </w:p>
    <w:p w14:paraId="21559E9B" w14:textId="77777777" w:rsidR="002D2BD8" w:rsidRPr="00776407" w:rsidRDefault="002D2BD8" w:rsidP="002D2BD8">
      <w:pPr>
        <w:rPr>
          <w:rFonts w:eastAsia="Calibri"/>
          <w:sz w:val="22"/>
          <w:szCs w:val="22"/>
          <w:highlight w:val="lightGray"/>
        </w:rPr>
      </w:pPr>
      <w:r w:rsidRPr="00776407">
        <w:rPr>
          <w:rFonts w:eastAsia="Calibri"/>
          <w:sz w:val="22"/>
          <w:szCs w:val="22"/>
          <w:highlight w:val="lightGray"/>
        </w:rPr>
        <w:t>90 kietųjų kapsulių</w:t>
      </w:r>
    </w:p>
    <w:p w14:paraId="6CB267CA" w14:textId="77777777" w:rsidR="002D2BD8" w:rsidRPr="00776407" w:rsidRDefault="002D2BD8" w:rsidP="002D2BD8">
      <w:pPr>
        <w:rPr>
          <w:rFonts w:eastAsia="Calibri"/>
          <w:sz w:val="22"/>
          <w:szCs w:val="22"/>
        </w:rPr>
      </w:pPr>
    </w:p>
    <w:p w14:paraId="1344952A" w14:textId="77777777" w:rsidR="002D2BD8" w:rsidRPr="00776407" w:rsidRDefault="002D2BD8" w:rsidP="002D2BD8">
      <w:pPr>
        <w:rPr>
          <w:rFonts w:eastAsia="Calibri"/>
          <w:sz w:val="22"/>
          <w:szCs w:val="22"/>
        </w:rPr>
      </w:pPr>
    </w:p>
    <w:p w14:paraId="491B2B92"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5.</w:t>
      </w:r>
      <w:r w:rsidRPr="00776407">
        <w:rPr>
          <w:rFonts w:eastAsia="Calibri"/>
          <w:b/>
          <w:bCs/>
          <w:sz w:val="22"/>
          <w:szCs w:val="22"/>
        </w:rPr>
        <w:tab/>
        <w:t>VARTOJIMO METODAS IR BŪDAS</w:t>
      </w:r>
    </w:p>
    <w:p w14:paraId="32636C89" w14:textId="77777777" w:rsidR="002D2BD8" w:rsidRPr="00776407" w:rsidRDefault="002D2BD8" w:rsidP="002D2BD8">
      <w:pPr>
        <w:autoSpaceDE w:val="0"/>
        <w:autoSpaceDN w:val="0"/>
        <w:adjustRightInd w:val="0"/>
        <w:rPr>
          <w:rFonts w:eastAsia="Calibri"/>
          <w:sz w:val="22"/>
          <w:szCs w:val="22"/>
        </w:rPr>
      </w:pPr>
    </w:p>
    <w:p w14:paraId="2B479E36"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Vartoti per burną.</w:t>
      </w:r>
    </w:p>
    <w:p w14:paraId="758D3A4E"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Prieš vartojimą perskaitykite pakuotės lapelį.</w:t>
      </w:r>
    </w:p>
    <w:p w14:paraId="4602C77C" w14:textId="77777777" w:rsidR="002D2BD8" w:rsidRPr="00776407" w:rsidRDefault="002D2BD8" w:rsidP="002D2BD8">
      <w:pPr>
        <w:autoSpaceDE w:val="0"/>
        <w:autoSpaceDN w:val="0"/>
        <w:adjustRightInd w:val="0"/>
        <w:rPr>
          <w:rFonts w:eastAsia="Calibri"/>
          <w:sz w:val="22"/>
          <w:szCs w:val="22"/>
        </w:rPr>
      </w:pPr>
    </w:p>
    <w:p w14:paraId="73ABB157" w14:textId="77777777" w:rsidR="002D2BD8" w:rsidRPr="00776407" w:rsidRDefault="002D2BD8" w:rsidP="002D2BD8">
      <w:pPr>
        <w:autoSpaceDE w:val="0"/>
        <w:autoSpaceDN w:val="0"/>
        <w:adjustRightInd w:val="0"/>
        <w:rPr>
          <w:rFonts w:eastAsia="Calibri"/>
          <w:sz w:val="22"/>
          <w:szCs w:val="22"/>
        </w:rPr>
      </w:pPr>
    </w:p>
    <w:p w14:paraId="1CBF59E2"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6.</w:t>
      </w:r>
      <w:r w:rsidRPr="00776407">
        <w:rPr>
          <w:rFonts w:eastAsia="Calibri"/>
          <w:b/>
          <w:bCs/>
          <w:sz w:val="22"/>
          <w:szCs w:val="22"/>
        </w:rPr>
        <w:tab/>
      </w:r>
      <w:r w:rsidRPr="00776407">
        <w:rPr>
          <w:rFonts w:eastAsia="Calibri"/>
          <w:b/>
          <w:sz w:val="22"/>
          <w:szCs w:val="22"/>
        </w:rPr>
        <w:t>SPECIALUS ĮSPĖJIMAS, KAD VAISTINĮ PREPARATĄ BŪTINA LAIKYTI VAIKAMS NEPASTEBIMOJE IR NEPASIEKIAMOJE VIETOJE</w:t>
      </w:r>
    </w:p>
    <w:p w14:paraId="73E7EF91" w14:textId="77777777" w:rsidR="002D2BD8" w:rsidRPr="00776407" w:rsidRDefault="002D2BD8" w:rsidP="002D2BD8">
      <w:pPr>
        <w:autoSpaceDE w:val="0"/>
        <w:autoSpaceDN w:val="0"/>
        <w:adjustRightInd w:val="0"/>
        <w:rPr>
          <w:rFonts w:eastAsia="Calibri"/>
          <w:sz w:val="22"/>
          <w:szCs w:val="22"/>
        </w:rPr>
      </w:pPr>
    </w:p>
    <w:p w14:paraId="23DE7DEC"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Laikyti vaikams nepastebimoje ir nepasiekiamoje vietoje.</w:t>
      </w:r>
    </w:p>
    <w:p w14:paraId="29917E1C" w14:textId="77777777" w:rsidR="002D2BD8" w:rsidRPr="00776407" w:rsidRDefault="002D2BD8" w:rsidP="002D2BD8">
      <w:pPr>
        <w:autoSpaceDE w:val="0"/>
        <w:autoSpaceDN w:val="0"/>
        <w:adjustRightInd w:val="0"/>
        <w:rPr>
          <w:rFonts w:eastAsia="Calibri"/>
          <w:sz w:val="22"/>
          <w:szCs w:val="22"/>
        </w:rPr>
      </w:pPr>
    </w:p>
    <w:p w14:paraId="4D9FB490" w14:textId="77777777" w:rsidR="002D2BD8" w:rsidRPr="00776407" w:rsidRDefault="002D2BD8" w:rsidP="002D2BD8">
      <w:pPr>
        <w:autoSpaceDE w:val="0"/>
        <w:autoSpaceDN w:val="0"/>
        <w:adjustRightInd w:val="0"/>
        <w:rPr>
          <w:rFonts w:eastAsia="Calibri"/>
          <w:sz w:val="22"/>
          <w:szCs w:val="22"/>
        </w:rPr>
      </w:pPr>
    </w:p>
    <w:p w14:paraId="02DEE197"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7.</w:t>
      </w:r>
      <w:r w:rsidRPr="00776407">
        <w:rPr>
          <w:rFonts w:eastAsia="Calibri"/>
          <w:b/>
          <w:bCs/>
          <w:sz w:val="22"/>
          <w:szCs w:val="22"/>
        </w:rPr>
        <w:tab/>
      </w:r>
      <w:r w:rsidRPr="00776407">
        <w:rPr>
          <w:rFonts w:eastAsia="Calibri"/>
          <w:b/>
          <w:sz w:val="22"/>
          <w:szCs w:val="22"/>
        </w:rPr>
        <w:t>KITAS (-I) SPECIALUS (-ŪS) ĮSPĖJIMAS (-AI) (JEI REIKIA)</w:t>
      </w:r>
    </w:p>
    <w:p w14:paraId="3B811933" w14:textId="77777777" w:rsidR="002D2BD8" w:rsidRPr="00776407" w:rsidRDefault="002D2BD8" w:rsidP="002D2BD8">
      <w:pPr>
        <w:autoSpaceDE w:val="0"/>
        <w:autoSpaceDN w:val="0"/>
        <w:adjustRightInd w:val="0"/>
        <w:rPr>
          <w:rFonts w:eastAsia="Calibri"/>
          <w:sz w:val="22"/>
          <w:szCs w:val="22"/>
        </w:rPr>
      </w:pPr>
    </w:p>
    <w:p w14:paraId="62B08DF9"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Vartoti taip, kaip nurodė gydytojas.</w:t>
      </w:r>
    </w:p>
    <w:p w14:paraId="2A436F23" w14:textId="77777777" w:rsidR="002D2BD8" w:rsidRPr="00776407" w:rsidRDefault="002D2BD8" w:rsidP="002D2BD8">
      <w:pPr>
        <w:autoSpaceDE w:val="0"/>
        <w:autoSpaceDN w:val="0"/>
        <w:adjustRightInd w:val="0"/>
        <w:rPr>
          <w:rFonts w:eastAsia="Calibri"/>
          <w:sz w:val="22"/>
          <w:szCs w:val="22"/>
        </w:rPr>
      </w:pPr>
    </w:p>
    <w:p w14:paraId="780B57D8" w14:textId="77777777" w:rsidR="002D2BD8" w:rsidRPr="00776407" w:rsidRDefault="002D2BD8" w:rsidP="002D2BD8">
      <w:pPr>
        <w:autoSpaceDE w:val="0"/>
        <w:autoSpaceDN w:val="0"/>
        <w:adjustRightInd w:val="0"/>
        <w:rPr>
          <w:rFonts w:eastAsia="Calibri"/>
          <w:sz w:val="22"/>
          <w:szCs w:val="22"/>
        </w:rPr>
      </w:pPr>
    </w:p>
    <w:p w14:paraId="6635FA45"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8.</w:t>
      </w:r>
      <w:r w:rsidRPr="00776407">
        <w:rPr>
          <w:rFonts w:eastAsia="Calibri"/>
          <w:b/>
          <w:bCs/>
          <w:sz w:val="22"/>
          <w:szCs w:val="22"/>
        </w:rPr>
        <w:tab/>
        <w:t>TINKAMUMO LAIKAS</w:t>
      </w:r>
    </w:p>
    <w:p w14:paraId="3FCF0C32" w14:textId="77777777" w:rsidR="002D2BD8" w:rsidRPr="00776407" w:rsidRDefault="002D2BD8" w:rsidP="002D2BD8">
      <w:pPr>
        <w:autoSpaceDE w:val="0"/>
        <w:autoSpaceDN w:val="0"/>
        <w:adjustRightInd w:val="0"/>
        <w:rPr>
          <w:rFonts w:eastAsia="Calibri"/>
          <w:sz w:val="22"/>
          <w:szCs w:val="22"/>
        </w:rPr>
      </w:pPr>
    </w:p>
    <w:p w14:paraId="0513BFEC" w14:textId="77777777" w:rsidR="002D2BD8" w:rsidRPr="00776407" w:rsidRDefault="00B11495" w:rsidP="002D2BD8">
      <w:pPr>
        <w:autoSpaceDE w:val="0"/>
        <w:autoSpaceDN w:val="0"/>
        <w:adjustRightInd w:val="0"/>
        <w:rPr>
          <w:rFonts w:eastAsia="Calibri"/>
          <w:sz w:val="22"/>
          <w:szCs w:val="22"/>
        </w:rPr>
      </w:pPr>
      <w:r w:rsidRPr="00776407">
        <w:rPr>
          <w:rFonts w:eastAsia="Calibri"/>
          <w:sz w:val="22"/>
          <w:szCs w:val="22"/>
        </w:rPr>
        <w:t>EXP</w:t>
      </w:r>
    </w:p>
    <w:p w14:paraId="61B66778" w14:textId="77777777" w:rsidR="002D2BD8" w:rsidRPr="00776407" w:rsidRDefault="002D2BD8" w:rsidP="002D2BD8">
      <w:pPr>
        <w:autoSpaceDE w:val="0"/>
        <w:autoSpaceDN w:val="0"/>
        <w:adjustRightInd w:val="0"/>
        <w:rPr>
          <w:rFonts w:eastAsia="Calibri"/>
          <w:sz w:val="22"/>
          <w:szCs w:val="22"/>
        </w:rPr>
      </w:pPr>
    </w:p>
    <w:p w14:paraId="2DAC6347" w14:textId="77777777" w:rsidR="002D2BD8" w:rsidRPr="00776407" w:rsidRDefault="002D2BD8" w:rsidP="002D2BD8">
      <w:pPr>
        <w:autoSpaceDE w:val="0"/>
        <w:autoSpaceDN w:val="0"/>
        <w:adjustRightInd w:val="0"/>
        <w:rPr>
          <w:rFonts w:eastAsia="Calibri"/>
          <w:sz w:val="22"/>
          <w:szCs w:val="22"/>
        </w:rPr>
      </w:pPr>
    </w:p>
    <w:p w14:paraId="496957DC"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9.</w:t>
      </w:r>
      <w:r w:rsidRPr="00776407">
        <w:rPr>
          <w:rFonts w:eastAsia="Calibri"/>
          <w:b/>
          <w:bCs/>
          <w:sz w:val="22"/>
          <w:szCs w:val="22"/>
        </w:rPr>
        <w:tab/>
      </w:r>
      <w:r w:rsidRPr="00776407">
        <w:rPr>
          <w:rFonts w:eastAsia="Calibri"/>
          <w:b/>
          <w:sz w:val="22"/>
          <w:szCs w:val="22"/>
        </w:rPr>
        <w:t>SPECIALIOS LAIKYMO SĄLYGOS</w:t>
      </w:r>
    </w:p>
    <w:p w14:paraId="695C6E2F" w14:textId="77777777" w:rsidR="002D2BD8" w:rsidRPr="00776407" w:rsidRDefault="002D2BD8" w:rsidP="002D2BD8">
      <w:pPr>
        <w:autoSpaceDE w:val="0"/>
        <w:autoSpaceDN w:val="0"/>
        <w:adjustRightInd w:val="0"/>
        <w:rPr>
          <w:rFonts w:eastAsia="Calibri"/>
          <w:sz w:val="22"/>
          <w:szCs w:val="22"/>
        </w:rPr>
      </w:pPr>
    </w:p>
    <w:p w14:paraId="19FBE40F" w14:textId="77777777" w:rsidR="002D2BD8" w:rsidRPr="00776407" w:rsidRDefault="002D2BD8" w:rsidP="002D2BD8">
      <w:pPr>
        <w:rPr>
          <w:sz w:val="22"/>
          <w:szCs w:val="22"/>
        </w:rPr>
      </w:pPr>
      <w:r w:rsidRPr="00776407">
        <w:rPr>
          <w:sz w:val="22"/>
          <w:szCs w:val="22"/>
        </w:rPr>
        <w:t xml:space="preserve">Laikyti ne aukštesnėje kaip 25 </w:t>
      </w:r>
      <w:r w:rsidRPr="00776407">
        <w:rPr>
          <w:sz w:val="22"/>
          <w:szCs w:val="22"/>
        </w:rPr>
        <w:sym w:font="Symbol" w:char="F0B0"/>
      </w:r>
      <w:r w:rsidRPr="00776407">
        <w:rPr>
          <w:sz w:val="22"/>
          <w:szCs w:val="22"/>
        </w:rPr>
        <w:t xml:space="preserve">C temperatūroje. </w:t>
      </w:r>
    </w:p>
    <w:p w14:paraId="6F68C4E6" w14:textId="77777777" w:rsidR="002D2BD8" w:rsidRPr="00776407" w:rsidRDefault="002D2BD8" w:rsidP="002D2BD8">
      <w:pPr>
        <w:ind w:left="567" w:hanging="567"/>
        <w:rPr>
          <w:sz w:val="22"/>
          <w:szCs w:val="22"/>
        </w:rPr>
      </w:pPr>
      <w:r w:rsidRPr="00776407">
        <w:rPr>
          <w:sz w:val="22"/>
          <w:szCs w:val="22"/>
        </w:rPr>
        <w:t>Laikyti gamintojo pakuotėje, kad preparatas būtų apsaugotas nuo drėgmės.</w:t>
      </w:r>
    </w:p>
    <w:p w14:paraId="2156A743" w14:textId="77777777" w:rsidR="002D2BD8" w:rsidRPr="00776407" w:rsidRDefault="002D2BD8" w:rsidP="002D2BD8">
      <w:pPr>
        <w:autoSpaceDE w:val="0"/>
        <w:autoSpaceDN w:val="0"/>
        <w:adjustRightInd w:val="0"/>
        <w:rPr>
          <w:rFonts w:eastAsia="Calibri"/>
          <w:sz w:val="22"/>
          <w:szCs w:val="22"/>
        </w:rPr>
      </w:pPr>
    </w:p>
    <w:p w14:paraId="145B8AFC" w14:textId="77777777" w:rsidR="002D2BD8" w:rsidRPr="00776407" w:rsidRDefault="002D2BD8" w:rsidP="002D2BD8">
      <w:pPr>
        <w:autoSpaceDE w:val="0"/>
        <w:autoSpaceDN w:val="0"/>
        <w:adjustRightInd w:val="0"/>
        <w:rPr>
          <w:rFonts w:eastAsia="Calibri"/>
          <w:sz w:val="22"/>
          <w:szCs w:val="22"/>
        </w:rPr>
      </w:pPr>
    </w:p>
    <w:p w14:paraId="16EFB0A1"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10.</w:t>
      </w:r>
      <w:r w:rsidRPr="00776407">
        <w:rPr>
          <w:rFonts w:eastAsia="Calibri"/>
          <w:b/>
          <w:bCs/>
          <w:sz w:val="22"/>
          <w:szCs w:val="22"/>
        </w:rPr>
        <w:tab/>
      </w:r>
      <w:r w:rsidRPr="00776407">
        <w:rPr>
          <w:rFonts w:eastAsia="Calibri"/>
          <w:b/>
          <w:sz w:val="22"/>
          <w:szCs w:val="22"/>
        </w:rPr>
        <w:t>SPECIALIOS ATSARGUMO PRIEMONĖS DĖL NESUVARTOTO VAISTINIO PREPARATO AR JO ATLIEKŲ TVARKYMO (JEI REIKIA)</w:t>
      </w:r>
    </w:p>
    <w:p w14:paraId="0457C41E" w14:textId="77777777" w:rsidR="002D2BD8" w:rsidRPr="00776407" w:rsidRDefault="002D2BD8" w:rsidP="002D2BD8">
      <w:pPr>
        <w:autoSpaceDE w:val="0"/>
        <w:autoSpaceDN w:val="0"/>
        <w:adjustRightInd w:val="0"/>
        <w:rPr>
          <w:rFonts w:eastAsia="Calibri"/>
          <w:sz w:val="22"/>
          <w:szCs w:val="22"/>
        </w:rPr>
      </w:pPr>
    </w:p>
    <w:p w14:paraId="360B6C25" w14:textId="77777777" w:rsidR="002D2BD8" w:rsidRPr="00776407" w:rsidRDefault="002D2BD8" w:rsidP="002D2BD8">
      <w:pPr>
        <w:autoSpaceDE w:val="0"/>
        <w:autoSpaceDN w:val="0"/>
        <w:adjustRightInd w:val="0"/>
        <w:rPr>
          <w:rFonts w:eastAsia="Calibri"/>
          <w:sz w:val="22"/>
          <w:szCs w:val="22"/>
        </w:rPr>
      </w:pPr>
    </w:p>
    <w:p w14:paraId="6F409896"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11.</w:t>
      </w:r>
      <w:r w:rsidRPr="00776407">
        <w:rPr>
          <w:rFonts w:eastAsia="Calibri"/>
          <w:b/>
          <w:bCs/>
          <w:sz w:val="22"/>
          <w:szCs w:val="22"/>
        </w:rPr>
        <w:tab/>
      </w:r>
      <w:r w:rsidR="000509C9" w:rsidRPr="00776407">
        <w:rPr>
          <w:rFonts w:eastAsia="Calibri"/>
          <w:b/>
          <w:caps/>
          <w:sz w:val="22"/>
          <w:szCs w:val="22"/>
        </w:rPr>
        <w:t>REGISTRUOTOJO</w:t>
      </w:r>
      <w:r w:rsidR="00E51881" w:rsidRPr="00776407">
        <w:rPr>
          <w:rFonts w:eastAsia="Calibri"/>
          <w:b/>
          <w:caps/>
          <w:sz w:val="22"/>
          <w:szCs w:val="22"/>
        </w:rPr>
        <w:t xml:space="preserve"> </w:t>
      </w:r>
      <w:r w:rsidRPr="00776407">
        <w:rPr>
          <w:rFonts w:eastAsia="Calibri"/>
          <w:b/>
          <w:caps/>
          <w:sz w:val="22"/>
          <w:szCs w:val="22"/>
        </w:rPr>
        <w:t>PAVADINIMAS IR ADRESAS</w:t>
      </w:r>
    </w:p>
    <w:p w14:paraId="1C2AA7D5" w14:textId="77777777" w:rsidR="002D2BD8" w:rsidRPr="00776407" w:rsidRDefault="002D2BD8" w:rsidP="002D2BD8">
      <w:pPr>
        <w:autoSpaceDE w:val="0"/>
        <w:autoSpaceDN w:val="0"/>
        <w:adjustRightInd w:val="0"/>
        <w:rPr>
          <w:rFonts w:eastAsia="Calibri"/>
          <w:sz w:val="22"/>
          <w:szCs w:val="22"/>
        </w:rPr>
      </w:pPr>
    </w:p>
    <w:p w14:paraId="2B755B3D"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Actavis Group PTC ehf.</w:t>
      </w:r>
    </w:p>
    <w:p w14:paraId="503A0A3A"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220 Hafnarfjörður</w:t>
      </w:r>
    </w:p>
    <w:p w14:paraId="5DA72F75"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Islandija</w:t>
      </w:r>
    </w:p>
    <w:p w14:paraId="71D473EB" w14:textId="77777777" w:rsidR="002D2BD8" w:rsidRPr="00776407" w:rsidRDefault="002D2BD8" w:rsidP="002D2BD8">
      <w:pPr>
        <w:autoSpaceDE w:val="0"/>
        <w:autoSpaceDN w:val="0"/>
        <w:adjustRightInd w:val="0"/>
        <w:rPr>
          <w:rFonts w:eastAsia="Calibri"/>
          <w:sz w:val="22"/>
          <w:szCs w:val="22"/>
        </w:rPr>
      </w:pPr>
    </w:p>
    <w:p w14:paraId="7E6FE518" w14:textId="77777777" w:rsidR="002D2BD8" w:rsidRPr="00776407" w:rsidRDefault="002D2BD8" w:rsidP="002D2BD8">
      <w:pPr>
        <w:autoSpaceDE w:val="0"/>
        <w:autoSpaceDN w:val="0"/>
        <w:adjustRightInd w:val="0"/>
        <w:rPr>
          <w:rFonts w:eastAsia="Calibri"/>
          <w:sz w:val="22"/>
          <w:szCs w:val="22"/>
        </w:rPr>
      </w:pPr>
    </w:p>
    <w:p w14:paraId="25B4CB1F"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12.</w:t>
      </w:r>
      <w:r w:rsidRPr="00776407">
        <w:rPr>
          <w:rFonts w:eastAsia="Calibri"/>
          <w:b/>
          <w:bCs/>
          <w:sz w:val="22"/>
          <w:szCs w:val="22"/>
        </w:rPr>
        <w:tab/>
      </w:r>
      <w:r w:rsidR="00420E99" w:rsidRPr="00776407">
        <w:rPr>
          <w:rFonts w:eastAsia="Calibri"/>
          <w:b/>
          <w:bCs/>
          <w:sz w:val="22"/>
          <w:szCs w:val="22"/>
        </w:rPr>
        <w:t>REGISTRACIJOS PAŽYMĖJIMO NUMERIAI</w:t>
      </w:r>
    </w:p>
    <w:p w14:paraId="23E1326A" w14:textId="77777777" w:rsidR="002D2BD8" w:rsidRPr="00776407" w:rsidRDefault="002D2BD8" w:rsidP="002D2BD8">
      <w:pPr>
        <w:autoSpaceDE w:val="0"/>
        <w:autoSpaceDN w:val="0"/>
        <w:adjustRightInd w:val="0"/>
        <w:rPr>
          <w:rFonts w:eastAsia="Calibri"/>
          <w:sz w:val="22"/>
          <w:szCs w:val="22"/>
        </w:rPr>
      </w:pPr>
    </w:p>
    <w:p w14:paraId="1157D14C" w14:textId="77777777" w:rsidR="00B973CA" w:rsidRPr="00776407" w:rsidRDefault="00B973CA" w:rsidP="00B973CA">
      <w:pPr>
        <w:rPr>
          <w:sz w:val="22"/>
          <w:szCs w:val="22"/>
        </w:rPr>
      </w:pPr>
      <w:r w:rsidRPr="00776407">
        <w:rPr>
          <w:sz w:val="22"/>
          <w:szCs w:val="22"/>
        </w:rPr>
        <w:t>EU/1/13/825/020</w:t>
      </w:r>
    </w:p>
    <w:p w14:paraId="7104FA57" w14:textId="77777777" w:rsidR="00B973CA" w:rsidRPr="00776407" w:rsidRDefault="00B973CA" w:rsidP="00B973CA">
      <w:pPr>
        <w:rPr>
          <w:sz w:val="22"/>
          <w:szCs w:val="22"/>
        </w:rPr>
      </w:pPr>
      <w:r w:rsidRPr="00776407">
        <w:rPr>
          <w:sz w:val="22"/>
          <w:szCs w:val="22"/>
        </w:rPr>
        <w:t>EU/1/13/825/021</w:t>
      </w:r>
    </w:p>
    <w:p w14:paraId="6704E279" w14:textId="77777777" w:rsidR="00B973CA" w:rsidRPr="00776407" w:rsidRDefault="00B973CA" w:rsidP="00B973CA">
      <w:pPr>
        <w:rPr>
          <w:sz w:val="22"/>
          <w:szCs w:val="22"/>
        </w:rPr>
      </w:pPr>
      <w:r w:rsidRPr="00776407">
        <w:rPr>
          <w:sz w:val="22"/>
          <w:szCs w:val="22"/>
        </w:rPr>
        <w:t>EU/1/13/825/022</w:t>
      </w:r>
    </w:p>
    <w:p w14:paraId="41713A5C" w14:textId="77777777" w:rsidR="00B973CA" w:rsidRPr="00776407" w:rsidRDefault="00B973CA" w:rsidP="00B973CA">
      <w:pPr>
        <w:rPr>
          <w:sz w:val="22"/>
          <w:szCs w:val="22"/>
        </w:rPr>
      </w:pPr>
      <w:r w:rsidRPr="00776407">
        <w:rPr>
          <w:sz w:val="22"/>
          <w:szCs w:val="22"/>
        </w:rPr>
        <w:t>EU/1/13/825/023</w:t>
      </w:r>
    </w:p>
    <w:p w14:paraId="2FD8C5AC" w14:textId="77777777" w:rsidR="002D2BD8" w:rsidRPr="00776407" w:rsidRDefault="002D2BD8" w:rsidP="002D2BD8">
      <w:pPr>
        <w:autoSpaceDE w:val="0"/>
        <w:autoSpaceDN w:val="0"/>
        <w:adjustRightInd w:val="0"/>
        <w:rPr>
          <w:rFonts w:eastAsia="Calibri"/>
          <w:sz w:val="22"/>
          <w:szCs w:val="22"/>
        </w:rPr>
      </w:pPr>
    </w:p>
    <w:p w14:paraId="2A2420B1"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13.</w:t>
      </w:r>
      <w:r w:rsidRPr="00776407">
        <w:rPr>
          <w:rFonts w:eastAsia="Calibri"/>
          <w:b/>
          <w:bCs/>
          <w:sz w:val="22"/>
          <w:szCs w:val="22"/>
        </w:rPr>
        <w:tab/>
        <w:t>SERIJOS NUMERIS</w:t>
      </w:r>
    </w:p>
    <w:p w14:paraId="4706EB89" w14:textId="77777777" w:rsidR="002D2BD8" w:rsidRPr="00776407" w:rsidRDefault="002D2BD8" w:rsidP="002D2BD8">
      <w:pPr>
        <w:autoSpaceDE w:val="0"/>
        <w:autoSpaceDN w:val="0"/>
        <w:adjustRightInd w:val="0"/>
        <w:rPr>
          <w:rFonts w:eastAsia="Calibri"/>
          <w:sz w:val="22"/>
          <w:szCs w:val="22"/>
        </w:rPr>
      </w:pPr>
    </w:p>
    <w:p w14:paraId="6F86BA50" w14:textId="77777777" w:rsidR="002D2BD8" w:rsidRPr="00776407" w:rsidRDefault="00B11495" w:rsidP="002D2BD8">
      <w:pPr>
        <w:autoSpaceDE w:val="0"/>
        <w:autoSpaceDN w:val="0"/>
        <w:adjustRightInd w:val="0"/>
        <w:rPr>
          <w:rFonts w:eastAsia="Calibri"/>
          <w:sz w:val="22"/>
          <w:szCs w:val="22"/>
        </w:rPr>
      </w:pPr>
      <w:r w:rsidRPr="00776407">
        <w:rPr>
          <w:rFonts w:eastAsia="Calibri"/>
          <w:sz w:val="22"/>
          <w:szCs w:val="22"/>
        </w:rPr>
        <w:t>Lot</w:t>
      </w:r>
    </w:p>
    <w:p w14:paraId="1EA67D36" w14:textId="77777777" w:rsidR="002D2BD8" w:rsidRPr="00776407" w:rsidRDefault="002D2BD8" w:rsidP="002D2BD8">
      <w:pPr>
        <w:autoSpaceDE w:val="0"/>
        <w:autoSpaceDN w:val="0"/>
        <w:adjustRightInd w:val="0"/>
        <w:rPr>
          <w:rFonts w:eastAsia="Calibri"/>
          <w:sz w:val="22"/>
          <w:szCs w:val="22"/>
        </w:rPr>
      </w:pPr>
    </w:p>
    <w:p w14:paraId="741E34B1" w14:textId="77777777" w:rsidR="002D2BD8" w:rsidRPr="00776407" w:rsidRDefault="002D2BD8" w:rsidP="002D2BD8">
      <w:pPr>
        <w:autoSpaceDE w:val="0"/>
        <w:autoSpaceDN w:val="0"/>
        <w:adjustRightInd w:val="0"/>
        <w:rPr>
          <w:rFonts w:eastAsia="Calibri"/>
          <w:sz w:val="22"/>
          <w:szCs w:val="22"/>
        </w:rPr>
      </w:pPr>
    </w:p>
    <w:p w14:paraId="45D84D5B"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14.</w:t>
      </w:r>
      <w:r w:rsidRPr="00776407">
        <w:rPr>
          <w:rFonts w:eastAsia="Calibri"/>
          <w:b/>
          <w:bCs/>
          <w:sz w:val="22"/>
          <w:szCs w:val="22"/>
        </w:rPr>
        <w:tab/>
        <w:t>PARDAVIMO (IŠDAVIMO TVARKA)</w:t>
      </w:r>
    </w:p>
    <w:p w14:paraId="161C7AFF" w14:textId="77777777" w:rsidR="002D2BD8" w:rsidRPr="00776407" w:rsidRDefault="002D2BD8" w:rsidP="002D2BD8">
      <w:pPr>
        <w:autoSpaceDE w:val="0"/>
        <w:autoSpaceDN w:val="0"/>
        <w:adjustRightInd w:val="0"/>
        <w:rPr>
          <w:rFonts w:eastAsia="Calibri"/>
          <w:sz w:val="22"/>
          <w:szCs w:val="22"/>
        </w:rPr>
      </w:pPr>
    </w:p>
    <w:p w14:paraId="5DA7416E" w14:textId="77777777" w:rsidR="002D2BD8" w:rsidRPr="00776407" w:rsidRDefault="002D2BD8" w:rsidP="002D2BD8">
      <w:pPr>
        <w:autoSpaceDE w:val="0"/>
        <w:autoSpaceDN w:val="0"/>
        <w:adjustRightInd w:val="0"/>
        <w:rPr>
          <w:rFonts w:eastAsia="Calibri"/>
          <w:sz w:val="22"/>
          <w:szCs w:val="22"/>
        </w:rPr>
      </w:pPr>
    </w:p>
    <w:p w14:paraId="74860D06"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15.</w:t>
      </w:r>
      <w:r w:rsidRPr="00776407">
        <w:rPr>
          <w:rFonts w:eastAsia="Calibri"/>
          <w:b/>
          <w:bCs/>
          <w:sz w:val="22"/>
          <w:szCs w:val="22"/>
        </w:rPr>
        <w:tab/>
        <w:t>VARTOJIMO INSTRUKCIJA</w:t>
      </w:r>
    </w:p>
    <w:p w14:paraId="55AE86E1" w14:textId="77777777" w:rsidR="002D2BD8" w:rsidRPr="00776407" w:rsidRDefault="002D2BD8" w:rsidP="002D2BD8">
      <w:pPr>
        <w:autoSpaceDE w:val="0"/>
        <w:autoSpaceDN w:val="0"/>
        <w:adjustRightInd w:val="0"/>
        <w:rPr>
          <w:rFonts w:eastAsia="Calibri"/>
          <w:sz w:val="22"/>
          <w:szCs w:val="22"/>
        </w:rPr>
      </w:pPr>
    </w:p>
    <w:p w14:paraId="23794E91" w14:textId="77777777" w:rsidR="002D2BD8" w:rsidRPr="00776407" w:rsidRDefault="002D2BD8" w:rsidP="002D2BD8">
      <w:pPr>
        <w:autoSpaceDE w:val="0"/>
        <w:autoSpaceDN w:val="0"/>
        <w:adjustRightInd w:val="0"/>
        <w:rPr>
          <w:rFonts w:eastAsia="Calibri"/>
          <w:sz w:val="22"/>
          <w:szCs w:val="22"/>
        </w:rPr>
      </w:pPr>
    </w:p>
    <w:p w14:paraId="7FC7C892"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16.</w:t>
      </w:r>
      <w:r w:rsidRPr="00776407">
        <w:rPr>
          <w:rFonts w:eastAsia="Calibri"/>
          <w:b/>
          <w:bCs/>
          <w:sz w:val="22"/>
          <w:szCs w:val="22"/>
        </w:rPr>
        <w:tab/>
        <w:t>INFORMACIJA BRAILIO RAŠTU</w:t>
      </w:r>
    </w:p>
    <w:p w14:paraId="2E667636" w14:textId="77777777" w:rsidR="002D2BD8" w:rsidRPr="00776407" w:rsidRDefault="002D2BD8" w:rsidP="002D2BD8">
      <w:pPr>
        <w:autoSpaceDE w:val="0"/>
        <w:autoSpaceDN w:val="0"/>
        <w:adjustRightInd w:val="0"/>
        <w:rPr>
          <w:rFonts w:eastAsia="Calibri"/>
          <w:sz w:val="22"/>
          <w:szCs w:val="22"/>
        </w:rPr>
      </w:pPr>
    </w:p>
    <w:p w14:paraId="2BD1C21F"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Imatinib Actavis 400 mg</w:t>
      </w:r>
    </w:p>
    <w:p w14:paraId="2910E433" w14:textId="77777777" w:rsidR="000509C9" w:rsidRPr="00776407" w:rsidRDefault="000509C9" w:rsidP="000509C9">
      <w:pPr>
        <w:autoSpaceDE w:val="0"/>
        <w:autoSpaceDN w:val="0"/>
        <w:adjustRightInd w:val="0"/>
        <w:rPr>
          <w:sz w:val="22"/>
          <w:szCs w:val="22"/>
        </w:rPr>
      </w:pPr>
    </w:p>
    <w:p w14:paraId="080F3034" w14:textId="77777777" w:rsidR="000509C9" w:rsidRPr="00776407" w:rsidRDefault="000509C9" w:rsidP="000509C9">
      <w:pPr>
        <w:tabs>
          <w:tab w:val="left" w:pos="567"/>
        </w:tabs>
        <w:rPr>
          <w:noProof/>
          <w:sz w:val="22"/>
          <w:szCs w:val="22"/>
          <w:shd w:val="clear" w:color="auto" w:fill="CCCCCC"/>
          <w:lang w:eastAsia="lt-LT" w:bidi="lt-LT"/>
        </w:rPr>
      </w:pPr>
    </w:p>
    <w:p w14:paraId="49B8ECCB" w14:textId="77777777" w:rsidR="000509C9" w:rsidRPr="00776407" w:rsidRDefault="000509C9" w:rsidP="00864BE6">
      <w:pPr>
        <w:keepNext/>
        <w:numPr>
          <w:ilvl w:val="0"/>
          <w:numId w:val="16"/>
        </w:numPr>
        <w:pBdr>
          <w:top w:val="single" w:sz="4" w:space="1" w:color="auto"/>
          <w:left w:val="single" w:sz="4" w:space="4" w:color="auto"/>
          <w:bottom w:val="single" w:sz="4" w:space="1" w:color="auto"/>
          <w:right w:val="single" w:sz="4" w:space="4" w:color="auto"/>
        </w:pBdr>
        <w:tabs>
          <w:tab w:val="left" w:pos="567"/>
        </w:tabs>
        <w:spacing w:line="260" w:lineRule="exact"/>
        <w:ind w:hanging="720"/>
        <w:outlineLvl w:val="0"/>
        <w:rPr>
          <w:i/>
          <w:noProof/>
          <w:sz w:val="22"/>
          <w:szCs w:val="20"/>
          <w:lang w:eastAsia="lt-LT" w:bidi="lt-LT"/>
        </w:rPr>
      </w:pPr>
      <w:r w:rsidRPr="00776407">
        <w:rPr>
          <w:b/>
          <w:noProof/>
          <w:sz w:val="22"/>
          <w:szCs w:val="20"/>
          <w:lang w:eastAsia="lt-LT" w:bidi="lt-LT"/>
        </w:rPr>
        <w:t>UNIKALUS IDENTIFIKATORIUS – 2D BRŪKŠNINIS KODAS</w:t>
      </w:r>
    </w:p>
    <w:p w14:paraId="56610089" w14:textId="77777777" w:rsidR="000509C9" w:rsidRPr="00776407" w:rsidRDefault="000509C9" w:rsidP="000509C9">
      <w:pPr>
        <w:rPr>
          <w:noProof/>
          <w:sz w:val="22"/>
          <w:szCs w:val="20"/>
          <w:lang w:eastAsia="lt-LT" w:bidi="lt-LT"/>
        </w:rPr>
      </w:pPr>
    </w:p>
    <w:p w14:paraId="625E6AF9" w14:textId="77777777" w:rsidR="006D099C" w:rsidRPr="00776407" w:rsidRDefault="006D099C" w:rsidP="006D099C">
      <w:pPr>
        <w:rPr>
          <w:noProof/>
          <w:sz w:val="22"/>
          <w:szCs w:val="20"/>
          <w:highlight w:val="lightGray"/>
          <w:lang w:bidi="lt-LT"/>
        </w:rPr>
      </w:pPr>
      <w:r w:rsidRPr="00776407">
        <w:rPr>
          <w:noProof/>
          <w:sz w:val="22"/>
          <w:szCs w:val="20"/>
          <w:highlight w:val="lightGray"/>
          <w:lang w:bidi="lt-LT"/>
        </w:rPr>
        <w:t>&lt;2D brūkšninis kodas su nurodytu unikaliu identifikatoriumi.&gt;</w:t>
      </w:r>
    </w:p>
    <w:p w14:paraId="5B3ABF2D" w14:textId="77777777" w:rsidR="000509C9" w:rsidRPr="00776407" w:rsidRDefault="000509C9" w:rsidP="000509C9">
      <w:pPr>
        <w:rPr>
          <w:noProof/>
          <w:sz w:val="22"/>
          <w:szCs w:val="20"/>
          <w:lang w:eastAsia="lt-LT" w:bidi="lt-LT"/>
        </w:rPr>
      </w:pPr>
    </w:p>
    <w:p w14:paraId="77C510B0" w14:textId="77777777" w:rsidR="009050B3" w:rsidRPr="00776407" w:rsidRDefault="009050B3" w:rsidP="000509C9">
      <w:pPr>
        <w:rPr>
          <w:noProof/>
          <w:sz w:val="22"/>
          <w:szCs w:val="20"/>
          <w:lang w:eastAsia="lt-LT" w:bidi="lt-LT"/>
        </w:rPr>
      </w:pPr>
    </w:p>
    <w:p w14:paraId="5E1E2CFE" w14:textId="77777777" w:rsidR="000509C9" w:rsidRPr="00776407" w:rsidRDefault="000509C9" w:rsidP="00864BE6">
      <w:pPr>
        <w:keepNext/>
        <w:numPr>
          <w:ilvl w:val="0"/>
          <w:numId w:val="16"/>
        </w:numPr>
        <w:pBdr>
          <w:top w:val="single" w:sz="4" w:space="1" w:color="auto"/>
          <w:left w:val="single" w:sz="4" w:space="4" w:color="auto"/>
          <w:bottom w:val="single" w:sz="4" w:space="1" w:color="auto"/>
          <w:right w:val="single" w:sz="4" w:space="4" w:color="auto"/>
        </w:pBdr>
        <w:tabs>
          <w:tab w:val="left" w:pos="567"/>
        </w:tabs>
        <w:spacing w:line="260" w:lineRule="exact"/>
        <w:ind w:hanging="720"/>
        <w:outlineLvl w:val="0"/>
        <w:rPr>
          <w:i/>
          <w:noProof/>
          <w:sz w:val="22"/>
          <w:szCs w:val="20"/>
          <w:lang w:eastAsia="lt-LT" w:bidi="lt-LT"/>
        </w:rPr>
      </w:pPr>
      <w:r w:rsidRPr="00776407">
        <w:rPr>
          <w:b/>
          <w:noProof/>
          <w:sz w:val="22"/>
          <w:szCs w:val="20"/>
          <w:lang w:eastAsia="lt-LT" w:bidi="lt-LT"/>
        </w:rPr>
        <w:t>UNIKALUS IDENTIFIKATORIUS – ŽMONĖMS SUPRANTAMI DUOMENYS</w:t>
      </w:r>
    </w:p>
    <w:p w14:paraId="46B0EC42" w14:textId="77777777" w:rsidR="000509C9" w:rsidRPr="00776407" w:rsidRDefault="000509C9" w:rsidP="000509C9">
      <w:pPr>
        <w:rPr>
          <w:noProof/>
          <w:sz w:val="22"/>
          <w:szCs w:val="20"/>
          <w:lang w:eastAsia="lt-LT" w:bidi="lt-LT"/>
        </w:rPr>
      </w:pPr>
    </w:p>
    <w:p w14:paraId="0C646D9B" w14:textId="1BBF04E9" w:rsidR="009050B3" w:rsidRPr="00776407" w:rsidRDefault="006D099C" w:rsidP="009050B3">
      <w:pPr>
        <w:tabs>
          <w:tab w:val="left" w:pos="567"/>
        </w:tabs>
        <w:rPr>
          <w:sz w:val="22"/>
          <w:szCs w:val="22"/>
        </w:rPr>
      </w:pPr>
      <w:r w:rsidRPr="00776407">
        <w:rPr>
          <w:sz w:val="22"/>
          <w:szCs w:val="22"/>
        </w:rPr>
        <w:t>PC {numeris</w:t>
      </w:r>
      <w:r w:rsidR="009050B3" w:rsidRPr="00776407">
        <w:rPr>
          <w:sz w:val="22"/>
          <w:szCs w:val="22"/>
        </w:rPr>
        <w:t>}</w:t>
      </w:r>
    </w:p>
    <w:p w14:paraId="03CD8DAF" w14:textId="0A2C10ED" w:rsidR="009050B3" w:rsidRPr="00776407" w:rsidRDefault="006D099C" w:rsidP="009050B3">
      <w:pPr>
        <w:tabs>
          <w:tab w:val="left" w:pos="567"/>
        </w:tabs>
        <w:rPr>
          <w:sz w:val="22"/>
          <w:szCs w:val="22"/>
        </w:rPr>
      </w:pPr>
      <w:r w:rsidRPr="00776407">
        <w:rPr>
          <w:sz w:val="22"/>
          <w:szCs w:val="22"/>
        </w:rPr>
        <w:t>SN {numeris</w:t>
      </w:r>
      <w:r w:rsidR="009050B3" w:rsidRPr="00776407">
        <w:rPr>
          <w:sz w:val="22"/>
          <w:szCs w:val="22"/>
        </w:rPr>
        <w:t>}</w:t>
      </w:r>
    </w:p>
    <w:p w14:paraId="7FC112CA" w14:textId="57920300" w:rsidR="009050B3" w:rsidRPr="00776407" w:rsidRDefault="006D099C" w:rsidP="009050B3">
      <w:pPr>
        <w:tabs>
          <w:tab w:val="left" w:pos="567"/>
        </w:tabs>
        <w:rPr>
          <w:b/>
          <w:noProof/>
          <w:sz w:val="22"/>
          <w:szCs w:val="22"/>
          <w:u w:val="single"/>
        </w:rPr>
      </w:pPr>
      <w:r w:rsidRPr="00776407">
        <w:rPr>
          <w:sz w:val="22"/>
          <w:szCs w:val="22"/>
        </w:rPr>
        <w:t>NN {numeris</w:t>
      </w:r>
      <w:r w:rsidR="009050B3" w:rsidRPr="00776407">
        <w:rPr>
          <w:sz w:val="22"/>
          <w:szCs w:val="22"/>
        </w:rPr>
        <w:t>}</w:t>
      </w:r>
    </w:p>
    <w:p w14:paraId="2CFAD3A2" w14:textId="77777777" w:rsidR="009050B3" w:rsidRPr="00776407" w:rsidRDefault="009050B3" w:rsidP="000509C9">
      <w:pPr>
        <w:rPr>
          <w:noProof/>
          <w:sz w:val="22"/>
          <w:szCs w:val="20"/>
          <w:lang w:eastAsia="lt-LT" w:bidi="lt-LT"/>
        </w:rPr>
      </w:pPr>
    </w:p>
    <w:p w14:paraId="2D95B842" w14:textId="77777777" w:rsidR="002D2BD8" w:rsidRPr="00776407" w:rsidRDefault="002D2BD8" w:rsidP="002D2BD8">
      <w:pPr>
        <w:autoSpaceDE w:val="0"/>
        <w:autoSpaceDN w:val="0"/>
        <w:adjustRightInd w:val="0"/>
        <w:rPr>
          <w:rFonts w:eastAsia="Calibri"/>
          <w:sz w:val="22"/>
          <w:szCs w:val="22"/>
        </w:rPr>
      </w:pPr>
    </w:p>
    <w:p w14:paraId="63CA7D9D"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br w:type="page"/>
      </w:r>
    </w:p>
    <w:p w14:paraId="6A41CE5E"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rPr>
          <w:rFonts w:eastAsia="Calibri"/>
          <w:b/>
          <w:sz w:val="22"/>
          <w:szCs w:val="22"/>
        </w:rPr>
      </w:pPr>
      <w:r w:rsidRPr="00776407">
        <w:rPr>
          <w:rFonts w:eastAsia="Calibri"/>
          <w:b/>
          <w:sz w:val="22"/>
          <w:szCs w:val="22"/>
        </w:rPr>
        <w:t>MINIMALI INFORMACIJA ANT LIZDINIŲ PLOKŠTELIŲ ARBA DVISLUOKSNIŲ JUOSTELIŲ</w:t>
      </w:r>
    </w:p>
    <w:p w14:paraId="7996E049"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rPr>
          <w:rFonts w:eastAsia="Calibri"/>
          <w:bCs/>
          <w:sz w:val="22"/>
          <w:szCs w:val="22"/>
        </w:rPr>
      </w:pPr>
    </w:p>
    <w:p w14:paraId="2C273F31"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LIZDINĖ PLOKŠTELĖ</w:t>
      </w:r>
    </w:p>
    <w:p w14:paraId="78AFF937" w14:textId="77777777" w:rsidR="002D2BD8" w:rsidRPr="00776407" w:rsidRDefault="002D2BD8" w:rsidP="002D2BD8">
      <w:pPr>
        <w:autoSpaceDE w:val="0"/>
        <w:autoSpaceDN w:val="0"/>
        <w:adjustRightInd w:val="0"/>
        <w:rPr>
          <w:rFonts w:eastAsia="Calibri"/>
          <w:sz w:val="22"/>
          <w:szCs w:val="22"/>
        </w:rPr>
      </w:pPr>
    </w:p>
    <w:p w14:paraId="11F89896" w14:textId="77777777" w:rsidR="002D2BD8" w:rsidRPr="00776407" w:rsidRDefault="002D2BD8" w:rsidP="002D2BD8">
      <w:pPr>
        <w:autoSpaceDE w:val="0"/>
        <w:autoSpaceDN w:val="0"/>
        <w:adjustRightInd w:val="0"/>
        <w:rPr>
          <w:rFonts w:eastAsia="Calibri"/>
          <w:sz w:val="22"/>
          <w:szCs w:val="22"/>
        </w:rPr>
      </w:pPr>
    </w:p>
    <w:p w14:paraId="090271A9"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1.</w:t>
      </w:r>
      <w:r w:rsidRPr="00776407">
        <w:rPr>
          <w:rFonts w:eastAsia="Calibri"/>
          <w:b/>
          <w:bCs/>
          <w:sz w:val="22"/>
          <w:szCs w:val="22"/>
        </w:rPr>
        <w:tab/>
        <w:t>VAISTINIO PREPARATO PAVADINIMAS</w:t>
      </w:r>
    </w:p>
    <w:p w14:paraId="3DCF1897" w14:textId="77777777" w:rsidR="002D2BD8" w:rsidRPr="00776407" w:rsidRDefault="002D2BD8" w:rsidP="002D2BD8">
      <w:pPr>
        <w:autoSpaceDE w:val="0"/>
        <w:autoSpaceDN w:val="0"/>
        <w:adjustRightInd w:val="0"/>
        <w:rPr>
          <w:rFonts w:eastAsia="Calibri"/>
          <w:sz w:val="22"/>
          <w:szCs w:val="22"/>
        </w:rPr>
      </w:pPr>
    </w:p>
    <w:p w14:paraId="4CEF3B89"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Imatinib Actavis 400 mg kapsulės</w:t>
      </w:r>
    </w:p>
    <w:p w14:paraId="10CBD914" w14:textId="178A0BF7" w:rsidR="002D2BD8" w:rsidRPr="00881EFD" w:rsidRDefault="00AA08DE" w:rsidP="002D2BD8">
      <w:pPr>
        <w:autoSpaceDE w:val="0"/>
        <w:autoSpaceDN w:val="0"/>
        <w:adjustRightInd w:val="0"/>
        <w:rPr>
          <w:rFonts w:eastAsia="Calibri"/>
          <w:i/>
          <w:sz w:val="22"/>
          <w:szCs w:val="22"/>
        </w:rPr>
      </w:pPr>
      <w:r w:rsidRPr="00776407">
        <w:rPr>
          <w:rFonts w:eastAsia="Calibri"/>
          <w:i/>
          <w:sz w:val="22"/>
          <w:szCs w:val="22"/>
        </w:rPr>
        <w:t>i</w:t>
      </w:r>
      <w:r w:rsidR="002D2BD8" w:rsidRPr="00881EFD">
        <w:rPr>
          <w:rFonts w:eastAsia="Calibri"/>
          <w:i/>
          <w:sz w:val="22"/>
          <w:szCs w:val="22"/>
        </w:rPr>
        <w:t>matinibum</w:t>
      </w:r>
    </w:p>
    <w:p w14:paraId="775393BA" w14:textId="77777777" w:rsidR="002D2BD8" w:rsidRPr="00776407" w:rsidRDefault="002D2BD8" w:rsidP="002D2BD8">
      <w:pPr>
        <w:autoSpaceDE w:val="0"/>
        <w:autoSpaceDN w:val="0"/>
        <w:adjustRightInd w:val="0"/>
        <w:rPr>
          <w:rFonts w:eastAsia="Calibri"/>
          <w:sz w:val="22"/>
          <w:szCs w:val="22"/>
        </w:rPr>
      </w:pPr>
    </w:p>
    <w:p w14:paraId="5C574100" w14:textId="77777777" w:rsidR="002D2BD8" w:rsidRPr="00776407" w:rsidRDefault="002D2BD8" w:rsidP="002D2BD8">
      <w:pPr>
        <w:autoSpaceDE w:val="0"/>
        <w:autoSpaceDN w:val="0"/>
        <w:adjustRightInd w:val="0"/>
        <w:rPr>
          <w:rFonts w:eastAsia="Calibri"/>
          <w:sz w:val="22"/>
          <w:szCs w:val="22"/>
        </w:rPr>
      </w:pPr>
    </w:p>
    <w:p w14:paraId="1A6595B6"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2.</w:t>
      </w:r>
      <w:r w:rsidRPr="00776407">
        <w:rPr>
          <w:rFonts w:eastAsia="Calibri"/>
          <w:b/>
          <w:bCs/>
          <w:sz w:val="22"/>
          <w:szCs w:val="22"/>
        </w:rPr>
        <w:tab/>
      </w:r>
      <w:r w:rsidR="000509C9" w:rsidRPr="00776407">
        <w:rPr>
          <w:rFonts w:eastAsia="Calibri"/>
          <w:b/>
          <w:bCs/>
          <w:sz w:val="22"/>
          <w:szCs w:val="22"/>
        </w:rPr>
        <w:t>REGISTRUOTOJO</w:t>
      </w:r>
      <w:r w:rsidR="00E51881" w:rsidRPr="00776407">
        <w:rPr>
          <w:rFonts w:eastAsia="Calibri"/>
          <w:b/>
          <w:bCs/>
          <w:sz w:val="22"/>
          <w:szCs w:val="22"/>
        </w:rPr>
        <w:t xml:space="preserve"> </w:t>
      </w:r>
      <w:r w:rsidRPr="00776407">
        <w:rPr>
          <w:rFonts w:eastAsia="Calibri"/>
          <w:b/>
          <w:bCs/>
          <w:sz w:val="22"/>
          <w:szCs w:val="22"/>
        </w:rPr>
        <w:t>PAVADINIMAS</w:t>
      </w:r>
    </w:p>
    <w:p w14:paraId="462D327F" w14:textId="77777777" w:rsidR="002D2BD8" w:rsidRPr="00776407" w:rsidRDefault="002D2BD8" w:rsidP="002D2BD8">
      <w:pPr>
        <w:autoSpaceDE w:val="0"/>
        <w:autoSpaceDN w:val="0"/>
        <w:adjustRightInd w:val="0"/>
        <w:rPr>
          <w:rFonts w:eastAsia="Calibri"/>
          <w:sz w:val="22"/>
          <w:szCs w:val="22"/>
        </w:rPr>
      </w:pPr>
    </w:p>
    <w:p w14:paraId="4EF701A3"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highlight w:val="lightGray"/>
        </w:rPr>
        <w:t>[Actavis logo]</w:t>
      </w:r>
    </w:p>
    <w:p w14:paraId="75069956" w14:textId="77777777" w:rsidR="002D2BD8" w:rsidRPr="00776407" w:rsidRDefault="002D2BD8" w:rsidP="002D2BD8">
      <w:pPr>
        <w:autoSpaceDE w:val="0"/>
        <w:autoSpaceDN w:val="0"/>
        <w:adjustRightInd w:val="0"/>
        <w:rPr>
          <w:rFonts w:eastAsia="Calibri"/>
          <w:sz w:val="22"/>
          <w:szCs w:val="22"/>
        </w:rPr>
      </w:pPr>
    </w:p>
    <w:p w14:paraId="19357141" w14:textId="77777777" w:rsidR="002D2BD8" w:rsidRPr="00776407" w:rsidRDefault="002D2BD8" w:rsidP="002D2BD8">
      <w:pPr>
        <w:autoSpaceDE w:val="0"/>
        <w:autoSpaceDN w:val="0"/>
        <w:adjustRightInd w:val="0"/>
        <w:rPr>
          <w:rFonts w:eastAsia="Calibri"/>
          <w:sz w:val="22"/>
          <w:szCs w:val="22"/>
        </w:rPr>
      </w:pPr>
    </w:p>
    <w:p w14:paraId="32468B94"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3.</w:t>
      </w:r>
      <w:r w:rsidRPr="00776407">
        <w:rPr>
          <w:rFonts w:eastAsia="Calibri"/>
          <w:b/>
          <w:bCs/>
          <w:sz w:val="22"/>
          <w:szCs w:val="22"/>
        </w:rPr>
        <w:tab/>
        <w:t>TINKAMUMO LAIKAS</w:t>
      </w:r>
    </w:p>
    <w:p w14:paraId="576572BF" w14:textId="77777777" w:rsidR="002D2BD8" w:rsidRPr="00776407" w:rsidRDefault="002D2BD8" w:rsidP="002D2BD8">
      <w:pPr>
        <w:autoSpaceDE w:val="0"/>
        <w:autoSpaceDN w:val="0"/>
        <w:adjustRightInd w:val="0"/>
        <w:rPr>
          <w:rFonts w:eastAsia="Calibri"/>
          <w:sz w:val="22"/>
          <w:szCs w:val="22"/>
        </w:rPr>
      </w:pPr>
    </w:p>
    <w:p w14:paraId="69EFFC40"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EXP</w:t>
      </w:r>
    </w:p>
    <w:p w14:paraId="36AD0E8C" w14:textId="77777777" w:rsidR="002D2BD8" w:rsidRPr="00776407" w:rsidRDefault="002D2BD8" w:rsidP="002D2BD8">
      <w:pPr>
        <w:autoSpaceDE w:val="0"/>
        <w:autoSpaceDN w:val="0"/>
        <w:adjustRightInd w:val="0"/>
        <w:rPr>
          <w:rFonts w:eastAsia="Calibri"/>
          <w:sz w:val="22"/>
          <w:szCs w:val="22"/>
        </w:rPr>
      </w:pPr>
    </w:p>
    <w:p w14:paraId="2813EEE5" w14:textId="77777777" w:rsidR="002D2BD8" w:rsidRPr="00776407" w:rsidRDefault="002D2BD8" w:rsidP="002D2BD8">
      <w:pPr>
        <w:autoSpaceDE w:val="0"/>
        <w:autoSpaceDN w:val="0"/>
        <w:adjustRightInd w:val="0"/>
        <w:rPr>
          <w:rFonts w:eastAsia="Calibri"/>
          <w:sz w:val="22"/>
          <w:szCs w:val="22"/>
        </w:rPr>
      </w:pPr>
    </w:p>
    <w:p w14:paraId="1FC09F76"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4.</w:t>
      </w:r>
      <w:r w:rsidRPr="00776407">
        <w:rPr>
          <w:rFonts w:eastAsia="Calibri"/>
          <w:b/>
          <w:bCs/>
          <w:sz w:val="22"/>
          <w:szCs w:val="22"/>
        </w:rPr>
        <w:tab/>
        <w:t>SERIJOS NUMERIS</w:t>
      </w:r>
    </w:p>
    <w:p w14:paraId="3BB2244B" w14:textId="77777777" w:rsidR="002D2BD8" w:rsidRPr="00776407" w:rsidRDefault="002D2BD8" w:rsidP="002D2BD8">
      <w:pPr>
        <w:autoSpaceDE w:val="0"/>
        <w:autoSpaceDN w:val="0"/>
        <w:adjustRightInd w:val="0"/>
        <w:rPr>
          <w:rFonts w:eastAsia="Calibri"/>
          <w:sz w:val="22"/>
          <w:szCs w:val="22"/>
        </w:rPr>
      </w:pPr>
    </w:p>
    <w:p w14:paraId="3C273474"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Lot</w:t>
      </w:r>
    </w:p>
    <w:p w14:paraId="47140C80" w14:textId="77777777" w:rsidR="002D2BD8" w:rsidRPr="00776407" w:rsidRDefault="002D2BD8" w:rsidP="002D2BD8">
      <w:pPr>
        <w:autoSpaceDE w:val="0"/>
        <w:autoSpaceDN w:val="0"/>
        <w:adjustRightInd w:val="0"/>
        <w:rPr>
          <w:rFonts w:eastAsia="Calibri"/>
          <w:sz w:val="22"/>
          <w:szCs w:val="22"/>
        </w:rPr>
      </w:pPr>
    </w:p>
    <w:p w14:paraId="6730537A" w14:textId="77777777" w:rsidR="002D2BD8" w:rsidRPr="00776407" w:rsidRDefault="002D2BD8" w:rsidP="002D2BD8">
      <w:pPr>
        <w:autoSpaceDE w:val="0"/>
        <w:autoSpaceDN w:val="0"/>
        <w:adjustRightInd w:val="0"/>
        <w:rPr>
          <w:rFonts w:eastAsia="Calibri"/>
          <w:sz w:val="22"/>
          <w:szCs w:val="22"/>
        </w:rPr>
      </w:pPr>
    </w:p>
    <w:p w14:paraId="43FF6C60" w14:textId="77777777" w:rsidR="002D2BD8" w:rsidRPr="00776407" w:rsidRDefault="002D2BD8" w:rsidP="002D2BD8">
      <w:pPr>
        <w:pBdr>
          <w:top w:val="single" w:sz="4" w:space="1" w:color="auto"/>
          <w:left w:val="single" w:sz="4" w:space="4" w:color="auto"/>
          <w:bottom w:val="single" w:sz="4" w:space="1" w:color="auto"/>
          <w:right w:val="single" w:sz="4" w:space="4" w:color="auto"/>
        </w:pBdr>
        <w:autoSpaceDE w:val="0"/>
        <w:autoSpaceDN w:val="0"/>
        <w:adjustRightInd w:val="0"/>
        <w:ind w:left="567" w:hanging="567"/>
        <w:rPr>
          <w:rFonts w:eastAsia="Calibri"/>
          <w:sz w:val="22"/>
          <w:szCs w:val="22"/>
        </w:rPr>
      </w:pPr>
      <w:r w:rsidRPr="00776407">
        <w:rPr>
          <w:rFonts w:eastAsia="Calibri"/>
          <w:b/>
          <w:bCs/>
          <w:sz w:val="22"/>
          <w:szCs w:val="22"/>
        </w:rPr>
        <w:t>5.</w:t>
      </w:r>
      <w:r w:rsidRPr="00776407">
        <w:rPr>
          <w:rFonts w:eastAsia="Calibri"/>
          <w:b/>
          <w:bCs/>
          <w:sz w:val="22"/>
          <w:szCs w:val="22"/>
        </w:rPr>
        <w:tab/>
        <w:t>KITA</w:t>
      </w:r>
    </w:p>
    <w:p w14:paraId="38ED7EC9" w14:textId="77777777" w:rsidR="002D2BD8" w:rsidRPr="00776407" w:rsidRDefault="002D2BD8" w:rsidP="002D2BD8">
      <w:pPr>
        <w:autoSpaceDE w:val="0"/>
        <w:autoSpaceDN w:val="0"/>
        <w:adjustRightInd w:val="0"/>
        <w:rPr>
          <w:rFonts w:eastAsia="Calibri"/>
          <w:sz w:val="22"/>
          <w:szCs w:val="22"/>
        </w:rPr>
      </w:pPr>
    </w:p>
    <w:p w14:paraId="0A25ABAE" w14:textId="77777777" w:rsidR="002D2BD8" w:rsidRPr="00776407" w:rsidRDefault="002D2BD8" w:rsidP="002D2BD8"/>
    <w:p w14:paraId="6237F0B3" w14:textId="77777777" w:rsidR="000536DF" w:rsidRPr="00776407" w:rsidRDefault="002D2BD8" w:rsidP="002D2BD8">
      <w:pPr>
        <w:suppressLineNumbers/>
        <w:pBdr>
          <w:top w:val="single" w:sz="4" w:space="1" w:color="auto"/>
          <w:left w:val="single" w:sz="4" w:space="4" w:color="auto"/>
          <w:bottom w:val="single" w:sz="4" w:space="1" w:color="auto"/>
          <w:right w:val="single" w:sz="4" w:space="4" w:color="auto"/>
        </w:pBdr>
        <w:rPr>
          <w:b/>
        </w:rPr>
      </w:pPr>
      <w:r w:rsidRPr="00776407">
        <w:rPr>
          <w:b/>
        </w:rPr>
        <w:br w:type="page"/>
      </w:r>
      <w:r w:rsidR="000536DF" w:rsidRPr="00776407">
        <w:rPr>
          <w:b/>
          <w:sz w:val="22"/>
          <w:szCs w:val="22"/>
        </w:rPr>
        <w:t>INFORMACIJA ANT IŠORINĖ</w:t>
      </w:r>
      <w:r w:rsidR="00EB1CCD" w:rsidRPr="00776407">
        <w:rPr>
          <w:b/>
          <w:sz w:val="22"/>
          <w:szCs w:val="22"/>
        </w:rPr>
        <w:t>S</w:t>
      </w:r>
      <w:r w:rsidR="000536DF" w:rsidRPr="00776407">
        <w:rPr>
          <w:b/>
          <w:sz w:val="22"/>
          <w:szCs w:val="22"/>
        </w:rPr>
        <w:t xml:space="preserve"> PAKUOTĖS</w:t>
      </w:r>
    </w:p>
    <w:p w14:paraId="1719EF9A"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ind w:left="567" w:hanging="567"/>
        <w:rPr>
          <w:b/>
          <w:sz w:val="22"/>
          <w:szCs w:val="22"/>
        </w:rPr>
      </w:pPr>
    </w:p>
    <w:p w14:paraId="5909A1FD"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rPr>
          <w:b/>
          <w:sz w:val="22"/>
          <w:szCs w:val="22"/>
        </w:rPr>
      </w:pPr>
      <w:r w:rsidRPr="00776407">
        <w:rPr>
          <w:b/>
          <w:sz w:val="22"/>
          <w:szCs w:val="22"/>
        </w:rPr>
        <w:t>KARTONINĖ DĖŽUTĖ</w:t>
      </w:r>
    </w:p>
    <w:p w14:paraId="619845D8" w14:textId="77777777" w:rsidR="000536DF" w:rsidRPr="00776407" w:rsidRDefault="000536DF" w:rsidP="000536DF">
      <w:pPr>
        <w:rPr>
          <w:sz w:val="22"/>
          <w:szCs w:val="22"/>
        </w:rPr>
      </w:pPr>
    </w:p>
    <w:p w14:paraId="29BC4EA1"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1.</w:t>
      </w:r>
      <w:r w:rsidRPr="00776407">
        <w:rPr>
          <w:b/>
          <w:sz w:val="22"/>
          <w:szCs w:val="22"/>
        </w:rPr>
        <w:tab/>
      </w:r>
      <w:r w:rsidRPr="00776407">
        <w:rPr>
          <w:b/>
          <w:caps/>
          <w:sz w:val="22"/>
          <w:szCs w:val="22"/>
        </w:rPr>
        <w:t>VAISTINIO</w:t>
      </w:r>
      <w:r w:rsidRPr="00776407">
        <w:rPr>
          <w:b/>
          <w:sz w:val="22"/>
          <w:szCs w:val="22"/>
        </w:rPr>
        <w:t xml:space="preserve"> PREPARATO PAVADINIMAS</w:t>
      </w:r>
    </w:p>
    <w:p w14:paraId="38214431" w14:textId="77777777" w:rsidR="000536DF" w:rsidRPr="00776407" w:rsidRDefault="000536DF" w:rsidP="000536DF">
      <w:pPr>
        <w:rPr>
          <w:sz w:val="22"/>
          <w:szCs w:val="22"/>
        </w:rPr>
      </w:pPr>
    </w:p>
    <w:p w14:paraId="6F41CD23" w14:textId="77777777" w:rsidR="000536DF" w:rsidRPr="00776407" w:rsidRDefault="000536DF" w:rsidP="000536DF">
      <w:pPr>
        <w:autoSpaceDE w:val="0"/>
        <w:autoSpaceDN w:val="0"/>
        <w:adjustRightInd w:val="0"/>
        <w:rPr>
          <w:sz w:val="22"/>
          <w:szCs w:val="22"/>
        </w:rPr>
      </w:pPr>
      <w:r w:rsidRPr="00776407">
        <w:rPr>
          <w:sz w:val="22"/>
          <w:szCs w:val="22"/>
        </w:rPr>
        <w:t>Imatinib Actavis 100 mg plėvele dengtos tabletės</w:t>
      </w:r>
    </w:p>
    <w:p w14:paraId="4A67A08A" w14:textId="25F9CAF7" w:rsidR="000536DF" w:rsidRPr="00881EFD" w:rsidRDefault="00AA08DE" w:rsidP="000536DF">
      <w:pPr>
        <w:autoSpaceDE w:val="0"/>
        <w:autoSpaceDN w:val="0"/>
        <w:adjustRightInd w:val="0"/>
        <w:rPr>
          <w:i/>
          <w:sz w:val="22"/>
          <w:szCs w:val="22"/>
        </w:rPr>
      </w:pPr>
      <w:r w:rsidRPr="00881EFD">
        <w:rPr>
          <w:i/>
          <w:sz w:val="22"/>
          <w:szCs w:val="22"/>
        </w:rPr>
        <w:t>i</w:t>
      </w:r>
      <w:r w:rsidR="000536DF" w:rsidRPr="00881EFD">
        <w:rPr>
          <w:i/>
          <w:sz w:val="22"/>
          <w:szCs w:val="22"/>
        </w:rPr>
        <w:t>matinib</w:t>
      </w:r>
      <w:r w:rsidR="00C948C1" w:rsidRPr="00881EFD">
        <w:rPr>
          <w:i/>
          <w:sz w:val="22"/>
          <w:szCs w:val="22"/>
        </w:rPr>
        <w:t>um</w:t>
      </w:r>
    </w:p>
    <w:p w14:paraId="0486AC79" w14:textId="77777777" w:rsidR="000536DF" w:rsidRPr="00776407" w:rsidRDefault="000536DF" w:rsidP="000536DF">
      <w:pPr>
        <w:rPr>
          <w:sz w:val="22"/>
          <w:szCs w:val="22"/>
        </w:rPr>
      </w:pPr>
    </w:p>
    <w:p w14:paraId="3D93455F" w14:textId="77777777" w:rsidR="000536DF" w:rsidRPr="00776407" w:rsidRDefault="000536DF" w:rsidP="000536DF">
      <w:pPr>
        <w:rPr>
          <w:sz w:val="22"/>
          <w:szCs w:val="22"/>
        </w:rPr>
      </w:pPr>
    </w:p>
    <w:p w14:paraId="55D915D1"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ind w:left="567" w:hanging="567"/>
        <w:outlineLvl w:val="0"/>
        <w:rPr>
          <w:b/>
          <w:sz w:val="22"/>
          <w:szCs w:val="22"/>
        </w:rPr>
      </w:pPr>
      <w:r w:rsidRPr="00776407">
        <w:rPr>
          <w:b/>
          <w:sz w:val="22"/>
          <w:szCs w:val="22"/>
        </w:rPr>
        <w:t>2.</w:t>
      </w:r>
      <w:r w:rsidRPr="00776407">
        <w:rPr>
          <w:b/>
          <w:sz w:val="22"/>
          <w:szCs w:val="22"/>
        </w:rPr>
        <w:tab/>
        <w:t>VEIKLIOJI (-IOS) MEDŽIAGA (-OS) IR JOS (-Ų) KIEKIS (-IAI)</w:t>
      </w:r>
    </w:p>
    <w:p w14:paraId="0426D7A2" w14:textId="77777777" w:rsidR="000536DF" w:rsidRPr="00776407" w:rsidRDefault="000536DF" w:rsidP="000536DF">
      <w:pPr>
        <w:rPr>
          <w:sz w:val="22"/>
          <w:szCs w:val="22"/>
        </w:rPr>
      </w:pPr>
    </w:p>
    <w:p w14:paraId="612B1A1F" w14:textId="77777777" w:rsidR="000536DF" w:rsidRPr="00776407" w:rsidRDefault="000536DF" w:rsidP="000536DF">
      <w:pPr>
        <w:rPr>
          <w:sz w:val="22"/>
          <w:szCs w:val="22"/>
        </w:rPr>
      </w:pPr>
      <w:r w:rsidRPr="00776407">
        <w:rPr>
          <w:sz w:val="22"/>
          <w:szCs w:val="22"/>
        </w:rPr>
        <w:t>Kiekvienoje plėvele dengtoje tabletėje yra 100 mg imatinibo (mesilato pav</w:t>
      </w:r>
      <w:r w:rsidR="0089413D" w:rsidRPr="00776407">
        <w:rPr>
          <w:sz w:val="22"/>
          <w:szCs w:val="22"/>
        </w:rPr>
        <w:t>i</w:t>
      </w:r>
      <w:r w:rsidRPr="00776407">
        <w:rPr>
          <w:sz w:val="22"/>
          <w:szCs w:val="22"/>
        </w:rPr>
        <w:t>dalu).</w:t>
      </w:r>
    </w:p>
    <w:p w14:paraId="4D9600E9" w14:textId="77777777" w:rsidR="000536DF" w:rsidRPr="00776407" w:rsidRDefault="000536DF" w:rsidP="000536DF">
      <w:pPr>
        <w:rPr>
          <w:sz w:val="22"/>
          <w:szCs w:val="22"/>
        </w:rPr>
      </w:pPr>
    </w:p>
    <w:p w14:paraId="0EADC8D5" w14:textId="77777777" w:rsidR="000536DF" w:rsidRPr="00776407" w:rsidRDefault="000536DF" w:rsidP="000536DF">
      <w:pPr>
        <w:rPr>
          <w:sz w:val="22"/>
          <w:szCs w:val="22"/>
        </w:rPr>
      </w:pPr>
    </w:p>
    <w:p w14:paraId="3BFE5338"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3.</w:t>
      </w:r>
      <w:r w:rsidRPr="00776407">
        <w:rPr>
          <w:b/>
          <w:sz w:val="22"/>
          <w:szCs w:val="22"/>
        </w:rPr>
        <w:tab/>
        <w:t>PAGALBINIŲ MEDŽIAGŲ SĄRAŠAS</w:t>
      </w:r>
    </w:p>
    <w:p w14:paraId="26CB5BE5" w14:textId="77777777" w:rsidR="000536DF" w:rsidRPr="00776407" w:rsidRDefault="000536DF" w:rsidP="000536DF">
      <w:pPr>
        <w:rPr>
          <w:sz w:val="22"/>
          <w:szCs w:val="22"/>
        </w:rPr>
      </w:pPr>
    </w:p>
    <w:p w14:paraId="62911DC8" w14:textId="77777777" w:rsidR="000536DF" w:rsidRPr="00776407" w:rsidRDefault="00AB3AB1" w:rsidP="000536DF">
      <w:pPr>
        <w:rPr>
          <w:sz w:val="22"/>
          <w:szCs w:val="22"/>
        </w:rPr>
      </w:pPr>
      <w:r w:rsidRPr="00776407">
        <w:rPr>
          <w:sz w:val="22"/>
          <w:szCs w:val="22"/>
        </w:rPr>
        <w:t xml:space="preserve">Sudėtyje yra </w:t>
      </w:r>
      <w:r w:rsidR="006C135D" w:rsidRPr="00776407">
        <w:rPr>
          <w:sz w:val="22"/>
          <w:szCs w:val="22"/>
        </w:rPr>
        <w:t xml:space="preserve">sojų </w:t>
      </w:r>
      <w:r w:rsidRPr="00776407">
        <w:rPr>
          <w:sz w:val="22"/>
          <w:szCs w:val="22"/>
        </w:rPr>
        <w:t>lecitino  (E322).</w:t>
      </w:r>
    </w:p>
    <w:p w14:paraId="74306755" w14:textId="77777777" w:rsidR="00AB3AB1" w:rsidRPr="00776407" w:rsidRDefault="00AB3AB1" w:rsidP="000536DF">
      <w:pPr>
        <w:rPr>
          <w:sz w:val="22"/>
          <w:szCs w:val="22"/>
        </w:rPr>
      </w:pPr>
      <w:r w:rsidRPr="00776407">
        <w:rPr>
          <w:sz w:val="22"/>
          <w:szCs w:val="22"/>
        </w:rPr>
        <w:t xml:space="preserve">Daugiau informacijos </w:t>
      </w:r>
      <w:r w:rsidR="00970927" w:rsidRPr="00776407">
        <w:rPr>
          <w:sz w:val="22"/>
          <w:szCs w:val="22"/>
        </w:rPr>
        <w:t>pateikta</w:t>
      </w:r>
      <w:r w:rsidRPr="00776407">
        <w:rPr>
          <w:sz w:val="22"/>
          <w:szCs w:val="22"/>
        </w:rPr>
        <w:t xml:space="preserve"> pakuotės lapelyje.</w:t>
      </w:r>
    </w:p>
    <w:p w14:paraId="7FF9145F" w14:textId="77777777" w:rsidR="00AB3AB1" w:rsidRPr="00776407" w:rsidRDefault="00AB3AB1" w:rsidP="000536DF">
      <w:pPr>
        <w:rPr>
          <w:sz w:val="22"/>
          <w:szCs w:val="22"/>
        </w:rPr>
      </w:pPr>
    </w:p>
    <w:p w14:paraId="118F8151" w14:textId="77777777" w:rsidR="00857DCC" w:rsidRPr="00776407" w:rsidRDefault="00857DCC" w:rsidP="000536DF">
      <w:pPr>
        <w:rPr>
          <w:sz w:val="22"/>
          <w:szCs w:val="22"/>
        </w:rPr>
      </w:pPr>
    </w:p>
    <w:p w14:paraId="4960BD31"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4.</w:t>
      </w:r>
      <w:r w:rsidRPr="00776407">
        <w:rPr>
          <w:b/>
          <w:sz w:val="22"/>
          <w:szCs w:val="22"/>
        </w:rPr>
        <w:tab/>
        <w:t>FARMACINĖ FORMA IR KIEKIS PAKUOTĖJE</w:t>
      </w:r>
    </w:p>
    <w:p w14:paraId="1F46E68E" w14:textId="77777777" w:rsidR="000536DF" w:rsidRPr="00776407" w:rsidRDefault="000536DF" w:rsidP="000536DF">
      <w:pPr>
        <w:pStyle w:val="KeinLeerraum"/>
        <w:rPr>
          <w:sz w:val="22"/>
          <w:szCs w:val="22"/>
          <w:highlight w:val="lightGray"/>
        </w:rPr>
      </w:pPr>
    </w:p>
    <w:p w14:paraId="7E07A2AF" w14:textId="77777777" w:rsidR="000536DF" w:rsidRPr="00776407" w:rsidRDefault="000536DF" w:rsidP="000536DF">
      <w:pPr>
        <w:pStyle w:val="KeinLeerraum"/>
        <w:rPr>
          <w:sz w:val="22"/>
          <w:szCs w:val="22"/>
        </w:rPr>
      </w:pPr>
      <w:r w:rsidRPr="00776407">
        <w:rPr>
          <w:sz w:val="22"/>
          <w:szCs w:val="22"/>
        </w:rPr>
        <w:t>10 </w:t>
      </w:r>
      <w:r w:rsidR="00E504DF" w:rsidRPr="00776407">
        <w:rPr>
          <w:sz w:val="22"/>
          <w:szCs w:val="22"/>
        </w:rPr>
        <w:t xml:space="preserve">plėvele dengtų </w:t>
      </w:r>
      <w:r w:rsidRPr="00776407">
        <w:rPr>
          <w:sz w:val="22"/>
          <w:szCs w:val="22"/>
        </w:rPr>
        <w:t>tablečių</w:t>
      </w:r>
    </w:p>
    <w:p w14:paraId="05F91042" w14:textId="77777777" w:rsidR="000536DF" w:rsidRPr="00776407" w:rsidRDefault="000536DF" w:rsidP="000536DF">
      <w:pPr>
        <w:pStyle w:val="KeinLeerraum"/>
        <w:rPr>
          <w:sz w:val="22"/>
          <w:szCs w:val="22"/>
          <w:highlight w:val="lightGray"/>
        </w:rPr>
      </w:pPr>
      <w:r w:rsidRPr="00776407">
        <w:rPr>
          <w:sz w:val="22"/>
          <w:szCs w:val="22"/>
          <w:highlight w:val="lightGray"/>
        </w:rPr>
        <w:t>20 </w:t>
      </w:r>
      <w:r w:rsidR="00E504DF" w:rsidRPr="00776407">
        <w:rPr>
          <w:sz w:val="22"/>
          <w:szCs w:val="22"/>
          <w:highlight w:val="lightGray"/>
        </w:rPr>
        <w:t xml:space="preserve">plėvele dengtų </w:t>
      </w:r>
      <w:r w:rsidRPr="00776407">
        <w:rPr>
          <w:sz w:val="22"/>
          <w:szCs w:val="22"/>
          <w:highlight w:val="lightGray"/>
        </w:rPr>
        <w:t>tablečių</w:t>
      </w:r>
    </w:p>
    <w:p w14:paraId="3EF1710B" w14:textId="77777777" w:rsidR="000536DF" w:rsidRPr="00776407" w:rsidRDefault="000536DF" w:rsidP="000536DF">
      <w:pPr>
        <w:pStyle w:val="KeinLeerraum"/>
        <w:rPr>
          <w:sz w:val="22"/>
          <w:szCs w:val="22"/>
          <w:highlight w:val="lightGray"/>
        </w:rPr>
      </w:pPr>
      <w:r w:rsidRPr="00776407">
        <w:rPr>
          <w:sz w:val="22"/>
          <w:szCs w:val="22"/>
          <w:highlight w:val="lightGray"/>
        </w:rPr>
        <w:t>30 </w:t>
      </w:r>
      <w:r w:rsidR="00E504DF" w:rsidRPr="00776407">
        <w:rPr>
          <w:sz w:val="22"/>
          <w:szCs w:val="22"/>
          <w:highlight w:val="lightGray"/>
        </w:rPr>
        <w:t xml:space="preserve">plėvele dengtų </w:t>
      </w:r>
      <w:r w:rsidRPr="00776407">
        <w:rPr>
          <w:sz w:val="22"/>
          <w:szCs w:val="22"/>
          <w:highlight w:val="lightGray"/>
        </w:rPr>
        <w:t>tablečių</w:t>
      </w:r>
    </w:p>
    <w:p w14:paraId="4F8A8E42" w14:textId="77777777" w:rsidR="000536DF" w:rsidRPr="00776407" w:rsidRDefault="000536DF" w:rsidP="000536DF">
      <w:pPr>
        <w:pStyle w:val="KeinLeerraum"/>
        <w:rPr>
          <w:sz w:val="22"/>
          <w:szCs w:val="22"/>
          <w:highlight w:val="lightGray"/>
        </w:rPr>
      </w:pPr>
      <w:r w:rsidRPr="00776407">
        <w:rPr>
          <w:sz w:val="22"/>
          <w:szCs w:val="22"/>
          <w:highlight w:val="lightGray"/>
        </w:rPr>
        <w:t>60 </w:t>
      </w:r>
      <w:r w:rsidR="00E504DF" w:rsidRPr="00776407">
        <w:rPr>
          <w:sz w:val="22"/>
          <w:szCs w:val="22"/>
          <w:highlight w:val="lightGray"/>
        </w:rPr>
        <w:t xml:space="preserve">plėvele dengtų </w:t>
      </w:r>
      <w:r w:rsidRPr="00776407">
        <w:rPr>
          <w:sz w:val="22"/>
          <w:szCs w:val="22"/>
          <w:highlight w:val="lightGray"/>
        </w:rPr>
        <w:t>tablečių</w:t>
      </w:r>
    </w:p>
    <w:p w14:paraId="11805CF6" w14:textId="77777777" w:rsidR="000536DF" w:rsidRPr="00776407" w:rsidRDefault="000536DF" w:rsidP="000536DF">
      <w:pPr>
        <w:pStyle w:val="KeinLeerraum"/>
        <w:rPr>
          <w:sz w:val="22"/>
          <w:szCs w:val="22"/>
          <w:highlight w:val="lightGray"/>
        </w:rPr>
      </w:pPr>
      <w:r w:rsidRPr="00776407">
        <w:rPr>
          <w:sz w:val="22"/>
          <w:szCs w:val="22"/>
          <w:highlight w:val="lightGray"/>
        </w:rPr>
        <w:t>90 </w:t>
      </w:r>
      <w:r w:rsidR="00E504DF" w:rsidRPr="00776407">
        <w:rPr>
          <w:sz w:val="22"/>
          <w:szCs w:val="22"/>
          <w:highlight w:val="lightGray"/>
        </w:rPr>
        <w:t xml:space="preserve"> plėvele dengtų </w:t>
      </w:r>
      <w:r w:rsidRPr="00776407">
        <w:rPr>
          <w:sz w:val="22"/>
          <w:szCs w:val="22"/>
          <w:highlight w:val="lightGray"/>
        </w:rPr>
        <w:t>tablečių</w:t>
      </w:r>
    </w:p>
    <w:p w14:paraId="047AFAD3" w14:textId="77777777" w:rsidR="000536DF" w:rsidRPr="00776407" w:rsidRDefault="000536DF" w:rsidP="000536DF">
      <w:pPr>
        <w:pStyle w:val="KeinLeerraum"/>
        <w:rPr>
          <w:sz w:val="22"/>
          <w:szCs w:val="22"/>
          <w:highlight w:val="lightGray"/>
        </w:rPr>
      </w:pPr>
      <w:r w:rsidRPr="00776407">
        <w:rPr>
          <w:sz w:val="22"/>
          <w:szCs w:val="22"/>
          <w:highlight w:val="lightGray"/>
        </w:rPr>
        <w:t>120 </w:t>
      </w:r>
      <w:r w:rsidR="00E504DF" w:rsidRPr="00776407">
        <w:rPr>
          <w:sz w:val="22"/>
          <w:szCs w:val="22"/>
          <w:highlight w:val="lightGray"/>
        </w:rPr>
        <w:t xml:space="preserve">plėvele dengtų </w:t>
      </w:r>
      <w:r w:rsidRPr="00776407">
        <w:rPr>
          <w:sz w:val="22"/>
          <w:szCs w:val="22"/>
          <w:highlight w:val="lightGray"/>
        </w:rPr>
        <w:t>tablečių</w:t>
      </w:r>
    </w:p>
    <w:p w14:paraId="7CF51FA1" w14:textId="77777777" w:rsidR="000536DF" w:rsidRPr="00776407" w:rsidRDefault="000536DF" w:rsidP="000536DF">
      <w:pPr>
        <w:pStyle w:val="KeinLeerraum"/>
        <w:rPr>
          <w:sz w:val="22"/>
          <w:szCs w:val="22"/>
        </w:rPr>
      </w:pPr>
      <w:r w:rsidRPr="00776407">
        <w:rPr>
          <w:sz w:val="22"/>
          <w:szCs w:val="22"/>
          <w:highlight w:val="lightGray"/>
        </w:rPr>
        <w:t>180 </w:t>
      </w:r>
      <w:r w:rsidR="00E504DF" w:rsidRPr="00776407">
        <w:rPr>
          <w:sz w:val="22"/>
          <w:szCs w:val="22"/>
          <w:highlight w:val="lightGray"/>
        </w:rPr>
        <w:t xml:space="preserve">plėvele dengtų </w:t>
      </w:r>
      <w:r w:rsidRPr="00776407">
        <w:rPr>
          <w:sz w:val="22"/>
          <w:szCs w:val="22"/>
          <w:highlight w:val="lightGray"/>
        </w:rPr>
        <w:t>tablečių</w:t>
      </w:r>
    </w:p>
    <w:p w14:paraId="62CB5F6B" w14:textId="77777777" w:rsidR="000536DF" w:rsidRPr="00776407" w:rsidRDefault="000536DF" w:rsidP="000536DF">
      <w:pPr>
        <w:pStyle w:val="KeinLeerraum"/>
        <w:rPr>
          <w:sz w:val="22"/>
          <w:szCs w:val="22"/>
        </w:rPr>
      </w:pPr>
    </w:p>
    <w:p w14:paraId="2F18767F" w14:textId="77777777" w:rsidR="000536DF" w:rsidRPr="00776407" w:rsidRDefault="000536DF" w:rsidP="000536DF">
      <w:pPr>
        <w:rPr>
          <w:sz w:val="22"/>
          <w:szCs w:val="22"/>
        </w:rPr>
      </w:pPr>
    </w:p>
    <w:p w14:paraId="5886ABD2"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5.</w:t>
      </w:r>
      <w:r w:rsidRPr="00776407">
        <w:rPr>
          <w:b/>
          <w:sz w:val="22"/>
          <w:szCs w:val="22"/>
        </w:rPr>
        <w:tab/>
        <w:t>VARTOJIMO METODAS IR BŪDAS (-AI)</w:t>
      </w:r>
    </w:p>
    <w:p w14:paraId="417A6E48" w14:textId="77777777" w:rsidR="000536DF" w:rsidRPr="00776407" w:rsidRDefault="000536DF" w:rsidP="000536DF">
      <w:pPr>
        <w:rPr>
          <w:sz w:val="22"/>
          <w:szCs w:val="22"/>
        </w:rPr>
      </w:pPr>
    </w:p>
    <w:p w14:paraId="10E59594" w14:textId="77777777" w:rsidR="00AB3AB1" w:rsidRPr="00776407" w:rsidRDefault="00AB3AB1" w:rsidP="000536DF">
      <w:pPr>
        <w:rPr>
          <w:sz w:val="22"/>
          <w:szCs w:val="22"/>
        </w:rPr>
      </w:pPr>
      <w:r w:rsidRPr="00776407">
        <w:rPr>
          <w:sz w:val="22"/>
          <w:szCs w:val="22"/>
        </w:rPr>
        <w:t>Vartoti per burną.</w:t>
      </w:r>
    </w:p>
    <w:p w14:paraId="52A804F0" w14:textId="77777777" w:rsidR="000536DF" w:rsidRPr="00776407" w:rsidRDefault="000536DF" w:rsidP="000536DF">
      <w:pPr>
        <w:rPr>
          <w:sz w:val="22"/>
          <w:szCs w:val="22"/>
        </w:rPr>
      </w:pPr>
      <w:r w:rsidRPr="00776407">
        <w:rPr>
          <w:sz w:val="22"/>
          <w:szCs w:val="22"/>
        </w:rPr>
        <w:t>Prieš vartojimą perskaitykite pakuotės lapelį.</w:t>
      </w:r>
    </w:p>
    <w:p w14:paraId="12D2518B" w14:textId="77777777" w:rsidR="000536DF" w:rsidRPr="00776407" w:rsidRDefault="000536DF" w:rsidP="000536DF">
      <w:pPr>
        <w:rPr>
          <w:sz w:val="22"/>
          <w:szCs w:val="22"/>
        </w:rPr>
      </w:pPr>
    </w:p>
    <w:p w14:paraId="298EF99E" w14:textId="77777777" w:rsidR="000536DF" w:rsidRPr="00776407" w:rsidRDefault="000536DF" w:rsidP="000536DF">
      <w:pPr>
        <w:rPr>
          <w:sz w:val="22"/>
          <w:szCs w:val="22"/>
        </w:rPr>
      </w:pPr>
    </w:p>
    <w:p w14:paraId="6D0AFE1C"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6.</w:t>
      </w:r>
      <w:r w:rsidRPr="00776407">
        <w:rPr>
          <w:b/>
          <w:sz w:val="22"/>
          <w:szCs w:val="22"/>
        </w:rPr>
        <w:tab/>
        <w:t>SPECIALUS ĮSPĖJIMAS, KAD VAISTINĮ PREPARATĄ BŪTINA LAIKYTI VAIKAMS NEPASTEBIMOJE IR NEPASIEKIAMOJE VIETOJE</w:t>
      </w:r>
    </w:p>
    <w:p w14:paraId="59C35E99" w14:textId="77777777" w:rsidR="000536DF" w:rsidRPr="00776407" w:rsidRDefault="000536DF" w:rsidP="000536DF">
      <w:pPr>
        <w:rPr>
          <w:sz w:val="22"/>
          <w:szCs w:val="22"/>
        </w:rPr>
      </w:pPr>
    </w:p>
    <w:p w14:paraId="3710F91C" w14:textId="77777777" w:rsidR="000536DF" w:rsidRPr="00776407" w:rsidRDefault="000536DF" w:rsidP="000536DF">
      <w:pPr>
        <w:rPr>
          <w:sz w:val="22"/>
          <w:szCs w:val="22"/>
        </w:rPr>
      </w:pPr>
      <w:r w:rsidRPr="00776407">
        <w:rPr>
          <w:sz w:val="22"/>
          <w:szCs w:val="22"/>
        </w:rPr>
        <w:t>Laikyti vaikams nepastebimoje ir nepasiekiamoje vietoje.</w:t>
      </w:r>
    </w:p>
    <w:p w14:paraId="213185BC" w14:textId="77777777" w:rsidR="000536DF" w:rsidRPr="00776407" w:rsidRDefault="000536DF" w:rsidP="000536DF">
      <w:pPr>
        <w:rPr>
          <w:sz w:val="22"/>
          <w:szCs w:val="22"/>
        </w:rPr>
      </w:pPr>
    </w:p>
    <w:p w14:paraId="03E4399E" w14:textId="77777777" w:rsidR="000536DF" w:rsidRPr="00776407" w:rsidRDefault="000536DF" w:rsidP="000536DF">
      <w:pPr>
        <w:rPr>
          <w:sz w:val="22"/>
          <w:szCs w:val="22"/>
        </w:rPr>
      </w:pPr>
    </w:p>
    <w:p w14:paraId="65831E57"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7.</w:t>
      </w:r>
      <w:r w:rsidRPr="00776407">
        <w:rPr>
          <w:b/>
          <w:sz w:val="22"/>
          <w:szCs w:val="22"/>
        </w:rPr>
        <w:tab/>
        <w:t>KITAS (-I) SPECIALUS (-ŪS) ĮSPĖJIMAS (-AI) (JEI REIKIA)</w:t>
      </w:r>
    </w:p>
    <w:p w14:paraId="722FD56E" w14:textId="77777777" w:rsidR="000536DF" w:rsidRPr="00776407" w:rsidRDefault="000536DF" w:rsidP="000536DF">
      <w:pPr>
        <w:rPr>
          <w:sz w:val="22"/>
          <w:szCs w:val="22"/>
        </w:rPr>
      </w:pPr>
    </w:p>
    <w:p w14:paraId="301BD765" w14:textId="77777777" w:rsidR="000536DF" w:rsidRPr="00776407" w:rsidRDefault="000536DF" w:rsidP="000536DF">
      <w:pPr>
        <w:rPr>
          <w:sz w:val="22"/>
          <w:szCs w:val="22"/>
        </w:rPr>
      </w:pPr>
      <w:r w:rsidRPr="00776407">
        <w:rPr>
          <w:sz w:val="22"/>
          <w:szCs w:val="22"/>
        </w:rPr>
        <w:t>Vartoti taip, kaip nurodė gydytojas.</w:t>
      </w:r>
    </w:p>
    <w:p w14:paraId="3723100A" w14:textId="77777777" w:rsidR="000536DF" w:rsidRPr="00776407" w:rsidRDefault="000536DF" w:rsidP="000536DF">
      <w:pPr>
        <w:rPr>
          <w:sz w:val="22"/>
          <w:szCs w:val="22"/>
        </w:rPr>
      </w:pPr>
    </w:p>
    <w:p w14:paraId="572B1B02" w14:textId="77777777" w:rsidR="000536DF" w:rsidRPr="00776407" w:rsidRDefault="000536DF" w:rsidP="000536DF">
      <w:pPr>
        <w:rPr>
          <w:sz w:val="22"/>
          <w:szCs w:val="22"/>
        </w:rPr>
      </w:pPr>
    </w:p>
    <w:p w14:paraId="2BB81197"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8.</w:t>
      </w:r>
      <w:r w:rsidRPr="00776407">
        <w:rPr>
          <w:b/>
          <w:sz w:val="22"/>
          <w:szCs w:val="22"/>
        </w:rPr>
        <w:tab/>
        <w:t>TINKAMUMO LAIKAS</w:t>
      </w:r>
    </w:p>
    <w:p w14:paraId="4F879CFB" w14:textId="77777777" w:rsidR="000536DF" w:rsidRPr="00776407" w:rsidRDefault="000536DF" w:rsidP="000536DF">
      <w:pPr>
        <w:rPr>
          <w:sz w:val="22"/>
          <w:szCs w:val="22"/>
        </w:rPr>
      </w:pPr>
    </w:p>
    <w:p w14:paraId="209E1BD5" w14:textId="77777777" w:rsidR="000536DF" w:rsidRPr="00776407" w:rsidRDefault="00B11495" w:rsidP="000536DF">
      <w:pPr>
        <w:rPr>
          <w:sz w:val="22"/>
          <w:szCs w:val="22"/>
        </w:rPr>
      </w:pPr>
      <w:r w:rsidRPr="00776407">
        <w:rPr>
          <w:sz w:val="22"/>
          <w:szCs w:val="22"/>
        </w:rPr>
        <w:t>EXP</w:t>
      </w:r>
    </w:p>
    <w:p w14:paraId="6C9E7B44" w14:textId="77777777" w:rsidR="000536DF" w:rsidRPr="00776407" w:rsidRDefault="000536DF" w:rsidP="000536DF">
      <w:pPr>
        <w:rPr>
          <w:sz w:val="22"/>
          <w:szCs w:val="22"/>
        </w:rPr>
      </w:pPr>
    </w:p>
    <w:p w14:paraId="16EBC515" w14:textId="77777777" w:rsidR="000536DF" w:rsidRPr="00776407" w:rsidRDefault="000536DF" w:rsidP="000536DF">
      <w:pPr>
        <w:rPr>
          <w:sz w:val="22"/>
          <w:szCs w:val="22"/>
        </w:rPr>
      </w:pPr>
    </w:p>
    <w:p w14:paraId="6DF48753" w14:textId="77777777" w:rsidR="000536DF" w:rsidRPr="00776407" w:rsidRDefault="000536DF" w:rsidP="000536DF">
      <w:pPr>
        <w:keepNext/>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9.</w:t>
      </w:r>
      <w:r w:rsidRPr="00776407">
        <w:rPr>
          <w:b/>
          <w:sz w:val="22"/>
          <w:szCs w:val="22"/>
        </w:rPr>
        <w:tab/>
        <w:t>SPECIALIOS LAIKYMO SĄLYGOS</w:t>
      </w:r>
    </w:p>
    <w:p w14:paraId="58F86D0B" w14:textId="77777777" w:rsidR="000536DF" w:rsidRPr="00776407" w:rsidRDefault="000536DF" w:rsidP="000536DF">
      <w:pPr>
        <w:rPr>
          <w:sz w:val="22"/>
          <w:szCs w:val="22"/>
        </w:rPr>
      </w:pPr>
    </w:p>
    <w:p w14:paraId="4D7C1C6E" w14:textId="77777777" w:rsidR="000536DF" w:rsidRPr="00776407" w:rsidRDefault="000536DF" w:rsidP="000536DF">
      <w:pPr>
        <w:rPr>
          <w:sz w:val="22"/>
          <w:szCs w:val="22"/>
        </w:rPr>
      </w:pPr>
      <w:r w:rsidRPr="00776407">
        <w:rPr>
          <w:sz w:val="22"/>
          <w:szCs w:val="22"/>
        </w:rPr>
        <w:t xml:space="preserve">Laikyti ne aukštesnėje kaip 30 </w:t>
      </w:r>
      <w:r w:rsidRPr="00776407">
        <w:rPr>
          <w:sz w:val="22"/>
          <w:szCs w:val="22"/>
        </w:rPr>
        <w:sym w:font="Symbol" w:char="F0B0"/>
      </w:r>
      <w:r w:rsidRPr="00776407">
        <w:rPr>
          <w:sz w:val="22"/>
          <w:szCs w:val="22"/>
        </w:rPr>
        <w:t xml:space="preserve">C temperatūroje. </w:t>
      </w:r>
    </w:p>
    <w:p w14:paraId="2D5B9535" w14:textId="77777777" w:rsidR="000536DF" w:rsidRPr="00776407" w:rsidRDefault="000536DF" w:rsidP="000536DF">
      <w:pPr>
        <w:ind w:left="567" w:hanging="567"/>
        <w:rPr>
          <w:sz w:val="22"/>
          <w:szCs w:val="22"/>
        </w:rPr>
      </w:pPr>
      <w:r w:rsidRPr="00776407">
        <w:rPr>
          <w:sz w:val="22"/>
          <w:szCs w:val="22"/>
        </w:rPr>
        <w:t>Laikyti gamintojo pakuotėje, kad preparatas būtų apsaugotas nuo drėgmės.</w:t>
      </w:r>
    </w:p>
    <w:p w14:paraId="2D77E5A7" w14:textId="77777777" w:rsidR="000536DF" w:rsidRPr="00776407" w:rsidRDefault="000536DF" w:rsidP="000536DF">
      <w:pPr>
        <w:rPr>
          <w:sz w:val="22"/>
          <w:szCs w:val="22"/>
        </w:rPr>
      </w:pPr>
    </w:p>
    <w:p w14:paraId="6BB1F183" w14:textId="77777777" w:rsidR="00BC3DAD" w:rsidRPr="00776407" w:rsidRDefault="00BC3DAD" w:rsidP="000536DF">
      <w:pPr>
        <w:rPr>
          <w:sz w:val="22"/>
          <w:szCs w:val="22"/>
        </w:rPr>
      </w:pPr>
    </w:p>
    <w:p w14:paraId="248B111F"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10.</w:t>
      </w:r>
      <w:r w:rsidRPr="00776407">
        <w:rPr>
          <w:b/>
          <w:sz w:val="22"/>
          <w:szCs w:val="22"/>
        </w:rPr>
        <w:tab/>
        <w:t>SPECIALIOS ATSARGUMO PRIEMONĖS DĖL NESUVARTOTO VAISTINIO PREPARATO AR JO ATLIEKŲ TVARKYMO (JEI REIKIA)</w:t>
      </w:r>
    </w:p>
    <w:p w14:paraId="061CA6B6" w14:textId="77777777" w:rsidR="000536DF" w:rsidRPr="00776407" w:rsidRDefault="000536DF" w:rsidP="000536DF">
      <w:pPr>
        <w:rPr>
          <w:sz w:val="22"/>
          <w:szCs w:val="22"/>
        </w:rPr>
      </w:pPr>
    </w:p>
    <w:p w14:paraId="14343C6E" w14:textId="77777777" w:rsidR="000536DF" w:rsidRPr="00776407" w:rsidRDefault="000536DF" w:rsidP="000536DF">
      <w:pPr>
        <w:rPr>
          <w:sz w:val="22"/>
          <w:szCs w:val="22"/>
        </w:rPr>
      </w:pPr>
    </w:p>
    <w:p w14:paraId="32FF1729"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11.</w:t>
      </w:r>
      <w:r w:rsidRPr="00776407">
        <w:rPr>
          <w:b/>
          <w:sz w:val="22"/>
          <w:szCs w:val="22"/>
        </w:rPr>
        <w:tab/>
      </w:r>
      <w:r w:rsidR="000509C9" w:rsidRPr="00776407">
        <w:rPr>
          <w:b/>
          <w:caps/>
          <w:sz w:val="22"/>
          <w:szCs w:val="22"/>
        </w:rPr>
        <w:t>REGISTRUOTOJO</w:t>
      </w:r>
      <w:r w:rsidR="00E51881" w:rsidRPr="00776407">
        <w:rPr>
          <w:b/>
          <w:caps/>
          <w:sz w:val="22"/>
          <w:szCs w:val="22"/>
        </w:rPr>
        <w:t xml:space="preserve"> </w:t>
      </w:r>
      <w:r w:rsidRPr="00776407">
        <w:rPr>
          <w:b/>
          <w:caps/>
          <w:sz w:val="22"/>
          <w:szCs w:val="22"/>
        </w:rPr>
        <w:t>PAVADINIMAS IR ADRESAS</w:t>
      </w:r>
    </w:p>
    <w:p w14:paraId="7F285981" w14:textId="77777777" w:rsidR="000536DF" w:rsidRPr="00776407" w:rsidRDefault="000536DF" w:rsidP="000536DF">
      <w:pPr>
        <w:rPr>
          <w:sz w:val="22"/>
          <w:szCs w:val="22"/>
        </w:rPr>
      </w:pPr>
    </w:p>
    <w:p w14:paraId="49FEB35B" w14:textId="77777777" w:rsidR="000536DF" w:rsidRPr="00776407" w:rsidRDefault="000536DF" w:rsidP="000536DF">
      <w:pPr>
        <w:autoSpaceDE w:val="0"/>
        <w:autoSpaceDN w:val="0"/>
        <w:adjustRightInd w:val="0"/>
        <w:rPr>
          <w:sz w:val="22"/>
          <w:szCs w:val="22"/>
        </w:rPr>
      </w:pPr>
      <w:r w:rsidRPr="00776407">
        <w:rPr>
          <w:sz w:val="22"/>
          <w:szCs w:val="22"/>
        </w:rPr>
        <w:t>Actavis Group PTC ehf.</w:t>
      </w:r>
    </w:p>
    <w:p w14:paraId="4B338FE3" w14:textId="77777777" w:rsidR="000536DF" w:rsidRPr="00776407" w:rsidRDefault="0089413D" w:rsidP="000536DF">
      <w:pPr>
        <w:autoSpaceDE w:val="0"/>
        <w:autoSpaceDN w:val="0"/>
        <w:adjustRightInd w:val="0"/>
        <w:rPr>
          <w:sz w:val="22"/>
          <w:szCs w:val="22"/>
        </w:rPr>
      </w:pPr>
      <w:r w:rsidRPr="00776407">
        <w:rPr>
          <w:sz w:val="22"/>
          <w:szCs w:val="22"/>
        </w:rPr>
        <w:t xml:space="preserve">220 </w:t>
      </w:r>
      <w:r w:rsidR="000536DF" w:rsidRPr="00776407">
        <w:rPr>
          <w:sz w:val="22"/>
          <w:szCs w:val="22"/>
        </w:rPr>
        <w:t>Hafnarfjörður</w:t>
      </w:r>
    </w:p>
    <w:p w14:paraId="1423CB8A" w14:textId="77777777" w:rsidR="000536DF" w:rsidRPr="00776407" w:rsidRDefault="000536DF" w:rsidP="000536DF">
      <w:pPr>
        <w:autoSpaceDE w:val="0"/>
        <w:autoSpaceDN w:val="0"/>
        <w:adjustRightInd w:val="0"/>
        <w:rPr>
          <w:sz w:val="22"/>
          <w:szCs w:val="22"/>
        </w:rPr>
      </w:pPr>
      <w:r w:rsidRPr="00776407">
        <w:rPr>
          <w:sz w:val="22"/>
          <w:szCs w:val="22"/>
        </w:rPr>
        <w:t>Islandija</w:t>
      </w:r>
    </w:p>
    <w:p w14:paraId="3C4418F7" w14:textId="77777777" w:rsidR="000536DF" w:rsidRPr="00776407" w:rsidRDefault="000536DF" w:rsidP="000536DF">
      <w:pPr>
        <w:rPr>
          <w:sz w:val="22"/>
          <w:szCs w:val="22"/>
        </w:rPr>
      </w:pPr>
    </w:p>
    <w:p w14:paraId="1B7E9F8A" w14:textId="77777777" w:rsidR="000536DF" w:rsidRPr="00776407" w:rsidRDefault="000536DF" w:rsidP="000536DF">
      <w:pPr>
        <w:rPr>
          <w:sz w:val="22"/>
          <w:szCs w:val="22"/>
        </w:rPr>
      </w:pPr>
    </w:p>
    <w:p w14:paraId="63BB2282"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outlineLvl w:val="0"/>
        <w:rPr>
          <w:sz w:val="22"/>
          <w:szCs w:val="22"/>
        </w:rPr>
      </w:pPr>
      <w:r w:rsidRPr="00776407">
        <w:rPr>
          <w:b/>
          <w:sz w:val="22"/>
          <w:szCs w:val="22"/>
        </w:rPr>
        <w:t>12.</w:t>
      </w:r>
      <w:r w:rsidRPr="00776407">
        <w:rPr>
          <w:b/>
          <w:sz w:val="22"/>
          <w:szCs w:val="22"/>
        </w:rPr>
        <w:tab/>
      </w:r>
      <w:r w:rsidR="000509C9" w:rsidRPr="00776407">
        <w:rPr>
          <w:b/>
          <w:sz w:val="22"/>
          <w:szCs w:val="22"/>
        </w:rPr>
        <w:t>REGISTRACIJOS PAŽYMĖJIMO NUMERIS</w:t>
      </w:r>
      <w:r w:rsidRPr="00776407">
        <w:rPr>
          <w:b/>
          <w:sz w:val="22"/>
          <w:szCs w:val="22"/>
        </w:rPr>
        <w:t xml:space="preserve">(-IAI) </w:t>
      </w:r>
    </w:p>
    <w:p w14:paraId="1D27C9F8" w14:textId="77777777" w:rsidR="000536DF" w:rsidRPr="00776407" w:rsidRDefault="000536DF" w:rsidP="000536DF">
      <w:pPr>
        <w:rPr>
          <w:sz w:val="22"/>
          <w:szCs w:val="22"/>
        </w:rPr>
      </w:pPr>
    </w:p>
    <w:p w14:paraId="1A7BE26C" w14:textId="77777777" w:rsidR="002657B6" w:rsidRPr="00776407" w:rsidRDefault="002657B6" w:rsidP="002657B6">
      <w:pPr>
        <w:pStyle w:val="KeinLeerraum"/>
        <w:rPr>
          <w:sz w:val="22"/>
          <w:szCs w:val="22"/>
          <w:highlight w:val="lightGray"/>
        </w:rPr>
      </w:pPr>
      <w:r w:rsidRPr="00776407">
        <w:rPr>
          <w:sz w:val="22"/>
          <w:szCs w:val="22"/>
        </w:rPr>
        <w:t xml:space="preserve">EU/1/13/825/008 </w:t>
      </w:r>
      <w:r w:rsidRPr="00776407">
        <w:rPr>
          <w:sz w:val="22"/>
          <w:szCs w:val="22"/>
          <w:highlight w:val="lightGray"/>
        </w:rPr>
        <w:t xml:space="preserve">10  </w:t>
      </w:r>
      <w:r w:rsidR="00E05C8F" w:rsidRPr="00776407">
        <w:rPr>
          <w:sz w:val="22"/>
          <w:szCs w:val="22"/>
          <w:highlight w:val="lightGray"/>
        </w:rPr>
        <w:t>tablečių</w:t>
      </w:r>
    </w:p>
    <w:p w14:paraId="1DAA0CF9" w14:textId="77777777" w:rsidR="002657B6" w:rsidRPr="00776407" w:rsidRDefault="002657B6" w:rsidP="002657B6">
      <w:pPr>
        <w:pStyle w:val="KeinLeerraum"/>
        <w:rPr>
          <w:sz w:val="22"/>
          <w:szCs w:val="22"/>
          <w:highlight w:val="lightGray"/>
        </w:rPr>
      </w:pPr>
      <w:r w:rsidRPr="00776407">
        <w:rPr>
          <w:sz w:val="22"/>
          <w:szCs w:val="22"/>
          <w:highlight w:val="lightGray"/>
        </w:rPr>
        <w:t xml:space="preserve">EU/1/13/825/009 20  </w:t>
      </w:r>
      <w:r w:rsidR="00E05C8F" w:rsidRPr="00776407">
        <w:rPr>
          <w:sz w:val="22"/>
          <w:szCs w:val="22"/>
          <w:highlight w:val="lightGray"/>
        </w:rPr>
        <w:t>tablečių</w:t>
      </w:r>
    </w:p>
    <w:p w14:paraId="1FC067BA" w14:textId="77777777" w:rsidR="002657B6" w:rsidRPr="00776407" w:rsidRDefault="002657B6" w:rsidP="002657B6">
      <w:pPr>
        <w:pStyle w:val="KeinLeerraum"/>
        <w:rPr>
          <w:sz w:val="22"/>
          <w:szCs w:val="22"/>
          <w:highlight w:val="lightGray"/>
        </w:rPr>
      </w:pPr>
      <w:r w:rsidRPr="00776407">
        <w:rPr>
          <w:sz w:val="22"/>
          <w:szCs w:val="22"/>
          <w:highlight w:val="lightGray"/>
        </w:rPr>
        <w:t xml:space="preserve">EU/1/13/825/010 30  </w:t>
      </w:r>
      <w:r w:rsidR="00E05C8F" w:rsidRPr="00776407">
        <w:rPr>
          <w:sz w:val="22"/>
          <w:szCs w:val="22"/>
          <w:highlight w:val="lightGray"/>
        </w:rPr>
        <w:t>tablečių</w:t>
      </w:r>
    </w:p>
    <w:p w14:paraId="3358180C" w14:textId="77777777" w:rsidR="002657B6" w:rsidRPr="00776407" w:rsidRDefault="002657B6" w:rsidP="002657B6">
      <w:pPr>
        <w:pStyle w:val="KeinLeerraum"/>
        <w:rPr>
          <w:sz w:val="22"/>
          <w:szCs w:val="22"/>
          <w:highlight w:val="lightGray"/>
        </w:rPr>
      </w:pPr>
      <w:r w:rsidRPr="00776407">
        <w:rPr>
          <w:sz w:val="22"/>
          <w:szCs w:val="22"/>
          <w:highlight w:val="lightGray"/>
        </w:rPr>
        <w:t xml:space="preserve">EU/1/13/825/011 60  </w:t>
      </w:r>
      <w:r w:rsidR="00E05C8F" w:rsidRPr="00776407">
        <w:rPr>
          <w:sz w:val="22"/>
          <w:szCs w:val="22"/>
          <w:highlight w:val="lightGray"/>
        </w:rPr>
        <w:t>tablečių</w:t>
      </w:r>
    </w:p>
    <w:p w14:paraId="559F5727" w14:textId="77777777" w:rsidR="002657B6" w:rsidRPr="00776407" w:rsidRDefault="002657B6" w:rsidP="002657B6">
      <w:pPr>
        <w:pStyle w:val="KeinLeerraum"/>
        <w:rPr>
          <w:sz w:val="22"/>
          <w:szCs w:val="22"/>
          <w:highlight w:val="lightGray"/>
        </w:rPr>
      </w:pPr>
      <w:r w:rsidRPr="00776407">
        <w:rPr>
          <w:sz w:val="22"/>
          <w:szCs w:val="22"/>
          <w:highlight w:val="lightGray"/>
        </w:rPr>
        <w:t xml:space="preserve">EU/1/13/825/012 90  </w:t>
      </w:r>
      <w:r w:rsidR="00E05C8F" w:rsidRPr="00776407">
        <w:rPr>
          <w:sz w:val="22"/>
          <w:szCs w:val="22"/>
          <w:highlight w:val="lightGray"/>
        </w:rPr>
        <w:t>tablečių</w:t>
      </w:r>
    </w:p>
    <w:p w14:paraId="5CDF685B" w14:textId="77777777" w:rsidR="002657B6" w:rsidRPr="00776407" w:rsidRDefault="002657B6" w:rsidP="002657B6">
      <w:pPr>
        <w:pStyle w:val="KeinLeerraum"/>
        <w:rPr>
          <w:sz w:val="22"/>
          <w:szCs w:val="22"/>
          <w:highlight w:val="lightGray"/>
        </w:rPr>
      </w:pPr>
      <w:r w:rsidRPr="00776407">
        <w:rPr>
          <w:sz w:val="22"/>
          <w:szCs w:val="22"/>
          <w:highlight w:val="lightGray"/>
        </w:rPr>
        <w:t xml:space="preserve">EU/1/13/825/013 120  </w:t>
      </w:r>
      <w:r w:rsidR="00E05C8F" w:rsidRPr="00776407">
        <w:rPr>
          <w:sz w:val="22"/>
          <w:szCs w:val="22"/>
          <w:highlight w:val="lightGray"/>
        </w:rPr>
        <w:t>tablečių</w:t>
      </w:r>
    </w:p>
    <w:p w14:paraId="01B34833" w14:textId="77777777" w:rsidR="000536DF" w:rsidRPr="00776407" w:rsidRDefault="002657B6" w:rsidP="002657B6">
      <w:pPr>
        <w:pStyle w:val="Kopfzeile"/>
        <w:rPr>
          <w:sz w:val="22"/>
          <w:szCs w:val="22"/>
        </w:rPr>
      </w:pPr>
      <w:r w:rsidRPr="00776407">
        <w:rPr>
          <w:sz w:val="22"/>
          <w:szCs w:val="22"/>
          <w:highlight w:val="lightGray"/>
        </w:rPr>
        <w:t xml:space="preserve">EU/1/13/825/014 180  </w:t>
      </w:r>
      <w:r w:rsidR="00E05C8F" w:rsidRPr="00776407">
        <w:rPr>
          <w:sz w:val="22"/>
          <w:szCs w:val="22"/>
          <w:highlight w:val="lightGray"/>
        </w:rPr>
        <w:t>tablečių</w:t>
      </w:r>
      <w:r w:rsidR="00E05C8F" w:rsidRPr="00776407" w:rsidDel="002657B6">
        <w:rPr>
          <w:sz w:val="22"/>
          <w:szCs w:val="22"/>
        </w:rPr>
        <w:t xml:space="preserve"> </w:t>
      </w:r>
    </w:p>
    <w:p w14:paraId="55E57789" w14:textId="77777777" w:rsidR="000536DF" w:rsidRPr="00776407" w:rsidRDefault="000536DF" w:rsidP="000536DF">
      <w:pPr>
        <w:rPr>
          <w:sz w:val="22"/>
          <w:szCs w:val="22"/>
        </w:rPr>
      </w:pPr>
    </w:p>
    <w:p w14:paraId="5F27A6A6" w14:textId="77777777" w:rsidR="000536DF" w:rsidRPr="00776407" w:rsidRDefault="000536DF" w:rsidP="000536DF">
      <w:pPr>
        <w:rPr>
          <w:sz w:val="22"/>
          <w:szCs w:val="22"/>
        </w:rPr>
      </w:pPr>
    </w:p>
    <w:p w14:paraId="0F312405"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outlineLvl w:val="0"/>
        <w:rPr>
          <w:sz w:val="22"/>
          <w:szCs w:val="22"/>
        </w:rPr>
      </w:pPr>
      <w:r w:rsidRPr="00776407">
        <w:rPr>
          <w:b/>
          <w:sz w:val="22"/>
          <w:szCs w:val="22"/>
        </w:rPr>
        <w:t>13.</w:t>
      </w:r>
      <w:r w:rsidRPr="00776407">
        <w:rPr>
          <w:b/>
          <w:sz w:val="22"/>
          <w:szCs w:val="22"/>
        </w:rPr>
        <w:tab/>
        <w:t xml:space="preserve">SERIJOS NUMERIS </w:t>
      </w:r>
    </w:p>
    <w:p w14:paraId="6B3F9500" w14:textId="77777777" w:rsidR="000536DF" w:rsidRPr="00776407" w:rsidRDefault="000536DF" w:rsidP="000536DF">
      <w:pPr>
        <w:rPr>
          <w:sz w:val="22"/>
          <w:szCs w:val="22"/>
        </w:rPr>
      </w:pPr>
    </w:p>
    <w:p w14:paraId="01442241" w14:textId="77777777" w:rsidR="000536DF" w:rsidRPr="00776407" w:rsidRDefault="00B11495" w:rsidP="000536DF">
      <w:pPr>
        <w:rPr>
          <w:sz w:val="22"/>
          <w:szCs w:val="22"/>
        </w:rPr>
      </w:pPr>
      <w:r w:rsidRPr="00776407">
        <w:rPr>
          <w:sz w:val="22"/>
          <w:szCs w:val="22"/>
        </w:rPr>
        <w:t>Lot</w:t>
      </w:r>
    </w:p>
    <w:p w14:paraId="2DE2D7D4" w14:textId="77777777" w:rsidR="000536DF" w:rsidRPr="00776407" w:rsidRDefault="000536DF" w:rsidP="000536DF">
      <w:pPr>
        <w:rPr>
          <w:sz w:val="22"/>
          <w:szCs w:val="22"/>
        </w:rPr>
      </w:pPr>
    </w:p>
    <w:p w14:paraId="727EAD0A" w14:textId="77777777" w:rsidR="000536DF" w:rsidRPr="00776407" w:rsidRDefault="000536DF" w:rsidP="000536DF">
      <w:pPr>
        <w:rPr>
          <w:sz w:val="22"/>
          <w:szCs w:val="22"/>
        </w:rPr>
      </w:pPr>
    </w:p>
    <w:p w14:paraId="00C159DA"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outlineLvl w:val="0"/>
        <w:rPr>
          <w:sz w:val="22"/>
          <w:szCs w:val="22"/>
        </w:rPr>
      </w:pPr>
      <w:r w:rsidRPr="00776407">
        <w:rPr>
          <w:b/>
          <w:sz w:val="22"/>
          <w:szCs w:val="22"/>
        </w:rPr>
        <w:t>14.</w:t>
      </w:r>
      <w:r w:rsidRPr="00776407">
        <w:rPr>
          <w:b/>
          <w:sz w:val="22"/>
          <w:szCs w:val="22"/>
        </w:rPr>
        <w:tab/>
        <w:t>PARDAVIMO (IŠDAVIMO) TVARKA</w:t>
      </w:r>
    </w:p>
    <w:p w14:paraId="14A0A9C9" w14:textId="77777777" w:rsidR="000536DF" w:rsidRPr="00776407" w:rsidRDefault="000536DF" w:rsidP="000536DF">
      <w:pPr>
        <w:rPr>
          <w:sz w:val="22"/>
          <w:szCs w:val="22"/>
        </w:rPr>
      </w:pPr>
    </w:p>
    <w:p w14:paraId="729E303A" w14:textId="77777777" w:rsidR="000536DF" w:rsidRPr="00776407" w:rsidRDefault="000536DF" w:rsidP="000536DF">
      <w:pPr>
        <w:rPr>
          <w:sz w:val="22"/>
          <w:szCs w:val="22"/>
        </w:rPr>
      </w:pPr>
    </w:p>
    <w:p w14:paraId="39AD0CDB" w14:textId="77777777" w:rsidR="000536DF" w:rsidRPr="00776407" w:rsidRDefault="000536DF" w:rsidP="000536DF">
      <w:pPr>
        <w:suppressLineNumbers/>
        <w:pBdr>
          <w:top w:val="single" w:sz="4" w:space="2" w:color="auto"/>
          <w:left w:val="single" w:sz="4" w:space="4" w:color="auto"/>
          <w:bottom w:val="single" w:sz="4" w:space="1" w:color="auto"/>
          <w:right w:val="single" w:sz="4" w:space="4" w:color="auto"/>
        </w:pBdr>
        <w:outlineLvl w:val="0"/>
        <w:rPr>
          <w:sz w:val="22"/>
          <w:szCs w:val="22"/>
        </w:rPr>
      </w:pPr>
      <w:r w:rsidRPr="00776407">
        <w:rPr>
          <w:b/>
          <w:sz w:val="22"/>
          <w:szCs w:val="22"/>
        </w:rPr>
        <w:t>15.</w:t>
      </w:r>
      <w:r w:rsidRPr="00776407">
        <w:rPr>
          <w:b/>
          <w:sz w:val="22"/>
          <w:szCs w:val="22"/>
        </w:rPr>
        <w:tab/>
        <w:t>VARTOJIMO INSTRUKCIJA</w:t>
      </w:r>
    </w:p>
    <w:p w14:paraId="3ED2FF75" w14:textId="77777777" w:rsidR="000536DF" w:rsidRPr="00776407" w:rsidRDefault="000536DF" w:rsidP="000536DF">
      <w:pPr>
        <w:rPr>
          <w:sz w:val="22"/>
          <w:szCs w:val="22"/>
        </w:rPr>
      </w:pPr>
    </w:p>
    <w:p w14:paraId="3F9EF36F" w14:textId="77777777" w:rsidR="000536DF" w:rsidRPr="00776407" w:rsidRDefault="000536DF" w:rsidP="000536DF">
      <w:pPr>
        <w:rPr>
          <w:sz w:val="22"/>
          <w:szCs w:val="22"/>
        </w:rPr>
      </w:pPr>
    </w:p>
    <w:p w14:paraId="4FEDD18C" w14:textId="77777777" w:rsidR="000536DF" w:rsidRPr="00776407" w:rsidRDefault="000536DF" w:rsidP="000536DF">
      <w:pPr>
        <w:suppressLineNumbers/>
        <w:pBdr>
          <w:top w:val="single" w:sz="4" w:space="1" w:color="auto"/>
          <w:left w:val="single" w:sz="4" w:space="4" w:color="auto"/>
          <w:bottom w:val="single" w:sz="4" w:space="0" w:color="auto"/>
          <w:right w:val="single" w:sz="4" w:space="4" w:color="auto"/>
        </w:pBdr>
        <w:rPr>
          <w:color w:val="008000"/>
          <w:sz w:val="22"/>
          <w:szCs w:val="22"/>
        </w:rPr>
      </w:pPr>
      <w:r w:rsidRPr="00776407">
        <w:rPr>
          <w:b/>
          <w:sz w:val="22"/>
          <w:szCs w:val="22"/>
        </w:rPr>
        <w:t>16.</w:t>
      </w:r>
      <w:r w:rsidRPr="00776407">
        <w:rPr>
          <w:b/>
          <w:sz w:val="22"/>
          <w:szCs w:val="22"/>
        </w:rPr>
        <w:tab/>
        <w:t>INFORMACIJA BRAILIO RAŠTU</w:t>
      </w:r>
    </w:p>
    <w:p w14:paraId="718CDB19" w14:textId="77777777" w:rsidR="000536DF" w:rsidRPr="00776407" w:rsidRDefault="000536DF" w:rsidP="000536DF">
      <w:pPr>
        <w:rPr>
          <w:sz w:val="22"/>
          <w:szCs w:val="22"/>
        </w:rPr>
      </w:pPr>
    </w:p>
    <w:p w14:paraId="43BE35DC" w14:textId="77777777" w:rsidR="000536DF" w:rsidRPr="00776407" w:rsidRDefault="001C0A4F" w:rsidP="000536DF">
      <w:pPr>
        <w:autoSpaceDE w:val="0"/>
        <w:autoSpaceDN w:val="0"/>
        <w:adjustRightInd w:val="0"/>
        <w:rPr>
          <w:sz w:val="22"/>
          <w:szCs w:val="22"/>
        </w:rPr>
      </w:pPr>
      <w:r w:rsidRPr="00776407">
        <w:rPr>
          <w:sz w:val="22"/>
          <w:szCs w:val="22"/>
        </w:rPr>
        <w:t>Imatinib Actavis 10</w:t>
      </w:r>
      <w:r w:rsidR="000536DF" w:rsidRPr="00776407">
        <w:rPr>
          <w:sz w:val="22"/>
          <w:szCs w:val="22"/>
        </w:rPr>
        <w:t>0 mg</w:t>
      </w:r>
    </w:p>
    <w:p w14:paraId="7325026C" w14:textId="77777777" w:rsidR="00794E62" w:rsidRPr="00776407" w:rsidRDefault="00794E62" w:rsidP="00794E62">
      <w:pPr>
        <w:tabs>
          <w:tab w:val="left" w:pos="567"/>
        </w:tabs>
        <w:rPr>
          <w:noProof/>
          <w:sz w:val="22"/>
          <w:szCs w:val="22"/>
          <w:shd w:val="clear" w:color="auto" w:fill="CCCCCC"/>
          <w:lang w:eastAsia="lt-LT" w:bidi="lt-LT"/>
        </w:rPr>
      </w:pPr>
    </w:p>
    <w:p w14:paraId="6DDAF0B4" w14:textId="77777777" w:rsidR="00794E62" w:rsidRPr="00776407" w:rsidRDefault="00794E62" w:rsidP="00864BE6">
      <w:pPr>
        <w:keepNext/>
        <w:numPr>
          <w:ilvl w:val="0"/>
          <w:numId w:val="17"/>
        </w:numPr>
        <w:pBdr>
          <w:top w:val="single" w:sz="4" w:space="1" w:color="auto"/>
          <w:left w:val="single" w:sz="4" w:space="4" w:color="auto"/>
          <w:bottom w:val="single" w:sz="4" w:space="1" w:color="auto"/>
          <w:right w:val="single" w:sz="4" w:space="4" w:color="auto"/>
        </w:pBdr>
        <w:tabs>
          <w:tab w:val="left" w:pos="567"/>
        </w:tabs>
        <w:spacing w:line="260" w:lineRule="exact"/>
        <w:ind w:hanging="720"/>
        <w:outlineLvl w:val="0"/>
        <w:rPr>
          <w:i/>
          <w:noProof/>
          <w:sz w:val="22"/>
          <w:szCs w:val="20"/>
          <w:lang w:eastAsia="lt-LT" w:bidi="lt-LT"/>
        </w:rPr>
      </w:pPr>
      <w:r w:rsidRPr="00776407">
        <w:rPr>
          <w:b/>
          <w:noProof/>
          <w:sz w:val="22"/>
          <w:szCs w:val="20"/>
          <w:lang w:eastAsia="lt-LT" w:bidi="lt-LT"/>
        </w:rPr>
        <w:t>UNIKALUS IDENTIFIKATORIUS – 2D BRŪKŠNINIS KODAS</w:t>
      </w:r>
    </w:p>
    <w:p w14:paraId="035112D2" w14:textId="77777777" w:rsidR="00794E62" w:rsidRPr="00776407" w:rsidRDefault="00794E62" w:rsidP="00794E62">
      <w:pPr>
        <w:rPr>
          <w:noProof/>
          <w:sz w:val="22"/>
          <w:szCs w:val="20"/>
          <w:lang w:eastAsia="lt-LT" w:bidi="lt-LT"/>
        </w:rPr>
      </w:pPr>
    </w:p>
    <w:p w14:paraId="584BA548" w14:textId="77777777" w:rsidR="006D099C" w:rsidRPr="00776407" w:rsidRDefault="006D099C" w:rsidP="006D099C">
      <w:pPr>
        <w:rPr>
          <w:noProof/>
          <w:sz w:val="22"/>
          <w:szCs w:val="20"/>
          <w:highlight w:val="lightGray"/>
          <w:lang w:bidi="lt-LT"/>
        </w:rPr>
      </w:pPr>
      <w:r w:rsidRPr="00776407">
        <w:rPr>
          <w:noProof/>
          <w:sz w:val="22"/>
          <w:szCs w:val="20"/>
          <w:highlight w:val="lightGray"/>
          <w:lang w:bidi="lt-LT"/>
        </w:rPr>
        <w:t>&lt;2D brūkšninis kodas su nurodytu unikaliu identifikatoriumi.&gt;</w:t>
      </w:r>
    </w:p>
    <w:p w14:paraId="69108E54" w14:textId="77777777" w:rsidR="00794E62" w:rsidRPr="00776407" w:rsidRDefault="00794E62" w:rsidP="00794E62">
      <w:pPr>
        <w:rPr>
          <w:noProof/>
          <w:sz w:val="22"/>
          <w:szCs w:val="20"/>
          <w:lang w:eastAsia="lt-LT" w:bidi="lt-LT"/>
        </w:rPr>
      </w:pPr>
    </w:p>
    <w:p w14:paraId="3B310ED2" w14:textId="77777777" w:rsidR="009050B3" w:rsidRPr="00776407" w:rsidRDefault="009050B3" w:rsidP="00794E62">
      <w:pPr>
        <w:rPr>
          <w:noProof/>
          <w:sz w:val="22"/>
          <w:szCs w:val="20"/>
          <w:lang w:eastAsia="lt-LT" w:bidi="lt-LT"/>
        </w:rPr>
      </w:pPr>
    </w:p>
    <w:p w14:paraId="6412741D" w14:textId="77777777" w:rsidR="00794E62" w:rsidRPr="00776407" w:rsidRDefault="00794E62" w:rsidP="00864BE6">
      <w:pPr>
        <w:keepNext/>
        <w:numPr>
          <w:ilvl w:val="0"/>
          <w:numId w:val="17"/>
        </w:numPr>
        <w:pBdr>
          <w:top w:val="single" w:sz="4" w:space="1" w:color="auto"/>
          <w:left w:val="single" w:sz="4" w:space="4" w:color="auto"/>
          <w:bottom w:val="single" w:sz="4" w:space="1" w:color="auto"/>
          <w:right w:val="single" w:sz="4" w:space="4" w:color="auto"/>
        </w:pBdr>
        <w:tabs>
          <w:tab w:val="left" w:pos="567"/>
        </w:tabs>
        <w:spacing w:line="260" w:lineRule="exact"/>
        <w:ind w:hanging="720"/>
        <w:outlineLvl w:val="0"/>
        <w:rPr>
          <w:i/>
          <w:noProof/>
          <w:sz w:val="22"/>
          <w:szCs w:val="20"/>
          <w:lang w:eastAsia="lt-LT" w:bidi="lt-LT"/>
        </w:rPr>
      </w:pPr>
      <w:r w:rsidRPr="00776407">
        <w:rPr>
          <w:b/>
          <w:noProof/>
          <w:sz w:val="22"/>
          <w:szCs w:val="20"/>
          <w:lang w:eastAsia="lt-LT" w:bidi="lt-LT"/>
        </w:rPr>
        <w:t>UNIKALUS IDENTIFIKATORIUS – ŽMONĖMS SUPRANTAMI DUOMENYS</w:t>
      </w:r>
    </w:p>
    <w:p w14:paraId="32FD76F8" w14:textId="77777777" w:rsidR="00794E62" w:rsidRPr="00776407" w:rsidRDefault="00794E62" w:rsidP="00794E62">
      <w:pPr>
        <w:rPr>
          <w:noProof/>
          <w:sz w:val="22"/>
          <w:szCs w:val="20"/>
          <w:lang w:eastAsia="lt-LT" w:bidi="lt-LT"/>
        </w:rPr>
      </w:pPr>
    </w:p>
    <w:p w14:paraId="40C9DA4A" w14:textId="7AEC1D19" w:rsidR="009050B3" w:rsidRPr="00776407" w:rsidRDefault="006D099C" w:rsidP="009050B3">
      <w:pPr>
        <w:tabs>
          <w:tab w:val="left" w:pos="567"/>
        </w:tabs>
        <w:rPr>
          <w:sz w:val="22"/>
          <w:szCs w:val="22"/>
        </w:rPr>
      </w:pPr>
      <w:r w:rsidRPr="00776407">
        <w:rPr>
          <w:sz w:val="22"/>
          <w:szCs w:val="22"/>
        </w:rPr>
        <w:t>PC {numeris</w:t>
      </w:r>
      <w:r w:rsidR="009050B3" w:rsidRPr="00776407">
        <w:rPr>
          <w:sz w:val="22"/>
          <w:szCs w:val="22"/>
        </w:rPr>
        <w:t>}</w:t>
      </w:r>
    </w:p>
    <w:p w14:paraId="1AC82CB1" w14:textId="4F255133" w:rsidR="009050B3" w:rsidRPr="00776407" w:rsidRDefault="006D099C" w:rsidP="009050B3">
      <w:pPr>
        <w:tabs>
          <w:tab w:val="left" w:pos="567"/>
        </w:tabs>
        <w:rPr>
          <w:sz w:val="22"/>
          <w:szCs w:val="22"/>
        </w:rPr>
      </w:pPr>
      <w:r w:rsidRPr="00776407">
        <w:rPr>
          <w:sz w:val="22"/>
          <w:szCs w:val="22"/>
        </w:rPr>
        <w:t>SN {numeris</w:t>
      </w:r>
      <w:r w:rsidR="009050B3" w:rsidRPr="00776407">
        <w:rPr>
          <w:sz w:val="22"/>
          <w:szCs w:val="22"/>
        </w:rPr>
        <w:t>}</w:t>
      </w:r>
    </w:p>
    <w:p w14:paraId="0C6733AF" w14:textId="65A8FACD" w:rsidR="009050B3" w:rsidRPr="00776407" w:rsidRDefault="006D099C" w:rsidP="009050B3">
      <w:pPr>
        <w:tabs>
          <w:tab w:val="left" w:pos="567"/>
        </w:tabs>
        <w:rPr>
          <w:b/>
          <w:noProof/>
          <w:sz w:val="22"/>
          <w:szCs w:val="22"/>
          <w:u w:val="single"/>
        </w:rPr>
      </w:pPr>
      <w:r w:rsidRPr="00776407">
        <w:rPr>
          <w:sz w:val="22"/>
          <w:szCs w:val="22"/>
        </w:rPr>
        <w:t>NN {numeris</w:t>
      </w:r>
      <w:r w:rsidR="009050B3" w:rsidRPr="00776407">
        <w:rPr>
          <w:sz w:val="22"/>
          <w:szCs w:val="22"/>
        </w:rPr>
        <w:t>}</w:t>
      </w:r>
    </w:p>
    <w:p w14:paraId="6E366895" w14:textId="77777777" w:rsidR="00794E62" w:rsidRPr="00776407" w:rsidRDefault="00794E62" w:rsidP="000536DF">
      <w:pPr>
        <w:autoSpaceDE w:val="0"/>
        <w:autoSpaceDN w:val="0"/>
        <w:adjustRightInd w:val="0"/>
        <w:rPr>
          <w:sz w:val="22"/>
          <w:szCs w:val="22"/>
        </w:rPr>
      </w:pPr>
    </w:p>
    <w:p w14:paraId="38571C2F" w14:textId="77777777" w:rsidR="000536DF" w:rsidRPr="00776407" w:rsidRDefault="000536DF" w:rsidP="000536DF">
      <w:pPr>
        <w:pBdr>
          <w:top w:val="single" w:sz="4" w:space="1" w:color="auto"/>
          <w:left w:val="single" w:sz="4" w:space="4" w:color="auto"/>
          <w:bottom w:val="single" w:sz="4" w:space="1" w:color="auto"/>
          <w:right w:val="single" w:sz="4" w:space="4" w:color="auto"/>
        </w:pBdr>
        <w:rPr>
          <w:sz w:val="22"/>
          <w:szCs w:val="22"/>
        </w:rPr>
      </w:pPr>
      <w:r w:rsidRPr="00776407">
        <w:rPr>
          <w:sz w:val="22"/>
          <w:szCs w:val="22"/>
        </w:rPr>
        <w:br w:type="page"/>
      </w:r>
      <w:r w:rsidRPr="00776407">
        <w:rPr>
          <w:b/>
          <w:sz w:val="22"/>
          <w:szCs w:val="22"/>
        </w:rPr>
        <w:t>MINIMALI INFORMACIJA ANT LIZDINIŲ PLOKŠTELIŲ ARBA DVISLUOKSNIŲ JUOSTELIŲ</w:t>
      </w:r>
      <w:r w:rsidRPr="00776407">
        <w:rPr>
          <w:b/>
          <w:sz w:val="22"/>
          <w:szCs w:val="22"/>
        </w:rPr>
        <w:br/>
      </w:r>
      <w:r w:rsidRPr="00776407">
        <w:rPr>
          <w:b/>
          <w:sz w:val="22"/>
          <w:szCs w:val="22"/>
        </w:rPr>
        <w:br/>
        <w:t>LIZDINĖ PLOKŠTELĖ</w:t>
      </w:r>
    </w:p>
    <w:p w14:paraId="00E0FAE3" w14:textId="77777777" w:rsidR="000536DF" w:rsidRPr="00776407" w:rsidRDefault="000536DF" w:rsidP="000536DF">
      <w:pPr>
        <w:rPr>
          <w:sz w:val="22"/>
          <w:szCs w:val="22"/>
        </w:rPr>
      </w:pPr>
    </w:p>
    <w:p w14:paraId="520598B3"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1.</w:t>
      </w:r>
      <w:r w:rsidRPr="00776407">
        <w:rPr>
          <w:b/>
          <w:sz w:val="22"/>
          <w:szCs w:val="22"/>
        </w:rPr>
        <w:tab/>
      </w:r>
      <w:r w:rsidRPr="00776407">
        <w:rPr>
          <w:b/>
          <w:caps/>
          <w:sz w:val="22"/>
          <w:szCs w:val="22"/>
        </w:rPr>
        <w:t>VAISTINIO</w:t>
      </w:r>
      <w:r w:rsidRPr="00776407">
        <w:rPr>
          <w:b/>
          <w:sz w:val="22"/>
          <w:szCs w:val="22"/>
        </w:rPr>
        <w:t xml:space="preserve"> PREPARATO PAVADINIMAS</w:t>
      </w:r>
    </w:p>
    <w:p w14:paraId="3BBFFABF" w14:textId="77777777" w:rsidR="000536DF" w:rsidRPr="00776407" w:rsidRDefault="000536DF" w:rsidP="000536DF">
      <w:pPr>
        <w:rPr>
          <w:sz w:val="22"/>
          <w:szCs w:val="22"/>
        </w:rPr>
      </w:pPr>
    </w:p>
    <w:p w14:paraId="4F035005" w14:textId="77777777" w:rsidR="000536DF" w:rsidRPr="00776407" w:rsidRDefault="00A877B5" w:rsidP="000536DF">
      <w:pPr>
        <w:autoSpaceDE w:val="0"/>
        <w:autoSpaceDN w:val="0"/>
        <w:adjustRightInd w:val="0"/>
        <w:rPr>
          <w:sz w:val="22"/>
          <w:szCs w:val="22"/>
        </w:rPr>
      </w:pPr>
      <w:r w:rsidRPr="00776407">
        <w:rPr>
          <w:sz w:val="22"/>
          <w:szCs w:val="22"/>
        </w:rPr>
        <w:t>Imatinib Actavis 10</w:t>
      </w:r>
      <w:r w:rsidR="000536DF" w:rsidRPr="00776407">
        <w:rPr>
          <w:sz w:val="22"/>
          <w:szCs w:val="22"/>
        </w:rPr>
        <w:t xml:space="preserve">0 mg </w:t>
      </w:r>
      <w:r w:rsidRPr="00776407">
        <w:rPr>
          <w:sz w:val="22"/>
          <w:szCs w:val="22"/>
        </w:rPr>
        <w:t>plėvele dengtos tabletės</w:t>
      </w:r>
    </w:p>
    <w:p w14:paraId="4D21B977" w14:textId="1EAA6C2E" w:rsidR="000536DF" w:rsidRPr="00881EFD" w:rsidRDefault="00AA08DE" w:rsidP="000536DF">
      <w:pPr>
        <w:autoSpaceDE w:val="0"/>
        <w:autoSpaceDN w:val="0"/>
        <w:adjustRightInd w:val="0"/>
        <w:rPr>
          <w:i/>
          <w:sz w:val="22"/>
          <w:szCs w:val="22"/>
        </w:rPr>
      </w:pPr>
      <w:r w:rsidRPr="00881EFD">
        <w:rPr>
          <w:i/>
          <w:sz w:val="22"/>
          <w:szCs w:val="22"/>
        </w:rPr>
        <w:t>i</w:t>
      </w:r>
      <w:r w:rsidR="000536DF" w:rsidRPr="00881EFD">
        <w:rPr>
          <w:i/>
          <w:sz w:val="22"/>
          <w:szCs w:val="22"/>
        </w:rPr>
        <w:t>matinib</w:t>
      </w:r>
      <w:r w:rsidR="00C948C1" w:rsidRPr="00881EFD">
        <w:rPr>
          <w:i/>
          <w:sz w:val="22"/>
          <w:szCs w:val="22"/>
        </w:rPr>
        <w:t>um</w:t>
      </w:r>
    </w:p>
    <w:p w14:paraId="21D4E86B" w14:textId="77777777" w:rsidR="000536DF" w:rsidRPr="00776407" w:rsidRDefault="000536DF" w:rsidP="000536DF">
      <w:pPr>
        <w:rPr>
          <w:sz w:val="22"/>
          <w:szCs w:val="22"/>
        </w:rPr>
      </w:pPr>
    </w:p>
    <w:p w14:paraId="7FE510B5" w14:textId="77777777" w:rsidR="000536DF" w:rsidRPr="00776407" w:rsidRDefault="000536DF" w:rsidP="000536DF">
      <w:pPr>
        <w:rPr>
          <w:sz w:val="22"/>
          <w:szCs w:val="22"/>
        </w:rPr>
      </w:pPr>
    </w:p>
    <w:p w14:paraId="11BEE6AB"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2.</w:t>
      </w:r>
      <w:r w:rsidRPr="00776407">
        <w:rPr>
          <w:b/>
          <w:sz w:val="22"/>
          <w:szCs w:val="22"/>
        </w:rPr>
        <w:tab/>
      </w:r>
      <w:r w:rsidR="000509C9" w:rsidRPr="00776407">
        <w:rPr>
          <w:b/>
          <w:caps/>
          <w:sz w:val="22"/>
          <w:szCs w:val="22"/>
        </w:rPr>
        <w:t>REGISTRUOTOJO</w:t>
      </w:r>
      <w:r w:rsidR="00E51881" w:rsidRPr="00776407">
        <w:rPr>
          <w:b/>
          <w:caps/>
          <w:sz w:val="22"/>
          <w:szCs w:val="22"/>
        </w:rPr>
        <w:t xml:space="preserve"> </w:t>
      </w:r>
      <w:r w:rsidRPr="00776407">
        <w:rPr>
          <w:b/>
          <w:caps/>
          <w:sz w:val="22"/>
          <w:szCs w:val="22"/>
        </w:rPr>
        <w:t>pavadinimas</w:t>
      </w:r>
    </w:p>
    <w:p w14:paraId="63A3EBC9" w14:textId="77777777" w:rsidR="000536DF" w:rsidRPr="00776407" w:rsidRDefault="000536DF" w:rsidP="000536DF">
      <w:pPr>
        <w:rPr>
          <w:sz w:val="22"/>
          <w:szCs w:val="22"/>
        </w:rPr>
      </w:pPr>
    </w:p>
    <w:p w14:paraId="22996AAB" w14:textId="77777777" w:rsidR="000536DF" w:rsidRPr="00776407" w:rsidRDefault="000536DF" w:rsidP="000536DF">
      <w:pPr>
        <w:rPr>
          <w:sz w:val="22"/>
          <w:szCs w:val="22"/>
        </w:rPr>
      </w:pPr>
      <w:r w:rsidRPr="00776407">
        <w:rPr>
          <w:sz w:val="22"/>
          <w:szCs w:val="22"/>
        </w:rPr>
        <w:t>[Actavis logo]</w:t>
      </w:r>
    </w:p>
    <w:p w14:paraId="729DE421" w14:textId="77777777" w:rsidR="000536DF" w:rsidRPr="00776407" w:rsidRDefault="000536DF" w:rsidP="000536DF">
      <w:pPr>
        <w:rPr>
          <w:sz w:val="22"/>
          <w:szCs w:val="22"/>
        </w:rPr>
      </w:pPr>
    </w:p>
    <w:p w14:paraId="2E45C72B" w14:textId="77777777" w:rsidR="000536DF" w:rsidRPr="00776407" w:rsidRDefault="000536DF" w:rsidP="000536DF">
      <w:pPr>
        <w:rPr>
          <w:sz w:val="22"/>
          <w:szCs w:val="22"/>
        </w:rPr>
      </w:pPr>
    </w:p>
    <w:p w14:paraId="45F675CB" w14:textId="77777777" w:rsidR="000536DF" w:rsidRPr="00776407" w:rsidRDefault="000536DF" w:rsidP="000536DF">
      <w:pPr>
        <w:suppressLineNumbers/>
        <w:pBdr>
          <w:top w:val="single" w:sz="4" w:space="1" w:color="auto"/>
          <w:left w:val="single" w:sz="4" w:space="4" w:color="auto"/>
          <w:bottom w:val="single" w:sz="4" w:space="2" w:color="auto"/>
          <w:right w:val="single" w:sz="4" w:space="4" w:color="auto"/>
        </w:pBdr>
        <w:outlineLvl w:val="0"/>
        <w:rPr>
          <w:b/>
          <w:sz w:val="22"/>
          <w:szCs w:val="22"/>
        </w:rPr>
      </w:pPr>
      <w:r w:rsidRPr="00776407">
        <w:rPr>
          <w:b/>
          <w:sz w:val="22"/>
          <w:szCs w:val="22"/>
        </w:rPr>
        <w:t>3.</w:t>
      </w:r>
      <w:r w:rsidRPr="00776407">
        <w:rPr>
          <w:b/>
          <w:sz w:val="22"/>
          <w:szCs w:val="22"/>
        </w:rPr>
        <w:tab/>
        <w:t>TINKAMUMO LAIKAS</w:t>
      </w:r>
    </w:p>
    <w:p w14:paraId="1B11B6ED" w14:textId="77777777" w:rsidR="000536DF" w:rsidRPr="00776407" w:rsidRDefault="000536DF" w:rsidP="000536DF">
      <w:pPr>
        <w:rPr>
          <w:sz w:val="22"/>
          <w:szCs w:val="22"/>
        </w:rPr>
      </w:pPr>
    </w:p>
    <w:p w14:paraId="11A37532" w14:textId="77777777" w:rsidR="000536DF" w:rsidRPr="00776407" w:rsidRDefault="000536DF" w:rsidP="000536DF">
      <w:pPr>
        <w:rPr>
          <w:sz w:val="22"/>
          <w:szCs w:val="22"/>
        </w:rPr>
      </w:pPr>
      <w:r w:rsidRPr="00776407">
        <w:rPr>
          <w:sz w:val="22"/>
          <w:szCs w:val="22"/>
        </w:rPr>
        <w:t>EXP</w:t>
      </w:r>
    </w:p>
    <w:p w14:paraId="46D3C380" w14:textId="77777777" w:rsidR="000536DF" w:rsidRPr="00776407" w:rsidRDefault="000536DF" w:rsidP="000536DF">
      <w:pPr>
        <w:rPr>
          <w:sz w:val="22"/>
          <w:szCs w:val="22"/>
        </w:rPr>
      </w:pPr>
    </w:p>
    <w:p w14:paraId="44FFD227" w14:textId="77777777" w:rsidR="000536DF" w:rsidRPr="00776407" w:rsidRDefault="000536DF" w:rsidP="000536DF">
      <w:pPr>
        <w:rPr>
          <w:sz w:val="22"/>
          <w:szCs w:val="22"/>
        </w:rPr>
      </w:pPr>
    </w:p>
    <w:p w14:paraId="252DF50A"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4.</w:t>
      </w:r>
      <w:r w:rsidRPr="00776407">
        <w:rPr>
          <w:b/>
          <w:sz w:val="22"/>
          <w:szCs w:val="22"/>
        </w:rPr>
        <w:tab/>
        <w:t>SERIJOS NUMERIS</w:t>
      </w:r>
    </w:p>
    <w:p w14:paraId="6F1E566C" w14:textId="77777777" w:rsidR="000536DF" w:rsidRPr="00776407" w:rsidRDefault="000536DF" w:rsidP="000536DF">
      <w:pPr>
        <w:rPr>
          <w:sz w:val="22"/>
          <w:szCs w:val="22"/>
        </w:rPr>
      </w:pPr>
    </w:p>
    <w:p w14:paraId="79E66C9C" w14:textId="77777777" w:rsidR="000536DF" w:rsidRPr="00776407" w:rsidRDefault="000536DF" w:rsidP="000536DF">
      <w:pPr>
        <w:rPr>
          <w:sz w:val="22"/>
          <w:szCs w:val="22"/>
        </w:rPr>
      </w:pPr>
      <w:r w:rsidRPr="00776407">
        <w:rPr>
          <w:sz w:val="22"/>
          <w:szCs w:val="22"/>
        </w:rPr>
        <w:t>Lot</w:t>
      </w:r>
    </w:p>
    <w:p w14:paraId="17E194C9" w14:textId="77777777" w:rsidR="000536DF" w:rsidRPr="00776407" w:rsidRDefault="000536DF" w:rsidP="000536DF">
      <w:pPr>
        <w:rPr>
          <w:sz w:val="22"/>
          <w:szCs w:val="22"/>
        </w:rPr>
      </w:pPr>
    </w:p>
    <w:p w14:paraId="44159D17" w14:textId="77777777" w:rsidR="000536DF" w:rsidRPr="00776407" w:rsidRDefault="000536DF" w:rsidP="000536DF">
      <w:pPr>
        <w:rPr>
          <w:sz w:val="22"/>
          <w:szCs w:val="22"/>
        </w:rPr>
      </w:pPr>
    </w:p>
    <w:p w14:paraId="0C384C6E" w14:textId="77777777" w:rsidR="000536DF" w:rsidRPr="00776407" w:rsidRDefault="000536DF" w:rsidP="000536DF">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5.</w:t>
      </w:r>
      <w:r w:rsidRPr="00776407">
        <w:rPr>
          <w:b/>
          <w:sz w:val="22"/>
          <w:szCs w:val="22"/>
        </w:rPr>
        <w:tab/>
        <w:t>KITA</w:t>
      </w:r>
    </w:p>
    <w:p w14:paraId="66D8DFF7" w14:textId="77777777" w:rsidR="000536DF" w:rsidRPr="00776407" w:rsidRDefault="000536DF" w:rsidP="000536DF">
      <w:pPr>
        <w:rPr>
          <w:sz w:val="22"/>
          <w:szCs w:val="22"/>
        </w:rPr>
      </w:pPr>
    </w:p>
    <w:p w14:paraId="2914F5ED" w14:textId="77777777" w:rsidR="000536DF" w:rsidRPr="00776407" w:rsidRDefault="000536DF" w:rsidP="000536DF"/>
    <w:p w14:paraId="242B4DDB" w14:textId="77777777" w:rsidR="00EB1CCD" w:rsidRPr="00776407" w:rsidRDefault="000536DF" w:rsidP="00EB1CCD">
      <w:pPr>
        <w:suppressLineNumbers/>
        <w:pBdr>
          <w:top w:val="single" w:sz="4" w:space="1" w:color="auto"/>
          <w:left w:val="single" w:sz="4" w:space="4" w:color="auto"/>
          <w:bottom w:val="single" w:sz="4" w:space="1" w:color="auto"/>
          <w:right w:val="single" w:sz="4" w:space="4" w:color="auto"/>
        </w:pBdr>
        <w:rPr>
          <w:b/>
        </w:rPr>
      </w:pPr>
      <w:r w:rsidRPr="00776407">
        <w:rPr>
          <w:b/>
        </w:rPr>
        <w:br w:type="page"/>
      </w:r>
      <w:r w:rsidR="00EB1CCD" w:rsidRPr="00776407">
        <w:rPr>
          <w:b/>
          <w:sz w:val="22"/>
          <w:szCs w:val="22"/>
        </w:rPr>
        <w:t>INFORMACIJA ANT IŠORINĖ PAKUOTĖS</w:t>
      </w:r>
    </w:p>
    <w:p w14:paraId="2C568C59"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rPr>
          <w:b/>
          <w:sz w:val="22"/>
          <w:szCs w:val="22"/>
        </w:rPr>
      </w:pPr>
    </w:p>
    <w:p w14:paraId="0F52F83E"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rPr>
          <w:b/>
          <w:sz w:val="22"/>
          <w:szCs w:val="22"/>
        </w:rPr>
      </w:pPr>
      <w:r w:rsidRPr="00776407">
        <w:rPr>
          <w:b/>
          <w:sz w:val="22"/>
          <w:szCs w:val="22"/>
        </w:rPr>
        <w:t>KARTONINĖ DĖŽUTĖ</w:t>
      </w:r>
    </w:p>
    <w:p w14:paraId="7D0A280E" w14:textId="77777777" w:rsidR="00EB1CCD" w:rsidRPr="00776407" w:rsidRDefault="00EB1CCD" w:rsidP="00EB1CCD">
      <w:pPr>
        <w:rPr>
          <w:sz w:val="22"/>
          <w:szCs w:val="22"/>
        </w:rPr>
      </w:pPr>
    </w:p>
    <w:p w14:paraId="09AF9082"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1.</w:t>
      </w:r>
      <w:r w:rsidRPr="00776407">
        <w:rPr>
          <w:b/>
          <w:sz w:val="22"/>
          <w:szCs w:val="22"/>
        </w:rPr>
        <w:tab/>
      </w:r>
      <w:r w:rsidRPr="00776407">
        <w:rPr>
          <w:b/>
          <w:caps/>
          <w:sz w:val="22"/>
          <w:szCs w:val="22"/>
        </w:rPr>
        <w:t>VAISTINIO</w:t>
      </w:r>
      <w:r w:rsidRPr="00776407">
        <w:rPr>
          <w:b/>
          <w:sz w:val="22"/>
          <w:szCs w:val="22"/>
        </w:rPr>
        <w:t xml:space="preserve"> PREPARATO PAVADINIMAS</w:t>
      </w:r>
    </w:p>
    <w:p w14:paraId="2F47829A" w14:textId="77777777" w:rsidR="00EB1CCD" w:rsidRPr="00776407" w:rsidRDefault="00EB1CCD" w:rsidP="00EB1CCD">
      <w:pPr>
        <w:rPr>
          <w:sz w:val="22"/>
          <w:szCs w:val="22"/>
        </w:rPr>
      </w:pPr>
    </w:p>
    <w:p w14:paraId="656A0A56" w14:textId="77777777" w:rsidR="00EB1CCD" w:rsidRPr="00776407" w:rsidRDefault="00EB1CCD" w:rsidP="00EB1CCD">
      <w:pPr>
        <w:autoSpaceDE w:val="0"/>
        <w:autoSpaceDN w:val="0"/>
        <w:adjustRightInd w:val="0"/>
        <w:rPr>
          <w:sz w:val="22"/>
          <w:szCs w:val="22"/>
        </w:rPr>
      </w:pPr>
      <w:r w:rsidRPr="00776407">
        <w:rPr>
          <w:sz w:val="22"/>
          <w:szCs w:val="22"/>
        </w:rPr>
        <w:t>Imatinib Actavis 400 mg plėvele dengtos tabletės</w:t>
      </w:r>
    </w:p>
    <w:p w14:paraId="301B6E85" w14:textId="0B04F529" w:rsidR="00EB1CCD" w:rsidRPr="00881EFD" w:rsidRDefault="00CF3DA0" w:rsidP="00EB1CCD">
      <w:pPr>
        <w:autoSpaceDE w:val="0"/>
        <w:autoSpaceDN w:val="0"/>
        <w:adjustRightInd w:val="0"/>
        <w:rPr>
          <w:i/>
          <w:sz w:val="22"/>
          <w:szCs w:val="22"/>
        </w:rPr>
      </w:pPr>
      <w:r w:rsidRPr="00881EFD">
        <w:rPr>
          <w:i/>
          <w:sz w:val="22"/>
          <w:szCs w:val="22"/>
        </w:rPr>
        <w:t>i</w:t>
      </w:r>
      <w:r w:rsidR="00EB1CCD" w:rsidRPr="00881EFD">
        <w:rPr>
          <w:i/>
          <w:sz w:val="22"/>
          <w:szCs w:val="22"/>
        </w:rPr>
        <w:t>matinibum</w:t>
      </w:r>
    </w:p>
    <w:p w14:paraId="276B9FA9" w14:textId="77777777" w:rsidR="00EB1CCD" w:rsidRPr="00776407" w:rsidRDefault="00EB1CCD" w:rsidP="00EB1CCD">
      <w:pPr>
        <w:rPr>
          <w:sz w:val="22"/>
          <w:szCs w:val="22"/>
        </w:rPr>
      </w:pPr>
    </w:p>
    <w:p w14:paraId="66D8EAD6" w14:textId="77777777" w:rsidR="00EB1CCD" w:rsidRPr="00776407" w:rsidRDefault="00EB1CCD" w:rsidP="00EB1CCD">
      <w:pPr>
        <w:rPr>
          <w:sz w:val="22"/>
          <w:szCs w:val="22"/>
        </w:rPr>
      </w:pPr>
    </w:p>
    <w:p w14:paraId="2AB608C8"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b/>
          <w:sz w:val="22"/>
          <w:szCs w:val="22"/>
        </w:rPr>
      </w:pPr>
      <w:r w:rsidRPr="00776407">
        <w:rPr>
          <w:b/>
          <w:sz w:val="22"/>
          <w:szCs w:val="22"/>
        </w:rPr>
        <w:t>2.</w:t>
      </w:r>
      <w:r w:rsidRPr="00776407">
        <w:rPr>
          <w:b/>
          <w:sz w:val="22"/>
          <w:szCs w:val="22"/>
        </w:rPr>
        <w:tab/>
        <w:t>VEIKLIOJI (-IOS) MEDŽIAGA (-OS) IR JOS (-Ų) KIEKIS (-IAI)</w:t>
      </w:r>
    </w:p>
    <w:p w14:paraId="247BAFDC" w14:textId="77777777" w:rsidR="00EB1CCD" w:rsidRPr="00776407" w:rsidRDefault="00EB1CCD" w:rsidP="00EB1CCD">
      <w:pPr>
        <w:rPr>
          <w:sz w:val="22"/>
          <w:szCs w:val="22"/>
        </w:rPr>
      </w:pPr>
    </w:p>
    <w:p w14:paraId="38163E2C" w14:textId="77777777" w:rsidR="00EB1CCD" w:rsidRPr="00776407" w:rsidRDefault="00EB1CCD" w:rsidP="00EB1CCD">
      <w:pPr>
        <w:rPr>
          <w:sz w:val="22"/>
          <w:szCs w:val="22"/>
        </w:rPr>
      </w:pPr>
      <w:r w:rsidRPr="00776407">
        <w:rPr>
          <w:sz w:val="22"/>
          <w:szCs w:val="22"/>
        </w:rPr>
        <w:t>Kiekvienoje plėvele dengtoje tabletėje yra 400 mg imatinibo (mesilato pav</w:t>
      </w:r>
      <w:r w:rsidR="0089413D" w:rsidRPr="00776407">
        <w:rPr>
          <w:sz w:val="22"/>
          <w:szCs w:val="22"/>
        </w:rPr>
        <w:t>i</w:t>
      </w:r>
      <w:r w:rsidRPr="00776407">
        <w:rPr>
          <w:sz w:val="22"/>
          <w:szCs w:val="22"/>
        </w:rPr>
        <w:t>dalu).</w:t>
      </w:r>
    </w:p>
    <w:p w14:paraId="485C011D" w14:textId="77777777" w:rsidR="00EB1CCD" w:rsidRPr="00776407" w:rsidRDefault="00EB1CCD" w:rsidP="00EB1CCD">
      <w:pPr>
        <w:rPr>
          <w:sz w:val="22"/>
          <w:szCs w:val="22"/>
        </w:rPr>
      </w:pPr>
    </w:p>
    <w:p w14:paraId="0CA39B4B" w14:textId="77777777" w:rsidR="00EB1CCD" w:rsidRPr="00776407" w:rsidRDefault="00EB1CCD" w:rsidP="00EB1CCD">
      <w:pPr>
        <w:rPr>
          <w:sz w:val="22"/>
          <w:szCs w:val="22"/>
        </w:rPr>
      </w:pPr>
    </w:p>
    <w:p w14:paraId="7B8932FB"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3.</w:t>
      </w:r>
      <w:r w:rsidRPr="00776407">
        <w:rPr>
          <w:b/>
          <w:sz w:val="22"/>
          <w:szCs w:val="22"/>
        </w:rPr>
        <w:tab/>
        <w:t>PAGALBINIŲ MEDŽIAGŲ SĄRAŠAS</w:t>
      </w:r>
    </w:p>
    <w:p w14:paraId="5975C3DD" w14:textId="77777777" w:rsidR="00EB1CCD" w:rsidRPr="00776407" w:rsidRDefault="00EB1CCD" w:rsidP="00EB1CCD">
      <w:pPr>
        <w:rPr>
          <w:sz w:val="22"/>
          <w:szCs w:val="22"/>
        </w:rPr>
      </w:pPr>
    </w:p>
    <w:p w14:paraId="15E7D8B8" w14:textId="77777777" w:rsidR="00EB1CCD" w:rsidRPr="00776407" w:rsidRDefault="00EB1CCD" w:rsidP="00EB1CCD">
      <w:pPr>
        <w:rPr>
          <w:sz w:val="22"/>
          <w:szCs w:val="22"/>
        </w:rPr>
      </w:pPr>
      <w:r w:rsidRPr="00776407">
        <w:rPr>
          <w:sz w:val="22"/>
          <w:szCs w:val="22"/>
        </w:rPr>
        <w:t>Sudėtyje yra sojų lecitino  (E322).</w:t>
      </w:r>
    </w:p>
    <w:p w14:paraId="7A71BFBD" w14:textId="77777777" w:rsidR="00EB1CCD" w:rsidRPr="00776407" w:rsidRDefault="00EB1CCD" w:rsidP="00EB1CCD">
      <w:pPr>
        <w:rPr>
          <w:sz w:val="22"/>
          <w:szCs w:val="22"/>
        </w:rPr>
      </w:pPr>
      <w:r w:rsidRPr="00776407">
        <w:rPr>
          <w:sz w:val="22"/>
          <w:szCs w:val="22"/>
        </w:rPr>
        <w:t>Daugiau informacijos pateikta pakuotės lapelyje.</w:t>
      </w:r>
    </w:p>
    <w:p w14:paraId="78D5BF00" w14:textId="77777777" w:rsidR="00EB1CCD" w:rsidRPr="00776407" w:rsidRDefault="00EB1CCD" w:rsidP="00EB1CCD">
      <w:pPr>
        <w:rPr>
          <w:sz w:val="22"/>
          <w:szCs w:val="22"/>
        </w:rPr>
      </w:pPr>
    </w:p>
    <w:p w14:paraId="3B0D6141" w14:textId="77777777" w:rsidR="00EB1CCD" w:rsidRPr="00776407" w:rsidRDefault="00EB1CCD" w:rsidP="00EB1CCD">
      <w:pPr>
        <w:rPr>
          <w:sz w:val="22"/>
          <w:szCs w:val="22"/>
        </w:rPr>
      </w:pPr>
    </w:p>
    <w:p w14:paraId="0B58D701"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4.</w:t>
      </w:r>
      <w:r w:rsidRPr="00776407">
        <w:rPr>
          <w:b/>
          <w:sz w:val="22"/>
          <w:szCs w:val="22"/>
        </w:rPr>
        <w:tab/>
        <w:t>FARMACINĖ FORMA IR KIEKIS PAKUOTĖJE</w:t>
      </w:r>
    </w:p>
    <w:p w14:paraId="6A3CF36A" w14:textId="77777777" w:rsidR="00EB1CCD" w:rsidRPr="00776407" w:rsidRDefault="00EB1CCD" w:rsidP="00EB1CCD">
      <w:pPr>
        <w:pStyle w:val="KeinLeerraum"/>
        <w:rPr>
          <w:sz w:val="22"/>
          <w:szCs w:val="22"/>
          <w:highlight w:val="lightGray"/>
        </w:rPr>
      </w:pPr>
    </w:p>
    <w:p w14:paraId="3F53103C" w14:textId="77777777" w:rsidR="00EB1CCD" w:rsidRPr="00776407" w:rsidRDefault="00EB1CCD" w:rsidP="00EB1CCD">
      <w:pPr>
        <w:pStyle w:val="KeinLeerraum"/>
        <w:rPr>
          <w:sz w:val="22"/>
          <w:szCs w:val="22"/>
        </w:rPr>
      </w:pPr>
      <w:r w:rsidRPr="00776407">
        <w:rPr>
          <w:sz w:val="22"/>
          <w:szCs w:val="22"/>
        </w:rPr>
        <w:t xml:space="preserve">10  </w:t>
      </w:r>
      <w:r w:rsidR="00E504DF" w:rsidRPr="00776407">
        <w:rPr>
          <w:sz w:val="22"/>
          <w:szCs w:val="22"/>
        </w:rPr>
        <w:t xml:space="preserve">plėvele dengtų </w:t>
      </w:r>
      <w:r w:rsidRPr="00776407">
        <w:rPr>
          <w:sz w:val="22"/>
          <w:szCs w:val="22"/>
        </w:rPr>
        <w:t>tablečių</w:t>
      </w:r>
    </w:p>
    <w:p w14:paraId="70A2A8C2" w14:textId="77777777" w:rsidR="00EB1CCD" w:rsidRPr="00776407" w:rsidRDefault="00EB1CCD" w:rsidP="00EB1CCD">
      <w:pPr>
        <w:pStyle w:val="KeinLeerraum"/>
        <w:rPr>
          <w:sz w:val="22"/>
          <w:szCs w:val="22"/>
          <w:highlight w:val="lightGray"/>
        </w:rPr>
      </w:pPr>
      <w:r w:rsidRPr="00776407">
        <w:rPr>
          <w:sz w:val="22"/>
          <w:szCs w:val="22"/>
          <w:highlight w:val="lightGray"/>
        </w:rPr>
        <w:t xml:space="preserve">30  </w:t>
      </w:r>
      <w:r w:rsidR="00E504DF" w:rsidRPr="00776407">
        <w:rPr>
          <w:sz w:val="22"/>
          <w:szCs w:val="22"/>
          <w:highlight w:val="lightGray"/>
        </w:rPr>
        <w:t xml:space="preserve">plėvele dengtų </w:t>
      </w:r>
      <w:r w:rsidRPr="00776407">
        <w:rPr>
          <w:sz w:val="22"/>
          <w:szCs w:val="22"/>
          <w:highlight w:val="lightGray"/>
        </w:rPr>
        <w:t>tablečių</w:t>
      </w:r>
    </w:p>
    <w:p w14:paraId="2B3107F3" w14:textId="77777777" w:rsidR="00EB1CCD" w:rsidRPr="00776407" w:rsidRDefault="00EB1CCD" w:rsidP="00EB1CCD">
      <w:pPr>
        <w:pStyle w:val="KeinLeerraum"/>
        <w:rPr>
          <w:sz w:val="22"/>
          <w:szCs w:val="22"/>
          <w:highlight w:val="lightGray"/>
        </w:rPr>
      </w:pPr>
      <w:r w:rsidRPr="00776407">
        <w:rPr>
          <w:sz w:val="22"/>
          <w:szCs w:val="22"/>
          <w:highlight w:val="lightGray"/>
        </w:rPr>
        <w:t xml:space="preserve">60  </w:t>
      </w:r>
      <w:r w:rsidR="00E504DF" w:rsidRPr="00776407">
        <w:rPr>
          <w:sz w:val="22"/>
          <w:szCs w:val="22"/>
          <w:highlight w:val="lightGray"/>
        </w:rPr>
        <w:t xml:space="preserve">plėvele dengtų </w:t>
      </w:r>
      <w:r w:rsidRPr="00776407">
        <w:rPr>
          <w:sz w:val="22"/>
          <w:szCs w:val="22"/>
          <w:highlight w:val="lightGray"/>
        </w:rPr>
        <w:t>tablečių</w:t>
      </w:r>
    </w:p>
    <w:p w14:paraId="130AB74B" w14:textId="77777777" w:rsidR="00EB1CCD" w:rsidRPr="00776407" w:rsidRDefault="00EB1CCD" w:rsidP="00EB1CCD">
      <w:pPr>
        <w:pStyle w:val="KeinLeerraum"/>
        <w:rPr>
          <w:sz w:val="22"/>
          <w:szCs w:val="22"/>
        </w:rPr>
      </w:pPr>
      <w:r w:rsidRPr="00776407">
        <w:rPr>
          <w:sz w:val="22"/>
          <w:szCs w:val="22"/>
          <w:highlight w:val="lightGray"/>
        </w:rPr>
        <w:t xml:space="preserve">90  </w:t>
      </w:r>
      <w:r w:rsidR="00E504DF" w:rsidRPr="00776407">
        <w:rPr>
          <w:sz w:val="22"/>
          <w:szCs w:val="22"/>
          <w:highlight w:val="lightGray"/>
        </w:rPr>
        <w:t xml:space="preserve">plėvele dengtų </w:t>
      </w:r>
      <w:r w:rsidRPr="00776407">
        <w:rPr>
          <w:sz w:val="22"/>
          <w:szCs w:val="22"/>
          <w:highlight w:val="lightGray"/>
        </w:rPr>
        <w:t>tablečių</w:t>
      </w:r>
    </w:p>
    <w:p w14:paraId="1D266CB3" w14:textId="77777777" w:rsidR="00EB1CCD" w:rsidRPr="00776407" w:rsidRDefault="00EB1CCD" w:rsidP="00EB1CCD">
      <w:pPr>
        <w:rPr>
          <w:sz w:val="22"/>
          <w:szCs w:val="22"/>
        </w:rPr>
      </w:pPr>
    </w:p>
    <w:p w14:paraId="6624C832" w14:textId="77777777" w:rsidR="00EB1CCD" w:rsidRPr="00776407" w:rsidRDefault="00EB1CCD" w:rsidP="00EB1CCD">
      <w:pPr>
        <w:rPr>
          <w:sz w:val="22"/>
          <w:szCs w:val="22"/>
        </w:rPr>
      </w:pPr>
    </w:p>
    <w:p w14:paraId="2C2116B5"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5.</w:t>
      </w:r>
      <w:r w:rsidRPr="00776407">
        <w:rPr>
          <w:b/>
          <w:sz w:val="22"/>
          <w:szCs w:val="22"/>
        </w:rPr>
        <w:tab/>
        <w:t>VARTOJIMO METODAS IR BŪDAS (-AI)</w:t>
      </w:r>
    </w:p>
    <w:p w14:paraId="0C70F0DA" w14:textId="77777777" w:rsidR="00EB1CCD" w:rsidRPr="00776407" w:rsidRDefault="00EB1CCD" w:rsidP="00EB1CCD">
      <w:pPr>
        <w:rPr>
          <w:sz w:val="22"/>
          <w:szCs w:val="22"/>
        </w:rPr>
      </w:pPr>
    </w:p>
    <w:p w14:paraId="63D49F87" w14:textId="77777777" w:rsidR="00EB1CCD" w:rsidRPr="00776407" w:rsidRDefault="00EB1CCD" w:rsidP="00EB1CCD">
      <w:pPr>
        <w:rPr>
          <w:sz w:val="22"/>
          <w:szCs w:val="22"/>
        </w:rPr>
      </w:pPr>
      <w:r w:rsidRPr="00776407">
        <w:rPr>
          <w:sz w:val="22"/>
          <w:szCs w:val="22"/>
        </w:rPr>
        <w:t>Vartoti per burną.</w:t>
      </w:r>
    </w:p>
    <w:p w14:paraId="6EF8F10E" w14:textId="77777777" w:rsidR="00EB1CCD" w:rsidRPr="00776407" w:rsidRDefault="00EB1CCD" w:rsidP="00EB1CCD">
      <w:pPr>
        <w:rPr>
          <w:sz w:val="22"/>
          <w:szCs w:val="22"/>
        </w:rPr>
      </w:pPr>
      <w:r w:rsidRPr="00776407">
        <w:rPr>
          <w:sz w:val="22"/>
          <w:szCs w:val="22"/>
        </w:rPr>
        <w:t>Prieš vartojimą perskaitykite pakuotės lapelį.</w:t>
      </w:r>
    </w:p>
    <w:p w14:paraId="5F449F51" w14:textId="77777777" w:rsidR="00EB1CCD" w:rsidRPr="00776407" w:rsidRDefault="00EB1CCD" w:rsidP="00EB1CCD">
      <w:pPr>
        <w:rPr>
          <w:sz w:val="22"/>
          <w:szCs w:val="22"/>
        </w:rPr>
      </w:pPr>
    </w:p>
    <w:p w14:paraId="66A0E2BB" w14:textId="77777777" w:rsidR="00EB1CCD" w:rsidRPr="00776407" w:rsidRDefault="00EB1CCD" w:rsidP="00EB1CCD">
      <w:pPr>
        <w:rPr>
          <w:sz w:val="22"/>
          <w:szCs w:val="22"/>
        </w:rPr>
      </w:pPr>
    </w:p>
    <w:p w14:paraId="452706E3"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6.</w:t>
      </w:r>
      <w:r w:rsidRPr="00776407">
        <w:rPr>
          <w:b/>
          <w:sz w:val="22"/>
          <w:szCs w:val="22"/>
        </w:rPr>
        <w:tab/>
        <w:t>SPECIALUS ĮSPĖJIMAS, KAD VAISTINĮ PREPARATĄ BŪTINA LAIKYTI VAIKAMS NEPASTEBIMOJE IR NEPASIEKIAMOJE VIETOJE</w:t>
      </w:r>
    </w:p>
    <w:p w14:paraId="053FFBF9" w14:textId="77777777" w:rsidR="00EB1CCD" w:rsidRPr="00776407" w:rsidRDefault="00EB1CCD" w:rsidP="00EB1CCD">
      <w:pPr>
        <w:rPr>
          <w:sz w:val="22"/>
          <w:szCs w:val="22"/>
        </w:rPr>
      </w:pPr>
    </w:p>
    <w:p w14:paraId="02B23A34" w14:textId="77777777" w:rsidR="00EB1CCD" w:rsidRPr="00776407" w:rsidRDefault="00EB1CCD" w:rsidP="00EB1CCD">
      <w:pPr>
        <w:rPr>
          <w:sz w:val="22"/>
          <w:szCs w:val="22"/>
        </w:rPr>
      </w:pPr>
      <w:r w:rsidRPr="00776407">
        <w:rPr>
          <w:sz w:val="22"/>
          <w:szCs w:val="22"/>
        </w:rPr>
        <w:t>Laikyti vaikams nepastebimoje ir nepasiekiamoje vietoje.</w:t>
      </w:r>
    </w:p>
    <w:p w14:paraId="0A6F9FF4" w14:textId="77777777" w:rsidR="00EB1CCD" w:rsidRPr="00776407" w:rsidRDefault="00EB1CCD" w:rsidP="00EB1CCD">
      <w:pPr>
        <w:rPr>
          <w:sz w:val="22"/>
          <w:szCs w:val="22"/>
        </w:rPr>
      </w:pPr>
    </w:p>
    <w:p w14:paraId="77581CEB" w14:textId="77777777" w:rsidR="00EB1CCD" w:rsidRPr="00776407" w:rsidRDefault="00EB1CCD" w:rsidP="00EB1CCD">
      <w:pPr>
        <w:rPr>
          <w:sz w:val="22"/>
          <w:szCs w:val="22"/>
        </w:rPr>
      </w:pPr>
    </w:p>
    <w:p w14:paraId="0A5A6CEF"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7.</w:t>
      </w:r>
      <w:r w:rsidRPr="00776407">
        <w:rPr>
          <w:b/>
          <w:sz w:val="22"/>
          <w:szCs w:val="22"/>
        </w:rPr>
        <w:tab/>
        <w:t>KITAS (-I) SPECIALUS (-ŪS) ĮSPĖJIMAS (-AI) (JEI REIKIA)</w:t>
      </w:r>
    </w:p>
    <w:p w14:paraId="4A11C40C" w14:textId="77777777" w:rsidR="00EB1CCD" w:rsidRPr="00776407" w:rsidRDefault="00EB1CCD" w:rsidP="00EB1CCD">
      <w:pPr>
        <w:rPr>
          <w:sz w:val="22"/>
          <w:szCs w:val="22"/>
        </w:rPr>
      </w:pPr>
    </w:p>
    <w:p w14:paraId="269AD52E" w14:textId="77777777" w:rsidR="00EB1CCD" w:rsidRPr="00776407" w:rsidRDefault="00EB1CCD" w:rsidP="00EB1CCD">
      <w:pPr>
        <w:rPr>
          <w:sz w:val="22"/>
          <w:szCs w:val="22"/>
        </w:rPr>
      </w:pPr>
      <w:r w:rsidRPr="00776407">
        <w:rPr>
          <w:sz w:val="22"/>
          <w:szCs w:val="22"/>
        </w:rPr>
        <w:t>Vartoti taip, kaip nurodė gydytojas.</w:t>
      </w:r>
    </w:p>
    <w:p w14:paraId="1CF110DE" w14:textId="77777777" w:rsidR="00EB1CCD" w:rsidRPr="00776407" w:rsidRDefault="00EB1CCD" w:rsidP="00EB1CCD">
      <w:pPr>
        <w:rPr>
          <w:sz w:val="22"/>
          <w:szCs w:val="22"/>
        </w:rPr>
      </w:pPr>
    </w:p>
    <w:p w14:paraId="6720CF3E" w14:textId="77777777" w:rsidR="00EB1CCD" w:rsidRPr="00776407" w:rsidRDefault="00EB1CCD" w:rsidP="00EB1CCD">
      <w:pPr>
        <w:rPr>
          <w:sz w:val="22"/>
          <w:szCs w:val="22"/>
        </w:rPr>
      </w:pPr>
    </w:p>
    <w:p w14:paraId="70BB5902"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8.</w:t>
      </w:r>
      <w:r w:rsidRPr="00776407">
        <w:rPr>
          <w:b/>
          <w:sz w:val="22"/>
          <w:szCs w:val="22"/>
        </w:rPr>
        <w:tab/>
        <w:t>TINKAMUMO LAIKAS</w:t>
      </w:r>
    </w:p>
    <w:p w14:paraId="5E52999C" w14:textId="77777777" w:rsidR="00EB1CCD" w:rsidRPr="00776407" w:rsidRDefault="00EB1CCD" w:rsidP="00EB1CCD">
      <w:pPr>
        <w:rPr>
          <w:sz w:val="22"/>
          <w:szCs w:val="22"/>
        </w:rPr>
      </w:pPr>
    </w:p>
    <w:p w14:paraId="21DBE77D" w14:textId="77777777" w:rsidR="00EB1CCD" w:rsidRPr="00776407" w:rsidRDefault="00B11495" w:rsidP="00EB1CCD">
      <w:pPr>
        <w:rPr>
          <w:sz w:val="22"/>
          <w:szCs w:val="22"/>
        </w:rPr>
      </w:pPr>
      <w:r w:rsidRPr="00776407">
        <w:rPr>
          <w:sz w:val="22"/>
          <w:szCs w:val="22"/>
        </w:rPr>
        <w:t>EXP</w:t>
      </w:r>
    </w:p>
    <w:p w14:paraId="0C4C7CE2" w14:textId="77777777" w:rsidR="00EB1CCD" w:rsidRPr="00776407" w:rsidRDefault="00EB1CCD" w:rsidP="00EB1CCD">
      <w:pPr>
        <w:rPr>
          <w:sz w:val="22"/>
          <w:szCs w:val="22"/>
        </w:rPr>
      </w:pPr>
    </w:p>
    <w:p w14:paraId="6D5F8EBD" w14:textId="77777777" w:rsidR="00EB1CCD" w:rsidRPr="00776407" w:rsidRDefault="00EB1CCD" w:rsidP="00EB1CCD">
      <w:pPr>
        <w:rPr>
          <w:sz w:val="22"/>
          <w:szCs w:val="22"/>
        </w:rPr>
      </w:pPr>
    </w:p>
    <w:p w14:paraId="05F3E20C" w14:textId="77777777" w:rsidR="00EB1CCD" w:rsidRPr="00776407" w:rsidRDefault="00EB1CCD" w:rsidP="00EB1CCD">
      <w:pPr>
        <w:keepNext/>
        <w:suppressLineNumbers/>
        <w:pBdr>
          <w:top w:val="single" w:sz="4" w:space="1" w:color="auto"/>
          <w:left w:val="single" w:sz="4" w:space="4" w:color="auto"/>
          <w:bottom w:val="single" w:sz="4" w:space="1" w:color="auto"/>
          <w:right w:val="single" w:sz="4" w:space="4" w:color="auto"/>
        </w:pBdr>
        <w:ind w:left="567" w:hanging="567"/>
        <w:outlineLvl w:val="0"/>
        <w:rPr>
          <w:sz w:val="22"/>
          <w:szCs w:val="22"/>
        </w:rPr>
      </w:pPr>
      <w:r w:rsidRPr="00776407">
        <w:rPr>
          <w:b/>
          <w:sz w:val="22"/>
          <w:szCs w:val="22"/>
        </w:rPr>
        <w:t>9.</w:t>
      </w:r>
      <w:r w:rsidRPr="00776407">
        <w:rPr>
          <w:b/>
          <w:sz w:val="22"/>
          <w:szCs w:val="22"/>
        </w:rPr>
        <w:tab/>
        <w:t>SPECIALIOS LAIKYMO SĄLYGOS</w:t>
      </w:r>
    </w:p>
    <w:p w14:paraId="7833A3B9" w14:textId="77777777" w:rsidR="00EB1CCD" w:rsidRPr="00776407" w:rsidRDefault="00EB1CCD" w:rsidP="00EB1CCD">
      <w:pPr>
        <w:rPr>
          <w:sz w:val="22"/>
          <w:szCs w:val="22"/>
        </w:rPr>
      </w:pPr>
    </w:p>
    <w:p w14:paraId="701CE757" w14:textId="77777777" w:rsidR="00EB1CCD" w:rsidRPr="00776407" w:rsidRDefault="00EB1CCD" w:rsidP="00EB1CCD">
      <w:pPr>
        <w:rPr>
          <w:sz w:val="22"/>
          <w:szCs w:val="22"/>
        </w:rPr>
      </w:pPr>
      <w:r w:rsidRPr="00776407">
        <w:rPr>
          <w:sz w:val="22"/>
          <w:szCs w:val="22"/>
        </w:rPr>
        <w:t xml:space="preserve">Laikyti ne aukštesnėje kaip 30 </w:t>
      </w:r>
      <w:r w:rsidRPr="00776407">
        <w:rPr>
          <w:sz w:val="22"/>
          <w:szCs w:val="22"/>
        </w:rPr>
        <w:sym w:font="Symbol" w:char="F0B0"/>
      </w:r>
      <w:r w:rsidRPr="00776407">
        <w:rPr>
          <w:sz w:val="22"/>
          <w:szCs w:val="22"/>
        </w:rPr>
        <w:t xml:space="preserve">C temperatūroje. </w:t>
      </w:r>
    </w:p>
    <w:p w14:paraId="1FE3ED9E" w14:textId="77777777" w:rsidR="00EB1CCD" w:rsidRPr="00776407" w:rsidRDefault="00EB1CCD" w:rsidP="00EB1CCD">
      <w:pPr>
        <w:ind w:left="567" w:hanging="567"/>
        <w:rPr>
          <w:sz w:val="22"/>
          <w:szCs w:val="22"/>
        </w:rPr>
      </w:pPr>
      <w:r w:rsidRPr="00776407">
        <w:rPr>
          <w:sz w:val="22"/>
          <w:szCs w:val="22"/>
        </w:rPr>
        <w:t>Laikyti gamintojo pakuotėje, kad preparatas būtų apsaugotas nuo drėgmės.</w:t>
      </w:r>
    </w:p>
    <w:p w14:paraId="061F875D" w14:textId="77777777" w:rsidR="00EB1CCD" w:rsidRPr="00776407" w:rsidRDefault="00EB1CCD" w:rsidP="00EB1CCD">
      <w:pPr>
        <w:rPr>
          <w:sz w:val="22"/>
          <w:szCs w:val="22"/>
        </w:rPr>
      </w:pPr>
    </w:p>
    <w:p w14:paraId="0298C0C6" w14:textId="77777777" w:rsidR="00EB1CCD" w:rsidRPr="00776407" w:rsidRDefault="00EB1CCD" w:rsidP="00EB1CCD">
      <w:pPr>
        <w:rPr>
          <w:sz w:val="22"/>
          <w:szCs w:val="22"/>
        </w:rPr>
      </w:pPr>
    </w:p>
    <w:p w14:paraId="39281212"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10.</w:t>
      </w:r>
      <w:r w:rsidRPr="00776407">
        <w:rPr>
          <w:b/>
          <w:sz w:val="22"/>
          <w:szCs w:val="22"/>
        </w:rPr>
        <w:tab/>
        <w:t>SPECIALIOS ATSARGUMO PRIEMONĖS DĖL NESUVARTOTO VAISTINIO PREPARATO AR JO ATLIEKŲ TVARKYMO (JEI REIKIA)</w:t>
      </w:r>
    </w:p>
    <w:p w14:paraId="514A017A" w14:textId="77777777" w:rsidR="00EB1CCD" w:rsidRPr="00776407" w:rsidRDefault="00EB1CCD" w:rsidP="00EB1CCD">
      <w:pPr>
        <w:rPr>
          <w:sz w:val="22"/>
          <w:szCs w:val="22"/>
        </w:rPr>
      </w:pPr>
    </w:p>
    <w:p w14:paraId="1F2773FF" w14:textId="77777777" w:rsidR="00EB1CCD" w:rsidRPr="00776407" w:rsidRDefault="00EB1CCD" w:rsidP="00EB1CCD">
      <w:pPr>
        <w:rPr>
          <w:sz w:val="22"/>
          <w:szCs w:val="22"/>
        </w:rPr>
      </w:pPr>
    </w:p>
    <w:p w14:paraId="4799CCD6"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11.</w:t>
      </w:r>
      <w:r w:rsidRPr="00776407">
        <w:rPr>
          <w:b/>
          <w:sz w:val="22"/>
          <w:szCs w:val="22"/>
        </w:rPr>
        <w:tab/>
      </w:r>
      <w:r w:rsidR="000509C9" w:rsidRPr="00776407">
        <w:rPr>
          <w:b/>
          <w:caps/>
          <w:sz w:val="22"/>
          <w:szCs w:val="22"/>
        </w:rPr>
        <w:t>REGISTRUOTOJO</w:t>
      </w:r>
      <w:r w:rsidR="00E51881" w:rsidRPr="00776407">
        <w:rPr>
          <w:b/>
          <w:caps/>
          <w:sz w:val="22"/>
          <w:szCs w:val="22"/>
        </w:rPr>
        <w:t xml:space="preserve"> </w:t>
      </w:r>
      <w:r w:rsidRPr="00776407">
        <w:rPr>
          <w:b/>
          <w:caps/>
          <w:sz w:val="22"/>
          <w:szCs w:val="22"/>
        </w:rPr>
        <w:t>PAVADINIMAS IR ADRESAS</w:t>
      </w:r>
    </w:p>
    <w:p w14:paraId="7254075B" w14:textId="77777777" w:rsidR="00EB1CCD" w:rsidRPr="00776407" w:rsidRDefault="00EB1CCD" w:rsidP="00EB1CCD">
      <w:pPr>
        <w:rPr>
          <w:sz w:val="22"/>
          <w:szCs w:val="22"/>
        </w:rPr>
      </w:pPr>
    </w:p>
    <w:p w14:paraId="1CAB1131" w14:textId="77777777" w:rsidR="00EB1CCD" w:rsidRPr="00776407" w:rsidRDefault="00EB1CCD" w:rsidP="00EB1CCD">
      <w:pPr>
        <w:autoSpaceDE w:val="0"/>
        <w:autoSpaceDN w:val="0"/>
        <w:adjustRightInd w:val="0"/>
        <w:rPr>
          <w:sz w:val="22"/>
          <w:szCs w:val="22"/>
        </w:rPr>
      </w:pPr>
      <w:r w:rsidRPr="00776407">
        <w:rPr>
          <w:sz w:val="22"/>
          <w:szCs w:val="22"/>
        </w:rPr>
        <w:t>Actavis Group PTC ehf.</w:t>
      </w:r>
    </w:p>
    <w:p w14:paraId="69BF4443" w14:textId="77777777" w:rsidR="00EB1CCD" w:rsidRPr="00776407" w:rsidRDefault="00EB1CCD" w:rsidP="00EB1CCD">
      <w:pPr>
        <w:autoSpaceDE w:val="0"/>
        <w:autoSpaceDN w:val="0"/>
        <w:adjustRightInd w:val="0"/>
        <w:rPr>
          <w:sz w:val="22"/>
          <w:szCs w:val="22"/>
        </w:rPr>
      </w:pPr>
      <w:r w:rsidRPr="00776407">
        <w:rPr>
          <w:sz w:val="22"/>
          <w:szCs w:val="22"/>
        </w:rPr>
        <w:t>Hafnarfjörður</w:t>
      </w:r>
    </w:p>
    <w:p w14:paraId="69AAB8C5" w14:textId="77777777" w:rsidR="00EB1CCD" w:rsidRPr="00776407" w:rsidRDefault="00EB1CCD" w:rsidP="00EB1CCD">
      <w:pPr>
        <w:autoSpaceDE w:val="0"/>
        <w:autoSpaceDN w:val="0"/>
        <w:adjustRightInd w:val="0"/>
        <w:rPr>
          <w:sz w:val="22"/>
          <w:szCs w:val="22"/>
        </w:rPr>
      </w:pPr>
      <w:r w:rsidRPr="00776407">
        <w:rPr>
          <w:sz w:val="22"/>
          <w:szCs w:val="22"/>
        </w:rPr>
        <w:t>Islandija</w:t>
      </w:r>
    </w:p>
    <w:p w14:paraId="557F5620" w14:textId="77777777" w:rsidR="00EB1CCD" w:rsidRPr="00776407" w:rsidRDefault="00EB1CCD" w:rsidP="00EB1CCD">
      <w:pPr>
        <w:rPr>
          <w:sz w:val="22"/>
          <w:szCs w:val="22"/>
        </w:rPr>
      </w:pPr>
    </w:p>
    <w:p w14:paraId="1117ED6F" w14:textId="77777777" w:rsidR="00EB1CCD" w:rsidRPr="00776407" w:rsidRDefault="00EB1CCD" w:rsidP="00EB1CCD">
      <w:pPr>
        <w:rPr>
          <w:sz w:val="22"/>
          <w:szCs w:val="22"/>
        </w:rPr>
      </w:pPr>
    </w:p>
    <w:p w14:paraId="5DFC6CB3"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sz w:val="22"/>
          <w:szCs w:val="22"/>
        </w:rPr>
      </w:pPr>
      <w:r w:rsidRPr="00776407">
        <w:rPr>
          <w:b/>
          <w:sz w:val="22"/>
          <w:szCs w:val="22"/>
        </w:rPr>
        <w:t>12.</w:t>
      </w:r>
      <w:r w:rsidRPr="00776407">
        <w:rPr>
          <w:b/>
          <w:sz w:val="22"/>
          <w:szCs w:val="22"/>
        </w:rPr>
        <w:tab/>
      </w:r>
      <w:r w:rsidR="000509C9" w:rsidRPr="00776407">
        <w:rPr>
          <w:b/>
          <w:sz w:val="22"/>
          <w:szCs w:val="22"/>
        </w:rPr>
        <w:t>REGISTRACIJOS PAŽYMĖJIMO NUMERIS</w:t>
      </w:r>
      <w:r w:rsidRPr="00776407">
        <w:rPr>
          <w:b/>
          <w:sz w:val="22"/>
          <w:szCs w:val="22"/>
        </w:rPr>
        <w:t xml:space="preserve">(-IAI) </w:t>
      </w:r>
    </w:p>
    <w:p w14:paraId="37E303C4" w14:textId="77777777" w:rsidR="00EB1CCD" w:rsidRPr="00776407" w:rsidRDefault="00EB1CCD" w:rsidP="00EB1CCD">
      <w:pPr>
        <w:rPr>
          <w:sz w:val="22"/>
          <w:szCs w:val="22"/>
        </w:rPr>
      </w:pPr>
    </w:p>
    <w:p w14:paraId="1B144FE5" w14:textId="77777777" w:rsidR="002657B6" w:rsidRPr="00776407" w:rsidRDefault="002657B6" w:rsidP="002657B6">
      <w:pPr>
        <w:pStyle w:val="KeinLeerraum"/>
        <w:rPr>
          <w:sz w:val="22"/>
          <w:szCs w:val="22"/>
          <w:highlight w:val="lightGray"/>
        </w:rPr>
      </w:pPr>
      <w:r w:rsidRPr="00776407">
        <w:rPr>
          <w:sz w:val="22"/>
          <w:szCs w:val="22"/>
        </w:rPr>
        <w:t xml:space="preserve">EU/1/13/825/015 </w:t>
      </w:r>
      <w:r w:rsidRPr="00776407">
        <w:rPr>
          <w:sz w:val="22"/>
          <w:szCs w:val="22"/>
          <w:highlight w:val="lightGray"/>
        </w:rPr>
        <w:t xml:space="preserve">10  </w:t>
      </w:r>
      <w:r w:rsidR="00E05C8F" w:rsidRPr="00776407">
        <w:rPr>
          <w:sz w:val="22"/>
          <w:szCs w:val="22"/>
          <w:highlight w:val="lightGray"/>
        </w:rPr>
        <w:t>tablečių</w:t>
      </w:r>
    </w:p>
    <w:p w14:paraId="7549C7EC" w14:textId="77777777" w:rsidR="002657B6" w:rsidRPr="00776407" w:rsidRDefault="002657B6" w:rsidP="002657B6">
      <w:pPr>
        <w:pStyle w:val="KeinLeerraum"/>
        <w:rPr>
          <w:sz w:val="22"/>
          <w:szCs w:val="22"/>
          <w:highlight w:val="lightGray"/>
        </w:rPr>
      </w:pPr>
      <w:r w:rsidRPr="00776407">
        <w:rPr>
          <w:sz w:val="22"/>
          <w:szCs w:val="22"/>
          <w:highlight w:val="lightGray"/>
        </w:rPr>
        <w:t xml:space="preserve">EU/1/13/825/016 30  </w:t>
      </w:r>
      <w:r w:rsidR="00E05C8F" w:rsidRPr="00776407">
        <w:rPr>
          <w:sz w:val="22"/>
          <w:szCs w:val="22"/>
          <w:highlight w:val="lightGray"/>
        </w:rPr>
        <w:t>tablečių</w:t>
      </w:r>
    </w:p>
    <w:p w14:paraId="2A87B0BB" w14:textId="77777777" w:rsidR="002657B6" w:rsidRPr="00776407" w:rsidRDefault="002657B6" w:rsidP="002657B6">
      <w:pPr>
        <w:pStyle w:val="KeinLeerraum"/>
        <w:rPr>
          <w:sz w:val="22"/>
          <w:szCs w:val="22"/>
          <w:highlight w:val="lightGray"/>
        </w:rPr>
      </w:pPr>
      <w:r w:rsidRPr="00776407">
        <w:rPr>
          <w:sz w:val="22"/>
          <w:szCs w:val="22"/>
          <w:highlight w:val="lightGray"/>
        </w:rPr>
        <w:t xml:space="preserve">EU/1/13/825/017 60  </w:t>
      </w:r>
      <w:r w:rsidR="00E05C8F" w:rsidRPr="00776407">
        <w:rPr>
          <w:sz w:val="22"/>
          <w:szCs w:val="22"/>
          <w:highlight w:val="lightGray"/>
        </w:rPr>
        <w:t>tablečių</w:t>
      </w:r>
    </w:p>
    <w:p w14:paraId="3293C37C" w14:textId="77777777" w:rsidR="00EB1CCD" w:rsidRPr="00776407" w:rsidRDefault="002657B6" w:rsidP="002657B6">
      <w:pPr>
        <w:pStyle w:val="Kopfzeile"/>
        <w:rPr>
          <w:sz w:val="22"/>
          <w:szCs w:val="22"/>
        </w:rPr>
      </w:pPr>
      <w:r w:rsidRPr="00776407">
        <w:rPr>
          <w:sz w:val="22"/>
          <w:szCs w:val="22"/>
          <w:highlight w:val="lightGray"/>
        </w:rPr>
        <w:t xml:space="preserve">EU/1/13/825/018 90  </w:t>
      </w:r>
      <w:r w:rsidR="00E05C8F" w:rsidRPr="00776407">
        <w:rPr>
          <w:sz w:val="22"/>
          <w:szCs w:val="22"/>
          <w:highlight w:val="lightGray"/>
        </w:rPr>
        <w:t>tablečių</w:t>
      </w:r>
      <w:r w:rsidR="00E05C8F" w:rsidRPr="00776407" w:rsidDel="002657B6">
        <w:rPr>
          <w:sz w:val="22"/>
          <w:szCs w:val="22"/>
        </w:rPr>
        <w:t xml:space="preserve"> </w:t>
      </w:r>
    </w:p>
    <w:p w14:paraId="69BF45CF" w14:textId="77777777" w:rsidR="00EB1CCD" w:rsidRPr="00776407" w:rsidRDefault="00EB1CCD" w:rsidP="00EB1CCD">
      <w:pPr>
        <w:rPr>
          <w:sz w:val="22"/>
          <w:szCs w:val="22"/>
        </w:rPr>
      </w:pPr>
    </w:p>
    <w:p w14:paraId="69E60744" w14:textId="77777777" w:rsidR="00EB1CCD" w:rsidRPr="00776407" w:rsidRDefault="00EB1CCD" w:rsidP="00EB1CCD">
      <w:pPr>
        <w:rPr>
          <w:sz w:val="22"/>
          <w:szCs w:val="22"/>
        </w:rPr>
      </w:pPr>
    </w:p>
    <w:p w14:paraId="38B19937"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sz w:val="22"/>
          <w:szCs w:val="22"/>
        </w:rPr>
      </w:pPr>
      <w:r w:rsidRPr="00776407">
        <w:rPr>
          <w:b/>
          <w:sz w:val="22"/>
          <w:szCs w:val="22"/>
        </w:rPr>
        <w:t>13.</w:t>
      </w:r>
      <w:r w:rsidRPr="00776407">
        <w:rPr>
          <w:b/>
          <w:sz w:val="22"/>
          <w:szCs w:val="22"/>
        </w:rPr>
        <w:tab/>
        <w:t xml:space="preserve">SERIJOS NUMERIS </w:t>
      </w:r>
    </w:p>
    <w:p w14:paraId="104FA0D6" w14:textId="77777777" w:rsidR="00EB1CCD" w:rsidRPr="00776407" w:rsidRDefault="00EB1CCD" w:rsidP="00EB1CCD">
      <w:pPr>
        <w:rPr>
          <w:sz w:val="22"/>
          <w:szCs w:val="22"/>
        </w:rPr>
      </w:pPr>
    </w:p>
    <w:p w14:paraId="59D9DAA7" w14:textId="77777777" w:rsidR="00EB1CCD" w:rsidRPr="00776407" w:rsidRDefault="00B11495" w:rsidP="00EB1CCD">
      <w:pPr>
        <w:rPr>
          <w:sz w:val="22"/>
          <w:szCs w:val="22"/>
        </w:rPr>
      </w:pPr>
      <w:r w:rsidRPr="00776407">
        <w:rPr>
          <w:sz w:val="22"/>
          <w:szCs w:val="22"/>
        </w:rPr>
        <w:t>Lot</w:t>
      </w:r>
    </w:p>
    <w:p w14:paraId="15A61941" w14:textId="77777777" w:rsidR="00EB1CCD" w:rsidRPr="00776407" w:rsidRDefault="00EB1CCD" w:rsidP="00EB1CCD">
      <w:pPr>
        <w:rPr>
          <w:sz w:val="22"/>
          <w:szCs w:val="22"/>
        </w:rPr>
      </w:pPr>
    </w:p>
    <w:p w14:paraId="20238B43" w14:textId="77777777" w:rsidR="00EB1CCD" w:rsidRPr="00776407" w:rsidRDefault="00EB1CCD" w:rsidP="00EB1CCD">
      <w:pPr>
        <w:rPr>
          <w:sz w:val="22"/>
          <w:szCs w:val="22"/>
        </w:rPr>
      </w:pPr>
    </w:p>
    <w:p w14:paraId="0EA2491B"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sz w:val="22"/>
          <w:szCs w:val="22"/>
        </w:rPr>
      </w:pPr>
      <w:r w:rsidRPr="00776407">
        <w:rPr>
          <w:b/>
          <w:sz w:val="22"/>
          <w:szCs w:val="22"/>
        </w:rPr>
        <w:t>14.</w:t>
      </w:r>
      <w:r w:rsidRPr="00776407">
        <w:rPr>
          <w:b/>
          <w:sz w:val="22"/>
          <w:szCs w:val="22"/>
        </w:rPr>
        <w:tab/>
        <w:t>PARDAVIMO (IŠDAVIMO) TVARKA</w:t>
      </w:r>
    </w:p>
    <w:p w14:paraId="02DB5A64" w14:textId="77777777" w:rsidR="00EB1CCD" w:rsidRPr="00776407" w:rsidRDefault="00EB1CCD" w:rsidP="00EB1CCD">
      <w:pPr>
        <w:rPr>
          <w:sz w:val="22"/>
          <w:szCs w:val="22"/>
        </w:rPr>
      </w:pPr>
    </w:p>
    <w:p w14:paraId="3427700B" w14:textId="77777777" w:rsidR="00EB1CCD" w:rsidRPr="00776407" w:rsidRDefault="00EB1CCD" w:rsidP="00EB1CCD">
      <w:pPr>
        <w:rPr>
          <w:sz w:val="22"/>
          <w:szCs w:val="22"/>
        </w:rPr>
      </w:pPr>
    </w:p>
    <w:p w14:paraId="680214F0" w14:textId="77777777" w:rsidR="00EB1CCD" w:rsidRPr="00776407" w:rsidRDefault="00EB1CCD" w:rsidP="00EB1CCD">
      <w:pPr>
        <w:suppressLineNumbers/>
        <w:pBdr>
          <w:top w:val="single" w:sz="4" w:space="2" w:color="auto"/>
          <w:left w:val="single" w:sz="4" w:space="4" w:color="auto"/>
          <w:bottom w:val="single" w:sz="4" w:space="1" w:color="auto"/>
          <w:right w:val="single" w:sz="4" w:space="4" w:color="auto"/>
        </w:pBdr>
        <w:outlineLvl w:val="0"/>
        <w:rPr>
          <w:sz w:val="22"/>
          <w:szCs w:val="22"/>
        </w:rPr>
      </w:pPr>
      <w:r w:rsidRPr="00776407">
        <w:rPr>
          <w:b/>
          <w:sz w:val="22"/>
          <w:szCs w:val="22"/>
        </w:rPr>
        <w:t>15.</w:t>
      </w:r>
      <w:r w:rsidRPr="00776407">
        <w:rPr>
          <w:b/>
          <w:sz w:val="22"/>
          <w:szCs w:val="22"/>
        </w:rPr>
        <w:tab/>
        <w:t>VARTOJIMO INSTRUKCIJA</w:t>
      </w:r>
    </w:p>
    <w:p w14:paraId="32EA1BD9" w14:textId="77777777" w:rsidR="00EB1CCD" w:rsidRPr="00776407" w:rsidRDefault="00EB1CCD" w:rsidP="00EB1CCD">
      <w:pPr>
        <w:rPr>
          <w:sz w:val="22"/>
          <w:szCs w:val="22"/>
        </w:rPr>
      </w:pPr>
    </w:p>
    <w:p w14:paraId="5A3B1372" w14:textId="77777777" w:rsidR="00EB1CCD" w:rsidRPr="00776407" w:rsidRDefault="00EB1CCD" w:rsidP="00EB1CCD">
      <w:pPr>
        <w:rPr>
          <w:sz w:val="22"/>
          <w:szCs w:val="22"/>
        </w:rPr>
      </w:pPr>
    </w:p>
    <w:p w14:paraId="2765DE6C" w14:textId="77777777" w:rsidR="00EB1CCD" w:rsidRPr="00776407" w:rsidRDefault="00EB1CCD" w:rsidP="00EB1CCD">
      <w:pPr>
        <w:suppressLineNumbers/>
        <w:pBdr>
          <w:top w:val="single" w:sz="4" w:space="1" w:color="auto"/>
          <w:left w:val="single" w:sz="4" w:space="4" w:color="auto"/>
          <w:bottom w:val="single" w:sz="4" w:space="0" w:color="auto"/>
          <w:right w:val="single" w:sz="4" w:space="4" w:color="auto"/>
        </w:pBdr>
        <w:rPr>
          <w:color w:val="008000"/>
          <w:sz w:val="22"/>
          <w:szCs w:val="22"/>
        </w:rPr>
      </w:pPr>
      <w:r w:rsidRPr="00776407">
        <w:rPr>
          <w:b/>
          <w:sz w:val="22"/>
          <w:szCs w:val="22"/>
        </w:rPr>
        <w:t>16.</w:t>
      </w:r>
      <w:r w:rsidRPr="00776407">
        <w:rPr>
          <w:b/>
          <w:sz w:val="22"/>
          <w:szCs w:val="22"/>
        </w:rPr>
        <w:tab/>
        <w:t>INFORMACIJA BRAILIO RAŠTU</w:t>
      </w:r>
    </w:p>
    <w:p w14:paraId="0A129F31" w14:textId="77777777" w:rsidR="00EB1CCD" w:rsidRPr="00776407" w:rsidRDefault="00EB1CCD" w:rsidP="00EB1CCD">
      <w:pPr>
        <w:rPr>
          <w:sz w:val="22"/>
          <w:szCs w:val="22"/>
        </w:rPr>
      </w:pPr>
    </w:p>
    <w:p w14:paraId="0771D8FF" w14:textId="77777777" w:rsidR="000509C9" w:rsidRPr="00776407" w:rsidRDefault="00EB1CCD" w:rsidP="00EB1CCD">
      <w:pPr>
        <w:autoSpaceDE w:val="0"/>
        <w:autoSpaceDN w:val="0"/>
        <w:adjustRightInd w:val="0"/>
        <w:rPr>
          <w:sz w:val="22"/>
          <w:szCs w:val="22"/>
        </w:rPr>
      </w:pPr>
      <w:r w:rsidRPr="00776407">
        <w:rPr>
          <w:sz w:val="22"/>
          <w:szCs w:val="22"/>
        </w:rPr>
        <w:t>Imatinib Actavis 400 mg</w:t>
      </w:r>
    </w:p>
    <w:p w14:paraId="359E58F9" w14:textId="77777777" w:rsidR="000509C9" w:rsidRPr="00776407" w:rsidRDefault="000509C9" w:rsidP="000509C9">
      <w:pPr>
        <w:autoSpaceDE w:val="0"/>
        <w:autoSpaceDN w:val="0"/>
        <w:adjustRightInd w:val="0"/>
        <w:rPr>
          <w:sz w:val="22"/>
          <w:szCs w:val="22"/>
        </w:rPr>
      </w:pPr>
    </w:p>
    <w:p w14:paraId="16C813FD" w14:textId="77777777" w:rsidR="000509C9" w:rsidRPr="00776407" w:rsidRDefault="000509C9" w:rsidP="000509C9">
      <w:pPr>
        <w:tabs>
          <w:tab w:val="left" w:pos="567"/>
        </w:tabs>
        <w:rPr>
          <w:noProof/>
          <w:sz w:val="22"/>
          <w:szCs w:val="22"/>
          <w:shd w:val="clear" w:color="auto" w:fill="CCCCCC"/>
          <w:lang w:eastAsia="lt-LT" w:bidi="lt-LT"/>
        </w:rPr>
      </w:pPr>
    </w:p>
    <w:p w14:paraId="14B387FC" w14:textId="77777777" w:rsidR="000509C9" w:rsidRPr="00776407" w:rsidRDefault="000509C9" w:rsidP="00864BE6">
      <w:pPr>
        <w:keepNext/>
        <w:numPr>
          <w:ilvl w:val="0"/>
          <w:numId w:val="18"/>
        </w:numPr>
        <w:pBdr>
          <w:top w:val="single" w:sz="4" w:space="1" w:color="auto"/>
          <w:left w:val="single" w:sz="4" w:space="4" w:color="auto"/>
          <w:bottom w:val="single" w:sz="4" w:space="1" w:color="auto"/>
          <w:right w:val="single" w:sz="4" w:space="4" w:color="auto"/>
        </w:pBdr>
        <w:tabs>
          <w:tab w:val="left" w:pos="567"/>
        </w:tabs>
        <w:spacing w:line="260" w:lineRule="exact"/>
        <w:ind w:hanging="720"/>
        <w:outlineLvl w:val="0"/>
        <w:rPr>
          <w:i/>
          <w:noProof/>
          <w:sz w:val="22"/>
          <w:szCs w:val="20"/>
          <w:lang w:eastAsia="lt-LT" w:bidi="lt-LT"/>
        </w:rPr>
      </w:pPr>
      <w:r w:rsidRPr="00776407">
        <w:rPr>
          <w:b/>
          <w:noProof/>
          <w:sz w:val="22"/>
          <w:szCs w:val="20"/>
          <w:lang w:eastAsia="lt-LT" w:bidi="lt-LT"/>
        </w:rPr>
        <w:t>UNIKALUS IDENTIFIKATORIUS – 2D BRŪKŠNINIS KODAS</w:t>
      </w:r>
    </w:p>
    <w:p w14:paraId="4674956E" w14:textId="77777777" w:rsidR="000509C9" w:rsidRPr="00776407" w:rsidRDefault="000509C9" w:rsidP="000509C9">
      <w:pPr>
        <w:rPr>
          <w:noProof/>
          <w:sz w:val="22"/>
          <w:szCs w:val="20"/>
          <w:lang w:eastAsia="lt-LT" w:bidi="lt-LT"/>
        </w:rPr>
      </w:pPr>
    </w:p>
    <w:p w14:paraId="0195705C" w14:textId="77777777" w:rsidR="006D099C" w:rsidRPr="00776407" w:rsidRDefault="006D099C" w:rsidP="006D099C">
      <w:pPr>
        <w:rPr>
          <w:noProof/>
          <w:sz w:val="22"/>
          <w:szCs w:val="20"/>
          <w:highlight w:val="lightGray"/>
          <w:lang w:bidi="lt-LT"/>
        </w:rPr>
      </w:pPr>
      <w:r w:rsidRPr="00776407">
        <w:rPr>
          <w:noProof/>
          <w:sz w:val="22"/>
          <w:szCs w:val="20"/>
          <w:highlight w:val="lightGray"/>
          <w:lang w:bidi="lt-LT"/>
        </w:rPr>
        <w:t>&lt;2D brūkšninis kodas su nurodytu unikaliu identifikatoriumi.&gt;</w:t>
      </w:r>
    </w:p>
    <w:p w14:paraId="5D043344" w14:textId="77777777" w:rsidR="000509C9" w:rsidRPr="00776407" w:rsidRDefault="000509C9" w:rsidP="000509C9">
      <w:pPr>
        <w:rPr>
          <w:noProof/>
          <w:sz w:val="22"/>
          <w:szCs w:val="20"/>
          <w:lang w:eastAsia="lt-LT" w:bidi="lt-LT"/>
        </w:rPr>
      </w:pPr>
    </w:p>
    <w:p w14:paraId="052F9A3D" w14:textId="77777777" w:rsidR="009050B3" w:rsidRPr="00776407" w:rsidRDefault="009050B3" w:rsidP="000509C9">
      <w:pPr>
        <w:rPr>
          <w:noProof/>
          <w:sz w:val="22"/>
          <w:szCs w:val="20"/>
          <w:lang w:eastAsia="lt-LT" w:bidi="lt-LT"/>
        </w:rPr>
      </w:pPr>
    </w:p>
    <w:p w14:paraId="0E3CCFA2" w14:textId="77777777" w:rsidR="000509C9" w:rsidRPr="00776407" w:rsidRDefault="000509C9" w:rsidP="00864BE6">
      <w:pPr>
        <w:keepNext/>
        <w:numPr>
          <w:ilvl w:val="0"/>
          <w:numId w:val="18"/>
        </w:numPr>
        <w:pBdr>
          <w:top w:val="single" w:sz="4" w:space="1" w:color="auto"/>
          <w:left w:val="single" w:sz="4" w:space="4" w:color="auto"/>
          <w:bottom w:val="single" w:sz="4" w:space="1" w:color="auto"/>
          <w:right w:val="single" w:sz="4" w:space="4" w:color="auto"/>
        </w:pBdr>
        <w:tabs>
          <w:tab w:val="left" w:pos="567"/>
        </w:tabs>
        <w:spacing w:line="260" w:lineRule="exact"/>
        <w:ind w:hanging="720"/>
        <w:outlineLvl w:val="0"/>
        <w:rPr>
          <w:i/>
          <w:noProof/>
          <w:sz w:val="22"/>
          <w:szCs w:val="20"/>
          <w:lang w:eastAsia="lt-LT" w:bidi="lt-LT"/>
        </w:rPr>
      </w:pPr>
      <w:r w:rsidRPr="00776407">
        <w:rPr>
          <w:b/>
          <w:noProof/>
          <w:sz w:val="22"/>
          <w:szCs w:val="20"/>
          <w:lang w:eastAsia="lt-LT" w:bidi="lt-LT"/>
        </w:rPr>
        <w:t>UNIKALUS IDENTIFIKATORIUS – ŽMONĖMS SUPRANTAMI DUOMENYS</w:t>
      </w:r>
    </w:p>
    <w:p w14:paraId="4DF6398A" w14:textId="77777777" w:rsidR="000509C9" w:rsidRPr="00776407" w:rsidRDefault="000509C9" w:rsidP="000509C9">
      <w:pPr>
        <w:rPr>
          <w:noProof/>
          <w:sz w:val="22"/>
          <w:szCs w:val="20"/>
          <w:lang w:eastAsia="lt-LT" w:bidi="lt-LT"/>
        </w:rPr>
      </w:pPr>
    </w:p>
    <w:p w14:paraId="7A0A4C1B" w14:textId="583DCE34" w:rsidR="009050B3" w:rsidRPr="00776407" w:rsidRDefault="006D099C" w:rsidP="009050B3">
      <w:pPr>
        <w:tabs>
          <w:tab w:val="left" w:pos="567"/>
        </w:tabs>
        <w:rPr>
          <w:sz w:val="22"/>
          <w:szCs w:val="22"/>
        </w:rPr>
      </w:pPr>
      <w:r w:rsidRPr="00776407">
        <w:rPr>
          <w:sz w:val="22"/>
          <w:szCs w:val="22"/>
        </w:rPr>
        <w:t>PC {numeris</w:t>
      </w:r>
      <w:r w:rsidR="009050B3" w:rsidRPr="00776407">
        <w:rPr>
          <w:sz w:val="22"/>
          <w:szCs w:val="22"/>
        </w:rPr>
        <w:t>}</w:t>
      </w:r>
    </w:p>
    <w:p w14:paraId="78169400" w14:textId="561C9674" w:rsidR="009050B3" w:rsidRPr="00776407" w:rsidRDefault="006D099C" w:rsidP="009050B3">
      <w:pPr>
        <w:tabs>
          <w:tab w:val="left" w:pos="567"/>
        </w:tabs>
        <w:rPr>
          <w:sz w:val="22"/>
          <w:szCs w:val="22"/>
        </w:rPr>
      </w:pPr>
      <w:r w:rsidRPr="00776407">
        <w:rPr>
          <w:sz w:val="22"/>
          <w:szCs w:val="22"/>
        </w:rPr>
        <w:t>SN {numeris</w:t>
      </w:r>
      <w:r w:rsidR="009050B3" w:rsidRPr="00776407">
        <w:rPr>
          <w:sz w:val="22"/>
          <w:szCs w:val="22"/>
        </w:rPr>
        <w:t>}</w:t>
      </w:r>
    </w:p>
    <w:p w14:paraId="1538CF4B" w14:textId="21C4B9C2" w:rsidR="009050B3" w:rsidRPr="00776407" w:rsidRDefault="006D099C" w:rsidP="009050B3">
      <w:pPr>
        <w:tabs>
          <w:tab w:val="left" w:pos="567"/>
        </w:tabs>
        <w:rPr>
          <w:b/>
          <w:noProof/>
          <w:sz w:val="22"/>
          <w:szCs w:val="22"/>
          <w:u w:val="single"/>
        </w:rPr>
      </w:pPr>
      <w:r w:rsidRPr="00776407">
        <w:rPr>
          <w:sz w:val="22"/>
          <w:szCs w:val="22"/>
        </w:rPr>
        <w:t>NN {numeris</w:t>
      </w:r>
      <w:r w:rsidR="009050B3" w:rsidRPr="00776407">
        <w:rPr>
          <w:sz w:val="22"/>
          <w:szCs w:val="22"/>
        </w:rPr>
        <w:t>}</w:t>
      </w:r>
    </w:p>
    <w:p w14:paraId="3F753D7F" w14:textId="77777777" w:rsidR="000509C9" w:rsidRPr="00776407" w:rsidRDefault="000509C9" w:rsidP="00EB1CCD">
      <w:pPr>
        <w:autoSpaceDE w:val="0"/>
        <w:autoSpaceDN w:val="0"/>
        <w:adjustRightInd w:val="0"/>
        <w:rPr>
          <w:sz w:val="22"/>
          <w:szCs w:val="22"/>
        </w:rPr>
      </w:pPr>
    </w:p>
    <w:p w14:paraId="0FC51565" w14:textId="77777777" w:rsidR="00EB1CCD" w:rsidRPr="00776407" w:rsidRDefault="00EB1CCD" w:rsidP="00EB1CCD">
      <w:pPr>
        <w:pBdr>
          <w:top w:val="single" w:sz="4" w:space="1" w:color="auto"/>
          <w:left w:val="single" w:sz="4" w:space="4" w:color="auto"/>
          <w:bottom w:val="single" w:sz="4" w:space="1" w:color="auto"/>
          <w:right w:val="single" w:sz="4" w:space="4" w:color="auto"/>
        </w:pBdr>
        <w:rPr>
          <w:sz w:val="22"/>
          <w:szCs w:val="22"/>
        </w:rPr>
      </w:pPr>
      <w:r w:rsidRPr="00776407">
        <w:rPr>
          <w:sz w:val="22"/>
          <w:szCs w:val="22"/>
        </w:rPr>
        <w:br w:type="page"/>
      </w:r>
      <w:r w:rsidRPr="00776407">
        <w:rPr>
          <w:b/>
          <w:sz w:val="22"/>
          <w:szCs w:val="22"/>
        </w:rPr>
        <w:t>MINIMALI INFORMACIJA ANT LIZDINIŲ PLOKŠTELIŲ ARBA DVISLUOKSNIŲ JUOSTELIŲ</w:t>
      </w:r>
      <w:r w:rsidRPr="00776407">
        <w:rPr>
          <w:b/>
          <w:sz w:val="22"/>
          <w:szCs w:val="22"/>
        </w:rPr>
        <w:br/>
      </w:r>
      <w:r w:rsidRPr="00776407">
        <w:rPr>
          <w:b/>
          <w:sz w:val="22"/>
          <w:szCs w:val="22"/>
        </w:rPr>
        <w:br/>
        <w:t>LIZDINĖ PLOKŠTELĖ</w:t>
      </w:r>
    </w:p>
    <w:p w14:paraId="16D27885" w14:textId="77777777" w:rsidR="00EB1CCD" w:rsidRPr="00776407" w:rsidRDefault="00EB1CCD" w:rsidP="00EB1CCD">
      <w:pPr>
        <w:rPr>
          <w:sz w:val="22"/>
          <w:szCs w:val="22"/>
        </w:rPr>
      </w:pPr>
    </w:p>
    <w:p w14:paraId="23663BF8"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1.</w:t>
      </w:r>
      <w:r w:rsidRPr="00776407">
        <w:rPr>
          <w:b/>
          <w:sz w:val="22"/>
          <w:szCs w:val="22"/>
        </w:rPr>
        <w:tab/>
      </w:r>
      <w:r w:rsidRPr="00776407">
        <w:rPr>
          <w:b/>
          <w:caps/>
          <w:sz w:val="22"/>
          <w:szCs w:val="22"/>
        </w:rPr>
        <w:t>VAISTINIO</w:t>
      </w:r>
      <w:r w:rsidRPr="00776407">
        <w:rPr>
          <w:b/>
          <w:sz w:val="22"/>
          <w:szCs w:val="22"/>
        </w:rPr>
        <w:t xml:space="preserve"> PREPARATO PAVADINIMAS</w:t>
      </w:r>
    </w:p>
    <w:p w14:paraId="24174EAB" w14:textId="77777777" w:rsidR="00EB1CCD" w:rsidRPr="00776407" w:rsidRDefault="00EB1CCD" w:rsidP="00EB1CCD">
      <w:pPr>
        <w:rPr>
          <w:sz w:val="22"/>
          <w:szCs w:val="22"/>
        </w:rPr>
      </w:pPr>
    </w:p>
    <w:p w14:paraId="2D31CB17" w14:textId="77777777" w:rsidR="00EB1CCD" w:rsidRPr="00776407" w:rsidRDefault="00EB1CCD" w:rsidP="00EB1CCD">
      <w:pPr>
        <w:autoSpaceDE w:val="0"/>
        <w:autoSpaceDN w:val="0"/>
        <w:adjustRightInd w:val="0"/>
        <w:rPr>
          <w:sz w:val="22"/>
          <w:szCs w:val="22"/>
        </w:rPr>
      </w:pPr>
      <w:r w:rsidRPr="00776407">
        <w:rPr>
          <w:sz w:val="22"/>
          <w:szCs w:val="22"/>
        </w:rPr>
        <w:t>Imatinib Actavis 400 mg plėvele dengtos tabletės</w:t>
      </w:r>
    </w:p>
    <w:p w14:paraId="6A490A71" w14:textId="1317043F" w:rsidR="00EB1CCD" w:rsidRPr="00881EFD" w:rsidRDefault="00CF3DA0" w:rsidP="00EB1CCD">
      <w:pPr>
        <w:autoSpaceDE w:val="0"/>
        <w:autoSpaceDN w:val="0"/>
        <w:adjustRightInd w:val="0"/>
        <w:rPr>
          <w:i/>
          <w:sz w:val="22"/>
          <w:szCs w:val="22"/>
        </w:rPr>
      </w:pPr>
      <w:r w:rsidRPr="00881EFD">
        <w:rPr>
          <w:i/>
          <w:sz w:val="22"/>
          <w:szCs w:val="22"/>
        </w:rPr>
        <w:t>i</w:t>
      </w:r>
      <w:r w:rsidR="00EB1CCD" w:rsidRPr="00881EFD">
        <w:rPr>
          <w:i/>
          <w:sz w:val="22"/>
          <w:szCs w:val="22"/>
        </w:rPr>
        <w:t>matinibum</w:t>
      </w:r>
    </w:p>
    <w:p w14:paraId="0F229022" w14:textId="77777777" w:rsidR="00EB1CCD" w:rsidRPr="00776407" w:rsidRDefault="00EB1CCD" w:rsidP="00EB1CCD">
      <w:pPr>
        <w:rPr>
          <w:sz w:val="22"/>
          <w:szCs w:val="22"/>
        </w:rPr>
      </w:pPr>
    </w:p>
    <w:p w14:paraId="3C001E3A" w14:textId="77777777" w:rsidR="00EB1CCD" w:rsidRPr="00776407" w:rsidRDefault="00EB1CCD" w:rsidP="00EB1CCD">
      <w:pPr>
        <w:rPr>
          <w:sz w:val="22"/>
          <w:szCs w:val="22"/>
        </w:rPr>
      </w:pPr>
    </w:p>
    <w:p w14:paraId="6B94618C"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2.</w:t>
      </w:r>
      <w:r w:rsidRPr="00776407">
        <w:rPr>
          <w:b/>
          <w:sz w:val="22"/>
          <w:szCs w:val="22"/>
        </w:rPr>
        <w:tab/>
      </w:r>
      <w:r w:rsidR="000509C9" w:rsidRPr="00776407">
        <w:rPr>
          <w:b/>
          <w:caps/>
          <w:sz w:val="22"/>
          <w:szCs w:val="22"/>
        </w:rPr>
        <w:t>REGISTRUOTOJO</w:t>
      </w:r>
      <w:r w:rsidR="00E51881" w:rsidRPr="00776407">
        <w:rPr>
          <w:b/>
          <w:caps/>
          <w:sz w:val="22"/>
          <w:szCs w:val="22"/>
        </w:rPr>
        <w:t xml:space="preserve"> </w:t>
      </w:r>
      <w:r w:rsidRPr="00776407">
        <w:rPr>
          <w:b/>
          <w:caps/>
          <w:sz w:val="22"/>
          <w:szCs w:val="22"/>
        </w:rPr>
        <w:t>pavadinimas</w:t>
      </w:r>
    </w:p>
    <w:p w14:paraId="366F26D4" w14:textId="77777777" w:rsidR="00EB1CCD" w:rsidRPr="00776407" w:rsidRDefault="00EB1CCD" w:rsidP="00EB1CCD">
      <w:pPr>
        <w:rPr>
          <w:sz w:val="22"/>
          <w:szCs w:val="22"/>
        </w:rPr>
      </w:pPr>
    </w:p>
    <w:p w14:paraId="61316D4D" w14:textId="77777777" w:rsidR="00EB1CCD" w:rsidRPr="00776407" w:rsidRDefault="00EB1CCD" w:rsidP="00EB1CCD">
      <w:pPr>
        <w:rPr>
          <w:sz w:val="22"/>
          <w:szCs w:val="22"/>
        </w:rPr>
      </w:pPr>
      <w:r w:rsidRPr="00776407">
        <w:rPr>
          <w:sz w:val="22"/>
          <w:szCs w:val="22"/>
        </w:rPr>
        <w:t>[Actavis logo]</w:t>
      </w:r>
    </w:p>
    <w:p w14:paraId="403B1E74" w14:textId="77777777" w:rsidR="00EB1CCD" w:rsidRPr="00776407" w:rsidRDefault="00EB1CCD" w:rsidP="00EB1CCD">
      <w:pPr>
        <w:rPr>
          <w:sz w:val="22"/>
          <w:szCs w:val="22"/>
        </w:rPr>
      </w:pPr>
    </w:p>
    <w:p w14:paraId="370C2F2B" w14:textId="77777777" w:rsidR="00EB1CCD" w:rsidRPr="00776407" w:rsidRDefault="00EB1CCD" w:rsidP="00EB1CCD">
      <w:pPr>
        <w:rPr>
          <w:sz w:val="22"/>
          <w:szCs w:val="22"/>
        </w:rPr>
      </w:pPr>
    </w:p>
    <w:p w14:paraId="697A5518" w14:textId="77777777" w:rsidR="00EB1CCD" w:rsidRPr="00776407" w:rsidRDefault="00EB1CCD" w:rsidP="00EB1CCD">
      <w:pPr>
        <w:suppressLineNumbers/>
        <w:pBdr>
          <w:top w:val="single" w:sz="4" w:space="1" w:color="auto"/>
          <w:left w:val="single" w:sz="4" w:space="4" w:color="auto"/>
          <w:bottom w:val="single" w:sz="4" w:space="2" w:color="auto"/>
          <w:right w:val="single" w:sz="4" w:space="4" w:color="auto"/>
        </w:pBdr>
        <w:outlineLvl w:val="0"/>
        <w:rPr>
          <w:b/>
          <w:sz w:val="22"/>
          <w:szCs w:val="22"/>
        </w:rPr>
      </w:pPr>
      <w:r w:rsidRPr="00776407">
        <w:rPr>
          <w:b/>
          <w:sz w:val="22"/>
          <w:szCs w:val="22"/>
        </w:rPr>
        <w:t>3.</w:t>
      </w:r>
      <w:r w:rsidRPr="00776407">
        <w:rPr>
          <w:b/>
          <w:sz w:val="22"/>
          <w:szCs w:val="22"/>
        </w:rPr>
        <w:tab/>
        <w:t>TINKAMUMO LAIKAS</w:t>
      </w:r>
    </w:p>
    <w:p w14:paraId="151F56B5" w14:textId="77777777" w:rsidR="00EB1CCD" w:rsidRPr="00776407" w:rsidRDefault="00EB1CCD" w:rsidP="00EB1CCD">
      <w:pPr>
        <w:rPr>
          <w:sz w:val="22"/>
          <w:szCs w:val="22"/>
        </w:rPr>
      </w:pPr>
    </w:p>
    <w:p w14:paraId="6E4E2130" w14:textId="77777777" w:rsidR="00EB1CCD" w:rsidRPr="00776407" w:rsidRDefault="00EB1CCD" w:rsidP="00EB1CCD">
      <w:pPr>
        <w:rPr>
          <w:sz w:val="22"/>
          <w:szCs w:val="22"/>
        </w:rPr>
      </w:pPr>
      <w:r w:rsidRPr="00776407">
        <w:rPr>
          <w:sz w:val="22"/>
          <w:szCs w:val="22"/>
        </w:rPr>
        <w:t>EXP</w:t>
      </w:r>
    </w:p>
    <w:p w14:paraId="465C1A8F" w14:textId="77777777" w:rsidR="00EB1CCD" w:rsidRPr="00776407" w:rsidRDefault="00EB1CCD" w:rsidP="00EB1CCD">
      <w:pPr>
        <w:rPr>
          <w:sz w:val="22"/>
          <w:szCs w:val="22"/>
        </w:rPr>
      </w:pPr>
    </w:p>
    <w:p w14:paraId="5673BDFC" w14:textId="77777777" w:rsidR="00EB1CCD" w:rsidRPr="00776407" w:rsidRDefault="00EB1CCD" w:rsidP="00EB1CCD">
      <w:pPr>
        <w:rPr>
          <w:sz w:val="22"/>
          <w:szCs w:val="22"/>
        </w:rPr>
      </w:pPr>
    </w:p>
    <w:p w14:paraId="314C44D0"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4.</w:t>
      </w:r>
      <w:r w:rsidRPr="00776407">
        <w:rPr>
          <w:b/>
          <w:sz w:val="22"/>
          <w:szCs w:val="22"/>
        </w:rPr>
        <w:tab/>
        <w:t>SERIJOS NUMERIS</w:t>
      </w:r>
    </w:p>
    <w:p w14:paraId="55F8B85A" w14:textId="77777777" w:rsidR="00EB1CCD" w:rsidRPr="00776407" w:rsidRDefault="00EB1CCD" w:rsidP="00EB1CCD">
      <w:pPr>
        <w:rPr>
          <w:sz w:val="22"/>
          <w:szCs w:val="22"/>
        </w:rPr>
      </w:pPr>
    </w:p>
    <w:p w14:paraId="41C537E7" w14:textId="77777777" w:rsidR="00EB1CCD" w:rsidRPr="00776407" w:rsidRDefault="00EB1CCD" w:rsidP="00EB1CCD">
      <w:pPr>
        <w:rPr>
          <w:sz w:val="22"/>
          <w:szCs w:val="22"/>
        </w:rPr>
      </w:pPr>
      <w:r w:rsidRPr="00776407">
        <w:rPr>
          <w:sz w:val="22"/>
          <w:szCs w:val="22"/>
        </w:rPr>
        <w:t>Lot</w:t>
      </w:r>
    </w:p>
    <w:p w14:paraId="45FE5F47" w14:textId="77777777" w:rsidR="00EB1CCD" w:rsidRPr="00776407" w:rsidRDefault="00EB1CCD" w:rsidP="00EB1CCD">
      <w:pPr>
        <w:rPr>
          <w:sz w:val="22"/>
          <w:szCs w:val="22"/>
        </w:rPr>
      </w:pPr>
    </w:p>
    <w:p w14:paraId="4A99EFC6" w14:textId="77777777" w:rsidR="00EB1CCD" w:rsidRPr="00776407" w:rsidRDefault="00EB1CCD" w:rsidP="00EB1CCD">
      <w:pPr>
        <w:rPr>
          <w:sz w:val="22"/>
          <w:szCs w:val="22"/>
        </w:rPr>
      </w:pPr>
    </w:p>
    <w:p w14:paraId="0E9055A0" w14:textId="77777777" w:rsidR="00EB1CCD" w:rsidRPr="00776407" w:rsidRDefault="00EB1CCD" w:rsidP="00EB1CCD">
      <w:pPr>
        <w:suppressLineNumbers/>
        <w:pBdr>
          <w:top w:val="single" w:sz="4" w:space="1" w:color="auto"/>
          <w:left w:val="single" w:sz="4" w:space="4" w:color="auto"/>
          <w:bottom w:val="single" w:sz="4" w:space="1" w:color="auto"/>
          <w:right w:val="single" w:sz="4" w:space="4" w:color="auto"/>
        </w:pBdr>
        <w:outlineLvl w:val="0"/>
        <w:rPr>
          <w:b/>
          <w:sz w:val="22"/>
          <w:szCs w:val="22"/>
        </w:rPr>
      </w:pPr>
      <w:r w:rsidRPr="00776407">
        <w:rPr>
          <w:b/>
          <w:sz w:val="22"/>
          <w:szCs w:val="22"/>
        </w:rPr>
        <w:t>5.</w:t>
      </w:r>
      <w:r w:rsidRPr="00776407">
        <w:rPr>
          <w:b/>
          <w:sz w:val="22"/>
          <w:szCs w:val="22"/>
        </w:rPr>
        <w:tab/>
        <w:t>KITA</w:t>
      </w:r>
    </w:p>
    <w:p w14:paraId="523194AB" w14:textId="77777777" w:rsidR="00EB1CCD" w:rsidRPr="00776407" w:rsidRDefault="00EB1CCD" w:rsidP="00EB1CCD">
      <w:pPr>
        <w:rPr>
          <w:sz w:val="22"/>
          <w:szCs w:val="22"/>
        </w:rPr>
      </w:pPr>
    </w:p>
    <w:p w14:paraId="53215124" w14:textId="77777777" w:rsidR="00EB1CCD" w:rsidRPr="00776407" w:rsidRDefault="00EB1CCD" w:rsidP="00EB1CCD"/>
    <w:p w14:paraId="4032B6EF" w14:textId="77777777" w:rsidR="00EB1CCD" w:rsidRPr="00776407" w:rsidRDefault="00EB1CCD" w:rsidP="00EB1CCD">
      <w:pPr>
        <w:autoSpaceDE w:val="0"/>
        <w:autoSpaceDN w:val="0"/>
        <w:adjustRightInd w:val="0"/>
        <w:rPr>
          <w:b/>
          <w:sz w:val="22"/>
          <w:szCs w:val="22"/>
        </w:rPr>
      </w:pPr>
      <w:r w:rsidRPr="00776407">
        <w:rPr>
          <w:b/>
        </w:rPr>
        <w:br w:type="page"/>
      </w:r>
    </w:p>
    <w:p w14:paraId="74A0B507" w14:textId="77777777" w:rsidR="000536DF" w:rsidRPr="00776407" w:rsidRDefault="000536DF" w:rsidP="000536DF">
      <w:pPr>
        <w:autoSpaceDE w:val="0"/>
        <w:autoSpaceDN w:val="0"/>
        <w:adjustRightInd w:val="0"/>
        <w:rPr>
          <w:b/>
          <w:sz w:val="22"/>
          <w:szCs w:val="22"/>
        </w:rPr>
      </w:pPr>
    </w:p>
    <w:p w14:paraId="544DD550" w14:textId="77777777" w:rsidR="00A877B5" w:rsidRPr="00776407" w:rsidRDefault="00A877B5" w:rsidP="00A877B5"/>
    <w:p w14:paraId="48FD3CFF" w14:textId="77777777" w:rsidR="00A877B5" w:rsidRPr="00776407" w:rsidRDefault="00A877B5" w:rsidP="00A877B5"/>
    <w:p w14:paraId="3619E1CC" w14:textId="77777777" w:rsidR="00A877B5" w:rsidRPr="00776407" w:rsidRDefault="00A877B5" w:rsidP="00A877B5"/>
    <w:p w14:paraId="19F81CD0" w14:textId="77777777" w:rsidR="00A877B5" w:rsidRPr="00776407" w:rsidRDefault="00A877B5" w:rsidP="00A877B5"/>
    <w:p w14:paraId="5E7618E6" w14:textId="77777777" w:rsidR="00A877B5" w:rsidRPr="00776407" w:rsidRDefault="00A877B5" w:rsidP="00A877B5"/>
    <w:p w14:paraId="73A61860" w14:textId="77777777" w:rsidR="00A877B5" w:rsidRPr="00776407" w:rsidRDefault="00A877B5" w:rsidP="00A877B5"/>
    <w:p w14:paraId="46021F7F" w14:textId="77777777" w:rsidR="00A877B5" w:rsidRPr="00776407" w:rsidRDefault="00A877B5" w:rsidP="00A877B5"/>
    <w:p w14:paraId="5A7F3875" w14:textId="77777777" w:rsidR="00A877B5" w:rsidRPr="00776407" w:rsidRDefault="00A877B5" w:rsidP="00A877B5"/>
    <w:p w14:paraId="5DA5BADE" w14:textId="77777777" w:rsidR="00A877B5" w:rsidRPr="00776407" w:rsidRDefault="00A877B5" w:rsidP="00A877B5"/>
    <w:p w14:paraId="39FEB2BC" w14:textId="77777777" w:rsidR="00A877B5" w:rsidRPr="00776407" w:rsidRDefault="00A877B5" w:rsidP="00A877B5"/>
    <w:p w14:paraId="7B1BB933" w14:textId="77777777" w:rsidR="00A877B5" w:rsidRPr="00776407" w:rsidRDefault="00A877B5" w:rsidP="00A877B5"/>
    <w:p w14:paraId="719CD0BC" w14:textId="77777777" w:rsidR="00A877B5" w:rsidRPr="00776407" w:rsidRDefault="00A877B5" w:rsidP="00A877B5"/>
    <w:p w14:paraId="2800BC34" w14:textId="77777777" w:rsidR="00A877B5" w:rsidRPr="00776407" w:rsidRDefault="00A877B5" w:rsidP="00A877B5"/>
    <w:p w14:paraId="3F40CCC4" w14:textId="77777777" w:rsidR="00A877B5" w:rsidRPr="00776407" w:rsidRDefault="00A877B5" w:rsidP="00A877B5"/>
    <w:p w14:paraId="33FC45AF" w14:textId="77777777" w:rsidR="00A877B5" w:rsidRPr="00776407" w:rsidRDefault="00A877B5" w:rsidP="00A877B5"/>
    <w:p w14:paraId="700A132D" w14:textId="77777777" w:rsidR="00A877B5" w:rsidRPr="00776407" w:rsidRDefault="00A877B5" w:rsidP="00A877B5"/>
    <w:p w14:paraId="4D8EA5ED" w14:textId="77777777" w:rsidR="00A877B5" w:rsidRPr="00776407" w:rsidRDefault="00A877B5" w:rsidP="00A877B5"/>
    <w:p w14:paraId="7480433F" w14:textId="77777777" w:rsidR="00A877B5" w:rsidRPr="00776407" w:rsidRDefault="00A877B5" w:rsidP="00A877B5"/>
    <w:p w14:paraId="77A0B308" w14:textId="77777777" w:rsidR="00A877B5" w:rsidRPr="00776407" w:rsidRDefault="00A877B5" w:rsidP="00A877B5"/>
    <w:p w14:paraId="6B013084" w14:textId="77777777" w:rsidR="00A877B5" w:rsidRPr="00776407" w:rsidRDefault="00A877B5" w:rsidP="00A877B5"/>
    <w:p w14:paraId="27AF2679" w14:textId="77777777" w:rsidR="00A877B5" w:rsidRPr="00776407" w:rsidRDefault="00A877B5" w:rsidP="00A877B5"/>
    <w:p w14:paraId="0563C6CE" w14:textId="77777777" w:rsidR="00A877B5" w:rsidRPr="00776407" w:rsidRDefault="00A877B5" w:rsidP="00A877B5"/>
    <w:p w14:paraId="5FCE6DF4" w14:textId="77777777" w:rsidR="00A877B5" w:rsidRPr="00776407" w:rsidRDefault="00A877B5" w:rsidP="00A877B5"/>
    <w:p w14:paraId="0D5D0E6C" w14:textId="77777777" w:rsidR="00A877B5" w:rsidRPr="00776407" w:rsidRDefault="00A877B5" w:rsidP="004B1629">
      <w:pPr>
        <w:pStyle w:val="TitleA"/>
        <w:rPr>
          <w:lang w:val="lt-LT"/>
        </w:rPr>
      </w:pPr>
      <w:r w:rsidRPr="00776407">
        <w:rPr>
          <w:lang w:val="lt-LT"/>
        </w:rPr>
        <w:t>B. PAKUOTĖS LAPELIS</w:t>
      </w:r>
    </w:p>
    <w:p w14:paraId="45FF0479" w14:textId="77777777" w:rsidR="00A877B5" w:rsidRPr="00776407" w:rsidRDefault="00A877B5" w:rsidP="00A877B5">
      <w:pPr>
        <w:pStyle w:val="Default"/>
        <w:jc w:val="center"/>
        <w:rPr>
          <w:rFonts w:ascii="Times New Roman" w:hAnsi="Times New Roman" w:cs="Times New Roman"/>
          <w:b/>
          <w:bCs/>
          <w:sz w:val="22"/>
          <w:szCs w:val="22"/>
          <w:lang w:val="lt-LT"/>
        </w:rPr>
      </w:pPr>
      <w:r w:rsidRPr="00776407">
        <w:rPr>
          <w:b/>
          <w:sz w:val="22"/>
          <w:szCs w:val="22"/>
          <w:lang w:val="lt-LT"/>
        </w:rPr>
        <w:br w:type="page"/>
      </w:r>
      <w:r w:rsidRPr="00776407">
        <w:rPr>
          <w:rFonts w:ascii="Times New Roman" w:hAnsi="Times New Roman" w:cs="Times New Roman"/>
          <w:b/>
          <w:bCs/>
          <w:sz w:val="22"/>
          <w:szCs w:val="22"/>
          <w:lang w:val="lt-LT"/>
        </w:rPr>
        <w:t>Pakuotės lapelis: informacija vartotojui</w:t>
      </w:r>
    </w:p>
    <w:p w14:paraId="635B7B7C" w14:textId="77777777" w:rsidR="00A877B5" w:rsidRPr="00776407" w:rsidRDefault="00A877B5" w:rsidP="00A877B5">
      <w:pPr>
        <w:pStyle w:val="Default"/>
        <w:jc w:val="center"/>
        <w:rPr>
          <w:rFonts w:ascii="Times New Roman" w:hAnsi="Times New Roman" w:cs="Times New Roman"/>
          <w:sz w:val="22"/>
          <w:szCs w:val="22"/>
          <w:lang w:val="lt-LT"/>
        </w:rPr>
      </w:pPr>
    </w:p>
    <w:p w14:paraId="479D229B" w14:textId="77777777" w:rsidR="00A877B5" w:rsidRPr="00776407" w:rsidRDefault="00A877B5" w:rsidP="00A877B5">
      <w:pPr>
        <w:widowControl w:val="0"/>
        <w:tabs>
          <w:tab w:val="left" w:pos="9356"/>
        </w:tabs>
        <w:autoSpaceDE w:val="0"/>
        <w:autoSpaceDN w:val="0"/>
        <w:adjustRightInd w:val="0"/>
        <w:ind w:right="50"/>
        <w:jc w:val="center"/>
        <w:rPr>
          <w:sz w:val="22"/>
          <w:szCs w:val="22"/>
        </w:rPr>
      </w:pPr>
      <w:r w:rsidRPr="00776407">
        <w:rPr>
          <w:b/>
          <w:bCs/>
          <w:spacing w:val="-1"/>
          <w:sz w:val="22"/>
          <w:szCs w:val="22"/>
        </w:rPr>
        <w:t>Imatinib Actavis</w:t>
      </w:r>
      <w:r w:rsidRPr="00776407">
        <w:rPr>
          <w:b/>
          <w:bCs/>
          <w:spacing w:val="1"/>
          <w:sz w:val="22"/>
          <w:szCs w:val="22"/>
        </w:rPr>
        <w:t xml:space="preserve"> 50</w:t>
      </w:r>
      <w:r w:rsidRPr="00776407">
        <w:rPr>
          <w:b/>
          <w:bCs/>
          <w:sz w:val="22"/>
          <w:szCs w:val="22"/>
        </w:rPr>
        <w:t> </w:t>
      </w:r>
      <w:r w:rsidRPr="00776407">
        <w:rPr>
          <w:b/>
          <w:bCs/>
          <w:spacing w:val="1"/>
          <w:sz w:val="22"/>
          <w:szCs w:val="22"/>
        </w:rPr>
        <w:t>m</w:t>
      </w:r>
      <w:r w:rsidRPr="00776407">
        <w:rPr>
          <w:b/>
          <w:bCs/>
          <w:sz w:val="22"/>
          <w:szCs w:val="22"/>
        </w:rPr>
        <w:t>g kietosios kapsulės</w:t>
      </w:r>
    </w:p>
    <w:p w14:paraId="724576FD" w14:textId="344D04E5" w:rsidR="00A877B5" w:rsidRPr="00776407" w:rsidRDefault="00CF3DA0" w:rsidP="00A877B5">
      <w:pPr>
        <w:autoSpaceDE w:val="0"/>
        <w:autoSpaceDN w:val="0"/>
        <w:adjustRightInd w:val="0"/>
        <w:jc w:val="center"/>
        <w:rPr>
          <w:rFonts w:eastAsia="Calibri"/>
          <w:color w:val="000000"/>
          <w:sz w:val="22"/>
          <w:szCs w:val="22"/>
        </w:rPr>
      </w:pPr>
      <w:r w:rsidRPr="00776407">
        <w:rPr>
          <w:rFonts w:eastAsia="Calibri"/>
          <w:color w:val="000000"/>
          <w:sz w:val="22"/>
          <w:szCs w:val="22"/>
        </w:rPr>
        <w:t>i</w:t>
      </w:r>
      <w:r w:rsidR="00A877B5" w:rsidRPr="00776407">
        <w:rPr>
          <w:rFonts w:eastAsia="Calibri"/>
          <w:color w:val="000000"/>
          <w:sz w:val="22"/>
          <w:szCs w:val="22"/>
        </w:rPr>
        <w:t>matinibas</w:t>
      </w:r>
      <w:r w:rsidR="00EA6C95" w:rsidRPr="00776407">
        <w:rPr>
          <w:rFonts w:eastAsia="Calibri"/>
          <w:color w:val="000000"/>
          <w:sz w:val="22"/>
          <w:szCs w:val="22"/>
        </w:rPr>
        <w:t xml:space="preserve"> </w:t>
      </w:r>
      <w:r w:rsidR="00EA6C95" w:rsidRPr="00776407">
        <w:rPr>
          <w:rFonts w:eastAsia="Calibri"/>
          <w:i/>
          <w:color w:val="000000"/>
          <w:sz w:val="22"/>
          <w:szCs w:val="22"/>
        </w:rPr>
        <w:t>(</w:t>
      </w:r>
      <w:r w:rsidRPr="00776407">
        <w:rPr>
          <w:rFonts w:eastAsia="Calibri"/>
          <w:i/>
          <w:color w:val="000000"/>
          <w:sz w:val="22"/>
          <w:szCs w:val="22"/>
        </w:rPr>
        <w:t>i</w:t>
      </w:r>
      <w:r w:rsidR="00EA6C95" w:rsidRPr="00776407">
        <w:rPr>
          <w:rFonts w:eastAsia="Calibri"/>
          <w:i/>
          <w:color w:val="000000"/>
          <w:sz w:val="22"/>
          <w:szCs w:val="22"/>
        </w:rPr>
        <w:t>matinibum)</w:t>
      </w:r>
    </w:p>
    <w:p w14:paraId="6DF2AA37" w14:textId="77777777" w:rsidR="00A877B5" w:rsidRPr="00776407" w:rsidRDefault="00A877B5" w:rsidP="00A877B5">
      <w:pPr>
        <w:autoSpaceDE w:val="0"/>
        <w:autoSpaceDN w:val="0"/>
        <w:adjustRightInd w:val="0"/>
        <w:jc w:val="center"/>
        <w:rPr>
          <w:rFonts w:eastAsia="Calibri"/>
          <w:color w:val="000000"/>
          <w:sz w:val="22"/>
          <w:szCs w:val="22"/>
        </w:rPr>
      </w:pPr>
    </w:p>
    <w:p w14:paraId="1178E5D0" w14:textId="77777777" w:rsidR="00970927" w:rsidRPr="00776407" w:rsidRDefault="00970927" w:rsidP="00A877B5">
      <w:pPr>
        <w:autoSpaceDE w:val="0"/>
        <w:autoSpaceDN w:val="0"/>
        <w:adjustRightInd w:val="0"/>
        <w:jc w:val="center"/>
        <w:rPr>
          <w:rFonts w:eastAsia="Calibri"/>
          <w:color w:val="000000"/>
          <w:sz w:val="22"/>
          <w:szCs w:val="22"/>
        </w:rPr>
      </w:pPr>
    </w:p>
    <w:p w14:paraId="66150A57" w14:textId="77777777" w:rsidR="00A877B5" w:rsidRPr="00776407" w:rsidRDefault="00A877B5" w:rsidP="00A877B5">
      <w:pPr>
        <w:autoSpaceDE w:val="0"/>
        <w:autoSpaceDN w:val="0"/>
        <w:adjustRightInd w:val="0"/>
        <w:rPr>
          <w:rFonts w:eastAsia="Calibri"/>
          <w:color w:val="000000"/>
          <w:sz w:val="22"/>
          <w:szCs w:val="22"/>
        </w:rPr>
      </w:pPr>
      <w:r w:rsidRPr="00776407">
        <w:rPr>
          <w:rFonts w:eastAsia="Calibri"/>
          <w:b/>
          <w:bCs/>
          <w:color w:val="000000"/>
          <w:sz w:val="22"/>
          <w:szCs w:val="22"/>
        </w:rPr>
        <w:t xml:space="preserve">Atidžiai perskaitykite visą šį lapelį, prieš pradėdami vartoti vaistą, nes jame pateikiama Jums svarbi informacija. </w:t>
      </w:r>
    </w:p>
    <w:p w14:paraId="503AAB22" w14:textId="77777777" w:rsidR="00A877B5" w:rsidRPr="00776407" w:rsidRDefault="00A877B5" w:rsidP="00A877B5">
      <w:pPr>
        <w:autoSpaceDE w:val="0"/>
        <w:autoSpaceDN w:val="0"/>
        <w:adjustRightInd w:val="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Neišmeskite šio lapelio, nes vėl gali prireikti jį perskaityti. </w:t>
      </w:r>
    </w:p>
    <w:p w14:paraId="75C41708" w14:textId="77777777" w:rsidR="00A877B5" w:rsidRPr="00776407" w:rsidRDefault="00A877B5" w:rsidP="00A877B5">
      <w:pPr>
        <w:autoSpaceDE w:val="0"/>
        <w:autoSpaceDN w:val="0"/>
        <w:adjustRightInd w:val="0"/>
        <w:spacing w:after="23"/>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Jeigu kiltų daugiau klausimų, kreipkitės į gydytoją, vaistininką arba slaugytoją. </w:t>
      </w:r>
    </w:p>
    <w:p w14:paraId="7EB48C62" w14:textId="77777777" w:rsidR="00A877B5" w:rsidRPr="00776407" w:rsidRDefault="00A877B5" w:rsidP="00A877B5">
      <w:pPr>
        <w:autoSpaceDE w:val="0"/>
        <w:autoSpaceDN w:val="0"/>
        <w:adjustRightInd w:val="0"/>
        <w:spacing w:after="23"/>
        <w:ind w:left="720" w:hanging="72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Šis vaistas skirtas tik Jums, todėl kitiems žmonėms jo duoti negalima. Vaistas gali jiems pakenkti (net tiems, kurių ligos požymiai yra tokie patys kaip Jūsų). </w:t>
      </w:r>
    </w:p>
    <w:p w14:paraId="6F7A7CD1" w14:textId="77777777" w:rsidR="00A877B5" w:rsidRPr="00776407" w:rsidRDefault="00A877B5" w:rsidP="00A877B5">
      <w:pPr>
        <w:autoSpaceDE w:val="0"/>
        <w:autoSpaceDN w:val="0"/>
        <w:adjustRightInd w:val="0"/>
        <w:ind w:left="720" w:hanging="72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Jeigu pasireiškė šalutinis poveikis (net jeigu jis šiame lapelyje nenurodytas), kreipkitės į gydytoją, vaistininką arba slaugytoją. </w:t>
      </w:r>
      <w:r w:rsidR="00893547" w:rsidRPr="00776407">
        <w:rPr>
          <w:rFonts w:eastAsia="Calibri"/>
          <w:color w:val="000000"/>
          <w:sz w:val="22"/>
          <w:szCs w:val="22"/>
        </w:rPr>
        <w:t>Žr. 4 skyrių.</w:t>
      </w:r>
    </w:p>
    <w:p w14:paraId="49134973" w14:textId="77777777" w:rsidR="00970927" w:rsidRPr="00776407" w:rsidRDefault="00970927" w:rsidP="00A877B5">
      <w:pPr>
        <w:autoSpaceDE w:val="0"/>
        <w:autoSpaceDN w:val="0"/>
        <w:adjustRightInd w:val="0"/>
        <w:rPr>
          <w:rFonts w:eastAsia="Calibri"/>
          <w:color w:val="000000"/>
          <w:sz w:val="22"/>
          <w:szCs w:val="22"/>
        </w:rPr>
      </w:pPr>
    </w:p>
    <w:p w14:paraId="03F58D6F" w14:textId="77777777" w:rsidR="00A877B5" w:rsidRPr="00776407" w:rsidRDefault="00A877B5" w:rsidP="00A877B5">
      <w:pPr>
        <w:autoSpaceDE w:val="0"/>
        <w:autoSpaceDN w:val="0"/>
        <w:adjustRightInd w:val="0"/>
        <w:rPr>
          <w:rFonts w:eastAsia="Calibri"/>
          <w:b/>
          <w:bCs/>
          <w:color w:val="000000"/>
          <w:sz w:val="22"/>
          <w:szCs w:val="22"/>
        </w:rPr>
      </w:pPr>
      <w:r w:rsidRPr="00776407">
        <w:rPr>
          <w:rFonts w:eastAsia="Calibri"/>
          <w:b/>
          <w:bCs/>
          <w:color w:val="000000"/>
          <w:sz w:val="22"/>
          <w:szCs w:val="22"/>
        </w:rPr>
        <w:t xml:space="preserve">Apie ką rašoma šiame lapelyje? </w:t>
      </w:r>
    </w:p>
    <w:p w14:paraId="7E3F87D4" w14:textId="77777777" w:rsidR="00A877B5" w:rsidRPr="00776407" w:rsidRDefault="00A877B5" w:rsidP="00A877B5">
      <w:pPr>
        <w:autoSpaceDE w:val="0"/>
        <w:autoSpaceDN w:val="0"/>
        <w:adjustRightInd w:val="0"/>
        <w:rPr>
          <w:rFonts w:eastAsia="Calibri"/>
          <w:color w:val="000000"/>
          <w:sz w:val="22"/>
          <w:szCs w:val="22"/>
        </w:rPr>
      </w:pPr>
    </w:p>
    <w:p w14:paraId="664ACC2B" w14:textId="77777777" w:rsidR="00A877B5" w:rsidRPr="00776407" w:rsidRDefault="00A877B5" w:rsidP="00A877B5">
      <w:pPr>
        <w:autoSpaceDE w:val="0"/>
        <w:autoSpaceDN w:val="0"/>
        <w:adjustRightInd w:val="0"/>
        <w:rPr>
          <w:rFonts w:eastAsia="Calibri"/>
          <w:color w:val="000000"/>
          <w:sz w:val="22"/>
          <w:szCs w:val="22"/>
        </w:rPr>
      </w:pPr>
      <w:r w:rsidRPr="00776407">
        <w:rPr>
          <w:rFonts w:eastAsia="Calibri"/>
          <w:color w:val="000000"/>
          <w:sz w:val="22"/>
          <w:szCs w:val="22"/>
        </w:rPr>
        <w:t xml:space="preserve">1. Kas yra Imatinib Actavis ir kam jis vartojamas </w:t>
      </w:r>
    </w:p>
    <w:p w14:paraId="5E878D13" w14:textId="77777777" w:rsidR="00A877B5" w:rsidRPr="00776407" w:rsidRDefault="00A877B5" w:rsidP="00A877B5">
      <w:pPr>
        <w:autoSpaceDE w:val="0"/>
        <w:autoSpaceDN w:val="0"/>
        <w:adjustRightInd w:val="0"/>
        <w:rPr>
          <w:rFonts w:eastAsia="Calibri"/>
          <w:color w:val="000000"/>
          <w:sz w:val="22"/>
          <w:szCs w:val="22"/>
        </w:rPr>
      </w:pPr>
      <w:r w:rsidRPr="00776407">
        <w:rPr>
          <w:rFonts w:eastAsia="Calibri"/>
          <w:color w:val="000000"/>
          <w:sz w:val="22"/>
          <w:szCs w:val="22"/>
        </w:rPr>
        <w:t xml:space="preserve">2. Kas žinotina prieš vartojant Imatinib Actavis </w:t>
      </w:r>
    </w:p>
    <w:p w14:paraId="113BEA9F" w14:textId="77777777" w:rsidR="00A877B5" w:rsidRPr="00776407" w:rsidRDefault="00A877B5" w:rsidP="00A877B5">
      <w:pPr>
        <w:autoSpaceDE w:val="0"/>
        <w:autoSpaceDN w:val="0"/>
        <w:adjustRightInd w:val="0"/>
        <w:rPr>
          <w:rFonts w:eastAsia="Calibri"/>
          <w:color w:val="000000"/>
          <w:sz w:val="22"/>
          <w:szCs w:val="22"/>
        </w:rPr>
      </w:pPr>
      <w:r w:rsidRPr="00776407">
        <w:rPr>
          <w:rFonts w:eastAsia="Calibri"/>
          <w:color w:val="000000"/>
          <w:sz w:val="22"/>
          <w:szCs w:val="22"/>
        </w:rPr>
        <w:t xml:space="preserve">3. Kaip vartoti Imatinib Actavis </w:t>
      </w:r>
    </w:p>
    <w:p w14:paraId="42A48BA3" w14:textId="77777777" w:rsidR="00A877B5" w:rsidRPr="00776407" w:rsidRDefault="00A877B5" w:rsidP="00A877B5">
      <w:pPr>
        <w:autoSpaceDE w:val="0"/>
        <w:autoSpaceDN w:val="0"/>
        <w:adjustRightInd w:val="0"/>
        <w:rPr>
          <w:rFonts w:eastAsia="Calibri"/>
          <w:color w:val="000000"/>
          <w:sz w:val="22"/>
          <w:szCs w:val="22"/>
        </w:rPr>
      </w:pPr>
      <w:r w:rsidRPr="00776407">
        <w:rPr>
          <w:rFonts w:eastAsia="Calibri"/>
          <w:color w:val="000000"/>
          <w:sz w:val="22"/>
          <w:szCs w:val="22"/>
        </w:rPr>
        <w:t xml:space="preserve">4. Galimas šalutinis poveikis </w:t>
      </w:r>
    </w:p>
    <w:p w14:paraId="3D8DB6B2" w14:textId="77777777" w:rsidR="00A877B5" w:rsidRPr="00776407" w:rsidRDefault="00A877B5" w:rsidP="00A877B5">
      <w:pPr>
        <w:autoSpaceDE w:val="0"/>
        <w:autoSpaceDN w:val="0"/>
        <w:adjustRightInd w:val="0"/>
        <w:rPr>
          <w:rFonts w:eastAsia="Calibri"/>
          <w:color w:val="000000"/>
          <w:sz w:val="22"/>
          <w:szCs w:val="22"/>
        </w:rPr>
      </w:pPr>
      <w:r w:rsidRPr="00776407">
        <w:rPr>
          <w:rFonts w:eastAsia="Calibri"/>
          <w:color w:val="000000"/>
          <w:sz w:val="22"/>
          <w:szCs w:val="22"/>
        </w:rPr>
        <w:t>5. Kaip laikyti Imatinib Actavis</w:t>
      </w:r>
    </w:p>
    <w:p w14:paraId="00A69346" w14:textId="77777777" w:rsidR="00A877B5" w:rsidRPr="00776407" w:rsidRDefault="00A877B5" w:rsidP="00A877B5">
      <w:pPr>
        <w:autoSpaceDE w:val="0"/>
        <w:autoSpaceDN w:val="0"/>
        <w:adjustRightInd w:val="0"/>
        <w:rPr>
          <w:rFonts w:eastAsia="Calibri"/>
          <w:color w:val="000000"/>
          <w:sz w:val="22"/>
          <w:szCs w:val="22"/>
        </w:rPr>
      </w:pPr>
      <w:r w:rsidRPr="00776407">
        <w:rPr>
          <w:rFonts w:eastAsia="Calibri"/>
          <w:color w:val="000000"/>
          <w:sz w:val="22"/>
          <w:szCs w:val="22"/>
        </w:rPr>
        <w:t xml:space="preserve">6. Pakuotės turinys ir kita informacija </w:t>
      </w:r>
    </w:p>
    <w:p w14:paraId="116C9849" w14:textId="77777777" w:rsidR="00A877B5" w:rsidRPr="00776407" w:rsidRDefault="00A877B5" w:rsidP="00A877B5">
      <w:pPr>
        <w:autoSpaceDE w:val="0"/>
        <w:autoSpaceDN w:val="0"/>
        <w:adjustRightInd w:val="0"/>
        <w:rPr>
          <w:rFonts w:eastAsia="Calibri"/>
          <w:color w:val="000000"/>
          <w:sz w:val="22"/>
          <w:szCs w:val="22"/>
        </w:rPr>
      </w:pPr>
    </w:p>
    <w:p w14:paraId="0E1AD050" w14:textId="77777777" w:rsidR="00A877B5" w:rsidRPr="00776407" w:rsidRDefault="00A877B5" w:rsidP="00A877B5">
      <w:pPr>
        <w:autoSpaceDE w:val="0"/>
        <w:autoSpaceDN w:val="0"/>
        <w:adjustRightInd w:val="0"/>
        <w:rPr>
          <w:rFonts w:eastAsia="Calibri"/>
          <w:color w:val="000000"/>
          <w:sz w:val="22"/>
          <w:szCs w:val="22"/>
        </w:rPr>
      </w:pPr>
    </w:p>
    <w:p w14:paraId="35B636FC" w14:textId="77777777" w:rsidR="00A877B5" w:rsidRPr="00776407" w:rsidRDefault="00A877B5" w:rsidP="00864BE6">
      <w:pPr>
        <w:pStyle w:val="Listenabsatz"/>
        <w:numPr>
          <w:ilvl w:val="0"/>
          <w:numId w:val="6"/>
        </w:numPr>
        <w:autoSpaceDE w:val="0"/>
        <w:autoSpaceDN w:val="0"/>
        <w:adjustRightInd w:val="0"/>
        <w:ind w:hanging="720"/>
        <w:rPr>
          <w:rFonts w:eastAsia="Calibri"/>
          <w:b/>
          <w:bCs/>
          <w:color w:val="000000"/>
          <w:sz w:val="22"/>
          <w:szCs w:val="22"/>
        </w:rPr>
      </w:pPr>
      <w:r w:rsidRPr="00776407">
        <w:rPr>
          <w:rFonts w:eastAsia="Calibri"/>
          <w:b/>
          <w:bCs/>
          <w:color w:val="000000"/>
          <w:sz w:val="22"/>
          <w:szCs w:val="22"/>
        </w:rPr>
        <w:t xml:space="preserve">Kas yra Imatinib Actavis ir kam jis vartojamas </w:t>
      </w:r>
    </w:p>
    <w:p w14:paraId="2A68404C" w14:textId="77777777" w:rsidR="00A877B5" w:rsidRPr="00776407" w:rsidRDefault="00A877B5" w:rsidP="00A341D0">
      <w:pPr>
        <w:autoSpaceDE w:val="0"/>
        <w:autoSpaceDN w:val="0"/>
        <w:adjustRightInd w:val="0"/>
        <w:rPr>
          <w:rFonts w:eastAsia="Calibri"/>
          <w:color w:val="000000"/>
          <w:sz w:val="22"/>
          <w:szCs w:val="22"/>
        </w:rPr>
      </w:pPr>
    </w:p>
    <w:p w14:paraId="7C775E33" w14:textId="77777777" w:rsidR="00B12D56" w:rsidRPr="00776407" w:rsidRDefault="0093512A" w:rsidP="00A877B5">
      <w:pPr>
        <w:autoSpaceDE w:val="0"/>
        <w:autoSpaceDN w:val="0"/>
        <w:adjustRightInd w:val="0"/>
        <w:rPr>
          <w:sz w:val="22"/>
          <w:szCs w:val="22"/>
        </w:rPr>
      </w:pPr>
      <w:r w:rsidRPr="00776407">
        <w:rPr>
          <w:rFonts w:eastAsia="Calibri"/>
          <w:color w:val="000000"/>
          <w:sz w:val="22"/>
          <w:szCs w:val="22"/>
        </w:rPr>
        <w:t xml:space="preserve">Imatinib Actavis yra vaistas, kurio sudėtyje yra veikliosios medžiagos imatinibo. Šis vaistas veikia slopindamas nenormalių ląstelių augimą, sergant </w:t>
      </w:r>
      <w:r w:rsidR="00B12D56" w:rsidRPr="00776407">
        <w:rPr>
          <w:sz w:val="22"/>
          <w:szCs w:val="22"/>
        </w:rPr>
        <w:t xml:space="preserve">toliau išvardytomis ligomis. Jos apima ir kai kurių tipų vėžinius susirgimus. </w:t>
      </w:r>
    </w:p>
    <w:p w14:paraId="0A65CC62" w14:textId="77777777" w:rsidR="00A877B5" w:rsidRPr="00776407" w:rsidRDefault="00A877B5" w:rsidP="00A877B5">
      <w:pPr>
        <w:autoSpaceDE w:val="0"/>
        <w:autoSpaceDN w:val="0"/>
        <w:adjustRightInd w:val="0"/>
        <w:rPr>
          <w:rFonts w:eastAsia="Calibri"/>
          <w:color w:val="000000"/>
          <w:sz w:val="22"/>
          <w:szCs w:val="22"/>
        </w:rPr>
      </w:pPr>
    </w:p>
    <w:p w14:paraId="7E5E76D5" w14:textId="77777777" w:rsidR="00B12D56" w:rsidRPr="00776407" w:rsidRDefault="00A877B5" w:rsidP="00A877B5">
      <w:pPr>
        <w:autoSpaceDE w:val="0"/>
        <w:autoSpaceDN w:val="0"/>
        <w:adjustRightInd w:val="0"/>
        <w:rPr>
          <w:rFonts w:eastAsia="Calibri"/>
          <w:b/>
          <w:bCs/>
          <w:sz w:val="22"/>
          <w:szCs w:val="22"/>
        </w:rPr>
      </w:pPr>
      <w:r w:rsidRPr="00776407">
        <w:rPr>
          <w:rFonts w:eastAsia="Calibri"/>
          <w:b/>
          <w:bCs/>
          <w:sz w:val="22"/>
          <w:szCs w:val="22"/>
        </w:rPr>
        <w:t>Imatinib Actavis vartojama</w:t>
      </w:r>
      <w:r w:rsidR="00285E9D" w:rsidRPr="00776407">
        <w:rPr>
          <w:rFonts w:eastAsia="Calibri"/>
          <w:b/>
          <w:bCs/>
          <w:sz w:val="22"/>
          <w:szCs w:val="22"/>
        </w:rPr>
        <w:t>s</w:t>
      </w:r>
      <w:r w:rsidRPr="00776407">
        <w:rPr>
          <w:rFonts w:eastAsia="Calibri"/>
          <w:b/>
          <w:bCs/>
          <w:sz w:val="22"/>
          <w:szCs w:val="22"/>
        </w:rPr>
        <w:t xml:space="preserve"> gydyti</w:t>
      </w:r>
      <w:r w:rsidR="00B12D56" w:rsidRPr="00776407">
        <w:rPr>
          <w:rFonts w:eastAsia="Calibri"/>
          <w:b/>
          <w:bCs/>
          <w:sz w:val="22"/>
          <w:szCs w:val="22"/>
        </w:rPr>
        <w:t>:</w:t>
      </w:r>
    </w:p>
    <w:p w14:paraId="0901C22B" w14:textId="77777777" w:rsidR="001963AD" w:rsidRPr="00776407" w:rsidRDefault="001963AD" w:rsidP="00A877B5">
      <w:pPr>
        <w:autoSpaceDE w:val="0"/>
        <w:autoSpaceDN w:val="0"/>
        <w:adjustRightInd w:val="0"/>
        <w:rPr>
          <w:rFonts w:eastAsia="Calibri"/>
          <w:b/>
          <w:bCs/>
          <w:sz w:val="22"/>
          <w:szCs w:val="22"/>
        </w:rPr>
      </w:pPr>
    </w:p>
    <w:p w14:paraId="2382979B" w14:textId="77777777" w:rsidR="00A877B5" w:rsidRPr="00776407" w:rsidRDefault="00B12D56" w:rsidP="00E93356">
      <w:pPr>
        <w:autoSpaceDE w:val="0"/>
        <w:autoSpaceDN w:val="0"/>
        <w:adjustRightInd w:val="0"/>
        <w:ind w:left="720" w:hanging="720"/>
        <w:rPr>
          <w:rFonts w:eastAsia="Calibri"/>
          <w:color w:val="000000"/>
          <w:sz w:val="22"/>
          <w:szCs w:val="22"/>
        </w:rPr>
      </w:pPr>
      <w:r w:rsidRPr="00776407">
        <w:rPr>
          <w:rFonts w:eastAsia="Calibri"/>
          <w:b/>
          <w:bCs/>
          <w:sz w:val="22"/>
          <w:szCs w:val="22"/>
        </w:rPr>
        <w:tab/>
        <w:t>L</w:t>
      </w:r>
      <w:r w:rsidR="00A877B5" w:rsidRPr="00776407">
        <w:rPr>
          <w:rFonts w:eastAsia="Calibri"/>
          <w:b/>
          <w:bCs/>
          <w:sz w:val="22"/>
          <w:szCs w:val="22"/>
        </w:rPr>
        <w:t xml:space="preserve">ėtinę mieloleukemiją (LML). </w:t>
      </w:r>
      <w:r w:rsidR="00A877B5" w:rsidRPr="00776407">
        <w:rPr>
          <w:rFonts w:eastAsia="Calibri"/>
          <w:sz w:val="22"/>
          <w:szCs w:val="22"/>
        </w:rPr>
        <w:t>Leukemija – tai baltųjų kraujo</w:t>
      </w:r>
      <w:r w:rsidR="00A877B5" w:rsidRPr="00776407">
        <w:rPr>
          <w:rFonts w:eastAsia="Calibri"/>
          <w:color w:val="000000"/>
          <w:sz w:val="22"/>
          <w:szCs w:val="22"/>
        </w:rPr>
        <w:t xml:space="preserve"> kūnelių vėžys. Paprastai šios baltosios ląstelės padeda organizmui kovoti su infekcija. Lėtinė mieloleukemija yra tokia leukemijos forma, kai dažniausiai nenormalios ląstelės (vadinamos mieloidinėmis ląstelėmis), pradeda nekontroliuojamai augti. </w:t>
      </w:r>
    </w:p>
    <w:p w14:paraId="63FEE0AF" w14:textId="77777777" w:rsidR="001C543E" w:rsidRPr="00776407" w:rsidRDefault="001C543E" w:rsidP="00E93356">
      <w:pPr>
        <w:autoSpaceDE w:val="0"/>
        <w:autoSpaceDN w:val="0"/>
        <w:adjustRightInd w:val="0"/>
        <w:ind w:left="720" w:hanging="720"/>
        <w:rPr>
          <w:rFonts w:eastAsia="Calibri"/>
          <w:color w:val="000000"/>
          <w:sz w:val="22"/>
          <w:szCs w:val="22"/>
        </w:rPr>
      </w:pPr>
    </w:p>
    <w:p w14:paraId="43FE8F70" w14:textId="77777777" w:rsidR="001C543E" w:rsidRPr="00776407" w:rsidRDefault="001C543E" w:rsidP="001C543E">
      <w:pPr>
        <w:autoSpaceDE w:val="0"/>
        <w:autoSpaceDN w:val="0"/>
        <w:adjustRightInd w:val="0"/>
        <w:rPr>
          <w:rFonts w:eastAsia="Calibri"/>
          <w:color w:val="000000"/>
          <w:sz w:val="22"/>
          <w:szCs w:val="22"/>
        </w:rPr>
      </w:pPr>
      <w:r w:rsidRPr="00776407">
        <w:rPr>
          <w:rFonts w:eastAsia="Calibri"/>
          <w:color w:val="000000"/>
          <w:sz w:val="22"/>
          <w:szCs w:val="22"/>
        </w:rPr>
        <w:t>Suaugusiesiems Imatinib Actavis naudojamas toliausiai pažengusiai ligos fazei (blastinei krizei) gydyti. Vaikams ir paaugliams Imatinib Actavis gali būti vartojamas įvairioms ligos stadijoms gydyti (chroniškai, ūminei ir blastinei krizei).</w:t>
      </w:r>
    </w:p>
    <w:p w14:paraId="17D18AD1" w14:textId="77777777" w:rsidR="00A877B5" w:rsidRPr="00776407" w:rsidRDefault="00A877B5" w:rsidP="00A877B5">
      <w:pPr>
        <w:autoSpaceDE w:val="0"/>
        <w:autoSpaceDN w:val="0"/>
        <w:adjustRightInd w:val="0"/>
        <w:rPr>
          <w:rFonts w:eastAsia="Calibri"/>
          <w:color w:val="000000"/>
          <w:sz w:val="22"/>
          <w:szCs w:val="22"/>
        </w:rPr>
      </w:pPr>
    </w:p>
    <w:p w14:paraId="5CC72035" w14:textId="77777777" w:rsidR="008C1131" w:rsidRPr="00776407" w:rsidRDefault="008C1131" w:rsidP="00864BE6">
      <w:pPr>
        <w:numPr>
          <w:ilvl w:val="0"/>
          <w:numId w:val="1"/>
        </w:numPr>
        <w:autoSpaceDE w:val="0"/>
        <w:autoSpaceDN w:val="0"/>
        <w:adjustRightInd w:val="0"/>
        <w:ind w:hanging="720"/>
        <w:rPr>
          <w:rFonts w:eastAsia="Calibri"/>
          <w:color w:val="000000"/>
          <w:sz w:val="22"/>
          <w:szCs w:val="22"/>
        </w:rPr>
      </w:pPr>
      <w:r w:rsidRPr="00776407">
        <w:rPr>
          <w:rFonts w:eastAsia="Calibri"/>
          <w:b/>
          <w:bCs/>
          <w:i/>
          <w:iCs/>
          <w:color w:val="000000"/>
          <w:sz w:val="22"/>
          <w:szCs w:val="22"/>
        </w:rPr>
        <w:t xml:space="preserve">Philadelphia </w:t>
      </w:r>
      <w:r w:rsidRPr="00776407">
        <w:rPr>
          <w:rFonts w:eastAsia="Calibri"/>
          <w:b/>
          <w:bCs/>
          <w:color w:val="000000"/>
          <w:sz w:val="22"/>
          <w:szCs w:val="22"/>
        </w:rPr>
        <w:t xml:space="preserve">chromosomai teigiamai ūminei limfoleukemijai (Ph teigiama ŪLL) gydyti. </w:t>
      </w:r>
      <w:r w:rsidRPr="00776407">
        <w:rPr>
          <w:rFonts w:eastAsia="Calibri"/>
          <w:color w:val="000000"/>
          <w:sz w:val="22"/>
          <w:szCs w:val="22"/>
        </w:rPr>
        <w:t>Leukemija – tai baltųjų kraujo kūnelių vėžys. Paprastai šios baltosios ląstelės padeda organizmui kovoti su infekcija. Ūminė limfoleukemija yra tokia leukemijos forma, kai tam tikros nenormalios ląstelės (vadinamos limfoblastais) pradeda nekontroliuojamai augti. Imatinib Actavis slopina šių ląstelių augimą.</w:t>
      </w:r>
    </w:p>
    <w:p w14:paraId="5E2B7881" w14:textId="77777777" w:rsidR="00B11495" w:rsidRPr="00776407" w:rsidRDefault="00B11495" w:rsidP="00B11495">
      <w:pPr>
        <w:autoSpaceDE w:val="0"/>
        <w:autoSpaceDN w:val="0"/>
        <w:adjustRightInd w:val="0"/>
        <w:rPr>
          <w:rFonts w:eastAsia="Calibri"/>
          <w:color w:val="000000"/>
          <w:sz w:val="22"/>
          <w:szCs w:val="22"/>
        </w:rPr>
      </w:pPr>
    </w:p>
    <w:p w14:paraId="44BAD23E" w14:textId="77777777" w:rsidR="00B11495" w:rsidRPr="00776407" w:rsidRDefault="00B11495" w:rsidP="003C6310">
      <w:pPr>
        <w:keepNext/>
        <w:keepLines/>
        <w:autoSpaceDE w:val="0"/>
        <w:autoSpaceDN w:val="0"/>
        <w:adjustRightInd w:val="0"/>
        <w:rPr>
          <w:rFonts w:eastAsia="Calibri"/>
          <w:b/>
          <w:bCs/>
          <w:sz w:val="22"/>
          <w:szCs w:val="22"/>
        </w:rPr>
      </w:pPr>
      <w:r w:rsidRPr="00776407">
        <w:rPr>
          <w:rFonts w:eastAsia="Calibri"/>
          <w:b/>
          <w:bCs/>
          <w:sz w:val="22"/>
          <w:szCs w:val="22"/>
        </w:rPr>
        <w:t>Imatinib Actavis taip pat vartojama</w:t>
      </w:r>
      <w:r w:rsidR="00D1017C" w:rsidRPr="00776407">
        <w:rPr>
          <w:rFonts w:eastAsia="Calibri"/>
          <w:b/>
          <w:bCs/>
          <w:sz w:val="22"/>
          <w:szCs w:val="22"/>
        </w:rPr>
        <w:t xml:space="preserve"> gydyti suaugusiųjų</w:t>
      </w:r>
      <w:r w:rsidRPr="00776407">
        <w:rPr>
          <w:rFonts w:eastAsia="Calibri"/>
          <w:b/>
          <w:bCs/>
          <w:sz w:val="22"/>
          <w:szCs w:val="22"/>
        </w:rPr>
        <w:t>:</w:t>
      </w:r>
    </w:p>
    <w:p w14:paraId="4E206525" w14:textId="77777777" w:rsidR="00B11495" w:rsidRPr="00776407" w:rsidRDefault="00B11495" w:rsidP="00B11495">
      <w:pPr>
        <w:autoSpaceDE w:val="0"/>
        <w:autoSpaceDN w:val="0"/>
        <w:adjustRightInd w:val="0"/>
        <w:rPr>
          <w:rFonts w:eastAsia="Calibri"/>
          <w:color w:val="000000"/>
          <w:sz w:val="22"/>
          <w:szCs w:val="22"/>
        </w:rPr>
      </w:pPr>
    </w:p>
    <w:p w14:paraId="4BD5275D" w14:textId="77777777" w:rsidR="008C1131" w:rsidRPr="00776407" w:rsidRDefault="008C1131"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Mielodisplazinėms ar mieloproliferacinėms ligoms (MDS/MPL) gydyti. </w:t>
      </w:r>
      <w:r w:rsidRPr="00776407">
        <w:rPr>
          <w:rFonts w:eastAsia="Calibri"/>
          <w:color w:val="000000"/>
          <w:sz w:val="22"/>
          <w:szCs w:val="22"/>
        </w:rPr>
        <w:t xml:space="preserve">Tai kraujo ligos, kurių metu kai kurios kraujo ląstelės pradeda daugintis nekontroliuojamos. Imatinib Actavis slopina šių ląstelių augimą, sergant tam tikrais šių ligų potipiais. </w:t>
      </w:r>
    </w:p>
    <w:p w14:paraId="4B53FC57" w14:textId="77777777" w:rsidR="008C1131" w:rsidRPr="00776407" w:rsidRDefault="008C1131"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Hipereozinofilijos sindromui (HES) ir (arba) lėtinei eozinofilinei leukemijai (LEL) gydyti. </w:t>
      </w:r>
      <w:r w:rsidRPr="00776407">
        <w:rPr>
          <w:rFonts w:eastAsia="Calibri"/>
          <w:color w:val="000000"/>
          <w:sz w:val="22"/>
          <w:szCs w:val="22"/>
        </w:rPr>
        <w:t xml:space="preserve">Tai yra kraujo ligos, kurių metu kai kurios kraujo ląstelės (vadinamos eozinofilais) pradeda daugintis nekontroliuojamos. Imatinib Actavis slopina šių ląstelių augimą, sergant tam tikrais šių ligų potipiais. </w:t>
      </w:r>
    </w:p>
    <w:p w14:paraId="70048279" w14:textId="77777777" w:rsidR="008C1131" w:rsidRPr="00776407" w:rsidRDefault="008C1131"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Iškiliajai dermatofibrosarkomai </w:t>
      </w:r>
      <w:r w:rsidRPr="00776407">
        <w:rPr>
          <w:rFonts w:eastAsia="Calibri"/>
          <w:i/>
          <w:iCs/>
          <w:color w:val="000000"/>
          <w:sz w:val="22"/>
          <w:szCs w:val="22"/>
        </w:rPr>
        <w:t xml:space="preserve">(dermatofibrosarcoma protuberans </w:t>
      </w:r>
      <w:r w:rsidRPr="00776407">
        <w:rPr>
          <w:rFonts w:eastAsia="Calibri"/>
          <w:color w:val="000000"/>
          <w:sz w:val="22"/>
          <w:szCs w:val="22"/>
        </w:rPr>
        <w:t xml:space="preserve">- </w:t>
      </w:r>
      <w:r w:rsidRPr="00776407">
        <w:rPr>
          <w:rFonts w:eastAsia="Calibri"/>
          <w:b/>
          <w:bCs/>
          <w:color w:val="000000"/>
          <w:sz w:val="22"/>
          <w:szCs w:val="22"/>
        </w:rPr>
        <w:t>DFSP</w:t>
      </w:r>
      <w:r w:rsidRPr="00776407">
        <w:rPr>
          <w:rFonts w:eastAsia="Calibri"/>
          <w:color w:val="000000"/>
          <w:sz w:val="22"/>
          <w:szCs w:val="22"/>
        </w:rPr>
        <w:t xml:space="preserve">) gydyti. DFSP - tai po oda esančio audinio vėžys, kurio metu kai kurios ląstelės pradeda nekontroliuojamai augti. Imatinib Actavis slopina šių ląstelių augimą. </w:t>
      </w:r>
    </w:p>
    <w:p w14:paraId="780E593C" w14:textId="77777777" w:rsidR="00D47212" w:rsidRPr="00776407" w:rsidRDefault="00D47212" w:rsidP="00A877B5">
      <w:pPr>
        <w:autoSpaceDE w:val="0"/>
        <w:autoSpaceDN w:val="0"/>
        <w:adjustRightInd w:val="0"/>
        <w:rPr>
          <w:sz w:val="22"/>
          <w:szCs w:val="22"/>
        </w:rPr>
      </w:pPr>
    </w:p>
    <w:p w14:paraId="5982479C" w14:textId="77777777" w:rsidR="008C1131" w:rsidRPr="00776407" w:rsidRDefault="008C1131" w:rsidP="00A877B5">
      <w:pPr>
        <w:autoSpaceDE w:val="0"/>
        <w:autoSpaceDN w:val="0"/>
        <w:adjustRightInd w:val="0"/>
        <w:rPr>
          <w:sz w:val="22"/>
          <w:szCs w:val="22"/>
        </w:rPr>
      </w:pPr>
      <w:r w:rsidRPr="00776407">
        <w:rPr>
          <w:sz w:val="22"/>
          <w:szCs w:val="22"/>
        </w:rPr>
        <w:t>Toliau šiame lapelyje apibūdinant minėtas ligas bus naudojamos nurodytos santrumpos.</w:t>
      </w:r>
    </w:p>
    <w:p w14:paraId="76020C67" w14:textId="77777777" w:rsidR="008C1131" w:rsidRPr="00776407" w:rsidRDefault="008C1131" w:rsidP="00A877B5">
      <w:pPr>
        <w:autoSpaceDE w:val="0"/>
        <w:autoSpaceDN w:val="0"/>
        <w:adjustRightInd w:val="0"/>
        <w:rPr>
          <w:rFonts w:eastAsia="Calibri"/>
          <w:color w:val="000000"/>
          <w:sz w:val="22"/>
          <w:szCs w:val="22"/>
        </w:rPr>
      </w:pPr>
    </w:p>
    <w:p w14:paraId="47A2B85D"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Jei Jums kiltų kokių nors klausimų apie Imatinib Actavis veikimą arba kodėl Jums jį paskyrė, klauskite gydytojo. </w:t>
      </w:r>
    </w:p>
    <w:p w14:paraId="4887A5D2" w14:textId="77777777" w:rsidR="008145E3" w:rsidRPr="00776407" w:rsidRDefault="008145E3" w:rsidP="00A877B5">
      <w:pPr>
        <w:autoSpaceDE w:val="0"/>
        <w:autoSpaceDN w:val="0"/>
        <w:adjustRightInd w:val="0"/>
        <w:rPr>
          <w:rFonts w:eastAsia="Calibri"/>
          <w:sz w:val="22"/>
          <w:szCs w:val="22"/>
        </w:rPr>
      </w:pPr>
    </w:p>
    <w:p w14:paraId="16F1418F" w14:textId="77777777" w:rsidR="006A42FC" w:rsidRPr="00776407" w:rsidRDefault="006A42FC" w:rsidP="00A877B5">
      <w:pPr>
        <w:autoSpaceDE w:val="0"/>
        <w:autoSpaceDN w:val="0"/>
        <w:adjustRightInd w:val="0"/>
        <w:rPr>
          <w:rFonts w:eastAsia="Calibri"/>
          <w:sz w:val="22"/>
          <w:szCs w:val="22"/>
        </w:rPr>
      </w:pPr>
    </w:p>
    <w:p w14:paraId="406CBD60" w14:textId="77777777" w:rsidR="00A877B5" w:rsidRPr="00776407" w:rsidRDefault="00A877B5" w:rsidP="00864BE6">
      <w:pPr>
        <w:pStyle w:val="Listenabsatz"/>
        <w:numPr>
          <w:ilvl w:val="0"/>
          <w:numId w:val="6"/>
        </w:numPr>
        <w:autoSpaceDE w:val="0"/>
        <w:autoSpaceDN w:val="0"/>
        <w:adjustRightInd w:val="0"/>
        <w:ind w:hanging="720"/>
        <w:rPr>
          <w:rFonts w:eastAsia="Calibri"/>
          <w:b/>
          <w:sz w:val="22"/>
          <w:szCs w:val="22"/>
        </w:rPr>
      </w:pPr>
      <w:r w:rsidRPr="00776407">
        <w:rPr>
          <w:rFonts w:eastAsia="Calibri"/>
          <w:b/>
          <w:bCs/>
          <w:sz w:val="22"/>
          <w:szCs w:val="22"/>
        </w:rPr>
        <w:t xml:space="preserve">Kas žinotina prieš vartojant Imatinib Actavis </w:t>
      </w:r>
    </w:p>
    <w:p w14:paraId="26A9EF15" w14:textId="77777777" w:rsidR="008145E3" w:rsidRPr="00776407" w:rsidRDefault="008145E3" w:rsidP="00A877B5">
      <w:pPr>
        <w:autoSpaceDE w:val="0"/>
        <w:autoSpaceDN w:val="0"/>
        <w:adjustRightInd w:val="0"/>
        <w:rPr>
          <w:rFonts w:eastAsia="Calibri"/>
          <w:sz w:val="22"/>
          <w:szCs w:val="22"/>
        </w:rPr>
      </w:pPr>
    </w:p>
    <w:p w14:paraId="6045BEFC"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Imatinib Actavis Jums paskirs tik gydytojas, turintis kraujo vėži</w:t>
      </w:r>
      <w:r w:rsidR="00BC26C4" w:rsidRPr="00776407">
        <w:rPr>
          <w:rFonts w:eastAsia="Calibri"/>
          <w:sz w:val="22"/>
          <w:szCs w:val="22"/>
        </w:rPr>
        <w:t>ų</w:t>
      </w:r>
      <w:r w:rsidRPr="00776407">
        <w:rPr>
          <w:rFonts w:eastAsia="Calibri"/>
          <w:sz w:val="22"/>
          <w:szCs w:val="22"/>
        </w:rPr>
        <w:t xml:space="preserve"> arba solidinių navikų gydymo vaistais patirties. </w:t>
      </w:r>
    </w:p>
    <w:p w14:paraId="6EBCB8E3" w14:textId="77777777" w:rsidR="008145E3" w:rsidRPr="00776407" w:rsidRDefault="008145E3" w:rsidP="00A877B5">
      <w:pPr>
        <w:autoSpaceDE w:val="0"/>
        <w:autoSpaceDN w:val="0"/>
        <w:adjustRightInd w:val="0"/>
        <w:rPr>
          <w:rFonts w:eastAsia="Calibri"/>
          <w:sz w:val="22"/>
          <w:szCs w:val="22"/>
        </w:rPr>
      </w:pPr>
    </w:p>
    <w:p w14:paraId="590DD985"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Tiksliai laikykitės visų gydytojo nurodymų, net jei jie skiriasi nuo bendrosios šiame lapelyje esančios informacijos. </w:t>
      </w:r>
    </w:p>
    <w:p w14:paraId="035EA34E" w14:textId="77777777" w:rsidR="008145E3" w:rsidRPr="00776407" w:rsidRDefault="008145E3" w:rsidP="00A877B5">
      <w:pPr>
        <w:autoSpaceDE w:val="0"/>
        <w:autoSpaceDN w:val="0"/>
        <w:adjustRightInd w:val="0"/>
        <w:rPr>
          <w:rFonts w:eastAsia="Calibri"/>
          <w:b/>
          <w:bCs/>
          <w:sz w:val="22"/>
          <w:szCs w:val="22"/>
        </w:rPr>
      </w:pPr>
    </w:p>
    <w:p w14:paraId="60AB8E99" w14:textId="09C19B96"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Imatinib Actavis vartoti negalima </w:t>
      </w:r>
    </w:p>
    <w:p w14:paraId="308A6451" w14:textId="77777777" w:rsidR="00A877B5" w:rsidRPr="00776407" w:rsidRDefault="00A877B5"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 xml:space="preserve">jeigu yra alergija imatinibui arba bet kuriai pagalbinei šio vaisto medžiagai (jos išvardytos </w:t>
      </w:r>
      <w:r w:rsidR="00FF44E8" w:rsidRPr="00776407">
        <w:rPr>
          <w:rFonts w:eastAsia="Calibri"/>
          <w:sz w:val="22"/>
          <w:szCs w:val="22"/>
        </w:rPr>
        <w:t>6 </w:t>
      </w:r>
      <w:r w:rsidRPr="00776407">
        <w:rPr>
          <w:rFonts w:eastAsia="Calibri"/>
          <w:sz w:val="22"/>
          <w:szCs w:val="22"/>
        </w:rPr>
        <w:t xml:space="preserve">skyriuje). </w:t>
      </w:r>
    </w:p>
    <w:p w14:paraId="48373E02" w14:textId="77777777" w:rsidR="00A877B5" w:rsidRPr="00776407" w:rsidRDefault="00A877B5" w:rsidP="00A877B5">
      <w:pPr>
        <w:autoSpaceDE w:val="0"/>
        <w:autoSpaceDN w:val="0"/>
        <w:adjustRightInd w:val="0"/>
        <w:rPr>
          <w:rFonts w:eastAsia="Calibri"/>
          <w:sz w:val="22"/>
          <w:szCs w:val="22"/>
        </w:rPr>
      </w:pPr>
    </w:p>
    <w:p w14:paraId="0A52B09E"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Jei ši sąlyga Jums tinka, </w:t>
      </w:r>
      <w:r w:rsidRPr="00776407">
        <w:rPr>
          <w:rFonts w:eastAsia="Calibri"/>
          <w:b/>
          <w:bCs/>
          <w:sz w:val="22"/>
          <w:szCs w:val="22"/>
        </w:rPr>
        <w:t xml:space="preserve">nevartokite Imatinib Actavis ir apie tai pasakykite gydytojui. </w:t>
      </w:r>
    </w:p>
    <w:p w14:paraId="214E415E" w14:textId="77777777" w:rsidR="008145E3" w:rsidRPr="00776407" w:rsidRDefault="008145E3" w:rsidP="00A877B5">
      <w:pPr>
        <w:autoSpaceDE w:val="0"/>
        <w:autoSpaceDN w:val="0"/>
        <w:adjustRightInd w:val="0"/>
        <w:rPr>
          <w:rFonts w:eastAsia="Calibri"/>
          <w:sz w:val="22"/>
          <w:szCs w:val="22"/>
        </w:rPr>
      </w:pPr>
    </w:p>
    <w:p w14:paraId="522E6DD1"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Jeigu manote, kad galite būti alergiškas, bet nesate tikras, kreipkitės patarimo į gydytoją. </w:t>
      </w:r>
    </w:p>
    <w:p w14:paraId="5A37CD61" w14:textId="77777777" w:rsidR="008145E3" w:rsidRPr="00776407" w:rsidRDefault="008145E3" w:rsidP="00A877B5">
      <w:pPr>
        <w:autoSpaceDE w:val="0"/>
        <w:autoSpaceDN w:val="0"/>
        <w:adjustRightInd w:val="0"/>
        <w:rPr>
          <w:rFonts w:eastAsia="Calibri"/>
          <w:b/>
          <w:bCs/>
          <w:sz w:val="22"/>
          <w:szCs w:val="22"/>
        </w:rPr>
      </w:pPr>
    </w:p>
    <w:p w14:paraId="29CEF601"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Įspėjimai ir atsargumo priemonės </w:t>
      </w:r>
    </w:p>
    <w:p w14:paraId="03C05032"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Pasitarkite su gydytoju, prieš pradėdami vartoti Imatinib Actavis: </w:t>
      </w:r>
    </w:p>
    <w:p w14:paraId="03D13AC0" w14:textId="77777777" w:rsidR="00A877B5" w:rsidRPr="00776407" w:rsidRDefault="001228D5" w:rsidP="00A877B5">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r>
      <w:r w:rsidR="00A877B5" w:rsidRPr="00776407">
        <w:rPr>
          <w:rFonts w:eastAsia="Calibri"/>
          <w:sz w:val="22"/>
          <w:szCs w:val="22"/>
        </w:rPr>
        <w:t>jeigu Jums yra ar kada nors yra buvę kepenų, inkstų ar širdies sutrikimų</w:t>
      </w:r>
      <w:r w:rsidR="006A7898" w:rsidRPr="00776407">
        <w:rPr>
          <w:rFonts w:eastAsia="Calibri"/>
          <w:sz w:val="22"/>
          <w:szCs w:val="22"/>
        </w:rPr>
        <w:t>;</w:t>
      </w:r>
    </w:p>
    <w:p w14:paraId="0CC78E27" w14:textId="637A8D86" w:rsidR="00A877B5" w:rsidRPr="00776407" w:rsidRDefault="001228D5" w:rsidP="00A877B5">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r>
      <w:r w:rsidR="00A877B5" w:rsidRPr="00776407">
        <w:rPr>
          <w:rFonts w:eastAsia="Calibri"/>
          <w:sz w:val="22"/>
          <w:szCs w:val="22"/>
        </w:rPr>
        <w:t>jeigu dėl pašalintos skydliaukės vartojate vaist</w:t>
      </w:r>
      <w:r w:rsidR="00CF3DA0" w:rsidRPr="00776407">
        <w:rPr>
          <w:rFonts w:eastAsia="Calibri"/>
          <w:sz w:val="22"/>
          <w:szCs w:val="22"/>
        </w:rPr>
        <w:t>o</w:t>
      </w:r>
      <w:r w:rsidR="00A877B5" w:rsidRPr="00776407">
        <w:rPr>
          <w:rFonts w:eastAsia="Calibri"/>
          <w:sz w:val="22"/>
          <w:szCs w:val="22"/>
        </w:rPr>
        <w:t xml:space="preserve"> levotiroksino</w:t>
      </w:r>
      <w:r w:rsidR="006A7898" w:rsidRPr="00776407">
        <w:rPr>
          <w:rFonts w:eastAsia="Calibri"/>
          <w:sz w:val="22"/>
          <w:szCs w:val="22"/>
        </w:rPr>
        <w:t>;</w:t>
      </w:r>
    </w:p>
    <w:p w14:paraId="5EA51CB2" w14:textId="77777777" w:rsidR="0023389A" w:rsidRPr="00776407" w:rsidRDefault="00D50475" w:rsidP="00D50475">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jums kada nors buvo diagnozuota hepatito B infekcija arba šiuo metu galite būti užsikrėtę šiuo virusu. Tai būtina, nes Imatinib Actavis gali vėl suaktyvinti hepatito B virusą, o kai kuriais atvejais tai gali būti mirtina. Prieš pradedant gydymą, gydytojas atidžiai patikrins, ar pacientas neturi šios infekcijos požymių</w:t>
      </w:r>
      <w:r w:rsidR="0023389A" w:rsidRPr="00776407">
        <w:rPr>
          <w:rFonts w:eastAsia="Calibri"/>
          <w:sz w:val="22"/>
          <w:szCs w:val="22"/>
        </w:rPr>
        <w:t>;</w:t>
      </w:r>
    </w:p>
    <w:p w14:paraId="7F4AD125" w14:textId="77777777" w:rsidR="00D50475" w:rsidRPr="00776407" w:rsidRDefault="0023389A" w:rsidP="00D50475">
      <w:pPr>
        <w:autoSpaceDE w:val="0"/>
        <w:autoSpaceDN w:val="0"/>
        <w:adjustRightInd w:val="0"/>
        <w:ind w:left="720" w:hanging="720"/>
        <w:rPr>
          <w:rFonts w:eastAsia="Calibri"/>
          <w:sz w:val="22"/>
          <w:szCs w:val="22"/>
        </w:rPr>
      </w:pPr>
      <w:r w:rsidRPr="00776407">
        <w:rPr>
          <w:color w:val="000000"/>
          <w:spacing w:val="-2"/>
          <w:sz w:val="22"/>
          <w:szCs w:val="22"/>
        </w:rPr>
        <w:t>-</w:t>
      </w:r>
      <w:r w:rsidRPr="00776407">
        <w:rPr>
          <w:color w:val="000000"/>
          <w:spacing w:val="-2"/>
          <w:sz w:val="22"/>
          <w:szCs w:val="22"/>
        </w:rPr>
        <w:tab/>
        <w:t>jeigu Jums vartojant Imatinib Actavis susidaro kraujosruvų, pasireiškia kraujavimas, karščiavimas, nuovargis ir sumišimas, kreipkitės į gydytoją. Tai gali būti kraujagyslių pažaidos, vadinamos trombine mikroangiopatija (TMA), požymis</w:t>
      </w:r>
      <w:r w:rsidR="00D50475" w:rsidRPr="00776407">
        <w:rPr>
          <w:rFonts w:eastAsia="Calibri"/>
          <w:sz w:val="22"/>
          <w:szCs w:val="22"/>
        </w:rPr>
        <w:t xml:space="preserve">. </w:t>
      </w:r>
    </w:p>
    <w:p w14:paraId="74467BA3" w14:textId="77777777" w:rsidR="00D50475" w:rsidRPr="00776407" w:rsidRDefault="00D50475" w:rsidP="00A877B5">
      <w:pPr>
        <w:autoSpaceDE w:val="0"/>
        <w:autoSpaceDN w:val="0"/>
        <w:adjustRightInd w:val="0"/>
        <w:rPr>
          <w:rFonts w:eastAsia="Calibri"/>
          <w:sz w:val="22"/>
          <w:szCs w:val="22"/>
        </w:rPr>
      </w:pPr>
    </w:p>
    <w:p w14:paraId="4F021E84" w14:textId="77777777" w:rsidR="005D0069" w:rsidRPr="00776407" w:rsidRDefault="003C6310" w:rsidP="005D0069">
      <w:pPr>
        <w:rPr>
          <w:color w:val="000000"/>
          <w:sz w:val="22"/>
          <w:szCs w:val="22"/>
        </w:rPr>
      </w:pPr>
      <w:r w:rsidRPr="00776407">
        <w:rPr>
          <w:bCs/>
          <w:sz w:val="22"/>
          <w:szCs w:val="22"/>
        </w:rPr>
        <w:t xml:space="preserve">Imatinib Actavis </w:t>
      </w:r>
      <w:r w:rsidR="005D0069" w:rsidRPr="00776407">
        <w:rPr>
          <w:color w:val="000000"/>
          <w:sz w:val="22"/>
          <w:szCs w:val="22"/>
        </w:rPr>
        <w:t>vartojimo metu galite tapti jautresnis saulės poveikiui. Svarbu apsaugoti atviras odos vietas nuo tiesioginių saulės spindulių ir naudoti preparatą nuo saulės nudegimo, kurio aukštas apsaugos faktorius (SPF).</w:t>
      </w:r>
      <w:r w:rsidR="005D0069" w:rsidRPr="00776407">
        <w:rPr>
          <w:rFonts w:ascii="Arial" w:hAnsi="Arial" w:cs="Arial"/>
          <w:color w:val="222222"/>
        </w:rPr>
        <w:t xml:space="preserve"> </w:t>
      </w:r>
      <w:r w:rsidR="005D0069" w:rsidRPr="00776407">
        <w:rPr>
          <w:color w:val="000000"/>
          <w:sz w:val="22"/>
          <w:szCs w:val="22"/>
        </w:rPr>
        <w:t>Šios atsargumo priemonės taip pat turi būti taikomos vaikams.</w:t>
      </w:r>
    </w:p>
    <w:p w14:paraId="1F598300" w14:textId="77777777" w:rsidR="00D47212" w:rsidRPr="00776407" w:rsidRDefault="00D47212" w:rsidP="00A877B5">
      <w:pPr>
        <w:autoSpaceDE w:val="0"/>
        <w:autoSpaceDN w:val="0"/>
        <w:adjustRightInd w:val="0"/>
        <w:rPr>
          <w:rFonts w:eastAsia="Calibri"/>
          <w:sz w:val="22"/>
          <w:szCs w:val="22"/>
        </w:rPr>
      </w:pPr>
    </w:p>
    <w:p w14:paraId="480350B2"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Jei bet kuri šių sąlygų Jums tinka, </w:t>
      </w:r>
      <w:r w:rsidRPr="00776407">
        <w:rPr>
          <w:rFonts w:eastAsia="Calibri"/>
          <w:b/>
          <w:bCs/>
          <w:sz w:val="22"/>
          <w:szCs w:val="22"/>
        </w:rPr>
        <w:t>prieš pradėdami vartoti Imatinib Actavis, pasakykite gydytojui</w:t>
      </w:r>
      <w:r w:rsidRPr="00776407">
        <w:rPr>
          <w:rFonts w:eastAsia="Calibri"/>
          <w:sz w:val="22"/>
          <w:szCs w:val="22"/>
        </w:rPr>
        <w:t xml:space="preserve">. </w:t>
      </w:r>
    </w:p>
    <w:p w14:paraId="423B9142" w14:textId="77777777" w:rsidR="001228D5" w:rsidRPr="00776407" w:rsidRDefault="001228D5" w:rsidP="00A877B5">
      <w:pPr>
        <w:autoSpaceDE w:val="0"/>
        <w:autoSpaceDN w:val="0"/>
        <w:adjustRightInd w:val="0"/>
        <w:rPr>
          <w:rFonts w:eastAsia="Calibri"/>
          <w:b/>
          <w:bCs/>
          <w:sz w:val="22"/>
          <w:szCs w:val="22"/>
        </w:rPr>
      </w:pPr>
    </w:p>
    <w:p w14:paraId="02406D98"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Imatinib Actavis vartojimo metu nedelsdami kreipkitės į gydytoją, </w:t>
      </w:r>
      <w:r w:rsidRPr="00776407">
        <w:rPr>
          <w:rFonts w:eastAsia="Calibri"/>
          <w:sz w:val="22"/>
          <w:szCs w:val="22"/>
        </w:rPr>
        <w:t xml:space="preserve">jeigu Jums labai greitai padidėjo kūno svoris. Dėl Imatinib Actavis poveikio Jūsų kūne gali kauptis skysčių (pasireikšti sunkus skysčių susilaikymas). </w:t>
      </w:r>
    </w:p>
    <w:p w14:paraId="7CB900CF" w14:textId="77777777" w:rsidR="001228D5" w:rsidRPr="00776407" w:rsidRDefault="001228D5" w:rsidP="00A877B5">
      <w:pPr>
        <w:autoSpaceDE w:val="0"/>
        <w:autoSpaceDN w:val="0"/>
        <w:adjustRightInd w:val="0"/>
        <w:rPr>
          <w:rFonts w:eastAsia="Calibri"/>
          <w:sz w:val="22"/>
          <w:szCs w:val="22"/>
        </w:rPr>
      </w:pPr>
    </w:p>
    <w:p w14:paraId="606105ED" w14:textId="6F944B2F"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Jums vartojant Imatinib Actavis, gydytojas reguliariai tikrins, ar vaist</w:t>
      </w:r>
      <w:r w:rsidR="00CF3DA0" w:rsidRPr="00776407">
        <w:rPr>
          <w:rFonts w:eastAsia="Calibri"/>
          <w:sz w:val="22"/>
          <w:szCs w:val="22"/>
        </w:rPr>
        <w:t>as</w:t>
      </w:r>
      <w:r w:rsidRPr="00776407">
        <w:rPr>
          <w:rFonts w:eastAsia="Calibri"/>
          <w:sz w:val="22"/>
          <w:szCs w:val="22"/>
        </w:rPr>
        <w:t xml:space="preserve"> veikia. Jums taip pat reguliariai tirs kraują ir kūno svorį. </w:t>
      </w:r>
    </w:p>
    <w:p w14:paraId="052D4844" w14:textId="77777777" w:rsidR="00327533" w:rsidRPr="00776407" w:rsidRDefault="00327533" w:rsidP="00A877B5">
      <w:pPr>
        <w:autoSpaceDE w:val="0"/>
        <w:autoSpaceDN w:val="0"/>
        <w:adjustRightInd w:val="0"/>
        <w:rPr>
          <w:rFonts w:eastAsia="Calibri"/>
          <w:b/>
          <w:bCs/>
          <w:sz w:val="22"/>
          <w:szCs w:val="22"/>
        </w:rPr>
      </w:pPr>
    </w:p>
    <w:p w14:paraId="353A1326"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Vaikams ir paaugliams </w:t>
      </w:r>
    </w:p>
    <w:p w14:paraId="0FFD665C" w14:textId="77777777" w:rsidR="00327533" w:rsidRPr="00776407" w:rsidRDefault="00A877B5" w:rsidP="00A877B5">
      <w:pPr>
        <w:autoSpaceDE w:val="0"/>
        <w:autoSpaceDN w:val="0"/>
        <w:adjustRightInd w:val="0"/>
        <w:rPr>
          <w:rFonts w:eastAsia="Calibri"/>
          <w:sz w:val="22"/>
          <w:szCs w:val="22"/>
        </w:rPr>
      </w:pPr>
      <w:r w:rsidRPr="00776407">
        <w:rPr>
          <w:rFonts w:eastAsia="Calibri"/>
          <w:sz w:val="22"/>
          <w:szCs w:val="22"/>
        </w:rPr>
        <w:t>Imatinib Actavis taip pat gydomi vaikai, sergantys LML. Vartojimo patirties vaikams, jaunesniems kaip 2</w:t>
      </w:r>
      <w:r w:rsidR="00327533" w:rsidRPr="00776407">
        <w:rPr>
          <w:rFonts w:eastAsia="Calibri"/>
          <w:sz w:val="22"/>
          <w:szCs w:val="22"/>
        </w:rPr>
        <w:t> </w:t>
      </w:r>
      <w:r w:rsidRPr="00776407">
        <w:rPr>
          <w:rFonts w:eastAsia="Calibri"/>
          <w:sz w:val="22"/>
          <w:szCs w:val="22"/>
        </w:rPr>
        <w:t xml:space="preserve">metų ir sergantiems LML, nėra. </w:t>
      </w:r>
      <w:r w:rsidR="00FF44E8" w:rsidRPr="00776407">
        <w:rPr>
          <w:sz w:val="22"/>
          <w:szCs w:val="22"/>
        </w:rPr>
        <w:t>Vartojimo patirties vaikams, sergantiems Ph teigiama ŪLL, yra nedaug, o vartojimo patirties vaikams, sergantiems MDS/MPL, DFSP ir HES/LEL, yra labai nedaug.</w:t>
      </w:r>
    </w:p>
    <w:p w14:paraId="074C8AD4" w14:textId="77777777" w:rsidR="00327533" w:rsidRPr="00776407" w:rsidRDefault="00327533" w:rsidP="00A877B5">
      <w:pPr>
        <w:autoSpaceDE w:val="0"/>
        <w:autoSpaceDN w:val="0"/>
        <w:adjustRightInd w:val="0"/>
        <w:rPr>
          <w:rFonts w:eastAsia="Calibri"/>
          <w:sz w:val="22"/>
          <w:szCs w:val="22"/>
        </w:rPr>
      </w:pPr>
    </w:p>
    <w:p w14:paraId="1E768B5C"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Kai kurių vaikų ir paauglių, vartojančių Imatinib Actavis, augimas gali būti lėtesnis nei įprasta. Todėl gydytojas tikrins augimą įprastų vizitų metu. </w:t>
      </w:r>
    </w:p>
    <w:p w14:paraId="44CCFF92" w14:textId="77777777" w:rsidR="00327533" w:rsidRPr="00776407" w:rsidRDefault="00327533" w:rsidP="00A877B5">
      <w:pPr>
        <w:autoSpaceDE w:val="0"/>
        <w:autoSpaceDN w:val="0"/>
        <w:adjustRightInd w:val="0"/>
        <w:rPr>
          <w:rFonts w:eastAsia="Calibri"/>
          <w:b/>
          <w:sz w:val="22"/>
          <w:szCs w:val="22"/>
        </w:rPr>
      </w:pPr>
    </w:p>
    <w:p w14:paraId="077551E5" w14:textId="77777777" w:rsidR="00327533" w:rsidRPr="00776407" w:rsidRDefault="00327533" w:rsidP="00A877B5">
      <w:pPr>
        <w:autoSpaceDE w:val="0"/>
        <w:autoSpaceDN w:val="0"/>
        <w:adjustRightInd w:val="0"/>
        <w:rPr>
          <w:rFonts w:eastAsia="Calibri"/>
          <w:b/>
          <w:sz w:val="22"/>
          <w:szCs w:val="22"/>
        </w:rPr>
      </w:pPr>
      <w:r w:rsidRPr="00776407">
        <w:rPr>
          <w:rFonts w:eastAsia="Calibri"/>
          <w:b/>
          <w:sz w:val="22"/>
          <w:szCs w:val="22"/>
        </w:rPr>
        <w:t>Kiti vaistai ir Imatinib Actavis</w:t>
      </w:r>
    </w:p>
    <w:p w14:paraId="3AD3671A" w14:textId="727CA941" w:rsidR="00327533" w:rsidRPr="00776407" w:rsidRDefault="00327533" w:rsidP="00327533">
      <w:pPr>
        <w:autoSpaceDE w:val="0"/>
        <w:autoSpaceDN w:val="0"/>
        <w:adjustRightInd w:val="0"/>
        <w:rPr>
          <w:rFonts w:eastAsia="Calibri"/>
          <w:sz w:val="22"/>
          <w:szCs w:val="22"/>
        </w:rPr>
      </w:pPr>
      <w:r w:rsidRPr="00776407">
        <w:rPr>
          <w:rFonts w:eastAsia="Calibri"/>
          <w:sz w:val="22"/>
          <w:szCs w:val="22"/>
        </w:rPr>
        <w:t xml:space="preserve">Jeigu vartojate ar neseniai vartojote kitų vaistų arba dėl to nesate tikri, įskaitant įsigytus be recepto (tokių kaip paracetamolio) ir taip pat </w:t>
      </w:r>
      <w:r w:rsidR="006A7898" w:rsidRPr="00776407">
        <w:rPr>
          <w:rFonts w:eastAsia="Calibri"/>
          <w:sz w:val="22"/>
          <w:szCs w:val="22"/>
        </w:rPr>
        <w:t>vaistažolių</w:t>
      </w:r>
      <w:r w:rsidRPr="00776407">
        <w:rPr>
          <w:rFonts w:eastAsia="Calibri"/>
          <w:sz w:val="22"/>
          <w:szCs w:val="22"/>
        </w:rPr>
        <w:t xml:space="preserve"> (tokių kaip jonažolės preparatų), apie tai pasakykite gydytojui arba vaistininkui. Kai kurie vaist</w:t>
      </w:r>
      <w:r w:rsidR="00CF3DA0" w:rsidRPr="00776407">
        <w:rPr>
          <w:rFonts w:eastAsia="Calibri"/>
          <w:sz w:val="22"/>
          <w:szCs w:val="22"/>
        </w:rPr>
        <w:t>ai</w:t>
      </w:r>
      <w:r w:rsidRPr="00776407">
        <w:rPr>
          <w:rFonts w:eastAsia="Calibri"/>
          <w:sz w:val="22"/>
          <w:szCs w:val="22"/>
        </w:rPr>
        <w:t xml:space="preserve"> vartojami kartu gali sąveikauti su Imatinib Actavis. Jie gali padidinti arba sumažinti Imatinib Actavis poveikį, arba padidindami nepageidaujamų reiškinių pasireiškimo dažnį, arba mažindami Imatinib Actavis veiksmingumą. Imatinib Actavis gali panašiai veikti kai kuriuos kitus vaist</w:t>
      </w:r>
      <w:r w:rsidR="00CF3DA0" w:rsidRPr="00776407">
        <w:rPr>
          <w:rFonts w:eastAsia="Calibri"/>
          <w:sz w:val="22"/>
          <w:szCs w:val="22"/>
        </w:rPr>
        <w:t>us</w:t>
      </w:r>
      <w:r w:rsidRPr="00776407">
        <w:rPr>
          <w:rFonts w:eastAsia="Calibri"/>
          <w:sz w:val="22"/>
          <w:szCs w:val="22"/>
        </w:rPr>
        <w:t xml:space="preserve">. </w:t>
      </w:r>
    </w:p>
    <w:p w14:paraId="5B273107" w14:textId="77777777" w:rsidR="00327533" w:rsidRPr="00776407" w:rsidRDefault="00327533" w:rsidP="00327533">
      <w:pPr>
        <w:autoSpaceDE w:val="0"/>
        <w:autoSpaceDN w:val="0"/>
        <w:adjustRightInd w:val="0"/>
        <w:rPr>
          <w:rFonts w:eastAsia="Calibri"/>
          <w:b/>
          <w:sz w:val="22"/>
          <w:szCs w:val="22"/>
        </w:rPr>
      </w:pPr>
      <w:r w:rsidRPr="00776407">
        <w:rPr>
          <w:rFonts w:eastAsia="Calibri"/>
          <w:sz w:val="22"/>
          <w:szCs w:val="22"/>
        </w:rPr>
        <w:t>Pasakykite gydytojui, jei vartojate vaistų, kurie apsaugo nuo kraujo krešulių susidarymo.</w:t>
      </w:r>
    </w:p>
    <w:p w14:paraId="0990B88E" w14:textId="77777777" w:rsidR="00327533" w:rsidRPr="00776407" w:rsidRDefault="00327533" w:rsidP="00A877B5">
      <w:pPr>
        <w:autoSpaceDE w:val="0"/>
        <w:autoSpaceDN w:val="0"/>
        <w:adjustRightInd w:val="0"/>
        <w:rPr>
          <w:rFonts w:eastAsia="Calibri"/>
          <w:sz w:val="22"/>
          <w:szCs w:val="22"/>
        </w:rPr>
      </w:pPr>
    </w:p>
    <w:p w14:paraId="1004DF5A"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Nėštumas, žindymo laikotarpis ir vaisingumas </w:t>
      </w:r>
    </w:p>
    <w:p w14:paraId="25F94947" w14:textId="77777777" w:rsidR="00A877B5" w:rsidRPr="00776407" w:rsidRDefault="00033C8F" w:rsidP="00033C8F">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r>
      <w:r w:rsidR="00A877B5" w:rsidRPr="00776407">
        <w:rPr>
          <w:rFonts w:eastAsia="Calibri"/>
          <w:sz w:val="22"/>
          <w:szCs w:val="22"/>
        </w:rPr>
        <w:t xml:space="preserve">Jeigu esate nėščia, žindote kūdikį, manote, kad galbūt esate nėščia arba planuojate pastoti, tai prieš vartodama šį vaistą pasitarkite su gydytoju. </w:t>
      </w:r>
    </w:p>
    <w:p w14:paraId="677CEA81" w14:textId="77777777" w:rsidR="00A877B5" w:rsidRPr="00776407" w:rsidRDefault="00033C8F" w:rsidP="00033C8F">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r>
      <w:r w:rsidR="00A877B5" w:rsidRPr="00776407">
        <w:rPr>
          <w:rFonts w:eastAsia="Calibri"/>
          <w:sz w:val="22"/>
          <w:szCs w:val="22"/>
        </w:rPr>
        <w:t xml:space="preserve">Imatinib Actavis nerekomenduojama vartoti nėščiosioms, nebent neišvengiama, nes tai gali pakenkti Jūsų kūdikiui. Gydytojas supažindins Jus su galima Imatinib Actavis vartojimo nėštumo laikotarpiu rizika. </w:t>
      </w:r>
    </w:p>
    <w:p w14:paraId="064C701D" w14:textId="6C3578F0" w:rsidR="00CF3DA0" w:rsidRPr="00776407" w:rsidRDefault="00033C8F" w:rsidP="00CF3DA0">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r>
      <w:r w:rsidR="00CF3DA0" w:rsidRPr="00776407">
        <w:rPr>
          <w:rFonts w:eastAsia="Calibri"/>
          <w:sz w:val="22"/>
          <w:szCs w:val="22"/>
        </w:rPr>
        <w:t>Moterims, galinčioms pastoti, gydantis šiuo vaistu ir 15 dienų po gydymo pabaigos rekomenduojama taikyti efektyvias kontracepcijos priemones.</w:t>
      </w:r>
    </w:p>
    <w:p w14:paraId="4E3A0746" w14:textId="337609B7" w:rsidR="00A877B5" w:rsidRPr="00776407" w:rsidRDefault="00033C8F" w:rsidP="00CF3DA0">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r>
      <w:r w:rsidR="00A877B5" w:rsidRPr="00776407">
        <w:rPr>
          <w:rFonts w:eastAsia="Calibri"/>
          <w:sz w:val="22"/>
          <w:szCs w:val="22"/>
        </w:rPr>
        <w:t>Vartodama Imatinib Actavis</w:t>
      </w:r>
      <w:r w:rsidR="00CF3DA0" w:rsidRPr="00776407">
        <w:rPr>
          <w:color w:val="000000"/>
          <w:sz w:val="22"/>
          <w:szCs w:val="22"/>
        </w:rPr>
        <w:t xml:space="preserve"> </w:t>
      </w:r>
      <w:r w:rsidR="00CF3DA0" w:rsidRPr="00776407">
        <w:rPr>
          <w:rFonts w:eastAsia="Calibri"/>
          <w:sz w:val="22"/>
          <w:szCs w:val="22"/>
        </w:rPr>
        <w:t>ir 15 dienų po gydymo pabaigos kūdikio nežindykite, nes tai gali pakenkti Jūsų kūdikiui</w:t>
      </w:r>
      <w:r w:rsidR="00A877B5" w:rsidRPr="00776407">
        <w:rPr>
          <w:rFonts w:eastAsia="Calibri"/>
          <w:sz w:val="22"/>
          <w:szCs w:val="22"/>
        </w:rPr>
        <w:t>.</w:t>
      </w:r>
    </w:p>
    <w:p w14:paraId="2335F77A" w14:textId="77777777" w:rsidR="00A877B5" w:rsidRPr="00776407" w:rsidRDefault="00033C8F" w:rsidP="00033C8F">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r>
      <w:r w:rsidR="00A877B5" w:rsidRPr="00776407">
        <w:rPr>
          <w:rFonts w:eastAsia="Calibri"/>
          <w:sz w:val="22"/>
          <w:szCs w:val="22"/>
        </w:rPr>
        <w:t xml:space="preserve">Pacientai Imatinib Actavis vartojimo laikotarpiu dėl savo vaisingumo turi konsultuotis su gydytoju. </w:t>
      </w:r>
    </w:p>
    <w:p w14:paraId="6863BE23" w14:textId="77777777" w:rsidR="00A877B5" w:rsidRPr="00776407" w:rsidRDefault="00A877B5" w:rsidP="00A877B5">
      <w:pPr>
        <w:autoSpaceDE w:val="0"/>
        <w:autoSpaceDN w:val="0"/>
        <w:adjustRightInd w:val="0"/>
        <w:rPr>
          <w:rFonts w:eastAsia="Calibri"/>
          <w:sz w:val="22"/>
          <w:szCs w:val="22"/>
        </w:rPr>
      </w:pPr>
    </w:p>
    <w:p w14:paraId="5582351B"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Vairavimas ir mechanizmų valdymas </w:t>
      </w:r>
    </w:p>
    <w:p w14:paraId="7F3C3854"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Vartodami šio vaisto galite jausti galvos svaigimą ar mieguistumą arba Jums gali pasireikšti neryškus matymas. Jeigu taip atsitiktų, nevairuokite ir nevaldykite bet kokios rūšies mechanizmų, kol vėl nepasijusite gerai. </w:t>
      </w:r>
    </w:p>
    <w:p w14:paraId="4449E175" w14:textId="77777777" w:rsidR="0023389A" w:rsidRPr="00776407" w:rsidRDefault="0023389A" w:rsidP="0023389A">
      <w:pPr>
        <w:autoSpaceDE w:val="0"/>
        <w:autoSpaceDN w:val="0"/>
        <w:adjustRightInd w:val="0"/>
        <w:rPr>
          <w:rFonts w:eastAsia="Calibri"/>
          <w:sz w:val="22"/>
          <w:szCs w:val="22"/>
        </w:rPr>
      </w:pPr>
    </w:p>
    <w:p w14:paraId="615B118E" w14:textId="77777777" w:rsidR="0023389A" w:rsidRPr="00776407" w:rsidRDefault="0023389A" w:rsidP="0023389A">
      <w:pPr>
        <w:autoSpaceDE w:val="0"/>
        <w:autoSpaceDN w:val="0"/>
        <w:adjustRightInd w:val="0"/>
        <w:rPr>
          <w:rFonts w:eastAsia="Calibri"/>
          <w:b/>
          <w:sz w:val="22"/>
          <w:szCs w:val="22"/>
        </w:rPr>
      </w:pPr>
      <w:r w:rsidRPr="00776407">
        <w:rPr>
          <w:rFonts w:eastAsia="Calibri"/>
          <w:b/>
          <w:sz w:val="22"/>
          <w:szCs w:val="22"/>
        </w:rPr>
        <w:t>Imatinib Actavis sudėtyje yra natrio</w:t>
      </w:r>
    </w:p>
    <w:p w14:paraId="7DBD5C6F" w14:textId="77777777" w:rsidR="0023389A" w:rsidRPr="00776407" w:rsidRDefault="0023389A" w:rsidP="0023389A">
      <w:pPr>
        <w:autoSpaceDE w:val="0"/>
        <w:autoSpaceDN w:val="0"/>
        <w:adjustRightInd w:val="0"/>
        <w:rPr>
          <w:rFonts w:eastAsia="Calibri"/>
          <w:sz w:val="22"/>
          <w:szCs w:val="22"/>
        </w:rPr>
      </w:pPr>
      <w:r w:rsidRPr="00776407">
        <w:rPr>
          <w:rFonts w:eastAsia="Calibri"/>
          <w:sz w:val="22"/>
          <w:szCs w:val="22"/>
        </w:rPr>
        <w:t>Šio vaisto kietojoje kapsulėje yra mažiau kaip 1 mmol (23 mg) natrio, t.y. jis beveik neturi reikšmės.</w:t>
      </w:r>
    </w:p>
    <w:p w14:paraId="64900515" w14:textId="77777777" w:rsidR="00033C8F" w:rsidRPr="00776407" w:rsidRDefault="00033C8F" w:rsidP="00A877B5">
      <w:pPr>
        <w:autoSpaceDE w:val="0"/>
        <w:autoSpaceDN w:val="0"/>
        <w:adjustRightInd w:val="0"/>
        <w:rPr>
          <w:rFonts w:eastAsia="Calibri"/>
          <w:sz w:val="22"/>
          <w:szCs w:val="22"/>
        </w:rPr>
      </w:pPr>
    </w:p>
    <w:p w14:paraId="041FF317" w14:textId="77777777" w:rsidR="00033C8F" w:rsidRPr="00776407" w:rsidRDefault="00033C8F" w:rsidP="00A877B5">
      <w:pPr>
        <w:autoSpaceDE w:val="0"/>
        <w:autoSpaceDN w:val="0"/>
        <w:adjustRightInd w:val="0"/>
        <w:rPr>
          <w:rFonts w:eastAsia="Calibri"/>
          <w:sz w:val="22"/>
          <w:szCs w:val="22"/>
        </w:rPr>
      </w:pPr>
    </w:p>
    <w:p w14:paraId="58BD6184" w14:textId="77777777" w:rsidR="00A877B5" w:rsidRPr="00776407" w:rsidRDefault="00A877B5" w:rsidP="00864BE6">
      <w:pPr>
        <w:pStyle w:val="Listenabsatz"/>
        <w:numPr>
          <w:ilvl w:val="0"/>
          <w:numId w:val="6"/>
        </w:numPr>
        <w:autoSpaceDE w:val="0"/>
        <w:autoSpaceDN w:val="0"/>
        <w:adjustRightInd w:val="0"/>
        <w:ind w:hanging="720"/>
        <w:rPr>
          <w:rFonts w:eastAsia="Calibri"/>
          <w:b/>
          <w:bCs/>
          <w:sz w:val="22"/>
          <w:szCs w:val="22"/>
        </w:rPr>
      </w:pPr>
      <w:r w:rsidRPr="00776407">
        <w:rPr>
          <w:rFonts w:eastAsia="Calibri"/>
          <w:b/>
          <w:bCs/>
          <w:sz w:val="22"/>
          <w:szCs w:val="22"/>
        </w:rPr>
        <w:t xml:space="preserve">Kaip vartoti Imatinib Actavis </w:t>
      </w:r>
    </w:p>
    <w:p w14:paraId="7452EC93" w14:textId="77777777" w:rsidR="00033C8F" w:rsidRPr="00776407" w:rsidRDefault="00033C8F" w:rsidP="00033C8F">
      <w:pPr>
        <w:autoSpaceDE w:val="0"/>
        <w:autoSpaceDN w:val="0"/>
        <w:adjustRightInd w:val="0"/>
        <w:rPr>
          <w:rFonts w:eastAsia="Calibri"/>
          <w:sz w:val="22"/>
          <w:szCs w:val="22"/>
        </w:rPr>
      </w:pPr>
    </w:p>
    <w:p w14:paraId="2C4ACBA0"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Jūsų gydytojas Jums paskyrė Imatinib Actavis, kadangi sergate sunkia liga. Imatinib Actavis gali Jums padėti kovojant su šia būkle. </w:t>
      </w:r>
    </w:p>
    <w:p w14:paraId="4C72754B" w14:textId="77777777" w:rsidR="00033C8F" w:rsidRPr="00776407" w:rsidRDefault="00033C8F" w:rsidP="00A877B5">
      <w:pPr>
        <w:autoSpaceDE w:val="0"/>
        <w:autoSpaceDN w:val="0"/>
        <w:adjustRightInd w:val="0"/>
        <w:rPr>
          <w:rFonts w:eastAsia="Calibri"/>
          <w:sz w:val="22"/>
          <w:szCs w:val="22"/>
        </w:rPr>
      </w:pPr>
    </w:p>
    <w:p w14:paraId="5E0A929D"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Tačiau visada vartokite šį vaistą tiksliai kaip nurodė gydytojas arba vaistininkas. Svarbu, kad vaisto vartotumėte tiek laiko, kiek nurodė Jūsų gydytojas arba vaistininkas. Jeigu abejojate, kreipkitės į gydytoją arba vaistininką. </w:t>
      </w:r>
    </w:p>
    <w:p w14:paraId="56A77F1B" w14:textId="77777777" w:rsidR="00033C8F" w:rsidRPr="00776407" w:rsidRDefault="00033C8F" w:rsidP="00A877B5">
      <w:pPr>
        <w:autoSpaceDE w:val="0"/>
        <w:autoSpaceDN w:val="0"/>
        <w:adjustRightInd w:val="0"/>
        <w:rPr>
          <w:rFonts w:eastAsia="Calibri"/>
          <w:sz w:val="22"/>
          <w:szCs w:val="22"/>
        </w:rPr>
      </w:pPr>
    </w:p>
    <w:p w14:paraId="72C40220"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Nenustokite vartoti Imatinib Actavis, nebent taip nurodytų Jūsų gydytojas. Nedelsdami kreipkitės į gydytoją, jeigu negalite vartoti vaisto taip, kaip paskyrė gydytojas, arba jaučiate, kad šio vaisto Jums daugiau nereikia. </w:t>
      </w:r>
    </w:p>
    <w:p w14:paraId="6492853A" w14:textId="77777777" w:rsidR="00033C8F" w:rsidRPr="00776407" w:rsidRDefault="00033C8F" w:rsidP="00A877B5">
      <w:pPr>
        <w:autoSpaceDE w:val="0"/>
        <w:autoSpaceDN w:val="0"/>
        <w:adjustRightInd w:val="0"/>
        <w:rPr>
          <w:rFonts w:eastAsia="Calibri"/>
          <w:b/>
          <w:bCs/>
          <w:sz w:val="22"/>
          <w:szCs w:val="22"/>
        </w:rPr>
      </w:pPr>
    </w:p>
    <w:p w14:paraId="640DE8CC"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Kiek Imatinib Actavis vartoti </w:t>
      </w:r>
    </w:p>
    <w:p w14:paraId="04A8B514" w14:textId="77777777" w:rsidR="00033C8F" w:rsidRPr="00776407" w:rsidRDefault="00033C8F" w:rsidP="00A877B5">
      <w:pPr>
        <w:autoSpaceDE w:val="0"/>
        <w:autoSpaceDN w:val="0"/>
        <w:adjustRightInd w:val="0"/>
        <w:rPr>
          <w:rFonts w:eastAsia="Calibri"/>
          <w:b/>
          <w:bCs/>
          <w:sz w:val="22"/>
          <w:szCs w:val="22"/>
        </w:rPr>
      </w:pPr>
    </w:p>
    <w:p w14:paraId="57376102"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Vartojimas suaugusiesiems </w:t>
      </w:r>
    </w:p>
    <w:p w14:paraId="02917208"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Gydytojas Jums tiksliai nurodys, kiek Imatinib Actavis kapsulių gerti. </w:t>
      </w:r>
    </w:p>
    <w:p w14:paraId="20D04A64" w14:textId="77777777" w:rsidR="00033C8F" w:rsidRPr="00776407" w:rsidRDefault="00033C8F" w:rsidP="00A877B5">
      <w:pPr>
        <w:autoSpaceDE w:val="0"/>
        <w:autoSpaceDN w:val="0"/>
        <w:adjustRightInd w:val="0"/>
        <w:rPr>
          <w:rFonts w:eastAsia="Calibri"/>
          <w:sz w:val="22"/>
          <w:szCs w:val="22"/>
        </w:rPr>
      </w:pPr>
    </w:p>
    <w:p w14:paraId="71C29B9E" w14:textId="77777777" w:rsidR="00FF44E8" w:rsidRPr="00776407" w:rsidRDefault="00FF44E8" w:rsidP="00E93356">
      <w:pPr>
        <w:autoSpaceDE w:val="0"/>
        <w:autoSpaceDN w:val="0"/>
        <w:adjustRightInd w:val="0"/>
        <w:ind w:left="567" w:hanging="567"/>
        <w:rPr>
          <w:rFonts w:eastAsia="Calibri"/>
          <w:color w:val="000000"/>
          <w:sz w:val="22"/>
          <w:szCs w:val="22"/>
        </w:rPr>
      </w:pPr>
      <w:r w:rsidRPr="00776407">
        <w:rPr>
          <w:rFonts w:ascii="Symbol" w:eastAsia="Calibri" w:hAnsi="Symbol" w:cs="Symbol"/>
          <w:color w:val="000000"/>
          <w:sz w:val="22"/>
          <w:szCs w:val="22"/>
        </w:rPr>
        <w:t></w:t>
      </w:r>
      <w:r w:rsidRPr="00776407">
        <w:rPr>
          <w:rFonts w:ascii="Symbol" w:eastAsia="Calibri" w:hAnsi="Symbol" w:cs="Symbol"/>
          <w:color w:val="000000"/>
          <w:sz w:val="22"/>
          <w:szCs w:val="22"/>
        </w:rPr>
        <w:t></w:t>
      </w:r>
      <w:r w:rsidRPr="00776407">
        <w:rPr>
          <w:rFonts w:ascii="Symbol" w:eastAsia="Calibri" w:hAnsi="Symbol" w:cs="Symbol"/>
          <w:color w:val="000000"/>
          <w:sz w:val="22"/>
          <w:szCs w:val="22"/>
        </w:rPr>
        <w:tab/>
      </w:r>
      <w:r w:rsidRPr="00776407">
        <w:rPr>
          <w:rFonts w:eastAsia="Calibri"/>
          <w:b/>
          <w:bCs/>
          <w:color w:val="000000"/>
          <w:sz w:val="22"/>
          <w:szCs w:val="22"/>
        </w:rPr>
        <w:t xml:space="preserve">Jei gydoma LML: </w:t>
      </w:r>
    </w:p>
    <w:p w14:paraId="51D90391" w14:textId="77777777" w:rsidR="00A877B5" w:rsidRPr="00776407" w:rsidRDefault="00033C8F" w:rsidP="00E93356">
      <w:pPr>
        <w:autoSpaceDE w:val="0"/>
        <w:autoSpaceDN w:val="0"/>
        <w:adjustRightInd w:val="0"/>
        <w:ind w:left="567"/>
        <w:rPr>
          <w:rFonts w:eastAsia="Calibri"/>
          <w:sz w:val="22"/>
          <w:szCs w:val="22"/>
        </w:rPr>
      </w:pPr>
      <w:r w:rsidRPr="00776407">
        <w:rPr>
          <w:rFonts w:eastAsia="Calibri"/>
          <w:sz w:val="22"/>
          <w:szCs w:val="22"/>
        </w:rPr>
        <w:t>Rekomenduojama p</w:t>
      </w:r>
      <w:r w:rsidR="00A877B5" w:rsidRPr="00776407">
        <w:rPr>
          <w:rFonts w:eastAsia="Calibri"/>
          <w:sz w:val="22"/>
          <w:szCs w:val="22"/>
        </w:rPr>
        <w:t>radinė dozė yra 600</w:t>
      </w:r>
      <w:r w:rsidR="00262CAF" w:rsidRPr="00776407">
        <w:rPr>
          <w:rFonts w:eastAsia="Calibri"/>
        </w:rPr>
        <w:t> </w:t>
      </w:r>
      <w:r w:rsidR="00A877B5" w:rsidRPr="00776407">
        <w:rPr>
          <w:rFonts w:eastAsia="Calibri"/>
          <w:sz w:val="22"/>
          <w:szCs w:val="22"/>
        </w:rPr>
        <w:t>mg, vartojant po 12</w:t>
      </w:r>
      <w:r w:rsidR="00262CAF" w:rsidRPr="00776407">
        <w:rPr>
          <w:rFonts w:eastAsia="Calibri"/>
          <w:sz w:val="22"/>
          <w:szCs w:val="22"/>
        </w:rPr>
        <w:t> </w:t>
      </w:r>
      <w:r w:rsidR="00A877B5" w:rsidRPr="00776407">
        <w:rPr>
          <w:rFonts w:eastAsia="Calibri"/>
          <w:sz w:val="22"/>
          <w:szCs w:val="22"/>
        </w:rPr>
        <w:t xml:space="preserve">kapsulių </w:t>
      </w:r>
      <w:r w:rsidR="00A877B5" w:rsidRPr="00776407">
        <w:rPr>
          <w:rFonts w:eastAsia="Calibri"/>
          <w:b/>
          <w:bCs/>
          <w:sz w:val="22"/>
          <w:szCs w:val="22"/>
        </w:rPr>
        <w:t xml:space="preserve">kartą </w:t>
      </w:r>
      <w:r w:rsidR="00A877B5" w:rsidRPr="00776407">
        <w:rPr>
          <w:rFonts w:eastAsia="Calibri"/>
          <w:sz w:val="22"/>
          <w:szCs w:val="22"/>
        </w:rPr>
        <w:t xml:space="preserve">per parą. </w:t>
      </w:r>
    </w:p>
    <w:p w14:paraId="0D6AC598" w14:textId="77777777" w:rsidR="00033C8F" w:rsidRPr="00776407" w:rsidRDefault="00033C8F" w:rsidP="00A877B5">
      <w:pPr>
        <w:autoSpaceDE w:val="0"/>
        <w:autoSpaceDN w:val="0"/>
        <w:adjustRightInd w:val="0"/>
        <w:rPr>
          <w:rFonts w:eastAsia="Calibri"/>
          <w:sz w:val="22"/>
          <w:szCs w:val="22"/>
        </w:rPr>
      </w:pPr>
    </w:p>
    <w:p w14:paraId="542B0B9E" w14:textId="77777777" w:rsidR="00A877B5" w:rsidRPr="00776407" w:rsidRDefault="00033C8F" w:rsidP="00A877B5">
      <w:pPr>
        <w:autoSpaceDE w:val="0"/>
        <w:autoSpaceDN w:val="0"/>
        <w:adjustRightInd w:val="0"/>
        <w:rPr>
          <w:rFonts w:eastAsia="Calibri"/>
          <w:sz w:val="22"/>
          <w:szCs w:val="22"/>
        </w:rPr>
      </w:pPr>
      <w:r w:rsidRPr="00776407">
        <w:rPr>
          <w:rFonts w:eastAsia="Calibri"/>
          <w:sz w:val="22"/>
          <w:szCs w:val="22"/>
        </w:rPr>
        <w:t>Jūsų gydytojas gali Jums skirti didesnę ar mažesnę dozę priklausomai nuo Jūsų atsako į gydymą.</w:t>
      </w:r>
      <w:r w:rsidR="00FF44E8" w:rsidRPr="00776407">
        <w:rPr>
          <w:rFonts w:eastAsia="Calibri"/>
          <w:sz w:val="22"/>
          <w:szCs w:val="22"/>
        </w:rPr>
        <w:t xml:space="preserve"> </w:t>
      </w:r>
      <w:r w:rsidRPr="00776407">
        <w:rPr>
          <w:rFonts w:eastAsia="Calibri"/>
          <w:sz w:val="22"/>
          <w:szCs w:val="22"/>
        </w:rPr>
        <w:t xml:space="preserve">Jei Jūsų paros dozė yra 800 mg </w:t>
      </w:r>
      <w:r w:rsidR="00A877B5" w:rsidRPr="00776407">
        <w:rPr>
          <w:rFonts w:eastAsia="Calibri"/>
          <w:sz w:val="22"/>
          <w:szCs w:val="22"/>
        </w:rPr>
        <w:t>(16</w:t>
      </w:r>
      <w:r w:rsidR="00262CAF" w:rsidRPr="00776407">
        <w:rPr>
          <w:rFonts w:eastAsia="Calibri"/>
          <w:sz w:val="22"/>
          <w:szCs w:val="22"/>
        </w:rPr>
        <w:t> </w:t>
      </w:r>
      <w:r w:rsidR="00A877B5" w:rsidRPr="00776407">
        <w:rPr>
          <w:rFonts w:eastAsia="Calibri"/>
          <w:sz w:val="22"/>
          <w:szCs w:val="22"/>
        </w:rPr>
        <w:t>kapsulių), varto</w:t>
      </w:r>
      <w:r w:rsidRPr="00776407">
        <w:rPr>
          <w:rFonts w:eastAsia="Calibri"/>
          <w:sz w:val="22"/>
          <w:szCs w:val="22"/>
        </w:rPr>
        <w:t>kite</w:t>
      </w:r>
      <w:r w:rsidR="00A877B5" w:rsidRPr="00776407">
        <w:rPr>
          <w:rFonts w:eastAsia="Calibri"/>
          <w:sz w:val="22"/>
          <w:szCs w:val="22"/>
        </w:rPr>
        <w:t xml:space="preserve"> po 8</w:t>
      </w:r>
      <w:r w:rsidR="00262CAF" w:rsidRPr="00776407">
        <w:rPr>
          <w:rFonts w:eastAsia="Calibri"/>
          <w:sz w:val="22"/>
          <w:szCs w:val="22"/>
        </w:rPr>
        <w:t> </w:t>
      </w:r>
      <w:r w:rsidR="00A877B5" w:rsidRPr="00776407">
        <w:rPr>
          <w:rFonts w:eastAsia="Calibri"/>
          <w:sz w:val="22"/>
          <w:szCs w:val="22"/>
        </w:rPr>
        <w:t>kapsules ryte ir 8</w:t>
      </w:r>
      <w:r w:rsidR="00262CAF" w:rsidRPr="00776407">
        <w:rPr>
          <w:rFonts w:eastAsia="Calibri"/>
          <w:sz w:val="22"/>
          <w:szCs w:val="22"/>
        </w:rPr>
        <w:t> </w:t>
      </w:r>
      <w:r w:rsidR="00A877B5" w:rsidRPr="00776407">
        <w:rPr>
          <w:rFonts w:eastAsia="Calibri"/>
          <w:sz w:val="22"/>
          <w:szCs w:val="22"/>
        </w:rPr>
        <w:t xml:space="preserve">kapsules vakare. </w:t>
      </w:r>
    </w:p>
    <w:p w14:paraId="12699D78" w14:textId="77777777" w:rsidR="00FF44E8" w:rsidRPr="00776407" w:rsidRDefault="00FF44E8" w:rsidP="00FF44E8">
      <w:pPr>
        <w:autoSpaceDE w:val="0"/>
        <w:autoSpaceDN w:val="0"/>
        <w:adjustRightInd w:val="0"/>
        <w:rPr>
          <w:rFonts w:ascii="Symbol" w:eastAsia="Calibri" w:hAnsi="Symbol" w:cs="Symbol"/>
          <w:color w:val="000000"/>
        </w:rPr>
      </w:pPr>
    </w:p>
    <w:p w14:paraId="78CABBBD" w14:textId="77777777" w:rsidR="00FF44E8" w:rsidRPr="00776407" w:rsidRDefault="00FF44E8" w:rsidP="00E93356">
      <w:pPr>
        <w:autoSpaceDE w:val="0"/>
        <w:autoSpaceDN w:val="0"/>
        <w:adjustRightInd w:val="0"/>
        <w:ind w:left="567" w:hanging="567"/>
        <w:rPr>
          <w:rFonts w:eastAsia="Calibri"/>
          <w:color w:val="000000"/>
          <w:sz w:val="22"/>
          <w:szCs w:val="22"/>
        </w:rPr>
      </w:pPr>
      <w:r w:rsidRPr="00776407">
        <w:rPr>
          <w:rFonts w:ascii="Symbol" w:eastAsia="Calibri" w:hAnsi="Symbol" w:cs="Symbol"/>
          <w:color w:val="000000"/>
          <w:sz w:val="22"/>
          <w:szCs w:val="22"/>
        </w:rPr>
        <w:t></w:t>
      </w:r>
      <w:r w:rsidRPr="00776407">
        <w:rPr>
          <w:rFonts w:ascii="Symbol" w:eastAsia="Calibri" w:hAnsi="Symbol" w:cs="Symbol"/>
          <w:color w:val="000000"/>
          <w:sz w:val="22"/>
          <w:szCs w:val="22"/>
        </w:rPr>
        <w:t></w:t>
      </w:r>
      <w:r w:rsidRPr="00776407">
        <w:rPr>
          <w:rFonts w:ascii="Symbol" w:eastAsia="Calibri" w:hAnsi="Symbol" w:cs="Symbol"/>
          <w:color w:val="000000"/>
          <w:sz w:val="22"/>
          <w:szCs w:val="22"/>
        </w:rPr>
        <w:tab/>
      </w:r>
      <w:r w:rsidRPr="00776407">
        <w:rPr>
          <w:rFonts w:eastAsia="Calibri"/>
          <w:b/>
          <w:bCs/>
          <w:color w:val="000000"/>
          <w:sz w:val="22"/>
          <w:szCs w:val="22"/>
        </w:rPr>
        <w:t xml:space="preserve">Jeigu gydoma Ph teigiama ŪLL: </w:t>
      </w:r>
    </w:p>
    <w:p w14:paraId="149135E0" w14:textId="77777777" w:rsidR="00FF44E8" w:rsidRPr="00776407" w:rsidRDefault="00FF44E8" w:rsidP="00E93356">
      <w:pPr>
        <w:autoSpaceDE w:val="0"/>
        <w:autoSpaceDN w:val="0"/>
        <w:adjustRightInd w:val="0"/>
        <w:ind w:left="567"/>
        <w:rPr>
          <w:rFonts w:eastAsia="Calibri"/>
          <w:sz w:val="22"/>
          <w:szCs w:val="22"/>
        </w:rPr>
      </w:pPr>
      <w:r w:rsidRPr="00776407">
        <w:rPr>
          <w:rFonts w:eastAsia="Calibri"/>
          <w:color w:val="000000"/>
          <w:sz w:val="22"/>
          <w:szCs w:val="22"/>
        </w:rPr>
        <w:t>Pradinė dozė yra 600</w:t>
      </w:r>
      <w:r w:rsidR="000C7920" w:rsidRPr="00776407">
        <w:rPr>
          <w:rFonts w:eastAsia="Calibri"/>
          <w:color w:val="000000"/>
          <w:sz w:val="22"/>
          <w:szCs w:val="22"/>
        </w:rPr>
        <w:t> </w:t>
      </w:r>
      <w:r w:rsidRPr="00776407">
        <w:rPr>
          <w:rFonts w:eastAsia="Calibri"/>
          <w:color w:val="000000"/>
          <w:sz w:val="22"/>
          <w:szCs w:val="22"/>
        </w:rPr>
        <w:t>mg, vartojant po 12</w:t>
      </w:r>
      <w:r w:rsidR="000C7920" w:rsidRPr="00776407">
        <w:rPr>
          <w:rFonts w:eastAsia="Calibri"/>
          <w:color w:val="000000"/>
          <w:sz w:val="22"/>
          <w:szCs w:val="22"/>
        </w:rPr>
        <w:t> </w:t>
      </w:r>
      <w:r w:rsidRPr="00776407">
        <w:rPr>
          <w:rFonts w:eastAsia="Calibri"/>
          <w:color w:val="000000"/>
          <w:sz w:val="22"/>
          <w:szCs w:val="22"/>
        </w:rPr>
        <w:t xml:space="preserve">kapsulių </w:t>
      </w:r>
      <w:r w:rsidRPr="00776407">
        <w:rPr>
          <w:rFonts w:eastAsia="Calibri"/>
          <w:b/>
          <w:bCs/>
          <w:color w:val="000000"/>
          <w:sz w:val="22"/>
          <w:szCs w:val="22"/>
        </w:rPr>
        <w:t xml:space="preserve">kartą </w:t>
      </w:r>
      <w:r w:rsidRPr="00776407">
        <w:rPr>
          <w:rFonts w:eastAsia="Calibri"/>
          <w:color w:val="000000"/>
          <w:sz w:val="22"/>
          <w:szCs w:val="22"/>
        </w:rPr>
        <w:t>per parą.</w:t>
      </w:r>
    </w:p>
    <w:p w14:paraId="21CCA1BA" w14:textId="77777777" w:rsidR="007F47A9" w:rsidRPr="00776407" w:rsidRDefault="007F47A9" w:rsidP="007F47A9">
      <w:pPr>
        <w:autoSpaceDE w:val="0"/>
        <w:autoSpaceDN w:val="0"/>
        <w:adjustRightInd w:val="0"/>
        <w:rPr>
          <w:rFonts w:ascii="Symbol" w:eastAsia="Calibri" w:hAnsi="Symbol" w:cs="Symbol"/>
          <w:color w:val="000000"/>
        </w:rPr>
      </w:pPr>
    </w:p>
    <w:p w14:paraId="42651DC2" w14:textId="77777777" w:rsidR="007F47A9" w:rsidRPr="00776407" w:rsidRDefault="007F47A9" w:rsidP="007F47A9">
      <w:pPr>
        <w:autoSpaceDE w:val="0"/>
        <w:autoSpaceDN w:val="0"/>
        <w:adjustRightInd w:val="0"/>
        <w:rPr>
          <w:rFonts w:eastAsia="Calibri"/>
          <w:color w:val="000000"/>
          <w:sz w:val="22"/>
          <w:szCs w:val="22"/>
        </w:rPr>
      </w:pPr>
      <w:r w:rsidRPr="00776407">
        <w:rPr>
          <w:rFonts w:ascii="Symbol" w:eastAsia="Calibri" w:hAnsi="Symbol" w:cs="Symbol"/>
          <w:color w:val="000000"/>
          <w:sz w:val="22"/>
          <w:szCs w:val="22"/>
        </w:rPr>
        <w:t></w:t>
      </w:r>
      <w:r w:rsidRPr="00776407">
        <w:rPr>
          <w:rFonts w:ascii="Symbol" w:eastAsia="Calibri" w:hAnsi="Symbol" w:cs="Symbol"/>
          <w:color w:val="000000"/>
          <w:sz w:val="22"/>
          <w:szCs w:val="22"/>
        </w:rPr>
        <w:t></w:t>
      </w:r>
      <w:r w:rsidRPr="00776407">
        <w:rPr>
          <w:rFonts w:ascii="Symbol" w:eastAsia="Calibri" w:hAnsi="Symbol" w:cs="Symbol"/>
          <w:color w:val="000000"/>
          <w:sz w:val="22"/>
          <w:szCs w:val="22"/>
        </w:rPr>
        <w:tab/>
      </w:r>
      <w:r w:rsidRPr="00776407">
        <w:rPr>
          <w:rFonts w:eastAsia="Calibri"/>
          <w:b/>
          <w:bCs/>
          <w:color w:val="000000"/>
          <w:sz w:val="22"/>
          <w:szCs w:val="22"/>
        </w:rPr>
        <w:t xml:space="preserve">Jeigu gydoma MDS/MPL: </w:t>
      </w:r>
    </w:p>
    <w:p w14:paraId="3C33765D" w14:textId="77777777" w:rsidR="007F47A9" w:rsidRPr="00776407" w:rsidRDefault="007F47A9" w:rsidP="00E93356">
      <w:pPr>
        <w:autoSpaceDE w:val="0"/>
        <w:autoSpaceDN w:val="0"/>
        <w:adjustRightInd w:val="0"/>
        <w:ind w:firstLine="720"/>
        <w:rPr>
          <w:rFonts w:eastAsia="Calibri"/>
          <w:color w:val="000000"/>
          <w:sz w:val="22"/>
          <w:szCs w:val="22"/>
        </w:rPr>
      </w:pPr>
      <w:r w:rsidRPr="00776407">
        <w:rPr>
          <w:rFonts w:eastAsia="Calibri"/>
          <w:color w:val="000000"/>
          <w:sz w:val="22"/>
          <w:szCs w:val="22"/>
        </w:rPr>
        <w:t>Pradinė dozė yra 400</w:t>
      </w:r>
      <w:r w:rsidR="000C7920" w:rsidRPr="00776407">
        <w:rPr>
          <w:rFonts w:eastAsia="Calibri"/>
          <w:color w:val="000000"/>
          <w:sz w:val="22"/>
          <w:szCs w:val="22"/>
        </w:rPr>
        <w:t> </w:t>
      </w:r>
      <w:r w:rsidRPr="00776407">
        <w:rPr>
          <w:rFonts w:eastAsia="Calibri"/>
          <w:color w:val="000000"/>
          <w:sz w:val="22"/>
          <w:szCs w:val="22"/>
        </w:rPr>
        <w:t>mg, vartojant po 8</w:t>
      </w:r>
      <w:r w:rsidR="000C7920" w:rsidRPr="00776407">
        <w:rPr>
          <w:rFonts w:eastAsia="Calibri"/>
          <w:color w:val="000000"/>
          <w:sz w:val="22"/>
          <w:szCs w:val="22"/>
        </w:rPr>
        <w:t> </w:t>
      </w:r>
      <w:r w:rsidRPr="00776407">
        <w:rPr>
          <w:rFonts w:eastAsia="Calibri"/>
          <w:color w:val="000000"/>
          <w:sz w:val="22"/>
          <w:szCs w:val="22"/>
        </w:rPr>
        <w:t xml:space="preserve">kapsules </w:t>
      </w:r>
      <w:r w:rsidRPr="00776407">
        <w:rPr>
          <w:rFonts w:eastAsia="Calibri"/>
          <w:b/>
          <w:bCs/>
          <w:color w:val="000000"/>
          <w:sz w:val="22"/>
          <w:szCs w:val="22"/>
        </w:rPr>
        <w:t xml:space="preserve">kartą </w:t>
      </w:r>
      <w:r w:rsidRPr="00776407">
        <w:rPr>
          <w:rFonts w:eastAsia="Calibri"/>
          <w:color w:val="000000"/>
          <w:sz w:val="22"/>
          <w:szCs w:val="22"/>
        </w:rPr>
        <w:t xml:space="preserve">per parą. </w:t>
      </w:r>
    </w:p>
    <w:p w14:paraId="1D50B44A" w14:textId="77777777" w:rsidR="007F47A9" w:rsidRPr="00776407" w:rsidRDefault="007F47A9" w:rsidP="007F47A9">
      <w:pPr>
        <w:autoSpaceDE w:val="0"/>
        <w:autoSpaceDN w:val="0"/>
        <w:adjustRightInd w:val="0"/>
        <w:rPr>
          <w:rFonts w:eastAsia="Calibri"/>
          <w:color w:val="000000"/>
          <w:sz w:val="22"/>
          <w:szCs w:val="22"/>
        </w:rPr>
      </w:pPr>
    </w:p>
    <w:p w14:paraId="3C2140F1" w14:textId="77777777" w:rsidR="007F47A9" w:rsidRPr="00776407" w:rsidRDefault="007F47A9"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Jeigu gydoma HES/LEL: </w:t>
      </w:r>
    </w:p>
    <w:p w14:paraId="62C53105" w14:textId="77777777" w:rsidR="007F47A9" w:rsidRPr="00776407" w:rsidRDefault="007F47A9" w:rsidP="00E93356">
      <w:pPr>
        <w:autoSpaceDE w:val="0"/>
        <w:autoSpaceDN w:val="0"/>
        <w:adjustRightInd w:val="0"/>
        <w:ind w:left="720"/>
        <w:rPr>
          <w:rFonts w:eastAsia="Calibri"/>
          <w:color w:val="000000"/>
          <w:sz w:val="22"/>
          <w:szCs w:val="22"/>
        </w:rPr>
      </w:pPr>
      <w:r w:rsidRPr="00776407">
        <w:rPr>
          <w:rFonts w:eastAsia="Calibri"/>
          <w:color w:val="000000"/>
          <w:sz w:val="22"/>
          <w:szCs w:val="22"/>
        </w:rPr>
        <w:t>Pradinė dozė yra 100</w:t>
      </w:r>
      <w:r w:rsidR="000C7920" w:rsidRPr="00776407">
        <w:rPr>
          <w:rFonts w:eastAsia="Calibri"/>
          <w:color w:val="000000"/>
          <w:sz w:val="22"/>
          <w:szCs w:val="22"/>
        </w:rPr>
        <w:t> </w:t>
      </w:r>
      <w:r w:rsidRPr="00776407">
        <w:rPr>
          <w:rFonts w:eastAsia="Calibri"/>
          <w:color w:val="000000"/>
          <w:sz w:val="22"/>
          <w:szCs w:val="22"/>
        </w:rPr>
        <w:t>mg, vartojant po 2</w:t>
      </w:r>
      <w:r w:rsidR="000C7920" w:rsidRPr="00776407">
        <w:rPr>
          <w:rFonts w:eastAsia="Calibri"/>
          <w:color w:val="000000"/>
          <w:sz w:val="22"/>
          <w:szCs w:val="22"/>
        </w:rPr>
        <w:t> </w:t>
      </w:r>
      <w:r w:rsidRPr="00776407">
        <w:rPr>
          <w:rFonts w:eastAsia="Calibri"/>
          <w:color w:val="000000"/>
          <w:sz w:val="22"/>
          <w:szCs w:val="22"/>
        </w:rPr>
        <w:t xml:space="preserve">kapsules </w:t>
      </w:r>
      <w:r w:rsidRPr="00776407">
        <w:rPr>
          <w:rFonts w:eastAsia="Calibri"/>
          <w:b/>
          <w:bCs/>
          <w:color w:val="000000"/>
          <w:sz w:val="22"/>
          <w:szCs w:val="22"/>
        </w:rPr>
        <w:t xml:space="preserve">kartą </w:t>
      </w:r>
      <w:r w:rsidRPr="00776407">
        <w:rPr>
          <w:rFonts w:eastAsia="Calibri"/>
          <w:color w:val="000000"/>
          <w:sz w:val="22"/>
          <w:szCs w:val="22"/>
        </w:rPr>
        <w:t>per parą. Priklausomai nuo Jūsų atsako į gydymą, Jūsų gydytojas gali nuspręsti padidinti dozę iki 400</w:t>
      </w:r>
      <w:r w:rsidR="000C7920" w:rsidRPr="00776407">
        <w:rPr>
          <w:rFonts w:eastAsia="Calibri"/>
          <w:color w:val="000000"/>
          <w:sz w:val="22"/>
          <w:szCs w:val="22"/>
        </w:rPr>
        <w:t> </w:t>
      </w:r>
      <w:r w:rsidRPr="00776407">
        <w:rPr>
          <w:rFonts w:eastAsia="Calibri"/>
          <w:color w:val="000000"/>
          <w:sz w:val="22"/>
          <w:szCs w:val="22"/>
        </w:rPr>
        <w:t>mg, vartojant po 8</w:t>
      </w:r>
      <w:r w:rsidR="000C7920" w:rsidRPr="00776407">
        <w:rPr>
          <w:rFonts w:eastAsia="Calibri"/>
          <w:color w:val="000000"/>
          <w:sz w:val="22"/>
          <w:szCs w:val="22"/>
        </w:rPr>
        <w:t> </w:t>
      </w:r>
      <w:r w:rsidRPr="00776407">
        <w:rPr>
          <w:rFonts w:eastAsia="Calibri"/>
          <w:color w:val="000000"/>
          <w:sz w:val="22"/>
          <w:szCs w:val="22"/>
        </w:rPr>
        <w:t xml:space="preserve">kapsules </w:t>
      </w:r>
      <w:r w:rsidRPr="00776407">
        <w:rPr>
          <w:rFonts w:eastAsia="Calibri"/>
          <w:b/>
          <w:bCs/>
          <w:color w:val="000000"/>
          <w:sz w:val="22"/>
          <w:szCs w:val="22"/>
        </w:rPr>
        <w:t xml:space="preserve">kartą </w:t>
      </w:r>
      <w:r w:rsidRPr="00776407">
        <w:rPr>
          <w:rFonts w:eastAsia="Calibri"/>
          <w:color w:val="000000"/>
          <w:sz w:val="22"/>
          <w:szCs w:val="22"/>
        </w:rPr>
        <w:t xml:space="preserve">per parą. </w:t>
      </w:r>
    </w:p>
    <w:p w14:paraId="41F673FE" w14:textId="77777777" w:rsidR="007F47A9" w:rsidRPr="00776407" w:rsidRDefault="007F47A9" w:rsidP="00E93356">
      <w:pPr>
        <w:autoSpaceDE w:val="0"/>
        <w:autoSpaceDN w:val="0"/>
        <w:adjustRightInd w:val="0"/>
        <w:ind w:left="720"/>
        <w:rPr>
          <w:rFonts w:eastAsia="Calibri"/>
          <w:color w:val="000000"/>
          <w:sz w:val="22"/>
          <w:szCs w:val="22"/>
        </w:rPr>
      </w:pPr>
    </w:p>
    <w:p w14:paraId="26CCB5AF" w14:textId="77777777" w:rsidR="007F47A9" w:rsidRPr="00776407" w:rsidRDefault="007F47A9"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Jeigu gydoma DFSP: </w:t>
      </w:r>
    </w:p>
    <w:p w14:paraId="1662CF52" w14:textId="77777777" w:rsidR="00033C8F" w:rsidRPr="00776407" w:rsidRDefault="007F47A9" w:rsidP="00E93356">
      <w:pPr>
        <w:autoSpaceDE w:val="0"/>
        <w:autoSpaceDN w:val="0"/>
        <w:adjustRightInd w:val="0"/>
        <w:ind w:firstLine="720"/>
        <w:rPr>
          <w:rFonts w:eastAsia="Calibri"/>
          <w:color w:val="000000"/>
          <w:sz w:val="22"/>
          <w:szCs w:val="22"/>
        </w:rPr>
      </w:pPr>
      <w:r w:rsidRPr="00776407">
        <w:rPr>
          <w:rFonts w:eastAsia="Calibri"/>
          <w:color w:val="000000"/>
          <w:sz w:val="22"/>
          <w:szCs w:val="22"/>
        </w:rPr>
        <w:t>Dozė yra 800</w:t>
      </w:r>
      <w:r w:rsidR="000C7920" w:rsidRPr="00776407">
        <w:rPr>
          <w:rFonts w:eastAsia="Calibri"/>
          <w:color w:val="000000"/>
          <w:sz w:val="22"/>
          <w:szCs w:val="22"/>
        </w:rPr>
        <w:t> </w:t>
      </w:r>
      <w:r w:rsidRPr="00776407">
        <w:rPr>
          <w:rFonts w:eastAsia="Calibri"/>
          <w:color w:val="000000"/>
          <w:sz w:val="22"/>
          <w:szCs w:val="22"/>
        </w:rPr>
        <w:t>mg per parą (16</w:t>
      </w:r>
      <w:r w:rsidR="000C7920" w:rsidRPr="00776407">
        <w:rPr>
          <w:rFonts w:eastAsia="Calibri"/>
          <w:color w:val="000000"/>
          <w:sz w:val="22"/>
          <w:szCs w:val="22"/>
        </w:rPr>
        <w:t> </w:t>
      </w:r>
      <w:r w:rsidRPr="00776407">
        <w:rPr>
          <w:rFonts w:eastAsia="Calibri"/>
          <w:color w:val="000000"/>
          <w:sz w:val="22"/>
          <w:szCs w:val="22"/>
        </w:rPr>
        <w:t>kapsulių), vartojant po 8</w:t>
      </w:r>
      <w:r w:rsidR="000C7920" w:rsidRPr="00776407">
        <w:rPr>
          <w:rFonts w:eastAsia="Calibri"/>
          <w:color w:val="000000"/>
          <w:sz w:val="22"/>
          <w:szCs w:val="22"/>
        </w:rPr>
        <w:t> </w:t>
      </w:r>
      <w:r w:rsidRPr="00776407">
        <w:rPr>
          <w:rFonts w:eastAsia="Calibri"/>
          <w:color w:val="000000"/>
          <w:sz w:val="22"/>
          <w:szCs w:val="22"/>
        </w:rPr>
        <w:t>kapsules ryte ir 8</w:t>
      </w:r>
      <w:r w:rsidR="000C7920" w:rsidRPr="00776407">
        <w:rPr>
          <w:rFonts w:eastAsia="Calibri"/>
          <w:color w:val="000000"/>
          <w:sz w:val="22"/>
          <w:szCs w:val="22"/>
        </w:rPr>
        <w:t> </w:t>
      </w:r>
      <w:r w:rsidRPr="00776407">
        <w:rPr>
          <w:rFonts w:eastAsia="Calibri"/>
          <w:color w:val="000000"/>
          <w:sz w:val="22"/>
          <w:szCs w:val="22"/>
        </w:rPr>
        <w:t>kapsules vakare.</w:t>
      </w:r>
    </w:p>
    <w:p w14:paraId="67B840F9" w14:textId="77777777" w:rsidR="00BE347C" w:rsidRPr="00776407" w:rsidRDefault="00BE347C" w:rsidP="00E93356">
      <w:pPr>
        <w:autoSpaceDE w:val="0"/>
        <w:autoSpaceDN w:val="0"/>
        <w:adjustRightInd w:val="0"/>
        <w:ind w:firstLine="720"/>
        <w:rPr>
          <w:rFonts w:eastAsia="Calibri"/>
          <w:sz w:val="22"/>
          <w:szCs w:val="22"/>
        </w:rPr>
      </w:pPr>
    </w:p>
    <w:p w14:paraId="22A1758A"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Vartojimas vaikams ir paaugliams </w:t>
      </w:r>
    </w:p>
    <w:p w14:paraId="2726E3E2" w14:textId="77777777" w:rsidR="001963AD"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Gydytojas nurodys, kiek Imatinib Actavis kapsulių reikia duoti gerti vaikui. Imatinib Actavis dozė priklausys nuo vaiko būklės, kūno masės ir ūgio. </w:t>
      </w:r>
    </w:p>
    <w:p w14:paraId="1A012A26"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Bendroji </w:t>
      </w:r>
      <w:r w:rsidR="001963AD" w:rsidRPr="00776407">
        <w:rPr>
          <w:rFonts w:eastAsia="Calibri"/>
          <w:sz w:val="22"/>
          <w:szCs w:val="22"/>
        </w:rPr>
        <w:t xml:space="preserve">nuo LML gydomų </w:t>
      </w:r>
      <w:r w:rsidRPr="00776407">
        <w:rPr>
          <w:rFonts w:eastAsia="Calibri"/>
          <w:sz w:val="22"/>
          <w:szCs w:val="22"/>
        </w:rPr>
        <w:t>vaikų paros dozė neturi būti didesnė kaip 800</w:t>
      </w:r>
      <w:r w:rsidR="0093512A" w:rsidRPr="00776407">
        <w:rPr>
          <w:rFonts w:eastAsia="Calibri"/>
          <w:sz w:val="22"/>
          <w:szCs w:val="22"/>
        </w:rPr>
        <w:t> </w:t>
      </w:r>
      <w:r w:rsidRPr="00776407">
        <w:rPr>
          <w:rFonts w:eastAsia="Calibri"/>
          <w:sz w:val="22"/>
          <w:szCs w:val="22"/>
        </w:rPr>
        <w:t>mg</w:t>
      </w:r>
      <w:r w:rsidR="00D47212" w:rsidRPr="00776407">
        <w:rPr>
          <w:rFonts w:eastAsia="Calibri"/>
          <w:sz w:val="22"/>
          <w:szCs w:val="22"/>
        </w:rPr>
        <w:t xml:space="preserve"> ir 600 mg</w:t>
      </w:r>
      <w:r w:rsidR="00525167" w:rsidRPr="00776407">
        <w:rPr>
          <w:rFonts w:eastAsia="Calibri"/>
          <w:sz w:val="22"/>
          <w:szCs w:val="22"/>
        </w:rPr>
        <w:t>, sergančių</w:t>
      </w:r>
      <w:r w:rsidR="00D47212" w:rsidRPr="00776407">
        <w:rPr>
          <w:rFonts w:eastAsia="Calibri"/>
          <w:sz w:val="22"/>
          <w:szCs w:val="22"/>
        </w:rPr>
        <w:t xml:space="preserve"> Ph+</w:t>
      </w:r>
      <w:r w:rsidR="00525167" w:rsidRPr="00776407">
        <w:rPr>
          <w:rFonts w:eastAsia="Calibri"/>
          <w:sz w:val="22"/>
          <w:szCs w:val="22"/>
        </w:rPr>
        <w:t xml:space="preserve"> </w:t>
      </w:r>
      <w:r w:rsidR="00D47212" w:rsidRPr="00776407">
        <w:rPr>
          <w:rFonts w:eastAsia="Calibri"/>
          <w:sz w:val="22"/>
          <w:szCs w:val="22"/>
        </w:rPr>
        <w:t>ŪLL</w:t>
      </w:r>
      <w:r w:rsidRPr="00776407">
        <w:rPr>
          <w:rFonts w:eastAsia="Calibri"/>
          <w:sz w:val="22"/>
          <w:szCs w:val="22"/>
        </w:rPr>
        <w:t xml:space="preserve">. Vaistą galima vartoti vieną kartą per parą arba paros dozę padalyti į dvi dalis (pusę dozės vartoti ryte ir kitą pusę – vakare). </w:t>
      </w:r>
    </w:p>
    <w:p w14:paraId="39BAAD80" w14:textId="77777777" w:rsidR="00262CAF" w:rsidRPr="00776407" w:rsidRDefault="00262CAF" w:rsidP="00A877B5">
      <w:pPr>
        <w:autoSpaceDE w:val="0"/>
        <w:autoSpaceDN w:val="0"/>
        <w:adjustRightInd w:val="0"/>
        <w:rPr>
          <w:rFonts w:eastAsia="Calibri"/>
          <w:sz w:val="22"/>
          <w:szCs w:val="22"/>
        </w:rPr>
      </w:pPr>
    </w:p>
    <w:p w14:paraId="499EDC18"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Kada ir kaip vartoti Imatinib Actavis </w:t>
      </w:r>
    </w:p>
    <w:p w14:paraId="6E6E6154" w14:textId="77777777" w:rsidR="00A877B5" w:rsidRPr="00776407" w:rsidRDefault="00A877B5" w:rsidP="00262CAF">
      <w:pPr>
        <w:autoSpaceDE w:val="0"/>
        <w:autoSpaceDN w:val="0"/>
        <w:adjustRightInd w:val="0"/>
        <w:spacing w:after="21"/>
        <w:ind w:left="720" w:hanging="720"/>
        <w:rPr>
          <w:rFonts w:eastAsia="Calibri"/>
          <w:sz w:val="22"/>
          <w:szCs w:val="22"/>
        </w:rPr>
      </w:pPr>
      <w:r w:rsidRPr="00776407">
        <w:rPr>
          <w:rFonts w:eastAsia="Calibri"/>
          <w:sz w:val="22"/>
          <w:szCs w:val="22"/>
        </w:rPr>
        <w:t>-</w:t>
      </w:r>
      <w:r w:rsidR="00262CAF" w:rsidRPr="00776407">
        <w:rPr>
          <w:rFonts w:eastAsia="Calibri"/>
          <w:sz w:val="22"/>
          <w:szCs w:val="22"/>
        </w:rPr>
        <w:tab/>
      </w:r>
      <w:r w:rsidRPr="00776407">
        <w:rPr>
          <w:rFonts w:eastAsia="Calibri"/>
          <w:b/>
          <w:bCs/>
          <w:sz w:val="22"/>
          <w:szCs w:val="22"/>
        </w:rPr>
        <w:t xml:space="preserve">Imatinib Actavis gerkite valgio metu. </w:t>
      </w:r>
      <w:r w:rsidRPr="00776407">
        <w:rPr>
          <w:rFonts w:eastAsia="Calibri"/>
          <w:sz w:val="22"/>
          <w:szCs w:val="22"/>
        </w:rPr>
        <w:t xml:space="preserve">Tai padės išvengti skrandžio sutrikimų Imatinib Actavis vartojimo metu. </w:t>
      </w:r>
    </w:p>
    <w:p w14:paraId="1B98C0D7" w14:textId="77777777" w:rsidR="00A877B5" w:rsidRPr="00776407" w:rsidRDefault="00A877B5" w:rsidP="00262CAF">
      <w:pPr>
        <w:autoSpaceDE w:val="0"/>
        <w:autoSpaceDN w:val="0"/>
        <w:adjustRightInd w:val="0"/>
        <w:spacing w:after="21"/>
        <w:ind w:left="720" w:hanging="720"/>
        <w:rPr>
          <w:rFonts w:eastAsia="Calibri"/>
          <w:sz w:val="22"/>
          <w:szCs w:val="22"/>
        </w:rPr>
      </w:pPr>
      <w:r w:rsidRPr="00776407">
        <w:rPr>
          <w:rFonts w:eastAsia="Calibri"/>
          <w:sz w:val="22"/>
          <w:szCs w:val="22"/>
        </w:rPr>
        <w:t>-</w:t>
      </w:r>
      <w:r w:rsidR="00262CAF" w:rsidRPr="00776407">
        <w:rPr>
          <w:rFonts w:eastAsia="Calibri"/>
          <w:sz w:val="22"/>
          <w:szCs w:val="22"/>
        </w:rPr>
        <w:tab/>
      </w:r>
      <w:r w:rsidRPr="00776407">
        <w:rPr>
          <w:rFonts w:eastAsia="Calibri"/>
          <w:b/>
          <w:bCs/>
          <w:sz w:val="22"/>
          <w:szCs w:val="22"/>
        </w:rPr>
        <w:t xml:space="preserve">Nurykite visą kapsulę užgerdami didele stikline vandens. </w:t>
      </w:r>
      <w:r w:rsidRPr="00776407">
        <w:rPr>
          <w:rFonts w:eastAsia="Calibri"/>
          <w:sz w:val="22"/>
          <w:szCs w:val="22"/>
        </w:rPr>
        <w:t xml:space="preserve">Kapsulių negalima atidaryti ir laužyti, nebent jas sunku nuryti (pvz., vaikams). </w:t>
      </w:r>
    </w:p>
    <w:p w14:paraId="4E2AAC2E" w14:textId="77777777" w:rsidR="00A877B5" w:rsidRPr="00776407" w:rsidRDefault="00262CAF" w:rsidP="00262CAF">
      <w:pPr>
        <w:autoSpaceDE w:val="0"/>
        <w:autoSpaceDN w:val="0"/>
        <w:adjustRightInd w:val="0"/>
        <w:spacing w:after="21"/>
        <w:ind w:left="720" w:hanging="720"/>
        <w:rPr>
          <w:rFonts w:eastAsia="Calibri"/>
          <w:sz w:val="22"/>
          <w:szCs w:val="22"/>
        </w:rPr>
      </w:pPr>
      <w:r w:rsidRPr="00776407">
        <w:rPr>
          <w:rFonts w:eastAsia="Calibri"/>
          <w:sz w:val="22"/>
          <w:szCs w:val="22"/>
        </w:rPr>
        <w:t>-</w:t>
      </w:r>
      <w:r w:rsidRPr="00776407">
        <w:rPr>
          <w:rFonts w:eastAsia="Calibri"/>
          <w:sz w:val="22"/>
          <w:szCs w:val="22"/>
        </w:rPr>
        <w:tab/>
      </w:r>
      <w:r w:rsidR="00A877B5" w:rsidRPr="00776407">
        <w:rPr>
          <w:rFonts w:eastAsia="Calibri"/>
          <w:sz w:val="22"/>
          <w:szCs w:val="22"/>
        </w:rPr>
        <w:t xml:space="preserve">Jeigu negalite nuryti kapsulės, galite ją atidaryti ir miltelius ištirpinti stiklinėje negazuoto vandens ar obuolių sulčių. </w:t>
      </w:r>
    </w:p>
    <w:p w14:paraId="561C43C4" w14:textId="77777777" w:rsidR="00A877B5" w:rsidRPr="00776407" w:rsidRDefault="00262CAF" w:rsidP="00262CAF">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r>
      <w:r w:rsidR="00A877B5" w:rsidRPr="00776407">
        <w:rPr>
          <w:rFonts w:eastAsia="Calibri"/>
          <w:sz w:val="22"/>
          <w:szCs w:val="22"/>
        </w:rPr>
        <w:t xml:space="preserve">Jei esate ar galite būti nėščia ir ketinate atidaryti kapsulę, su jos turiniu turite elgtis labai atsargiai, kad vaisto nepatektų ant odos, į akis ir kad jo neįkvėptumėte. Atidarę kapsulę, nedelsdami nusiplaukite rankas. </w:t>
      </w:r>
    </w:p>
    <w:p w14:paraId="156094FE" w14:textId="77777777" w:rsidR="00A877B5" w:rsidRPr="00776407" w:rsidRDefault="00A877B5" w:rsidP="00A877B5">
      <w:pPr>
        <w:autoSpaceDE w:val="0"/>
        <w:autoSpaceDN w:val="0"/>
        <w:adjustRightInd w:val="0"/>
        <w:rPr>
          <w:rFonts w:eastAsia="Calibri"/>
          <w:sz w:val="22"/>
          <w:szCs w:val="22"/>
        </w:rPr>
      </w:pPr>
    </w:p>
    <w:p w14:paraId="35407F22"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Kaip ilgai vartoti Imatinib Actavis </w:t>
      </w:r>
    </w:p>
    <w:p w14:paraId="065A114C"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Imatinib Actavis vartokite kasdien, tiek laiko, kiek nurodė Jūsų gydytojas. </w:t>
      </w:r>
    </w:p>
    <w:p w14:paraId="48565133" w14:textId="77777777" w:rsidR="00262CAF" w:rsidRPr="00776407" w:rsidRDefault="00262CAF" w:rsidP="00A877B5">
      <w:pPr>
        <w:autoSpaceDE w:val="0"/>
        <w:autoSpaceDN w:val="0"/>
        <w:adjustRightInd w:val="0"/>
        <w:rPr>
          <w:rFonts w:eastAsia="Calibri"/>
          <w:sz w:val="22"/>
          <w:szCs w:val="22"/>
        </w:rPr>
      </w:pPr>
    </w:p>
    <w:p w14:paraId="3275DB08"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Ką daryti pavartojus per didelę Imatinib Actavis dozę? </w:t>
      </w:r>
    </w:p>
    <w:p w14:paraId="6E60A303"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Jei atsitiktinai išgėrėte per daug kapsulių, </w:t>
      </w:r>
      <w:r w:rsidRPr="00776407">
        <w:rPr>
          <w:rFonts w:eastAsia="Calibri"/>
          <w:b/>
          <w:bCs/>
          <w:sz w:val="22"/>
          <w:szCs w:val="22"/>
        </w:rPr>
        <w:t xml:space="preserve">iš karto </w:t>
      </w:r>
      <w:r w:rsidRPr="00776407">
        <w:rPr>
          <w:rFonts w:eastAsia="Calibri"/>
          <w:sz w:val="22"/>
          <w:szCs w:val="22"/>
        </w:rPr>
        <w:t xml:space="preserve">kreipkitės į gydytoją. Jums gali prireikti medicininės pagalbos. Pasiimkite su savimi vaisto pakuotę. </w:t>
      </w:r>
    </w:p>
    <w:p w14:paraId="0C5A9384" w14:textId="77777777" w:rsidR="00262CAF" w:rsidRPr="00776407" w:rsidRDefault="00262CAF" w:rsidP="00A877B5">
      <w:pPr>
        <w:autoSpaceDE w:val="0"/>
        <w:autoSpaceDN w:val="0"/>
        <w:adjustRightInd w:val="0"/>
        <w:rPr>
          <w:rFonts w:eastAsia="Calibri"/>
          <w:b/>
          <w:bCs/>
          <w:sz w:val="22"/>
          <w:szCs w:val="22"/>
        </w:rPr>
      </w:pPr>
    </w:p>
    <w:p w14:paraId="09D9F850"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Pamiršus pavartoti Imatinib Actavis </w:t>
      </w:r>
    </w:p>
    <w:p w14:paraId="0A17C1E0" w14:textId="77777777" w:rsidR="00A877B5" w:rsidRPr="00776407" w:rsidRDefault="00262CAF" w:rsidP="00262CAF">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r>
      <w:r w:rsidR="00A877B5" w:rsidRPr="00776407">
        <w:rPr>
          <w:rFonts w:eastAsia="Calibri"/>
          <w:sz w:val="22"/>
          <w:szCs w:val="22"/>
        </w:rPr>
        <w:t xml:space="preserve">Pamiršus pavartoti vaisto dozę, ją išgerkite kai tik prisiminėte. Tačiau jei jau beveik laikas gerti kitą dozę, praleistos dozės nevartokite. </w:t>
      </w:r>
    </w:p>
    <w:p w14:paraId="4C755350" w14:textId="77777777" w:rsidR="00A877B5" w:rsidRPr="00776407" w:rsidRDefault="00262CAF" w:rsidP="00A877B5">
      <w:pPr>
        <w:autoSpaceDE w:val="0"/>
        <w:autoSpaceDN w:val="0"/>
        <w:adjustRightInd w:val="0"/>
        <w:spacing w:after="23"/>
        <w:rPr>
          <w:rFonts w:eastAsia="Calibri"/>
          <w:sz w:val="22"/>
          <w:szCs w:val="22"/>
        </w:rPr>
      </w:pPr>
      <w:r w:rsidRPr="00776407">
        <w:rPr>
          <w:rFonts w:eastAsia="Calibri"/>
          <w:sz w:val="22"/>
          <w:szCs w:val="22"/>
        </w:rPr>
        <w:t>-</w:t>
      </w:r>
      <w:r w:rsidRPr="00776407">
        <w:rPr>
          <w:rFonts w:eastAsia="Calibri"/>
          <w:sz w:val="22"/>
          <w:szCs w:val="22"/>
        </w:rPr>
        <w:tab/>
      </w:r>
      <w:r w:rsidR="00A877B5" w:rsidRPr="00776407">
        <w:rPr>
          <w:rFonts w:eastAsia="Calibri"/>
          <w:sz w:val="22"/>
          <w:szCs w:val="22"/>
        </w:rPr>
        <w:t xml:space="preserve">Vėliau tęskite vaisto vartojimą įprastu režimu. </w:t>
      </w:r>
    </w:p>
    <w:p w14:paraId="4C0A12F5" w14:textId="77777777" w:rsidR="00A877B5" w:rsidRPr="00776407" w:rsidRDefault="00262CAF" w:rsidP="00A877B5">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r>
      <w:r w:rsidR="00A877B5" w:rsidRPr="00776407">
        <w:rPr>
          <w:rFonts w:eastAsia="Calibri"/>
          <w:sz w:val="22"/>
          <w:szCs w:val="22"/>
        </w:rPr>
        <w:t xml:space="preserve">Negalima vartoti dvigubos dozės norint kompensuoti praleistą dozę. </w:t>
      </w:r>
    </w:p>
    <w:p w14:paraId="39861440" w14:textId="77777777" w:rsidR="00A877B5" w:rsidRPr="00776407" w:rsidRDefault="00A877B5" w:rsidP="00A877B5">
      <w:pPr>
        <w:autoSpaceDE w:val="0"/>
        <w:autoSpaceDN w:val="0"/>
        <w:adjustRightInd w:val="0"/>
        <w:rPr>
          <w:rFonts w:eastAsia="Calibri"/>
          <w:sz w:val="22"/>
          <w:szCs w:val="22"/>
        </w:rPr>
      </w:pPr>
    </w:p>
    <w:p w14:paraId="67C3AD85"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Jeigu kiltų daugiau klausimų dėl šio vaisto vartojimo, kreipkitės į gydytoją, vaistininką arba slaugytoją. </w:t>
      </w:r>
    </w:p>
    <w:p w14:paraId="58E4B217" w14:textId="77777777" w:rsidR="00262CAF" w:rsidRPr="00776407" w:rsidRDefault="00262CAF" w:rsidP="00A877B5">
      <w:pPr>
        <w:autoSpaceDE w:val="0"/>
        <w:autoSpaceDN w:val="0"/>
        <w:adjustRightInd w:val="0"/>
        <w:rPr>
          <w:rFonts w:eastAsia="Calibri"/>
          <w:sz w:val="22"/>
          <w:szCs w:val="22"/>
        </w:rPr>
      </w:pPr>
    </w:p>
    <w:p w14:paraId="5890EFF9" w14:textId="77777777" w:rsidR="005C51F0" w:rsidRPr="00776407" w:rsidRDefault="005C51F0" w:rsidP="00A877B5">
      <w:pPr>
        <w:autoSpaceDE w:val="0"/>
        <w:autoSpaceDN w:val="0"/>
        <w:adjustRightInd w:val="0"/>
        <w:rPr>
          <w:rFonts w:eastAsia="Calibri"/>
          <w:sz w:val="22"/>
          <w:szCs w:val="22"/>
        </w:rPr>
      </w:pPr>
    </w:p>
    <w:p w14:paraId="4B531892" w14:textId="77777777" w:rsidR="00262CAF" w:rsidRPr="00776407" w:rsidRDefault="007C7B48" w:rsidP="00864BE6">
      <w:pPr>
        <w:pStyle w:val="Listenabsatz"/>
        <w:numPr>
          <w:ilvl w:val="0"/>
          <w:numId w:val="6"/>
        </w:numPr>
        <w:autoSpaceDE w:val="0"/>
        <w:autoSpaceDN w:val="0"/>
        <w:adjustRightInd w:val="0"/>
        <w:ind w:hanging="720"/>
        <w:rPr>
          <w:rFonts w:eastAsia="Calibri"/>
          <w:b/>
          <w:sz w:val="22"/>
          <w:szCs w:val="22"/>
        </w:rPr>
      </w:pPr>
      <w:r w:rsidRPr="00776407">
        <w:rPr>
          <w:rFonts w:eastAsia="Calibri"/>
          <w:b/>
          <w:sz w:val="22"/>
          <w:szCs w:val="22"/>
        </w:rPr>
        <w:t>Galimas šalutinis poveikis</w:t>
      </w:r>
    </w:p>
    <w:p w14:paraId="4DE26F35" w14:textId="77777777" w:rsidR="007C7B48" w:rsidRPr="00776407" w:rsidRDefault="007C7B48" w:rsidP="007C7B48">
      <w:pPr>
        <w:autoSpaceDE w:val="0"/>
        <w:autoSpaceDN w:val="0"/>
        <w:adjustRightInd w:val="0"/>
        <w:rPr>
          <w:rFonts w:eastAsia="Calibri"/>
          <w:sz w:val="22"/>
          <w:szCs w:val="22"/>
        </w:rPr>
      </w:pPr>
    </w:p>
    <w:p w14:paraId="02D119C0" w14:textId="77777777" w:rsidR="007C7B48" w:rsidRPr="00776407" w:rsidRDefault="007C7B48" w:rsidP="007C7B48">
      <w:pPr>
        <w:autoSpaceDE w:val="0"/>
        <w:autoSpaceDN w:val="0"/>
        <w:adjustRightInd w:val="0"/>
        <w:rPr>
          <w:rFonts w:eastAsia="Calibri"/>
          <w:sz w:val="22"/>
          <w:szCs w:val="22"/>
        </w:rPr>
      </w:pPr>
      <w:r w:rsidRPr="00776407">
        <w:rPr>
          <w:rFonts w:eastAsia="Calibri"/>
          <w:sz w:val="22"/>
          <w:szCs w:val="22"/>
        </w:rPr>
        <w:t xml:space="preserve">Šis vaistas, kaip ir visi kiti, gali sukelti šalutinį poveikį, nors jis pasireiškia ne visiems žmonėms. Paprastai jis būna nesunkus ar vidutinio sunkumo. </w:t>
      </w:r>
    </w:p>
    <w:p w14:paraId="2AD597E5" w14:textId="77777777" w:rsidR="007C7B48" w:rsidRPr="00776407" w:rsidRDefault="007C7B48" w:rsidP="007C7B48">
      <w:pPr>
        <w:autoSpaceDE w:val="0"/>
        <w:autoSpaceDN w:val="0"/>
        <w:adjustRightInd w:val="0"/>
        <w:rPr>
          <w:rFonts w:eastAsia="Calibri"/>
          <w:sz w:val="22"/>
          <w:szCs w:val="22"/>
        </w:rPr>
      </w:pPr>
    </w:p>
    <w:p w14:paraId="5F30E80F"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Kai kurie šalutiniai </w:t>
      </w:r>
      <w:r w:rsidR="00121DA9" w:rsidRPr="00776407">
        <w:rPr>
          <w:rFonts w:eastAsia="Calibri"/>
          <w:b/>
          <w:bCs/>
          <w:sz w:val="22"/>
          <w:szCs w:val="22"/>
        </w:rPr>
        <w:t>poveikiai</w:t>
      </w:r>
      <w:r w:rsidRPr="00776407">
        <w:rPr>
          <w:rFonts w:eastAsia="Calibri"/>
          <w:b/>
          <w:bCs/>
          <w:sz w:val="22"/>
          <w:szCs w:val="22"/>
        </w:rPr>
        <w:t xml:space="preserve"> gali būti sunkūs. Nedelsiant pasakykite gydytojui, jeigu Jums pasireikštų kuris nors iš toliau išvardytų </w:t>
      </w:r>
      <w:r w:rsidR="00121DA9" w:rsidRPr="00776407">
        <w:rPr>
          <w:rFonts w:eastAsia="Calibri"/>
          <w:b/>
          <w:bCs/>
          <w:sz w:val="22"/>
          <w:szCs w:val="22"/>
        </w:rPr>
        <w:t>poveikių</w:t>
      </w:r>
      <w:r w:rsidRPr="00776407">
        <w:rPr>
          <w:rFonts w:eastAsia="Calibri"/>
          <w:b/>
          <w:bCs/>
          <w:sz w:val="22"/>
          <w:szCs w:val="22"/>
        </w:rPr>
        <w:t xml:space="preserve">. </w:t>
      </w:r>
    </w:p>
    <w:p w14:paraId="72437D4F" w14:textId="77777777" w:rsidR="007C7B48" w:rsidRPr="00776407" w:rsidRDefault="007C7B48" w:rsidP="00A877B5">
      <w:pPr>
        <w:autoSpaceDE w:val="0"/>
        <w:autoSpaceDN w:val="0"/>
        <w:adjustRightInd w:val="0"/>
        <w:rPr>
          <w:rFonts w:eastAsia="Calibri"/>
          <w:b/>
          <w:bCs/>
          <w:sz w:val="22"/>
          <w:szCs w:val="22"/>
        </w:rPr>
      </w:pPr>
    </w:p>
    <w:p w14:paraId="222B3530"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Labai dažni </w:t>
      </w:r>
      <w:r w:rsidR="00C10FE8" w:rsidRPr="00776407">
        <w:rPr>
          <w:rFonts w:eastAsia="Calibri"/>
          <w:bCs/>
          <w:sz w:val="22"/>
          <w:szCs w:val="22"/>
        </w:rPr>
        <w:t>(gali pasireikšti daugiau nei 1 žmogui iš 10)</w:t>
      </w:r>
      <w:r w:rsidRPr="00776407">
        <w:rPr>
          <w:rFonts w:eastAsia="Calibri"/>
          <w:b/>
          <w:bCs/>
          <w:sz w:val="22"/>
          <w:szCs w:val="22"/>
        </w:rPr>
        <w:t xml:space="preserve"> </w:t>
      </w:r>
      <w:r w:rsidR="001963AD" w:rsidRPr="00776407">
        <w:rPr>
          <w:rFonts w:eastAsia="Calibri"/>
          <w:b/>
          <w:bCs/>
          <w:sz w:val="22"/>
          <w:szCs w:val="22"/>
        </w:rPr>
        <w:t xml:space="preserve">ir dažni </w:t>
      </w:r>
      <w:r w:rsidR="001963AD" w:rsidRPr="00776407">
        <w:rPr>
          <w:rFonts w:eastAsia="Calibri"/>
          <w:bCs/>
          <w:sz w:val="22"/>
          <w:szCs w:val="22"/>
        </w:rPr>
        <w:t>(gali pasireikšti iki 1 žmogaus iš 10)</w:t>
      </w:r>
      <w:r w:rsidR="006A7898" w:rsidRPr="00776407">
        <w:rPr>
          <w:rFonts w:eastAsia="Calibri"/>
          <w:b/>
          <w:bCs/>
          <w:sz w:val="22"/>
          <w:szCs w:val="22"/>
        </w:rPr>
        <w:t>:</w:t>
      </w:r>
    </w:p>
    <w:p w14:paraId="6EA44515" w14:textId="5D58A243"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Greitai padidėjęs kūno svoris. Vartojant Imatinib Actavis organizme gali pradėti kauptis skystis (t.</w:t>
      </w:r>
      <w:r w:rsidR="00CF3DA0" w:rsidRPr="00776407">
        <w:rPr>
          <w:rFonts w:eastAsia="Calibri"/>
          <w:sz w:val="22"/>
          <w:szCs w:val="22"/>
        </w:rPr>
        <w:t> </w:t>
      </w:r>
      <w:r w:rsidRPr="00776407">
        <w:rPr>
          <w:rFonts w:eastAsia="Calibri"/>
          <w:sz w:val="22"/>
          <w:szCs w:val="22"/>
        </w:rPr>
        <w:t xml:space="preserve">y. pasireikšti sunkus skysčių susilaikymas). </w:t>
      </w:r>
    </w:p>
    <w:p w14:paraId="2EFB1DE2"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Infekcijos požymiai – pavyzdžiui, karščiavimas, stiprus šaltkrėtis, gerklės skausmas ar burnos išopėjimas. Imatinib Actavis gali sumažinti baltųjų kraujo kūnelių skaičių, todėl galite greičiau užsikrėsti infekcinėmis ligomis. </w:t>
      </w:r>
    </w:p>
    <w:p w14:paraId="72B62643" w14:textId="77777777" w:rsidR="00A877B5" w:rsidRPr="00776407" w:rsidRDefault="00A877B5" w:rsidP="00864BE6">
      <w:pPr>
        <w:pStyle w:val="Listenabsatz"/>
        <w:numPr>
          <w:ilvl w:val="0"/>
          <w:numId w:val="1"/>
        </w:numPr>
        <w:autoSpaceDE w:val="0"/>
        <w:autoSpaceDN w:val="0"/>
        <w:adjustRightInd w:val="0"/>
        <w:ind w:left="567" w:hanging="567"/>
        <w:rPr>
          <w:rFonts w:eastAsia="Calibri"/>
          <w:sz w:val="22"/>
          <w:szCs w:val="22"/>
        </w:rPr>
      </w:pPr>
      <w:r w:rsidRPr="00776407">
        <w:rPr>
          <w:rFonts w:eastAsia="Calibri"/>
          <w:sz w:val="22"/>
          <w:szCs w:val="22"/>
        </w:rPr>
        <w:t xml:space="preserve">Netikėtas kraujavimas ar mėlynių susidarymas (be jokio sužalojimo). </w:t>
      </w:r>
    </w:p>
    <w:p w14:paraId="50E6DD43" w14:textId="77777777" w:rsidR="00A877B5" w:rsidRPr="00776407" w:rsidRDefault="00A877B5" w:rsidP="00A877B5">
      <w:pPr>
        <w:autoSpaceDE w:val="0"/>
        <w:autoSpaceDN w:val="0"/>
        <w:adjustRightInd w:val="0"/>
        <w:rPr>
          <w:rFonts w:eastAsia="Calibri"/>
          <w:sz w:val="22"/>
          <w:szCs w:val="22"/>
        </w:rPr>
      </w:pPr>
    </w:p>
    <w:p w14:paraId="43C3362C"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Nedažni</w:t>
      </w:r>
      <w:r w:rsidR="00C10FE8" w:rsidRPr="00776407">
        <w:rPr>
          <w:rFonts w:eastAsia="Calibri"/>
          <w:b/>
          <w:bCs/>
          <w:sz w:val="22"/>
          <w:szCs w:val="22"/>
        </w:rPr>
        <w:t xml:space="preserve"> </w:t>
      </w:r>
      <w:r w:rsidR="00C10FE8" w:rsidRPr="00776407">
        <w:rPr>
          <w:rFonts w:eastAsia="Calibri"/>
          <w:bCs/>
          <w:sz w:val="22"/>
          <w:szCs w:val="22"/>
        </w:rPr>
        <w:t>(gali pasireikšti iki 1 žmogaus iš 100)</w:t>
      </w:r>
      <w:r w:rsidRPr="00776407">
        <w:rPr>
          <w:rFonts w:eastAsia="Calibri"/>
          <w:b/>
          <w:bCs/>
          <w:sz w:val="22"/>
          <w:szCs w:val="22"/>
        </w:rPr>
        <w:t xml:space="preserve"> ir reti</w:t>
      </w:r>
      <w:r w:rsidR="00C10FE8" w:rsidRPr="00776407">
        <w:rPr>
          <w:rFonts w:eastAsia="Calibri"/>
          <w:b/>
          <w:bCs/>
          <w:sz w:val="22"/>
          <w:szCs w:val="22"/>
        </w:rPr>
        <w:t xml:space="preserve"> </w:t>
      </w:r>
      <w:r w:rsidR="00C10FE8" w:rsidRPr="00776407">
        <w:rPr>
          <w:rFonts w:eastAsia="Calibri"/>
          <w:bCs/>
          <w:sz w:val="22"/>
          <w:szCs w:val="22"/>
        </w:rPr>
        <w:t>(gali pasireikšti iki 1 žmogaus iš 1 000)</w:t>
      </w:r>
      <w:r w:rsidRPr="00776407">
        <w:rPr>
          <w:rFonts w:eastAsia="Calibri"/>
          <w:bCs/>
          <w:sz w:val="22"/>
          <w:szCs w:val="22"/>
        </w:rPr>
        <w:t xml:space="preserve">: </w:t>
      </w:r>
    </w:p>
    <w:p w14:paraId="3301FFDD"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Skausmas krūtinėje, nereguliarus širdies ritmas (širdies sutrikimų požymiai). </w:t>
      </w:r>
    </w:p>
    <w:p w14:paraId="6EC19EDE"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Kosulys, pasunkėjęs kvėpavimas arba skausmingas kvėpavimas (plaučių sutrikimų požymiai). </w:t>
      </w:r>
    </w:p>
    <w:p w14:paraId="14F8A5D5"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Apsvaigimas, galvos svaigimas ar alpimas (žemo kraujospūdžio požymiai). </w:t>
      </w:r>
    </w:p>
    <w:p w14:paraId="21FEA789"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Šleikštulys (pykinimas), taip pat apetito trūkumas, </w:t>
      </w:r>
      <w:r w:rsidR="000C7920" w:rsidRPr="00776407">
        <w:rPr>
          <w:rFonts w:eastAsia="Calibri"/>
          <w:sz w:val="22"/>
          <w:szCs w:val="22"/>
        </w:rPr>
        <w:t>tamsus šlapimas</w:t>
      </w:r>
      <w:r w:rsidRPr="00776407">
        <w:rPr>
          <w:rFonts w:eastAsia="Calibri"/>
          <w:sz w:val="22"/>
          <w:szCs w:val="22"/>
        </w:rPr>
        <w:t xml:space="preserve">, pageltusi oda ar akių baltymai (kepenų sutrikimų požymiai). </w:t>
      </w:r>
    </w:p>
    <w:p w14:paraId="416DED5D" w14:textId="77777777" w:rsidR="00A877B5" w:rsidRPr="00776407" w:rsidRDefault="006A789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Išb</w:t>
      </w:r>
      <w:r w:rsidR="00A877B5" w:rsidRPr="00776407">
        <w:rPr>
          <w:rFonts w:eastAsia="Calibri"/>
          <w:sz w:val="22"/>
          <w:szCs w:val="22"/>
        </w:rPr>
        <w:t>ėrimas, odos paraudimas, taip pat pūslių atsiradimas ant lūpų, akių, odos arba burnos gleivinės, odos pleiskanojimas, karščiavimas, pakilę raudoni arba purpuriniai odos lopai, niež</w:t>
      </w:r>
      <w:r w:rsidRPr="00776407">
        <w:rPr>
          <w:rFonts w:eastAsia="Calibri"/>
          <w:sz w:val="22"/>
          <w:szCs w:val="22"/>
        </w:rPr>
        <w:t>ėjimas</w:t>
      </w:r>
      <w:r w:rsidR="00A877B5" w:rsidRPr="00776407">
        <w:rPr>
          <w:rFonts w:eastAsia="Calibri"/>
          <w:sz w:val="22"/>
          <w:szCs w:val="22"/>
        </w:rPr>
        <w:t xml:space="preserve">, deginimo pojūtis, pūslinis </w:t>
      </w:r>
      <w:r w:rsidRPr="00776407">
        <w:rPr>
          <w:rFonts w:eastAsia="Calibri"/>
          <w:sz w:val="22"/>
          <w:szCs w:val="22"/>
        </w:rPr>
        <w:t>iš</w:t>
      </w:r>
      <w:r w:rsidR="00A877B5" w:rsidRPr="00776407">
        <w:rPr>
          <w:rFonts w:eastAsia="Calibri"/>
          <w:sz w:val="22"/>
          <w:szCs w:val="22"/>
        </w:rPr>
        <w:t xml:space="preserve">bėrimas (odos sutrikimų požymiai). </w:t>
      </w:r>
    </w:p>
    <w:p w14:paraId="3137E446"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Stiprus pilvo skausmas, vėmimas, tuštinimasis ar šlapinimasis su kraujo priemaiša, juodos spalvos išmatos (virškinimo trakto sutrikimų požymiai). </w:t>
      </w:r>
    </w:p>
    <w:p w14:paraId="483D22F4"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Labai sumažėjęs šlapimo kiekis, troškulys (inkstų sutrikimų požymiai). </w:t>
      </w:r>
    </w:p>
    <w:p w14:paraId="6C72B617"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Šleikštulys (pykinimas) kartu su viduriavimu ir vėmimu, pilvo skausmas arba karščiavimas (žarnų sutrikimų požymiai). </w:t>
      </w:r>
    </w:p>
    <w:p w14:paraId="07C08D31"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Stiprus galvos skausmas, silpnumas arba galūnių ar veido paralyžius, pasunkėjusi kalba, staigus sąmonės praradimas (nervų sistemos sutrikimų, pavyzdžiui, kraujavimo kaukolės ertmėje ar galvos smegenų patinimo, požymiai). </w:t>
      </w:r>
    </w:p>
    <w:p w14:paraId="00F53598" w14:textId="77777777" w:rsidR="00A877B5" w:rsidRPr="00776407" w:rsidRDefault="00A877B5"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 xml:space="preserve">Išblyškusi oda, nuovargis ir dusulys, tamsus šlapimas (sumažėjusio raudonųjų kraujo ląstelių skaičiaus požymiai). </w:t>
      </w:r>
    </w:p>
    <w:p w14:paraId="5A15C2D0"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Akies skausmas ar pablogėjusi rega</w:t>
      </w:r>
      <w:r w:rsidR="00BE347C" w:rsidRPr="00776407">
        <w:rPr>
          <w:rFonts w:eastAsia="Calibri"/>
          <w:sz w:val="22"/>
          <w:szCs w:val="22"/>
        </w:rPr>
        <w:t>, kraujavimas į akie</w:t>
      </w:r>
      <w:r w:rsidR="000C7920" w:rsidRPr="00776407">
        <w:rPr>
          <w:rFonts w:eastAsia="Calibri"/>
          <w:sz w:val="22"/>
          <w:szCs w:val="22"/>
        </w:rPr>
        <w:t>s</w:t>
      </w:r>
      <w:r w:rsidR="00BE347C" w:rsidRPr="00776407">
        <w:rPr>
          <w:rFonts w:eastAsia="Calibri"/>
          <w:sz w:val="22"/>
          <w:szCs w:val="22"/>
        </w:rPr>
        <w:t xml:space="preserve"> vidų</w:t>
      </w:r>
      <w:r w:rsidRPr="00776407">
        <w:rPr>
          <w:rFonts w:eastAsia="Calibri"/>
          <w:sz w:val="22"/>
          <w:szCs w:val="22"/>
        </w:rPr>
        <w:t xml:space="preserve">. </w:t>
      </w:r>
    </w:p>
    <w:p w14:paraId="0FDF810E"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Skausmas klubo sąnariuose ar pasunkėjęs vaikščiojimas. </w:t>
      </w:r>
    </w:p>
    <w:p w14:paraId="0C66ACB6"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Kojų ir rankų pirštų nutirpimas ar šalimas (Raynaud‘s sindromo požymiai). </w:t>
      </w:r>
    </w:p>
    <w:p w14:paraId="59FC858D"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Staigus odos patinimas ir paraudimas (odos infekcijos, vadinamos celiulitu, požymiai). </w:t>
      </w:r>
    </w:p>
    <w:p w14:paraId="479C5E58"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Sutrikusi klausa. </w:t>
      </w:r>
    </w:p>
    <w:p w14:paraId="54DC33EE"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Raumenų silpnumas ir spazmas kartu su sutrikusiu širdies ritmu (požymiai, rodantys, kad pakito kalio kiekis Jūsų kraujyje). </w:t>
      </w:r>
    </w:p>
    <w:p w14:paraId="1EC102C3"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Mėlynės. </w:t>
      </w:r>
    </w:p>
    <w:p w14:paraId="6D93A963"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Skrandžio skausmas kartu su šleikštuliu (pykinimu). </w:t>
      </w:r>
    </w:p>
    <w:p w14:paraId="54D61DCB"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Raumenų spazmai ir kartu pasireiškiantis karščiavimas, raudonai rudos spalvos šlapimas, raumenų skausmas ar silpnumas (raumenų sutrikimų požymiai). </w:t>
      </w:r>
    </w:p>
    <w:p w14:paraId="3541E511" w14:textId="77777777" w:rsidR="00A877B5" w:rsidRPr="00776407" w:rsidRDefault="00A877B5"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Dubens srities skausmas, kartais kartu su pykinimu ir vėmimu, kartu su netikėtu kraujavimu iš makšties, galvos svaigimu ar alpimu dėl sumažėjusio kraujospūdžio (kiaušidžių ar gimdos sutrikimų požymiai). </w:t>
      </w:r>
    </w:p>
    <w:p w14:paraId="3BFD7B5E" w14:textId="77777777" w:rsidR="00A877B5" w:rsidRPr="00776407" w:rsidRDefault="00A877B5"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Pykinimas, oro trūkumas, nereguliarus širdies ritmas, drumstas šlapimas, nuovargis ir</w:t>
      </w:r>
      <w:r w:rsidR="006A7898" w:rsidRPr="00776407">
        <w:rPr>
          <w:rFonts w:eastAsia="Calibri"/>
          <w:sz w:val="22"/>
          <w:szCs w:val="22"/>
        </w:rPr>
        <w:t xml:space="preserve"> (</w:t>
      </w:r>
      <w:r w:rsidRPr="00776407">
        <w:rPr>
          <w:rFonts w:eastAsia="Calibri"/>
          <w:sz w:val="22"/>
          <w:szCs w:val="22"/>
        </w:rPr>
        <w:t>arba</w:t>
      </w:r>
      <w:r w:rsidR="006A7898" w:rsidRPr="00776407">
        <w:rPr>
          <w:rFonts w:eastAsia="Calibri"/>
          <w:sz w:val="22"/>
          <w:szCs w:val="22"/>
        </w:rPr>
        <w:t>)</w:t>
      </w:r>
      <w:r w:rsidRPr="00776407">
        <w:rPr>
          <w:rFonts w:eastAsia="Calibri"/>
          <w:sz w:val="22"/>
          <w:szCs w:val="22"/>
        </w:rPr>
        <w:t xml:space="preserve"> sąnarių diskomfortas susijęs su anomaliais laboratorinių tyrimų rezultatais (pvz., didelis kalio, šlapimo rūgšties </w:t>
      </w:r>
      <w:r w:rsidR="00EB788B" w:rsidRPr="00776407">
        <w:rPr>
          <w:rFonts w:eastAsia="Calibri"/>
          <w:sz w:val="22"/>
          <w:szCs w:val="22"/>
        </w:rPr>
        <w:t xml:space="preserve">ir kalcio kiekis </w:t>
      </w:r>
      <w:r w:rsidRPr="00776407">
        <w:rPr>
          <w:rFonts w:eastAsia="Calibri"/>
          <w:sz w:val="22"/>
          <w:szCs w:val="22"/>
        </w:rPr>
        <w:t xml:space="preserve">ir </w:t>
      </w:r>
      <w:r w:rsidR="00EB788B" w:rsidRPr="00776407">
        <w:rPr>
          <w:rFonts w:eastAsia="Calibri"/>
          <w:sz w:val="22"/>
          <w:szCs w:val="22"/>
        </w:rPr>
        <w:t xml:space="preserve">mažas </w:t>
      </w:r>
      <w:r w:rsidRPr="00776407">
        <w:rPr>
          <w:rFonts w:eastAsia="Calibri"/>
          <w:sz w:val="22"/>
          <w:szCs w:val="22"/>
        </w:rPr>
        <w:t xml:space="preserve">fosforo kiekis kiekis kraujyje). </w:t>
      </w:r>
    </w:p>
    <w:p w14:paraId="067295DA" w14:textId="77777777" w:rsidR="0023389A" w:rsidRPr="00776407" w:rsidRDefault="0023389A" w:rsidP="00864BE6">
      <w:pPr>
        <w:pStyle w:val="Listenabsatz"/>
        <w:numPr>
          <w:ilvl w:val="0"/>
          <w:numId w:val="1"/>
        </w:numPr>
        <w:autoSpaceDE w:val="0"/>
        <w:autoSpaceDN w:val="0"/>
        <w:adjustRightInd w:val="0"/>
        <w:ind w:hanging="720"/>
        <w:rPr>
          <w:rFonts w:eastAsia="Calibri"/>
          <w:sz w:val="22"/>
          <w:szCs w:val="22"/>
        </w:rPr>
      </w:pPr>
      <w:r w:rsidRPr="00776407">
        <w:rPr>
          <w:color w:val="000000"/>
          <w:sz w:val="22"/>
          <w:szCs w:val="22"/>
          <w:lang w:bidi="th-TH"/>
        </w:rPr>
        <w:t>Kraujo krešulių susidarymas smulkiose kraujagyslėse (</w:t>
      </w:r>
      <w:r w:rsidRPr="00776407">
        <w:rPr>
          <w:color w:val="000000"/>
          <w:spacing w:val="-2"/>
          <w:sz w:val="22"/>
          <w:szCs w:val="22"/>
        </w:rPr>
        <w:t>trombinė mikroangiopatija).</w:t>
      </w:r>
    </w:p>
    <w:p w14:paraId="74EB715B" w14:textId="77777777" w:rsidR="001963AD" w:rsidRPr="00776407" w:rsidRDefault="001963AD" w:rsidP="00E93356">
      <w:pPr>
        <w:pStyle w:val="Listenabsatz"/>
        <w:autoSpaceDE w:val="0"/>
        <w:autoSpaceDN w:val="0"/>
        <w:adjustRightInd w:val="0"/>
        <w:ind w:left="0"/>
        <w:rPr>
          <w:rFonts w:eastAsia="Calibri"/>
          <w:sz w:val="22"/>
          <w:szCs w:val="22"/>
        </w:rPr>
      </w:pPr>
    </w:p>
    <w:p w14:paraId="0768B3DC" w14:textId="77777777" w:rsidR="001963AD" w:rsidRPr="00776407" w:rsidRDefault="001963AD" w:rsidP="00E93356">
      <w:pPr>
        <w:pStyle w:val="Listenabsatz"/>
        <w:autoSpaceDE w:val="0"/>
        <w:autoSpaceDN w:val="0"/>
        <w:adjustRightInd w:val="0"/>
        <w:ind w:left="0"/>
        <w:rPr>
          <w:rFonts w:eastAsia="Calibri"/>
          <w:sz w:val="22"/>
          <w:szCs w:val="22"/>
        </w:rPr>
      </w:pPr>
      <w:r w:rsidRPr="00776407">
        <w:rPr>
          <w:rFonts w:eastAsia="Calibri"/>
          <w:b/>
          <w:sz w:val="22"/>
          <w:szCs w:val="22"/>
        </w:rPr>
        <w:t xml:space="preserve">Dažnis nežinomas </w:t>
      </w:r>
      <w:r w:rsidRPr="00776407">
        <w:rPr>
          <w:rFonts w:eastAsia="Calibri"/>
          <w:sz w:val="22"/>
          <w:szCs w:val="22"/>
        </w:rPr>
        <w:t xml:space="preserve">(negali būti </w:t>
      </w:r>
      <w:r w:rsidR="006A7898" w:rsidRPr="00776407">
        <w:rPr>
          <w:rFonts w:eastAsia="Calibri"/>
          <w:sz w:val="22"/>
          <w:szCs w:val="22"/>
        </w:rPr>
        <w:t>apskaičiuotas</w:t>
      </w:r>
      <w:r w:rsidRPr="00776407">
        <w:rPr>
          <w:rFonts w:eastAsia="Calibri"/>
          <w:sz w:val="22"/>
          <w:szCs w:val="22"/>
        </w:rPr>
        <w:t xml:space="preserve"> pagal turimus duomenis):</w:t>
      </w:r>
    </w:p>
    <w:p w14:paraId="56C8C5E1" w14:textId="77777777" w:rsidR="001963AD" w:rsidRPr="00776407" w:rsidRDefault="001963AD"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Plačiai išplitęs stiprus odo</w:t>
      </w:r>
      <w:r w:rsidR="00EB788B" w:rsidRPr="00776407">
        <w:rPr>
          <w:rFonts w:eastAsia="Calibri"/>
          <w:sz w:val="22"/>
          <w:szCs w:val="22"/>
        </w:rPr>
        <w:t>s</w:t>
      </w:r>
      <w:r w:rsidRPr="00776407">
        <w:rPr>
          <w:rFonts w:eastAsia="Calibri"/>
          <w:sz w:val="22"/>
          <w:szCs w:val="22"/>
        </w:rPr>
        <w:t xml:space="preserve"> </w:t>
      </w:r>
      <w:r w:rsidR="006A7898" w:rsidRPr="00776407">
        <w:rPr>
          <w:rFonts w:eastAsia="Calibri"/>
          <w:sz w:val="22"/>
          <w:szCs w:val="22"/>
        </w:rPr>
        <w:t>iš</w:t>
      </w:r>
      <w:r w:rsidRPr="00776407">
        <w:rPr>
          <w:rFonts w:eastAsia="Calibri"/>
          <w:sz w:val="22"/>
          <w:szCs w:val="22"/>
        </w:rPr>
        <w:t xml:space="preserve">bėrimas kartu su pykinimu, karščiavimu, kai kurių baltųjų kraujo kūnelių skaičiaus padidėjimu arba </w:t>
      </w:r>
      <w:r w:rsidR="00EB788B" w:rsidRPr="00776407">
        <w:rPr>
          <w:rFonts w:eastAsia="Calibri"/>
          <w:sz w:val="22"/>
          <w:szCs w:val="22"/>
        </w:rPr>
        <w:t>o</w:t>
      </w:r>
      <w:r w:rsidRPr="00776407">
        <w:rPr>
          <w:rFonts w:eastAsia="Calibri"/>
          <w:sz w:val="22"/>
          <w:szCs w:val="22"/>
        </w:rPr>
        <w:t>dos ir akių pageltimu (geltos požymiai), lydimas dusulio, krūtinės skausmo/diskomforto, labai sumažėjusio šlapimo išsiskyrimo bei troškulio ir t.t. (alerginės reakcijos požymiai susiję su gydymu).</w:t>
      </w:r>
    </w:p>
    <w:p w14:paraId="6F5C2319" w14:textId="77777777" w:rsidR="00192A97" w:rsidRPr="00776407" w:rsidRDefault="00192A97"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Lėtinis inkstų nepakankamumas.</w:t>
      </w:r>
    </w:p>
    <w:p w14:paraId="3CBB7888" w14:textId="77777777" w:rsidR="00D47212" w:rsidRPr="00776407" w:rsidRDefault="00D47212"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Hepatito B infekcijos atsinaujinimas (reaktyvacija), jeigu praeityje jums buvo diagnozuotas hepatitas B (kepenų infekcija).</w:t>
      </w:r>
    </w:p>
    <w:p w14:paraId="7F0BDC62" w14:textId="77777777" w:rsidR="001963AD" w:rsidRPr="00776407" w:rsidRDefault="001963AD" w:rsidP="00E93356">
      <w:pPr>
        <w:pStyle w:val="Listenabsatz"/>
        <w:autoSpaceDE w:val="0"/>
        <w:autoSpaceDN w:val="0"/>
        <w:adjustRightInd w:val="0"/>
        <w:rPr>
          <w:rFonts w:eastAsia="Calibri"/>
          <w:sz w:val="22"/>
          <w:szCs w:val="22"/>
        </w:rPr>
      </w:pPr>
    </w:p>
    <w:p w14:paraId="051299C9"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Jeigu Jums pasireikštų bet kuris iš anksčiau nurodytų </w:t>
      </w:r>
      <w:r w:rsidR="006A7898" w:rsidRPr="00776407">
        <w:rPr>
          <w:rFonts w:eastAsia="Calibri"/>
          <w:sz w:val="22"/>
          <w:szCs w:val="22"/>
        </w:rPr>
        <w:t>poveikių</w:t>
      </w:r>
      <w:r w:rsidRPr="00776407">
        <w:rPr>
          <w:rFonts w:eastAsia="Calibri"/>
          <w:sz w:val="22"/>
          <w:szCs w:val="22"/>
        </w:rPr>
        <w:t xml:space="preserve">, </w:t>
      </w:r>
      <w:r w:rsidRPr="00776407">
        <w:rPr>
          <w:rFonts w:eastAsia="Calibri"/>
          <w:b/>
          <w:bCs/>
          <w:sz w:val="22"/>
          <w:szCs w:val="22"/>
        </w:rPr>
        <w:t xml:space="preserve">nedelsiant pasakykite gydytojui. </w:t>
      </w:r>
    </w:p>
    <w:p w14:paraId="35A26300" w14:textId="77777777" w:rsidR="00C10FE8" w:rsidRPr="00776407" w:rsidRDefault="00C10FE8" w:rsidP="00A877B5">
      <w:pPr>
        <w:autoSpaceDE w:val="0"/>
        <w:autoSpaceDN w:val="0"/>
        <w:adjustRightInd w:val="0"/>
        <w:rPr>
          <w:rFonts w:eastAsia="Calibri"/>
          <w:b/>
          <w:bCs/>
          <w:sz w:val="22"/>
          <w:szCs w:val="22"/>
        </w:rPr>
      </w:pPr>
    </w:p>
    <w:p w14:paraId="31BCCC92"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Taip pat gali pasireikšti kiti šalutiniai </w:t>
      </w:r>
      <w:r w:rsidR="006A7898" w:rsidRPr="00776407">
        <w:rPr>
          <w:rFonts w:eastAsia="Calibri"/>
          <w:b/>
          <w:bCs/>
          <w:sz w:val="22"/>
          <w:szCs w:val="22"/>
        </w:rPr>
        <w:t>poveikiai</w:t>
      </w:r>
      <w:r w:rsidRPr="00776407">
        <w:rPr>
          <w:rFonts w:eastAsia="Calibri"/>
          <w:b/>
          <w:bCs/>
          <w:sz w:val="22"/>
          <w:szCs w:val="22"/>
        </w:rPr>
        <w:t xml:space="preserve">: </w:t>
      </w:r>
    </w:p>
    <w:p w14:paraId="3300C126" w14:textId="77777777" w:rsidR="009739FE" w:rsidRPr="00776407" w:rsidRDefault="009739FE" w:rsidP="00A877B5">
      <w:pPr>
        <w:autoSpaceDE w:val="0"/>
        <w:autoSpaceDN w:val="0"/>
        <w:adjustRightInd w:val="0"/>
        <w:rPr>
          <w:rFonts w:eastAsia="Calibri"/>
          <w:b/>
          <w:bCs/>
          <w:sz w:val="22"/>
          <w:szCs w:val="22"/>
        </w:rPr>
      </w:pPr>
    </w:p>
    <w:p w14:paraId="3EFEACEA"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Labai dažni</w:t>
      </w:r>
      <w:r w:rsidR="009739FE" w:rsidRPr="00776407">
        <w:rPr>
          <w:rFonts w:eastAsia="Calibri"/>
          <w:b/>
          <w:bCs/>
          <w:sz w:val="22"/>
          <w:szCs w:val="22"/>
        </w:rPr>
        <w:t xml:space="preserve"> </w:t>
      </w:r>
      <w:r w:rsidR="009739FE" w:rsidRPr="00776407">
        <w:rPr>
          <w:rFonts w:eastAsia="Calibri"/>
          <w:bCs/>
          <w:sz w:val="22"/>
          <w:szCs w:val="22"/>
        </w:rPr>
        <w:t>(gali pasireikšti daugiau nei 1 žmogui iš 10)</w:t>
      </w:r>
      <w:r w:rsidRPr="00776407">
        <w:rPr>
          <w:rFonts w:eastAsia="Calibri"/>
          <w:bCs/>
          <w:sz w:val="22"/>
          <w:szCs w:val="22"/>
        </w:rPr>
        <w:t>:</w:t>
      </w:r>
      <w:r w:rsidRPr="00776407">
        <w:rPr>
          <w:rFonts w:eastAsia="Calibri"/>
          <w:b/>
          <w:bCs/>
          <w:sz w:val="22"/>
          <w:szCs w:val="22"/>
        </w:rPr>
        <w:t xml:space="preserve"> </w:t>
      </w:r>
    </w:p>
    <w:p w14:paraId="4B3C6C3E"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Galvos skausmas ar nuovargis. </w:t>
      </w:r>
    </w:p>
    <w:p w14:paraId="68115B31"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Šleikštulys (pykinimas), vėmimas, viduriavimas ar nevirškinimas. </w:t>
      </w:r>
    </w:p>
    <w:p w14:paraId="7CE44A61" w14:textId="77777777" w:rsidR="00A877B5" w:rsidRPr="00776407" w:rsidRDefault="002C6FB7"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Išb</w:t>
      </w:r>
      <w:r w:rsidR="00A877B5" w:rsidRPr="00776407">
        <w:rPr>
          <w:rFonts w:eastAsia="Calibri"/>
          <w:sz w:val="22"/>
          <w:szCs w:val="22"/>
        </w:rPr>
        <w:t xml:space="preserve">ėrimas. </w:t>
      </w:r>
    </w:p>
    <w:p w14:paraId="5D065470"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Raumenų mėšlungis arba sąnarių, raumenų ir kaulų skausmas</w:t>
      </w:r>
      <w:r w:rsidR="006D099C" w:rsidRPr="00776407">
        <w:t xml:space="preserve"> </w:t>
      </w:r>
      <w:r w:rsidR="006D099C" w:rsidRPr="00776407">
        <w:rPr>
          <w:rFonts w:eastAsia="Calibri"/>
          <w:sz w:val="22"/>
          <w:szCs w:val="22"/>
        </w:rPr>
        <w:t>imatinibo vartojimo metu arba nutraukus imatinibo vartojimą</w:t>
      </w:r>
      <w:r w:rsidRPr="00776407">
        <w:rPr>
          <w:rFonts w:eastAsia="Calibri"/>
          <w:sz w:val="22"/>
          <w:szCs w:val="22"/>
        </w:rPr>
        <w:t xml:space="preserve">. </w:t>
      </w:r>
    </w:p>
    <w:p w14:paraId="56E2276D"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Tinimas, pavyzdžiui, patinusios kulkšnys ar paburkę akių vokai. </w:t>
      </w:r>
    </w:p>
    <w:p w14:paraId="3D0F592A" w14:textId="77777777" w:rsidR="00A877B5" w:rsidRPr="00776407" w:rsidRDefault="00A877B5" w:rsidP="00864BE6">
      <w:pPr>
        <w:pStyle w:val="Listenabsatz"/>
        <w:numPr>
          <w:ilvl w:val="0"/>
          <w:numId w:val="1"/>
        </w:numPr>
        <w:autoSpaceDE w:val="0"/>
        <w:autoSpaceDN w:val="0"/>
        <w:adjustRightInd w:val="0"/>
        <w:ind w:left="567" w:hanging="567"/>
        <w:rPr>
          <w:rFonts w:eastAsia="Calibri"/>
          <w:sz w:val="22"/>
          <w:szCs w:val="22"/>
        </w:rPr>
      </w:pPr>
      <w:r w:rsidRPr="00776407">
        <w:rPr>
          <w:rFonts w:eastAsia="Calibri"/>
          <w:sz w:val="22"/>
          <w:szCs w:val="22"/>
        </w:rPr>
        <w:t xml:space="preserve">Padidėjęs kūno svoris. </w:t>
      </w:r>
    </w:p>
    <w:p w14:paraId="10DC6E90" w14:textId="77777777" w:rsidR="00A877B5" w:rsidRPr="00776407" w:rsidRDefault="00A877B5" w:rsidP="00A877B5">
      <w:pPr>
        <w:autoSpaceDE w:val="0"/>
        <w:autoSpaceDN w:val="0"/>
        <w:adjustRightInd w:val="0"/>
        <w:rPr>
          <w:rFonts w:eastAsia="Calibri"/>
          <w:sz w:val="22"/>
          <w:szCs w:val="22"/>
        </w:rPr>
      </w:pPr>
    </w:p>
    <w:p w14:paraId="738A36AB"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Jei bet kuris iš šių reiškinių tampa sunkiu, </w:t>
      </w:r>
      <w:r w:rsidRPr="00776407">
        <w:rPr>
          <w:rFonts w:eastAsia="Calibri"/>
          <w:b/>
          <w:bCs/>
          <w:sz w:val="22"/>
          <w:szCs w:val="22"/>
        </w:rPr>
        <w:t>pasakykite gydytojui</w:t>
      </w:r>
      <w:r w:rsidRPr="00776407">
        <w:rPr>
          <w:rFonts w:eastAsia="Calibri"/>
          <w:b/>
          <w:sz w:val="22"/>
          <w:szCs w:val="22"/>
        </w:rPr>
        <w:t>.</w:t>
      </w:r>
      <w:r w:rsidRPr="00776407">
        <w:rPr>
          <w:rFonts w:eastAsia="Calibri"/>
          <w:sz w:val="22"/>
          <w:szCs w:val="22"/>
        </w:rPr>
        <w:t xml:space="preserve"> </w:t>
      </w:r>
    </w:p>
    <w:p w14:paraId="18602C58" w14:textId="77777777" w:rsidR="009739FE" w:rsidRPr="00776407" w:rsidRDefault="009739FE" w:rsidP="00A877B5">
      <w:pPr>
        <w:autoSpaceDE w:val="0"/>
        <w:autoSpaceDN w:val="0"/>
        <w:adjustRightInd w:val="0"/>
        <w:rPr>
          <w:rFonts w:eastAsia="Calibri"/>
          <w:b/>
          <w:bCs/>
          <w:sz w:val="22"/>
          <w:szCs w:val="22"/>
        </w:rPr>
      </w:pPr>
    </w:p>
    <w:p w14:paraId="3C91E6F0"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Dažni</w:t>
      </w:r>
      <w:r w:rsidR="009739FE" w:rsidRPr="00776407">
        <w:rPr>
          <w:rFonts w:eastAsia="Calibri"/>
          <w:b/>
          <w:bCs/>
          <w:sz w:val="22"/>
          <w:szCs w:val="22"/>
        </w:rPr>
        <w:t xml:space="preserve"> </w:t>
      </w:r>
      <w:r w:rsidR="009739FE" w:rsidRPr="00776407">
        <w:rPr>
          <w:rFonts w:eastAsia="Calibri"/>
          <w:bCs/>
          <w:sz w:val="22"/>
          <w:szCs w:val="22"/>
        </w:rPr>
        <w:t>(gali pasireikšti iki 1 iš 10 žmonių)</w:t>
      </w:r>
      <w:r w:rsidRPr="00776407">
        <w:rPr>
          <w:rFonts w:eastAsia="Calibri"/>
          <w:bCs/>
          <w:sz w:val="22"/>
          <w:szCs w:val="22"/>
        </w:rPr>
        <w:t>:</w:t>
      </w:r>
      <w:r w:rsidRPr="00776407">
        <w:rPr>
          <w:rFonts w:eastAsia="Calibri"/>
          <w:b/>
          <w:bCs/>
          <w:sz w:val="22"/>
          <w:szCs w:val="22"/>
        </w:rPr>
        <w:t xml:space="preserve"> </w:t>
      </w:r>
    </w:p>
    <w:p w14:paraId="44555D27"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Anoreksija, sumažėjęs kūno svoris, sutrikęs skonio jutimas. </w:t>
      </w:r>
    </w:p>
    <w:p w14:paraId="19E38473"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Galvos svaigimas, silpnumas. </w:t>
      </w:r>
    </w:p>
    <w:p w14:paraId="485CFD1A"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Sunkumas užmigti (nemiga). </w:t>
      </w:r>
    </w:p>
    <w:p w14:paraId="3266B9AB"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Išskyros iš akies kartu su niežuliu, paraudimu ir patinimu (konjunktyvitas), ašarojimas, neryškus matymas. </w:t>
      </w:r>
    </w:p>
    <w:p w14:paraId="29EDAC30"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Kraujavimas iš nosies. </w:t>
      </w:r>
    </w:p>
    <w:p w14:paraId="1DF389D4"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Pilvo skausmas ar patinimas, vidurių pūtimas, rėmuo, vidurių užkietėjimas. </w:t>
      </w:r>
    </w:p>
    <w:p w14:paraId="22FB3C12"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Niež</w:t>
      </w:r>
      <w:r w:rsidR="002C6FB7" w:rsidRPr="00776407">
        <w:rPr>
          <w:rFonts w:eastAsia="Calibri"/>
          <w:sz w:val="22"/>
          <w:szCs w:val="22"/>
        </w:rPr>
        <w:t>ėjimas</w:t>
      </w:r>
      <w:r w:rsidRPr="00776407">
        <w:rPr>
          <w:rFonts w:eastAsia="Calibri"/>
          <w:sz w:val="22"/>
          <w:szCs w:val="22"/>
        </w:rPr>
        <w:t xml:space="preserve">. </w:t>
      </w:r>
    </w:p>
    <w:p w14:paraId="1B3C3EE8"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Neįprastas plaukų slinkimas ar plonėjimas. </w:t>
      </w:r>
    </w:p>
    <w:p w14:paraId="7145FEE1"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Plaštakų ar pėdų tirpimas. </w:t>
      </w:r>
    </w:p>
    <w:p w14:paraId="254FEB36"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Burnos išopėjimas. </w:t>
      </w:r>
    </w:p>
    <w:p w14:paraId="05FF38A2"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Sąnarių skausmas ir patinimas. </w:t>
      </w:r>
    </w:p>
    <w:p w14:paraId="2B2C534E"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Burnos, odos ar akių džiūvimas. </w:t>
      </w:r>
    </w:p>
    <w:p w14:paraId="5E849081" w14:textId="77777777" w:rsidR="00A877B5" w:rsidRPr="00776407" w:rsidRDefault="00A877B5"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Sumažėjęs arba padidėjęs odos jautrumas. </w:t>
      </w:r>
    </w:p>
    <w:p w14:paraId="1EA89568" w14:textId="77777777" w:rsidR="00A877B5" w:rsidRPr="00776407" w:rsidRDefault="00A877B5" w:rsidP="00864BE6">
      <w:pPr>
        <w:pStyle w:val="Listenabsatz"/>
        <w:numPr>
          <w:ilvl w:val="0"/>
          <w:numId w:val="1"/>
        </w:numPr>
        <w:autoSpaceDE w:val="0"/>
        <w:autoSpaceDN w:val="0"/>
        <w:adjustRightInd w:val="0"/>
        <w:ind w:left="567" w:hanging="567"/>
        <w:rPr>
          <w:rFonts w:eastAsia="Calibri"/>
          <w:sz w:val="22"/>
          <w:szCs w:val="22"/>
        </w:rPr>
      </w:pPr>
      <w:r w:rsidRPr="00776407">
        <w:rPr>
          <w:rFonts w:eastAsia="Calibri"/>
          <w:sz w:val="22"/>
          <w:szCs w:val="22"/>
        </w:rPr>
        <w:t xml:space="preserve">Karščio pylimai, drebulys, naktinis prakaitavimas. </w:t>
      </w:r>
    </w:p>
    <w:p w14:paraId="447889E0" w14:textId="77777777" w:rsidR="00A877B5" w:rsidRPr="00776407" w:rsidRDefault="00A877B5" w:rsidP="00667829">
      <w:pPr>
        <w:autoSpaceDE w:val="0"/>
        <w:autoSpaceDN w:val="0"/>
        <w:adjustRightInd w:val="0"/>
        <w:rPr>
          <w:rFonts w:eastAsia="Calibri"/>
          <w:sz w:val="22"/>
          <w:szCs w:val="22"/>
        </w:rPr>
      </w:pPr>
    </w:p>
    <w:p w14:paraId="5F4E4112" w14:textId="77777777" w:rsidR="00A877B5" w:rsidRPr="00776407" w:rsidRDefault="00A877B5" w:rsidP="00274096">
      <w:pPr>
        <w:autoSpaceDE w:val="0"/>
        <w:autoSpaceDN w:val="0"/>
        <w:adjustRightInd w:val="0"/>
        <w:rPr>
          <w:rFonts w:ascii="Arial" w:eastAsia="Calibri" w:hAnsi="Arial" w:cs="Arial"/>
          <w:sz w:val="16"/>
          <w:szCs w:val="16"/>
        </w:rPr>
      </w:pPr>
      <w:r w:rsidRPr="00776407">
        <w:rPr>
          <w:rFonts w:eastAsia="Calibri"/>
          <w:sz w:val="22"/>
          <w:szCs w:val="22"/>
        </w:rPr>
        <w:t xml:space="preserve">Jei bet kuris iš šių </w:t>
      </w:r>
      <w:r w:rsidR="002C6FB7" w:rsidRPr="00776407">
        <w:rPr>
          <w:rFonts w:eastAsia="Calibri"/>
          <w:sz w:val="22"/>
          <w:szCs w:val="22"/>
        </w:rPr>
        <w:t>poveikių</w:t>
      </w:r>
      <w:r w:rsidRPr="00776407">
        <w:rPr>
          <w:rFonts w:eastAsia="Calibri"/>
          <w:sz w:val="22"/>
          <w:szCs w:val="22"/>
        </w:rPr>
        <w:t xml:space="preserve"> tampa sunkiu, </w:t>
      </w:r>
      <w:r w:rsidRPr="00776407">
        <w:rPr>
          <w:rFonts w:eastAsia="Calibri"/>
          <w:b/>
          <w:bCs/>
          <w:sz w:val="22"/>
          <w:szCs w:val="22"/>
        </w:rPr>
        <w:t>pasakykite gydytojui</w:t>
      </w:r>
      <w:r w:rsidRPr="00776407">
        <w:rPr>
          <w:rFonts w:eastAsia="Calibri"/>
          <w:b/>
          <w:sz w:val="22"/>
          <w:szCs w:val="22"/>
        </w:rPr>
        <w:t>.</w:t>
      </w:r>
    </w:p>
    <w:p w14:paraId="5823428E" w14:textId="77777777" w:rsidR="00A877B5" w:rsidRPr="00776407" w:rsidRDefault="00A877B5" w:rsidP="003D045A">
      <w:pPr>
        <w:autoSpaceDE w:val="0"/>
        <w:autoSpaceDN w:val="0"/>
        <w:adjustRightInd w:val="0"/>
        <w:rPr>
          <w:rFonts w:eastAsia="Calibri"/>
        </w:rPr>
      </w:pPr>
    </w:p>
    <w:p w14:paraId="5BBD1475" w14:textId="77777777" w:rsidR="00A877B5" w:rsidRPr="00776407" w:rsidRDefault="00A877B5" w:rsidP="00E93356">
      <w:pPr>
        <w:autoSpaceDE w:val="0"/>
        <w:autoSpaceDN w:val="0"/>
        <w:adjustRightInd w:val="0"/>
        <w:rPr>
          <w:rFonts w:eastAsia="Calibri"/>
          <w:sz w:val="22"/>
          <w:szCs w:val="22"/>
        </w:rPr>
      </w:pPr>
      <w:r w:rsidRPr="00776407">
        <w:rPr>
          <w:rFonts w:eastAsia="Calibri"/>
          <w:b/>
          <w:bCs/>
          <w:sz w:val="22"/>
          <w:szCs w:val="22"/>
        </w:rPr>
        <w:t xml:space="preserve">Šalutiniai </w:t>
      </w:r>
      <w:r w:rsidR="002C6FB7" w:rsidRPr="00776407">
        <w:rPr>
          <w:rFonts w:eastAsia="Calibri"/>
          <w:b/>
          <w:bCs/>
          <w:sz w:val="22"/>
          <w:szCs w:val="22"/>
        </w:rPr>
        <w:t>poveikiai</w:t>
      </w:r>
      <w:r w:rsidRPr="00776407">
        <w:rPr>
          <w:rFonts w:eastAsia="Calibri"/>
          <w:b/>
          <w:bCs/>
          <w:sz w:val="22"/>
          <w:szCs w:val="22"/>
        </w:rPr>
        <w:t>, kurių dažnis nežinomas</w:t>
      </w:r>
      <w:r w:rsidR="009739FE" w:rsidRPr="00776407">
        <w:rPr>
          <w:rFonts w:eastAsia="Calibri"/>
          <w:b/>
          <w:bCs/>
          <w:sz w:val="22"/>
          <w:szCs w:val="22"/>
        </w:rPr>
        <w:t xml:space="preserve"> </w:t>
      </w:r>
      <w:r w:rsidR="009739FE" w:rsidRPr="00776407">
        <w:rPr>
          <w:rFonts w:eastAsia="Calibri"/>
          <w:bCs/>
          <w:sz w:val="22"/>
          <w:szCs w:val="22"/>
        </w:rPr>
        <w:t xml:space="preserve">(negali būti </w:t>
      </w:r>
      <w:r w:rsidR="002C6FB7" w:rsidRPr="00776407">
        <w:rPr>
          <w:rFonts w:eastAsia="Calibri"/>
          <w:bCs/>
          <w:sz w:val="22"/>
          <w:szCs w:val="22"/>
        </w:rPr>
        <w:t>apskaičiuotas</w:t>
      </w:r>
      <w:r w:rsidR="009739FE" w:rsidRPr="00776407">
        <w:rPr>
          <w:rFonts w:eastAsia="Calibri"/>
          <w:bCs/>
          <w:sz w:val="22"/>
          <w:szCs w:val="22"/>
        </w:rPr>
        <w:t xml:space="preserve"> pagal turimus duomenis)</w:t>
      </w:r>
      <w:r w:rsidRPr="00776407">
        <w:rPr>
          <w:rFonts w:eastAsia="Calibri"/>
          <w:bCs/>
          <w:sz w:val="22"/>
          <w:szCs w:val="22"/>
        </w:rPr>
        <w:t>:</w:t>
      </w:r>
      <w:r w:rsidRPr="00776407">
        <w:rPr>
          <w:rFonts w:eastAsia="Calibri"/>
          <w:b/>
          <w:bCs/>
          <w:sz w:val="22"/>
          <w:szCs w:val="22"/>
        </w:rPr>
        <w:t xml:space="preserve"> </w:t>
      </w:r>
    </w:p>
    <w:p w14:paraId="7FC6A24B" w14:textId="77777777" w:rsidR="00A877B5" w:rsidRPr="00776407" w:rsidRDefault="00A877B5" w:rsidP="00864BE6">
      <w:pPr>
        <w:pStyle w:val="Listenabsatz"/>
        <w:numPr>
          <w:ilvl w:val="0"/>
          <w:numId w:val="1"/>
        </w:numPr>
        <w:autoSpaceDE w:val="0"/>
        <w:autoSpaceDN w:val="0"/>
        <w:adjustRightInd w:val="0"/>
        <w:spacing w:after="35"/>
        <w:ind w:hanging="720"/>
        <w:rPr>
          <w:rFonts w:eastAsia="Calibri"/>
          <w:sz w:val="22"/>
          <w:szCs w:val="22"/>
        </w:rPr>
      </w:pPr>
      <w:r w:rsidRPr="00776407">
        <w:rPr>
          <w:rFonts w:eastAsia="Calibri"/>
          <w:sz w:val="22"/>
          <w:szCs w:val="22"/>
        </w:rPr>
        <w:t xml:space="preserve">Delnų ir padų paraudimas ir (arba) patinimas, kurie gali pasireikšti kartu su dilgčiojimo pojūčiu ir deginančiu skausmu. </w:t>
      </w:r>
    </w:p>
    <w:p w14:paraId="024D16A1" w14:textId="77777777" w:rsidR="00D47212" w:rsidRPr="00776407" w:rsidRDefault="00D47212" w:rsidP="00864BE6">
      <w:pPr>
        <w:pStyle w:val="Listenabsatz"/>
        <w:numPr>
          <w:ilvl w:val="0"/>
          <w:numId w:val="1"/>
        </w:numPr>
        <w:autoSpaceDE w:val="0"/>
        <w:autoSpaceDN w:val="0"/>
        <w:adjustRightInd w:val="0"/>
        <w:spacing w:after="35"/>
        <w:ind w:hanging="720"/>
        <w:rPr>
          <w:rFonts w:eastAsia="Calibri"/>
          <w:sz w:val="22"/>
          <w:szCs w:val="22"/>
        </w:rPr>
      </w:pPr>
      <w:r w:rsidRPr="00776407">
        <w:rPr>
          <w:rFonts w:eastAsia="Calibri"/>
          <w:sz w:val="22"/>
          <w:szCs w:val="22"/>
        </w:rPr>
        <w:t>Skausming</w:t>
      </w:r>
      <w:r w:rsidR="00525167" w:rsidRPr="00776407">
        <w:rPr>
          <w:rFonts w:eastAsia="Calibri"/>
          <w:sz w:val="22"/>
          <w:szCs w:val="22"/>
        </w:rPr>
        <w:t>i</w:t>
      </w:r>
      <w:r w:rsidRPr="00776407">
        <w:rPr>
          <w:rFonts w:eastAsia="Calibri"/>
          <w:sz w:val="22"/>
          <w:szCs w:val="22"/>
        </w:rPr>
        <w:t xml:space="preserve"> ir (arba) pūslin</w:t>
      </w:r>
      <w:r w:rsidR="00525167" w:rsidRPr="00776407">
        <w:rPr>
          <w:rFonts w:eastAsia="Calibri"/>
          <w:sz w:val="22"/>
          <w:szCs w:val="22"/>
        </w:rPr>
        <w:t>iai</w:t>
      </w:r>
      <w:r w:rsidRPr="00776407">
        <w:rPr>
          <w:rFonts w:eastAsia="Calibri"/>
          <w:sz w:val="22"/>
          <w:szCs w:val="22"/>
        </w:rPr>
        <w:t xml:space="preserve"> odos paž</w:t>
      </w:r>
      <w:r w:rsidR="00525167" w:rsidRPr="00776407">
        <w:rPr>
          <w:rFonts w:eastAsia="Calibri"/>
          <w:sz w:val="22"/>
          <w:szCs w:val="22"/>
        </w:rPr>
        <w:t>eidimai</w:t>
      </w:r>
      <w:r w:rsidRPr="00776407">
        <w:rPr>
          <w:rFonts w:eastAsia="Calibri"/>
          <w:sz w:val="22"/>
          <w:szCs w:val="22"/>
        </w:rPr>
        <w:t>.</w:t>
      </w:r>
    </w:p>
    <w:p w14:paraId="6269C9DF" w14:textId="77777777" w:rsidR="00A877B5" w:rsidRPr="00776407" w:rsidRDefault="00A877B5"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 xml:space="preserve">Sulėtėjęs vaikų ir paauglių augimas. </w:t>
      </w:r>
    </w:p>
    <w:p w14:paraId="0F725060" w14:textId="77777777" w:rsidR="00A877B5" w:rsidRPr="00776407" w:rsidRDefault="00A877B5" w:rsidP="00864BE6">
      <w:pPr>
        <w:numPr>
          <w:ilvl w:val="0"/>
          <w:numId w:val="1"/>
        </w:numPr>
        <w:autoSpaceDE w:val="0"/>
        <w:autoSpaceDN w:val="0"/>
        <w:adjustRightInd w:val="0"/>
        <w:ind w:left="851" w:hanging="851"/>
        <w:rPr>
          <w:rFonts w:eastAsia="Calibri"/>
          <w:sz w:val="22"/>
          <w:szCs w:val="22"/>
        </w:rPr>
      </w:pPr>
      <w:r w:rsidRPr="00776407">
        <w:rPr>
          <w:rFonts w:eastAsia="Calibri"/>
          <w:sz w:val="22"/>
          <w:szCs w:val="22"/>
        </w:rPr>
        <w:t xml:space="preserve">Jei bet kuris iš šių </w:t>
      </w:r>
      <w:r w:rsidR="002C6FB7" w:rsidRPr="00776407">
        <w:rPr>
          <w:rFonts w:eastAsia="Calibri"/>
          <w:sz w:val="22"/>
          <w:szCs w:val="22"/>
        </w:rPr>
        <w:t>poveikių</w:t>
      </w:r>
      <w:r w:rsidRPr="00776407">
        <w:rPr>
          <w:rFonts w:eastAsia="Calibri"/>
          <w:sz w:val="22"/>
          <w:szCs w:val="22"/>
        </w:rPr>
        <w:t xml:space="preserve"> tampa sunkiu, </w:t>
      </w:r>
      <w:r w:rsidRPr="00776407">
        <w:rPr>
          <w:rFonts w:eastAsia="Calibri"/>
          <w:b/>
          <w:bCs/>
          <w:sz w:val="22"/>
          <w:szCs w:val="22"/>
        </w:rPr>
        <w:t>pasakykite gydytojui</w:t>
      </w:r>
      <w:r w:rsidRPr="00776407">
        <w:rPr>
          <w:rFonts w:eastAsia="Calibri"/>
          <w:sz w:val="22"/>
          <w:szCs w:val="22"/>
        </w:rPr>
        <w:t xml:space="preserve">. </w:t>
      </w:r>
    </w:p>
    <w:p w14:paraId="2F822D9F" w14:textId="77777777" w:rsidR="009739FE" w:rsidRPr="00776407" w:rsidRDefault="009739FE" w:rsidP="00A877B5">
      <w:pPr>
        <w:autoSpaceDE w:val="0"/>
        <w:autoSpaceDN w:val="0"/>
        <w:adjustRightInd w:val="0"/>
        <w:rPr>
          <w:rFonts w:eastAsia="Calibri"/>
          <w:b/>
          <w:bCs/>
          <w:sz w:val="22"/>
          <w:szCs w:val="22"/>
        </w:rPr>
      </w:pPr>
    </w:p>
    <w:p w14:paraId="301CEFD3" w14:textId="77777777" w:rsidR="00893547" w:rsidRPr="00776407" w:rsidRDefault="00893547" w:rsidP="00893547">
      <w:pPr>
        <w:rPr>
          <w:b/>
          <w:sz w:val="22"/>
          <w:szCs w:val="22"/>
        </w:rPr>
      </w:pPr>
      <w:r w:rsidRPr="00776407">
        <w:rPr>
          <w:b/>
          <w:sz w:val="22"/>
          <w:szCs w:val="22"/>
        </w:rPr>
        <w:t>Pranešimas apie šalutinį poveikį</w:t>
      </w:r>
    </w:p>
    <w:p w14:paraId="61293AEE" w14:textId="77777777" w:rsidR="009739FE" w:rsidRPr="00776407" w:rsidRDefault="00893547" w:rsidP="00A877B5">
      <w:pPr>
        <w:autoSpaceDE w:val="0"/>
        <w:autoSpaceDN w:val="0"/>
        <w:adjustRightInd w:val="0"/>
        <w:rPr>
          <w:rFonts w:eastAsia="Calibri"/>
          <w:b/>
          <w:bCs/>
          <w:sz w:val="22"/>
          <w:szCs w:val="22"/>
        </w:rPr>
      </w:pPr>
      <w:r w:rsidRPr="00776407">
        <w:rPr>
          <w:sz w:val="22"/>
          <w:szCs w:val="22"/>
        </w:rPr>
        <w:t xml:space="preserve">Jeigu pasireiškė šalutinis poveikis, įskaitant šiame lapelyje nenurodytą, pasakykite gydytojui, vaistininkui arba slaugytojai. Apie šalutinį poveikį taip pat galite pranešti tiesiogiai naudodamiesi </w:t>
      </w:r>
      <w:hyperlink r:id="rId16" w:history="1">
        <w:r w:rsidR="00192A97" w:rsidRPr="00776407">
          <w:rPr>
            <w:rFonts w:eastAsia="Calibri"/>
            <w:color w:val="0000FF"/>
            <w:sz w:val="22"/>
            <w:szCs w:val="22"/>
            <w:highlight w:val="lightGray"/>
            <w:u w:val="single"/>
          </w:rPr>
          <w:t>V priede</w:t>
        </w:r>
      </w:hyperlink>
      <w:r w:rsidRPr="00776407">
        <w:rPr>
          <w:sz w:val="22"/>
          <w:szCs w:val="22"/>
          <w:highlight w:val="lightGray"/>
        </w:rPr>
        <w:t xml:space="preserve"> nurodyta nacionaline pranešimo sistema</w:t>
      </w:r>
      <w:r w:rsidRPr="00776407">
        <w:rPr>
          <w:sz w:val="22"/>
          <w:szCs w:val="22"/>
        </w:rPr>
        <w:t>. Pranešdami apie šalutinį poveikį galite mums padėti gauti daugiau informacijos apie šio vaisto saugumą.</w:t>
      </w:r>
    </w:p>
    <w:p w14:paraId="05C6AF08" w14:textId="77777777" w:rsidR="009739FE" w:rsidRPr="00776407" w:rsidRDefault="009739FE" w:rsidP="00A877B5">
      <w:pPr>
        <w:autoSpaceDE w:val="0"/>
        <w:autoSpaceDN w:val="0"/>
        <w:adjustRightInd w:val="0"/>
        <w:rPr>
          <w:rFonts w:eastAsia="Calibri"/>
          <w:sz w:val="22"/>
          <w:szCs w:val="22"/>
        </w:rPr>
      </w:pPr>
    </w:p>
    <w:p w14:paraId="32356EF8" w14:textId="77777777" w:rsidR="004E0A19" w:rsidRPr="00776407" w:rsidRDefault="004E0A19" w:rsidP="00A877B5">
      <w:pPr>
        <w:autoSpaceDE w:val="0"/>
        <w:autoSpaceDN w:val="0"/>
        <w:adjustRightInd w:val="0"/>
        <w:rPr>
          <w:rFonts w:eastAsia="Calibri"/>
          <w:sz w:val="22"/>
          <w:szCs w:val="22"/>
        </w:rPr>
      </w:pPr>
    </w:p>
    <w:p w14:paraId="46EEE840" w14:textId="77777777" w:rsidR="00A877B5" w:rsidRPr="00776407" w:rsidRDefault="00A877B5" w:rsidP="00864BE6">
      <w:pPr>
        <w:pStyle w:val="Listenabsatz"/>
        <w:numPr>
          <w:ilvl w:val="0"/>
          <w:numId w:val="6"/>
        </w:numPr>
        <w:autoSpaceDE w:val="0"/>
        <w:autoSpaceDN w:val="0"/>
        <w:adjustRightInd w:val="0"/>
        <w:ind w:left="567" w:hanging="567"/>
        <w:rPr>
          <w:rFonts w:eastAsia="Calibri"/>
          <w:b/>
          <w:sz w:val="22"/>
          <w:szCs w:val="22"/>
        </w:rPr>
      </w:pPr>
      <w:r w:rsidRPr="00776407">
        <w:rPr>
          <w:rFonts w:eastAsia="Calibri"/>
          <w:b/>
          <w:bCs/>
          <w:sz w:val="22"/>
          <w:szCs w:val="22"/>
        </w:rPr>
        <w:t xml:space="preserve">Kaip laikyti Imatinib Actavis </w:t>
      </w:r>
    </w:p>
    <w:p w14:paraId="5650B604" w14:textId="77777777" w:rsidR="009739FE" w:rsidRPr="00776407" w:rsidRDefault="009739FE" w:rsidP="00A877B5">
      <w:pPr>
        <w:autoSpaceDE w:val="0"/>
        <w:autoSpaceDN w:val="0"/>
        <w:adjustRightInd w:val="0"/>
        <w:spacing w:after="38"/>
        <w:rPr>
          <w:rFonts w:eastAsia="Calibri"/>
          <w:sz w:val="22"/>
          <w:szCs w:val="22"/>
        </w:rPr>
      </w:pPr>
    </w:p>
    <w:p w14:paraId="71639E54" w14:textId="77777777" w:rsidR="00A877B5" w:rsidRPr="00776407" w:rsidRDefault="00A877B5" w:rsidP="00A877B5">
      <w:pPr>
        <w:autoSpaceDE w:val="0"/>
        <w:autoSpaceDN w:val="0"/>
        <w:adjustRightInd w:val="0"/>
        <w:spacing w:after="38"/>
        <w:rPr>
          <w:rFonts w:eastAsia="Calibri"/>
          <w:sz w:val="22"/>
          <w:szCs w:val="22"/>
        </w:rPr>
      </w:pPr>
      <w:r w:rsidRPr="00776407">
        <w:rPr>
          <w:rFonts w:eastAsia="Calibri"/>
          <w:sz w:val="22"/>
          <w:szCs w:val="22"/>
        </w:rPr>
        <w:t xml:space="preserve">Šį vaistą laikykite vaikams nepastebimoje ir nepasiekiamoje vietoje. </w:t>
      </w:r>
    </w:p>
    <w:p w14:paraId="15BDE56B" w14:textId="77777777" w:rsidR="00FC4878" w:rsidRPr="00776407" w:rsidRDefault="00A877B5" w:rsidP="00FC4878">
      <w:pPr>
        <w:rPr>
          <w:sz w:val="22"/>
          <w:szCs w:val="22"/>
        </w:rPr>
      </w:pPr>
      <w:r w:rsidRPr="00776407">
        <w:rPr>
          <w:rFonts w:eastAsia="Calibri"/>
          <w:sz w:val="22"/>
          <w:szCs w:val="22"/>
        </w:rPr>
        <w:t xml:space="preserve">Ant dėžutės </w:t>
      </w:r>
      <w:r w:rsidR="009739FE" w:rsidRPr="00776407">
        <w:rPr>
          <w:rFonts w:eastAsia="Calibri"/>
          <w:sz w:val="22"/>
          <w:szCs w:val="22"/>
        </w:rPr>
        <w:t xml:space="preserve">ir lizdinės plokštelės po </w:t>
      </w:r>
      <w:r w:rsidR="003D0667" w:rsidRPr="00776407">
        <w:rPr>
          <w:rFonts w:eastAsia="Calibri"/>
          <w:sz w:val="22"/>
          <w:szCs w:val="22"/>
        </w:rPr>
        <w:t>„</w:t>
      </w:r>
      <w:r w:rsidR="009739FE" w:rsidRPr="00776407">
        <w:rPr>
          <w:rFonts w:eastAsia="Calibri"/>
          <w:sz w:val="22"/>
          <w:szCs w:val="22"/>
        </w:rPr>
        <w:t>EXP</w:t>
      </w:r>
      <w:r w:rsidR="003D0667" w:rsidRPr="00776407">
        <w:rPr>
          <w:rFonts w:eastAsia="Calibri"/>
          <w:sz w:val="22"/>
          <w:szCs w:val="22"/>
        </w:rPr>
        <w:t>“</w:t>
      </w:r>
      <w:r w:rsidR="009739FE" w:rsidRPr="00776407">
        <w:rPr>
          <w:rFonts w:eastAsia="Calibri"/>
          <w:sz w:val="22"/>
          <w:szCs w:val="22"/>
        </w:rPr>
        <w:t xml:space="preserve"> </w:t>
      </w:r>
      <w:r w:rsidRPr="00776407">
        <w:rPr>
          <w:rFonts w:eastAsia="Calibri"/>
          <w:sz w:val="22"/>
          <w:szCs w:val="22"/>
        </w:rPr>
        <w:t xml:space="preserve">nurodytam tinkamumo laikui pasibaigus, šio vaisto vartoti negalima. </w:t>
      </w:r>
      <w:r w:rsidR="00FC4878" w:rsidRPr="00776407">
        <w:rPr>
          <w:sz w:val="22"/>
          <w:szCs w:val="22"/>
        </w:rPr>
        <w:t>Vaistas tinka</w:t>
      </w:r>
      <w:r w:rsidR="00BC3DAD" w:rsidRPr="00776407">
        <w:rPr>
          <w:sz w:val="22"/>
          <w:szCs w:val="22"/>
        </w:rPr>
        <w:t>mas</w:t>
      </w:r>
      <w:r w:rsidR="00FC4878" w:rsidRPr="00776407">
        <w:rPr>
          <w:sz w:val="22"/>
          <w:szCs w:val="22"/>
        </w:rPr>
        <w:t xml:space="preserve"> vartoti iki paskutinės nurodyto mėnesio dienos.</w:t>
      </w:r>
    </w:p>
    <w:p w14:paraId="3116F8BD" w14:textId="77777777" w:rsidR="00A877B5" w:rsidRPr="00776407" w:rsidRDefault="00A877B5" w:rsidP="00A877B5">
      <w:pPr>
        <w:autoSpaceDE w:val="0"/>
        <w:autoSpaceDN w:val="0"/>
        <w:adjustRightInd w:val="0"/>
        <w:spacing w:after="38"/>
        <w:rPr>
          <w:rFonts w:eastAsia="Calibri"/>
          <w:sz w:val="22"/>
          <w:szCs w:val="22"/>
        </w:rPr>
      </w:pPr>
      <w:r w:rsidRPr="00776407">
        <w:rPr>
          <w:rFonts w:eastAsia="Calibri"/>
          <w:sz w:val="22"/>
          <w:szCs w:val="22"/>
        </w:rPr>
        <w:t xml:space="preserve">Laikyti ne aukštesnėje kaip </w:t>
      </w:r>
      <w:r w:rsidR="00BC75A7" w:rsidRPr="00776407">
        <w:rPr>
          <w:sz w:val="22"/>
          <w:szCs w:val="22"/>
        </w:rPr>
        <w:t>25</w:t>
      </w:r>
      <w:r w:rsidR="00121DA9" w:rsidRPr="00776407">
        <w:rPr>
          <w:sz w:val="22"/>
          <w:szCs w:val="22"/>
        </w:rPr>
        <w:t> </w:t>
      </w:r>
      <w:r w:rsidR="009739FE" w:rsidRPr="00776407">
        <w:rPr>
          <w:sz w:val="22"/>
          <w:szCs w:val="22"/>
        </w:rPr>
        <w:t>°C</w:t>
      </w:r>
      <w:r w:rsidR="009739FE" w:rsidRPr="00776407">
        <w:rPr>
          <w:rFonts w:eastAsia="Calibri"/>
          <w:sz w:val="22"/>
          <w:szCs w:val="22"/>
        </w:rPr>
        <w:t xml:space="preserve"> </w:t>
      </w:r>
      <w:r w:rsidRPr="00776407">
        <w:rPr>
          <w:rFonts w:eastAsia="Calibri"/>
          <w:sz w:val="22"/>
          <w:szCs w:val="22"/>
        </w:rPr>
        <w:t xml:space="preserve">temperatūroje. </w:t>
      </w:r>
    </w:p>
    <w:p w14:paraId="59512D58" w14:textId="77777777" w:rsidR="00A877B5" w:rsidRPr="00776407" w:rsidRDefault="00A877B5" w:rsidP="00A877B5">
      <w:pPr>
        <w:autoSpaceDE w:val="0"/>
        <w:autoSpaceDN w:val="0"/>
        <w:adjustRightInd w:val="0"/>
        <w:spacing w:after="38"/>
        <w:rPr>
          <w:rFonts w:eastAsia="Calibri"/>
          <w:sz w:val="22"/>
          <w:szCs w:val="22"/>
        </w:rPr>
      </w:pPr>
      <w:r w:rsidRPr="00776407">
        <w:rPr>
          <w:rFonts w:eastAsia="Calibri"/>
          <w:sz w:val="22"/>
          <w:szCs w:val="22"/>
        </w:rPr>
        <w:t xml:space="preserve">Laikyti gamintojo pakuotėje, kad preparatas būtų apsaugotas nuo drėgmės. </w:t>
      </w:r>
    </w:p>
    <w:p w14:paraId="1A457C23" w14:textId="77777777" w:rsidR="00A877B5" w:rsidRPr="00776407" w:rsidRDefault="00A877B5" w:rsidP="00A877B5">
      <w:pPr>
        <w:autoSpaceDE w:val="0"/>
        <w:autoSpaceDN w:val="0"/>
        <w:adjustRightInd w:val="0"/>
        <w:rPr>
          <w:rFonts w:eastAsia="Calibri"/>
          <w:sz w:val="22"/>
          <w:szCs w:val="22"/>
        </w:rPr>
      </w:pPr>
      <w:r w:rsidRPr="00776407">
        <w:rPr>
          <w:rFonts w:eastAsia="Calibri"/>
          <w:sz w:val="22"/>
          <w:szCs w:val="22"/>
        </w:rPr>
        <w:t xml:space="preserve">Negalima vartoti vaisto iš pakuotės, kuri yra pažeista ar yra sugedimo požymių. </w:t>
      </w:r>
    </w:p>
    <w:p w14:paraId="76B80528" w14:textId="77777777" w:rsidR="00A877B5" w:rsidRPr="00776407" w:rsidRDefault="009739FE" w:rsidP="00A877B5">
      <w:pPr>
        <w:autoSpaceDE w:val="0"/>
        <w:autoSpaceDN w:val="0"/>
        <w:adjustRightInd w:val="0"/>
        <w:rPr>
          <w:rFonts w:eastAsia="Calibri"/>
          <w:sz w:val="22"/>
          <w:szCs w:val="22"/>
        </w:rPr>
      </w:pPr>
      <w:r w:rsidRPr="00776407">
        <w:rPr>
          <w:sz w:val="22"/>
          <w:szCs w:val="22"/>
        </w:rPr>
        <w:t>Vaistų negalima išmesti į kanalizaciją arba su buitinėmis atliekomis. Kaip išmesti nereikalingus vaistus, klauskite vaistininko. Šios priemonės padės apsaugoti aplinką.</w:t>
      </w:r>
    </w:p>
    <w:p w14:paraId="0CAAC373" w14:textId="77777777" w:rsidR="009739FE" w:rsidRPr="00776407" w:rsidRDefault="009739FE" w:rsidP="00A877B5">
      <w:pPr>
        <w:autoSpaceDE w:val="0"/>
        <w:autoSpaceDN w:val="0"/>
        <w:adjustRightInd w:val="0"/>
        <w:rPr>
          <w:rFonts w:eastAsia="Calibri"/>
          <w:sz w:val="22"/>
          <w:szCs w:val="22"/>
        </w:rPr>
      </w:pPr>
    </w:p>
    <w:p w14:paraId="0E18C642" w14:textId="77777777" w:rsidR="00FC4878" w:rsidRPr="00776407" w:rsidRDefault="00FC4878" w:rsidP="00A877B5">
      <w:pPr>
        <w:autoSpaceDE w:val="0"/>
        <w:autoSpaceDN w:val="0"/>
        <w:adjustRightInd w:val="0"/>
        <w:rPr>
          <w:rFonts w:eastAsia="Calibri"/>
          <w:sz w:val="22"/>
          <w:szCs w:val="22"/>
        </w:rPr>
      </w:pPr>
    </w:p>
    <w:p w14:paraId="677A7D48" w14:textId="77777777" w:rsidR="00A877B5" w:rsidRPr="00776407" w:rsidRDefault="00A877B5" w:rsidP="00864BE6">
      <w:pPr>
        <w:pStyle w:val="Listenabsatz"/>
        <w:numPr>
          <w:ilvl w:val="0"/>
          <w:numId w:val="6"/>
        </w:numPr>
        <w:autoSpaceDE w:val="0"/>
        <w:autoSpaceDN w:val="0"/>
        <w:adjustRightInd w:val="0"/>
        <w:ind w:hanging="720"/>
        <w:rPr>
          <w:rFonts w:eastAsia="Calibri"/>
          <w:sz w:val="22"/>
          <w:szCs w:val="22"/>
        </w:rPr>
      </w:pPr>
      <w:r w:rsidRPr="00776407">
        <w:rPr>
          <w:rFonts w:eastAsia="Calibri"/>
          <w:b/>
          <w:bCs/>
          <w:sz w:val="22"/>
          <w:szCs w:val="22"/>
        </w:rPr>
        <w:t xml:space="preserve">Pakuotės turinys ir kita informacija </w:t>
      </w:r>
    </w:p>
    <w:p w14:paraId="612532E8" w14:textId="77777777" w:rsidR="009739FE" w:rsidRPr="00776407" w:rsidRDefault="009739FE" w:rsidP="009739FE">
      <w:pPr>
        <w:autoSpaceDE w:val="0"/>
        <w:autoSpaceDN w:val="0"/>
        <w:adjustRightInd w:val="0"/>
        <w:rPr>
          <w:rFonts w:eastAsia="Calibri"/>
          <w:sz w:val="22"/>
          <w:szCs w:val="22"/>
        </w:rPr>
      </w:pPr>
    </w:p>
    <w:p w14:paraId="6B1EE2DE" w14:textId="77777777" w:rsidR="00A877B5" w:rsidRPr="00776407" w:rsidRDefault="00A877B5" w:rsidP="00A877B5">
      <w:pPr>
        <w:autoSpaceDE w:val="0"/>
        <w:autoSpaceDN w:val="0"/>
        <w:adjustRightInd w:val="0"/>
        <w:rPr>
          <w:rFonts w:eastAsia="Calibri"/>
          <w:b/>
          <w:bCs/>
          <w:sz w:val="22"/>
          <w:szCs w:val="22"/>
        </w:rPr>
      </w:pPr>
      <w:r w:rsidRPr="00776407">
        <w:rPr>
          <w:rFonts w:eastAsia="Calibri"/>
          <w:b/>
          <w:bCs/>
          <w:sz w:val="22"/>
          <w:szCs w:val="22"/>
        </w:rPr>
        <w:t xml:space="preserve">Imatinib Actavis sudėtis </w:t>
      </w:r>
    </w:p>
    <w:p w14:paraId="1AF250C4" w14:textId="77777777" w:rsidR="00A877B5" w:rsidRPr="00776407" w:rsidRDefault="00696E01" w:rsidP="00696E01">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r>
      <w:r w:rsidR="00A877B5" w:rsidRPr="00776407">
        <w:rPr>
          <w:rFonts w:eastAsia="Calibri"/>
          <w:sz w:val="22"/>
          <w:szCs w:val="22"/>
        </w:rPr>
        <w:t>Veiklioji medžiaga yra imatinibo mesilatas. Kiekvienoje kapsulėje yra 50</w:t>
      </w:r>
      <w:r w:rsidRPr="00776407">
        <w:rPr>
          <w:rFonts w:eastAsia="Calibri"/>
          <w:sz w:val="22"/>
          <w:szCs w:val="22"/>
        </w:rPr>
        <w:t> </w:t>
      </w:r>
      <w:r w:rsidR="00A877B5" w:rsidRPr="00776407">
        <w:rPr>
          <w:rFonts w:eastAsia="Calibri"/>
          <w:sz w:val="22"/>
          <w:szCs w:val="22"/>
        </w:rPr>
        <w:t>mg imatinibo (mesilato</w:t>
      </w:r>
      <w:r w:rsidR="002C6FB7" w:rsidRPr="00776407">
        <w:rPr>
          <w:rFonts w:eastAsia="Calibri"/>
          <w:sz w:val="22"/>
          <w:szCs w:val="22"/>
        </w:rPr>
        <w:t xml:space="preserve"> pavidalu</w:t>
      </w:r>
      <w:r w:rsidR="00A877B5" w:rsidRPr="00776407">
        <w:rPr>
          <w:rFonts w:eastAsia="Calibri"/>
          <w:sz w:val="22"/>
          <w:szCs w:val="22"/>
        </w:rPr>
        <w:t xml:space="preserve">). </w:t>
      </w:r>
    </w:p>
    <w:p w14:paraId="5D113B41" w14:textId="77777777" w:rsidR="00696E01" w:rsidRPr="00776407" w:rsidRDefault="00696E01" w:rsidP="00696E01">
      <w:pPr>
        <w:autoSpaceDE w:val="0"/>
        <w:autoSpaceDN w:val="0"/>
        <w:adjustRightInd w:val="0"/>
        <w:ind w:left="720" w:hanging="720"/>
        <w:rPr>
          <w:rFonts w:eastAsia="Calibri"/>
          <w:color w:val="000000"/>
          <w:sz w:val="22"/>
          <w:szCs w:val="22"/>
        </w:rPr>
      </w:pPr>
      <w:r w:rsidRPr="00776407">
        <w:rPr>
          <w:rFonts w:eastAsia="Calibri"/>
          <w:sz w:val="22"/>
          <w:szCs w:val="22"/>
        </w:rPr>
        <w:t>-</w:t>
      </w:r>
      <w:r w:rsidRPr="00776407">
        <w:rPr>
          <w:rFonts w:eastAsia="Calibri"/>
          <w:sz w:val="22"/>
          <w:szCs w:val="22"/>
        </w:rPr>
        <w:tab/>
      </w:r>
      <w:r w:rsidR="00A877B5" w:rsidRPr="00776407">
        <w:rPr>
          <w:rFonts w:eastAsia="Calibri"/>
          <w:sz w:val="22"/>
          <w:szCs w:val="22"/>
        </w:rPr>
        <w:t>Pagalbinės medžiagos yra</w:t>
      </w:r>
      <w:r w:rsidRPr="00776407">
        <w:rPr>
          <w:rFonts w:eastAsia="Calibri"/>
          <w:sz w:val="22"/>
          <w:szCs w:val="22"/>
        </w:rPr>
        <w:t>:</w:t>
      </w:r>
      <w:r w:rsidR="00A877B5" w:rsidRPr="00776407">
        <w:rPr>
          <w:rFonts w:eastAsia="Calibri"/>
          <w:sz w:val="22"/>
          <w:szCs w:val="22"/>
        </w:rPr>
        <w:t xml:space="preserve"> </w:t>
      </w:r>
      <w:r w:rsidRPr="00776407">
        <w:rPr>
          <w:rFonts w:eastAsia="Calibri"/>
          <w:sz w:val="22"/>
          <w:szCs w:val="22"/>
        </w:rPr>
        <w:t>k</w:t>
      </w:r>
      <w:r w:rsidRPr="00776407">
        <w:rPr>
          <w:rFonts w:eastAsia="Calibri"/>
          <w:color w:val="000000"/>
          <w:sz w:val="22"/>
          <w:szCs w:val="22"/>
        </w:rPr>
        <w:t>apsulės turinys: mikrokristalinė celiuliozė, kopovidonas, krospovidonas, natrio ste</w:t>
      </w:r>
      <w:r w:rsidR="0023389A" w:rsidRPr="00776407">
        <w:rPr>
          <w:rFonts w:eastAsia="Calibri"/>
          <w:color w:val="000000"/>
          <w:sz w:val="22"/>
          <w:szCs w:val="22"/>
        </w:rPr>
        <w:t>a</w:t>
      </w:r>
      <w:r w:rsidRPr="00776407">
        <w:rPr>
          <w:rFonts w:eastAsia="Calibri"/>
          <w:color w:val="000000"/>
          <w:sz w:val="22"/>
          <w:szCs w:val="22"/>
        </w:rPr>
        <w:t xml:space="preserve">rilfumaratas, koloidinis </w:t>
      </w:r>
      <w:r w:rsidR="004F6125" w:rsidRPr="00776407">
        <w:rPr>
          <w:rFonts w:eastAsia="Calibri"/>
          <w:color w:val="000000"/>
          <w:sz w:val="22"/>
          <w:szCs w:val="22"/>
        </w:rPr>
        <w:t xml:space="preserve">hidrofobinis </w:t>
      </w:r>
      <w:r w:rsidRPr="00776407">
        <w:rPr>
          <w:rFonts w:eastAsia="Calibri"/>
          <w:color w:val="000000"/>
          <w:sz w:val="22"/>
          <w:szCs w:val="22"/>
        </w:rPr>
        <w:t xml:space="preserve">silicio dioksidas, koloidinis </w:t>
      </w:r>
      <w:r w:rsidR="004F6125" w:rsidRPr="00776407">
        <w:rPr>
          <w:rFonts w:eastAsia="Calibri"/>
          <w:color w:val="000000"/>
          <w:sz w:val="22"/>
          <w:szCs w:val="22"/>
        </w:rPr>
        <w:t xml:space="preserve">bevandenis </w:t>
      </w:r>
      <w:r w:rsidRPr="00776407">
        <w:rPr>
          <w:rFonts w:eastAsia="Calibri"/>
          <w:color w:val="000000"/>
          <w:sz w:val="22"/>
          <w:szCs w:val="22"/>
        </w:rPr>
        <w:t>silicio dioksidas. Kapsulės k</w:t>
      </w:r>
      <w:r w:rsidR="004F6125" w:rsidRPr="00776407">
        <w:rPr>
          <w:rFonts w:eastAsia="Calibri"/>
          <w:color w:val="000000"/>
          <w:sz w:val="22"/>
          <w:szCs w:val="22"/>
        </w:rPr>
        <w:t>orpusas</w:t>
      </w:r>
      <w:r w:rsidRPr="00776407">
        <w:rPr>
          <w:rFonts w:eastAsia="Calibri"/>
          <w:color w:val="000000"/>
          <w:sz w:val="22"/>
          <w:szCs w:val="22"/>
        </w:rPr>
        <w:t>: hipromeliozė, titano oksidas (E171), geltonasis geležies oksidas (E172). Rašalas: šelakas, juodasis geležies oksidas (E172), propilenglikolis, amoniako tirpalas</w:t>
      </w:r>
      <w:r w:rsidR="00391C78" w:rsidRPr="00776407">
        <w:rPr>
          <w:rFonts w:eastAsia="Calibri"/>
          <w:color w:val="000000"/>
          <w:sz w:val="22"/>
          <w:szCs w:val="22"/>
        </w:rPr>
        <w:t xml:space="preserve">, </w:t>
      </w:r>
      <w:r w:rsidRPr="00776407">
        <w:rPr>
          <w:rFonts w:eastAsia="Calibri"/>
          <w:color w:val="000000"/>
          <w:sz w:val="22"/>
          <w:szCs w:val="22"/>
        </w:rPr>
        <w:t>kalio hidroksidas.</w:t>
      </w:r>
    </w:p>
    <w:p w14:paraId="791B1476" w14:textId="77777777" w:rsidR="00696E01" w:rsidRPr="00776407" w:rsidRDefault="00696E01" w:rsidP="00696E01">
      <w:pPr>
        <w:autoSpaceDE w:val="0"/>
        <w:autoSpaceDN w:val="0"/>
        <w:adjustRightInd w:val="0"/>
        <w:rPr>
          <w:rFonts w:eastAsia="Calibri"/>
          <w:color w:val="000000"/>
          <w:sz w:val="22"/>
          <w:szCs w:val="22"/>
        </w:rPr>
      </w:pPr>
    </w:p>
    <w:p w14:paraId="1EECE9A2"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Imatinib Actavis išvaizda ir kiekis pakuotėje </w:t>
      </w:r>
    </w:p>
    <w:p w14:paraId="01CB9B96" w14:textId="77777777" w:rsidR="00391C78" w:rsidRPr="00776407" w:rsidRDefault="00391C78" w:rsidP="00391C78">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Kietoji kapsulė su šviesiai geltonu dangteliu ir geltonu korpusu su užrašu juodu rašalu “50 mg”.</w:t>
      </w:r>
    </w:p>
    <w:p w14:paraId="7B1C71A7" w14:textId="77777777" w:rsidR="00391C78" w:rsidRPr="00776407" w:rsidRDefault="00391C78" w:rsidP="00391C78">
      <w:pPr>
        <w:pStyle w:val="Default"/>
        <w:rPr>
          <w:rFonts w:ascii="Times New Roman" w:hAnsi="Times New Roman" w:cs="Times New Roman"/>
          <w:color w:val="auto"/>
          <w:sz w:val="22"/>
          <w:szCs w:val="22"/>
          <w:lang w:val="lt-LT"/>
        </w:rPr>
      </w:pPr>
    </w:p>
    <w:p w14:paraId="0D40FB4D" w14:textId="77777777" w:rsidR="00391C78" w:rsidRPr="00776407" w:rsidRDefault="00391C78" w:rsidP="00391C78">
      <w:pPr>
        <w:autoSpaceDE w:val="0"/>
        <w:autoSpaceDN w:val="0"/>
        <w:adjustRightInd w:val="0"/>
        <w:rPr>
          <w:rFonts w:eastAsia="Calibri"/>
          <w:sz w:val="22"/>
          <w:szCs w:val="22"/>
        </w:rPr>
      </w:pPr>
      <w:r w:rsidRPr="00776407">
        <w:rPr>
          <w:rFonts w:eastAsia="Calibri"/>
          <w:sz w:val="22"/>
          <w:szCs w:val="22"/>
        </w:rPr>
        <w:t>Al/PVC/Aclar lizdinės plokštelės</w:t>
      </w:r>
      <w:r w:rsidR="004F6125" w:rsidRPr="00776407">
        <w:rPr>
          <w:rFonts w:eastAsia="Calibri"/>
          <w:sz w:val="22"/>
          <w:szCs w:val="22"/>
        </w:rPr>
        <w:t>.</w:t>
      </w:r>
    </w:p>
    <w:p w14:paraId="10F5651C" w14:textId="77777777" w:rsidR="00391C78" w:rsidRPr="00776407" w:rsidRDefault="00391C78" w:rsidP="00391C78">
      <w:pPr>
        <w:autoSpaceDE w:val="0"/>
        <w:autoSpaceDN w:val="0"/>
        <w:adjustRightInd w:val="0"/>
        <w:rPr>
          <w:rFonts w:eastAsia="Calibri"/>
          <w:sz w:val="22"/>
          <w:szCs w:val="22"/>
        </w:rPr>
      </w:pPr>
    </w:p>
    <w:p w14:paraId="31349620" w14:textId="77777777" w:rsidR="00391C78" w:rsidRPr="00776407" w:rsidRDefault="00391C78" w:rsidP="00391C78">
      <w:pPr>
        <w:autoSpaceDE w:val="0"/>
        <w:autoSpaceDN w:val="0"/>
        <w:adjustRightInd w:val="0"/>
        <w:rPr>
          <w:rFonts w:eastAsia="Calibri"/>
          <w:i/>
          <w:sz w:val="22"/>
          <w:szCs w:val="22"/>
        </w:rPr>
      </w:pPr>
      <w:r w:rsidRPr="00776407">
        <w:rPr>
          <w:rFonts w:eastAsia="Calibri"/>
          <w:i/>
          <w:sz w:val="22"/>
          <w:szCs w:val="22"/>
        </w:rPr>
        <w:t>Pakuočių dydžiai:</w:t>
      </w:r>
    </w:p>
    <w:p w14:paraId="497010E2" w14:textId="77777777" w:rsidR="00391C78" w:rsidRPr="00776407" w:rsidRDefault="00B53FB5" w:rsidP="00391C78">
      <w:pPr>
        <w:autoSpaceDE w:val="0"/>
        <w:autoSpaceDN w:val="0"/>
        <w:adjustRightInd w:val="0"/>
        <w:rPr>
          <w:rFonts w:eastAsia="Calibri"/>
          <w:sz w:val="22"/>
          <w:szCs w:val="22"/>
        </w:rPr>
      </w:pPr>
      <w:r w:rsidRPr="00776407">
        <w:rPr>
          <w:rFonts w:eastAsia="Calibri"/>
          <w:sz w:val="22"/>
          <w:szCs w:val="22"/>
        </w:rPr>
        <w:t xml:space="preserve">Kapsulės supakuotos į aliuminio lizdines plokšteles. </w:t>
      </w:r>
      <w:r w:rsidR="00391C78" w:rsidRPr="00776407">
        <w:rPr>
          <w:rFonts w:eastAsia="Calibri"/>
          <w:sz w:val="22"/>
          <w:szCs w:val="22"/>
        </w:rPr>
        <w:t>Pakuotėje yra 30 ar 90 kapsulių.</w:t>
      </w:r>
    </w:p>
    <w:p w14:paraId="6B447DF9" w14:textId="77777777" w:rsidR="00391C78" w:rsidRPr="00776407" w:rsidRDefault="00391C78" w:rsidP="00391C78">
      <w:pPr>
        <w:autoSpaceDE w:val="0"/>
        <w:autoSpaceDN w:val="0"/>
        <w:adjustRightInd w:val="0"/>
        <w:rPr>
          <w:rFonts w:eastAsia="Calibri"/>
          <w:sz w:val="22"/>
          <w:szCs w:val="22"/>
        </w:rPr>
      </w:pPr>
    </w:p>
    <w:p w14:paraId="3DA1AB6C" w14:textId="77777777" w:rsidR="00391C78" w:rsidRPr="00776407" w:rsidRDefault="00391C78" w:rsidP="00391C78">
      <w:pPr>
        <w:autoSpaceDE w:val="0"/>
        <w:autoSpaceDN w:val="0"/>
        <w:adjustRightInd w:val="0"/>
        <w:rPr>
          <w:rFonts w:eastAsia="Calibri"/>
          <w:sz w:val="22"/>
          <w:szCs w:val="22"/>
        </w:rPr>
      </w:pPr>
      <w:r w:rsidRPr="00776407">
        <w:rPr>
          <w:rFonts w:eastAsia="Calibri"/>
          <w:sz w:val="22"/>
          <w:szCs w:val="22"/>
        </w:rPr>
        <w:t>Gali būti tiekiamos ne visų dydžių pakuotės.</w:t>
      </w:r>
    </w:p>
    <w:p w14:paraId="7E3A32B6" w14:textId="77777777" w:rsidR="00391C78" w:rsidRPr="00776407" w:rsidRDefault="00391C78" w:rsidP="00391C78">
      <w:pPr>
        <w:pStyle w:val="Default"/>
        <w:rPr>
          <w:rFonts w:ascii="Times New Roman" w:hAnsi="Times New Roman" w:cs="Times New Roman"/>
          <w:color w:val="auto"/>
          <w:sz w:val="22"/>
          <w:szCs w:val="22"/>
          <w:lang w:val="lt-LT"/>
        </w:rPr>
      </w:pPr>
    </w:p>
    <w:p w14:paraId="19B86036" w14:textId="77777777" w:rsidR="00A877B5" w:rsidRPr="00776407" w:rsidRDefault="00944055" w:rsidP="00A877B5">
      <w:pPr>
        <w:autoSpaceDE w:val="0"/>
        <w:autoSpaceDN w:val="0"/>
        <w:adjustRightInd w:val="0"/>
        <w:rPr>
          <w:rFonts w:eastAsia="Calibri"/>
          <w:sz w:val="22"/>
          <w:szCs w:val="22"/>
        </w:rPr>
      </w:pPr>
      <w:r w:rsidRPr="00776407">
        <w:rPr>
          <w:rFonts w:eastAsia="Calibri"/>
          <w:b/>
          <w:bCs/>
          <w:sz w:val="22"/>
          <w:szCs w:val="22"/>
        </w:rPr>
        <w:t>Registruotojas</w:t>
      </w:r>
      <w:r w:rsidR="00A877B5" w:rsidRPr="00776407">
        <w:rPr>
          <w:rFonts w:eastAsia="Calibri"/>
          <w:b/>
          <w:bCs/>
          <w:sz w:val="22"/>
          <w:szCs w:val="22"/>
        </w:rPr>
        <w:t xml:space="preserve"> </w:t>
      </w:r>
    </w:p>
    <w:p w14:paraId="514FC744" w14:textId="77777777" w:rsidR="00391C78" w:rsidRPr="00776407" w:rsidRDefault="00391C78" w:rsidP="00391C78">
      <w:pPr>
        <w:autoSpaceDE w:val="0"/>
        <w:autoSpaceDN w:val="0"/>
        <w:adjustRightInd w:val="0"/>
        <w:rPr>
          <w:sz w:val="22"/>
          <w:szCs w:val="22"/>
        </w:rPr>
      </w:pPr>
      <w:r w:rsidRPr="00776407">
        <w:rPr>
          <w:sz w:val="22"/>
          <w:szCs w:val="22"/>
        </w:rPr>
        <w:t>Actavis Group PTC ehf.</w:t>
      </w:r>
    </w:p>
    <w:p w14:paraId="7C9C58C3" w14:textId="77777777" w:rsidR="00391C78" w:rsidRPr="00776407" w:rsidRDefault="00391C78" w:rsidP="00391C78">
      <w:pPr>
        <w:autoSpaceDE w:val="0"/>
        <w:autoSpaceDN w:val="0"/>
        <w:adjustRightInd w:val="0"/>
        <w:rPr>
          <w:sz w:val="22"/>
          <w:szCs w:val="22"/>
        </w:rPr>
      </w:pPr>
      <w:r w:rsidRPr="00776407">
        <w:rPr>
          <w:sz w:val="22"/>
          <w:szCs w:val="22"/>
        </w:rPr>
        <w:t>Reykjavíkurvegur 76-78,</w:t>
      </w:r>
    </w:p>
    <w:p w14:paraId="1506219C" w14:textId="77777777" w:rsidR="00391C78" w:rsidRPr="00776407" w:rsidRDefault="001C543E" w:rsidP="00391C78">
      <w:pPr>
        <w:autoSpaceDE w:val="0"/>
        <w:autoSpaceDN w:val="0"/>
        <w:adjustRightInd w:val="0"/>
        <w:rPr>
          <w:sz w:val="22"/>
          <w:szCs w:val="22"/>
        </w:rPr>
      </w:pPr>
      <w:r w:rsidRPr="00776407">
        <w:rPr>
          <w:sz w:val="22"/>
          <w:szCs w:val="22"/>
        </w:rPr>
        <w:t xml:space="preserve">220 </w:t>
      </w:r>
      <w:r w:rsidR="00391C78" w:rsidRPr="00776407">
        <w:rPr>
          <w:sz w:val="22"/>
          <w:szCs w:val="22"/>
        </w:rPr>
        <w:t>Hafnarfjörður</w:t>
      </w:r>
    </w:p>
    <w:p w14:paraId="27441F63" w14:textId="77777777" w:rsidR="00391C78" w:rsidRPr="00776407" w:rsidRDefault="00391C78" w:rsidP="00391C78">
      <w:pPr>
        <w:autoSpaceDE w:val="0"/>
        <w:autoSpaceDN w:val="0"/>
        <w:adjustRightInd w:val="0"/>
        <w:rPr>
          <w:sz w:val="22"/>
          <w:szCs w:val="22"/>
        </w:rPr>
      </w:pPr>
      <w:r w:rsidRPr="00776407">
        <w:rPr>
          <w:sz w:val="22"/>
          <w:szCs w:val="22"/>
        </w:rPr>
        <w:t>Islandija</w:t>
      </w:r>
    </w:p>
    <w:p w14:paraId="7B74D7E7" w14:textId="77777777" w:rsidR="00391C78" w:rsidRPr="00776407" w:rsidRDefault="00391C78" w:rsidP="00A877B5">
      <w:pPr>
        <w:autoSpaceDE w:val="0"/>
        <w:autoSpaceDN w:val="0"/>
        <w:adjustRightInd w:val="0"/>
        <w:rPr>
          <w:rFonts w:eastAsia="Calibri"/>
          <w:b/>
          <w:bCs/>
          <w:sz w:val="22"/>
          <w:szCs w:val="22"/>
        </w:rPr>
      </w:pPr>
    </w:p>
    <w:p w14:paraId="4C8BA8EF" w14:textId="77777777" w:rsidR="00A877B5" w:rsidRPr="00776407" w:rsidRDefault="00A877B5" w:rsidP="00A877B5">
      <w:pPr>
        <w:autoSpaceDE w:val="0"/>
        <w:autoSpaceDN w:val="0"/>
        <w:adjustRightInd w:val="0"/>
        <w:rPr>
          <w:rFonts w:eastAsia="Calibri"/>
          <w:sz w:val="22"/>
          <w:szCs w:val="22"/>
        </w:rPr>
      </w:pPr>
      <w:r w:rsidRPr="00776407">
        <w:rPr>
          <w:rFonts w:eastAsia="Calibri"/>
          <w:b/>
          <w:bCs/>
          <w:sz w:val="22"/>
          <w:szCs w:val="22"/>
        </w:rPr>
        <w:t xml:space="preserve">Gamintojas </w:t>
      </w:r>
    </w:p>
    <w:p w14:paraId="24DCC7F2" w14:textId="77777777" w:rsidR="00391C78" w:rsidRPr="00776407" w:rsidRDefault="00391C78" w:rsidP="00391C78">
      <w:pPr>
        <w:pStyle w:val="KeinLeerraum"/>
        <w:rPr>
          <w:sz w:val="22"/>
          <w:szCs w:val="22"/>
        </w:rPr>
      </w:pPr>
      <w:r w:rsidRPr="00776407">
        <w:rPr>
          <w:sz w:val="22"/>
          <w:szCs w:val="22"/>
        </w:rPr>
        <w:t>S.C. Sindan</w:t>
      </w:r>
      <w:r w:rsidRPr="00776407">
        <w:rPr>
          <w:sz w:val="22"/>
          <w:szCs w:val="22"/>
        </w:rPr>
        <w:noBreakHyphen/>
        <w:t>Pharma S.R.L.</w:t>
      </w:r>
    </w:p>
    <w:p w14:paraId="44EF50B3" w14:textId="77777777" w:rsidR="00391C78" w:rsidRPr="00776407" w:rsidRDefault="00391C78" w:rsidP="00391C78">
      <w:pPr>
        <w:pStyle w:val="KeinLeerraum"/>
        <w:rPr>
          <w:sz w:val="22"/>
          <w:szCs w:val="22"/>
        </w:rPr>
      </w:pPr>
      <w:r w:rsidRPr="00776407">
        <w:rPr>
          <w:sz w:val="22"/>
          <w:szCs w:val="22"/>
        </w:rPr>
        <w:t>11 Ion Mihalache Blvd</w:t>
      </w:r>
    </w:p>
    <w:p w14:paraId="2BF7CF4D" w14:textId="77777777" w:rsidR="00391C78" w:rsidRPr="00776407" w:rsidRDefault="00391C78" w:rsidP="00391C78">
      <w:pPr>
        <w:pStyle w:val="KeinLeerraum"/>
        <w:rPr>
          <w:sz w:val="22"/>
          <w:szCs w:val="22"/>
        </w:rPr>
      </w:pPr>
      <w:r w:rsidRPr="00776407">
        <w:rPr>
          <w:sz w:val="22"/>
          <w:szCs w:val="22"/>
        </w:rPr>
        <w:t>Bucharest</w:t>
      </w:r>
    </w:p>
    <w:p w14:paraId="5CD88281" w14:textId="77777777" w:rsidR="00391C78" w:rsidRPr="00776407" w:rsidRDefault="00391C78" w:rsidP="00391C78">
      <w:pPr>
        <w:pStyle w:val="KeinLeerraum"/>
        <w:rPr>
          <w:sz w:val="22"/>
          <w:szCs w:val="22"/>
        </w:rPr>
      </w:pPr>
      <w:r w:rsidRPr="00776407">
        <w:rPr>
          <w:sz w:val="22"/>
          <w:szCs w:val="22"/>
        </w:rPr>
        <w:t>Rumunija</w:t>
      </w:r>
    </w:p>
    <w:p w14:paraId="79137E47" w14:textId="77777777" w:rsidR="004D6E74" w:rsidRPr="00776407" w:rsidRDefault="004D6E74" w:rsidP="004D6E74">
      <w:pPr>
        <w:numPr>
          <w:ilvl w:val="12"/>
          <w:numId w:val="0"/>
        </w:numPr>
        <w:ind w:right="-2"/>
        <w:rPr>
          <w:sz w:val="22"/>
          <w:szCs w:val="22"/>
        </w:rPr>
      </w:pPr>
    </w:p>
    <w:p w14:paraId="7BE06DD0" w14:textId="77777777" w:rsidR="004D6E74" w:rsidRPr="00776407" w:rsidRDefault="004D6E74" w:rsidP="004D6E74">
      <w:pPr>
        <w:numPr>
          <w:ilvl w:val="12"/>
          <w:numId w:val="0"/>
        </w:numPr>
        <w:ind w:right="-2"/>
        <w:rPr>
          <w:sz w:val="22"/>
          <w:szCs w:val="22"/>
        </w:rPr>
      </w:pPr>
      <w:r w:rsidRPr="00776407">
        <w:rPr>
          <w:sz w:val="22"/>
          <w:szCs w:val="22"/>
        </w:rPr>
        <w:t xml:space="preserve">Jeigu apie šį vaistą norite sužinoti daugiau, kreipkitės į vietinį </w:t>
      </w:r>
      <w:r w:rsidR="0038072C" w:rsidRPr="00776407">
        <w:rPr>
          <w:sz w:val="22"/>
          <w:szCs w:val="22"/>
        </w:rPr>
        <w:t xml:space="preserve">registruotojo </w:t>
      </w:r>
      <w:r w:rsidRPr="00776407">
        <w:rPr>
          <w:sz w:val="22"/>
          <w:szCs w:val="22"/>
        </w:rPr>
        <w:t>atstovą.</w:t>
      </w:r>
    </w:p>
    <w:p w14:paraId="13D4B3B8" w14:textId="77777777" w:rsidR="00171DC7" w:rsidRPr="00881EFD" w:rsidRDefault="00171DC7" w:rsidP="00171DC7">
      <w:pPr>
        <w:autoSpaceDE w:val="0"/>
        <w:autoSpaceDN w:val="0"/>
        <w:adjustRightInd w:val="0"/>
        <w:rPr>
          <w:color w:val="000000" w:themeColor="text1"/>
          <w:sz w:val="22"/>
          <w:szCs w:val="22"/>
        </w:rPr>
      </w:pPr>
    </w:p>
    <w:tbl>
      <w:tblPr>
        <w:tblW w:w="9360" w:type="dxa"/>
        <w:tblInd w:w="-34" w:type="dxa"/>
        <w:tblLayout w:type="fixed"/>
        <w:tblLook w:val="04A0" w:firstRow="1" w:lastRow="0" w:firstColumn="1" w:lastColumn="0" w:noHBand="0" w:noVBand="1"/>
      </w:tblPr>
      <w:tblGrid>
        <w:gridCol w:w="34"/>
        <w:gridCol w:w="4646"/>
        <w:gridCol w:w="4680"/>
      </w:tblGrid>
      <w:tr w:rsidR="00171DC7" w:rsidRPr="00776407" w14:paraId="7715A4D8" w14:textId="77777777" w:rsidTr="00171DC7">
        <w:trPr>
          <w:gridBefore w:val="1"/>
          <w:wBefore w:w="34" w:type="dxa"/>
          <w:cantSplit/>
        </w:trPr>
        <w:tc>
          <w:tcPr>
            <w:tcW w:w="4644" w:type="dxa"/>
          </w:tcPr>
          <w:p w14:paraId="61FF60B9" w14:textId="77777777" w:rsidR="00171DC7" w:rsidRPr="00776407" w:rsidRDefault="00171DC7" w:rsidP="00171DC7">
            <w:pPr>
              <w:pStyle w:val="KeinLeerraum"/>
              <w:rPr>
                <w:color w:val="000000" w:themeColor="text1"/>
                <w:sz w:val="22"/>
                <w:szCs w:val="22"/>
              </w:rPr>
            </w:pPr>
            <w:r w:rsidRPr="00776407">
              <w:rPr>
                <w:b/>
                <w:color w:val="000000" w:themeColor="text1"/>
                <w:sz w:val="22"/>
                <w:szCs w:val="22"/>
              </w:rPr>
              <w:t>België/Belgique/Belgien</w:t>
            </w:r>
          </w:p>
          <w:p w14:paraId="1D2E92F8"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Actavis Group PTC ehf.</w:t>
            </w:r>
          </w:p>
          <w:p w14:paraId="1EC8EDF1"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IJsland/Islande/Island</w:t>
            </w:r>
          </w:p>
          <w:p w14:paraId="1D5CF2B8"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Tél/Tel: +354 5503300</w:t>
            </w:r>
          </w:p>
          <w:p w14:paraId="11D85137" w14:textId="77777777" w:rsidR="00171DC7" w:rsidRPr="00776407" w:rsidRDefault="00171DC7" w:rsidP="00171DC7">
            <w:pPr>
              <w:pStyle w:val="KeinLeerraum"/>
              <w:rPr>
                <w:color w:val="000000" w:themeColor="text1"/>
                <w:sz w:val="22"/>
                <w:szCs w:val="22"/>
              </w:rPr>
            </w:pPr>
          </w:p>
        </w:tc>
        <w:tc>
          <w:tcPr>
            <w:tcW w:w="4678" w:type="dxa"/>
          </w:tcPr>
          <w:p w14:paraId="32B072B0" w14:textId="77777777" w:rsidR="00171DC7" w:rsidRPr="00776407" w:rsidRDefault="00171DC7" w:rsidP="00171DC7">
            <w:pPr>
              <w:pStyle w:val="KeinLeerraum"/>
              <w:rPr>
                <w:color w:val="000000" w:themeColor="text1"/>
                <w:sz w:val="22"/>
                <w:szCs w:val="22"/>
              </w:rPr>
            </w:pPr>
            <w:r w:rsidRPr="00776407">
              <w:rPr>
                <w:b/>
                <w:color w:val="000000" w:themeColor="text1"/>
                <w:sz w:val="22"/>
                <w:szCs w:val="22"/>
              </w:rPr>
              <w:t>Lietuva</w:t>
            </w:r>
          </w:p>
          <w:p w14:paraId="362C9D42" w14:textId="525F88EC" w:rsidR="00171DC7" w:rsidRPr="00776407" w:rsidRDefault="00171DC7" w:rsidP="00171DC7">
            <w:pPr>
              <w:ind w:right="567"/>
              <w:rPr>
                <w:noProof/>
                <w:color w:val="000000" w:themeColor="text1"/>
                <w:sz w:val="22"/>
                <w:szCs w:val="22"/>
              </w:rPr>
            </w:pPr>
            <w:r w:rsidRPr="00776407">
              <w:rPr>
                <w:noProof/>
                <w:color w:val="000000" w:themeColor="text1"/>
                <w:sz w:val="22"/>
                <w:szCs w:val="22"/>
              </w:rPr>
              <w:t>UAB Teva Baltics</w:t>
            </w:r>
          </w:p>
          <w:p w14:paraId="6899C637"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Tel: +370 5</w:t>
            </w:r>
            <w:r w:rsidRPr="00776407">
              <w:rPr>
                <w:noProof/>
                <w:color w:val="000000" w:themeColor="text1"/>
                <w:sz w:val="22"/>
                <w:szCs w:val="22"/>
              </w:rPr>
              <w:t>2660203</w:t>
            </w:r>
          </w:p>
          <w:p w14:paraId="6E5612A1" w14:textId="77777777" w:rsidR="00171DC7" w:rsidRPr="00776407" w:rsidRDefault="00171DC7" w:rsidP="00171DC7">
            <w:pPr>
              <w:pStyle w:val="KeinLeerraum"/>
              <w:rPr>
                <w:color w:val="000000" w:themeColor="text1"/>
                <w:sz w:val="22"/>
                <w:szCs w:val="22"/>
              </w:rPr>
            </w:pPr>
          </w:p>
        </w:tc>
      </w:tr>
      <w:tr w:rsidR="00171DC7" w:rsidRPr="00776407" w14:paraId="26E49107" w14:textId="77777777" w:rsidTr="00171DC7">
        <w:trPr>
          <w:gridBefore w:val="1"/>
          <w:wBefore w:w="34" w:type="dxa"/>
          <w:cantSplit/>
        </w:trPr>
        <w:tc>
          <w:tcPr>
            <w:tcW w:w="4644" w:type="dxa"/>
          </w:tcPr>
          <w:p w14:paraId="1461E423" w14:textId="77777777" w:rsidR="00171DC7" w:rsidRPr="00776407" w:rsidRDefault="00171DC7" w:rsidP="00171DC7">
            <w:pPr>
              <w:pStyle w:val="KeinLeerraum"/>
              <w:rPr>
                <w:b/>
                <w:bCs/>
                <w:color w:val="000000" w:themeColor="text1"/>
                <w:sz w:val="22"/>
                <w:szCs w:val="22"/>
              </w:rPr>
            </w:pPr>
            <w:r w:rsidRPr="00776407">
              <w:rPr>
                <w:b/>
                <w:bCs/>
                <w:color w:val="000000" w:themeColor="text1"/>
                <w:sz w:val="22"/>
                <w:szCs w:val="22"/>
              </w:rPr>
              <w:t>България</w:t>
            </w:r>
          </w:p>
          <w:p w14:paraId="0A79DB53"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Актавис ЕАД</w:t>
            </w:r>
          </w:p>
          <w:p w14:paraId="7FDFB300"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Teл: +359 24899585</w:t>
            </w:r>
          </w:p>
          <w:p w14:paraId="43E2FB83" w14:textId="77777777" w:rsidR="00171DC7" w:rsidRPr="00776407" w:rsidRDefault="00171DC7" w:rsidP="00171DC7">
            <w:pPr>
              <w:pStyle w:val="KeinLeerraum"/>
              <w:rPr>
                <w:color w:val="000000" w:themeColor="text1"/>
                <w:sz w:val="22"/>
                <w:szCs w:val="22"/>
              </w:rPr>
            </w:pPr>
          </w:p>
        </w:tc>
        <w:tc>
          <w:tcPr>
            <w:tcW w:w="4678" w:type="dxa"/>
          </w:tcPr>
          <w:p w14:paraId="75D7BBCF" w14:textId="77777777" w:rsidR="00171DC7" w:rsidRPr="00776407" w:rsidRDefault="00171DC7" w:rsidP="00171DC7">
            <w:pPr>
              <w:pStyle w:val="KeinLeerraum"/>
              <w:rPr>
                <w:color w:val="000000" w:themeColor="text1"/>
                <w:sz w:val="22"/>
                <w:szCs w:val="22"/>
              </w:rPr>
            </w:pPr>
            <w:r w:rsidRPr="00776407">
              <w:rPr>
                <w:b/>
                <w:color w:val="000000" w:themeColor="text1"/>
                <w:sz w:val="22"/>
                <w:szCs w:val="22"/>
              </w:rPr>
              <w:t>Luxembourg/Luxemburg</w:t>
            </w:r>
          </w:p>
          <w:p w14:paraId="704CF1A0"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Actavis Group PTC ehf.</w:t>
            </w:r>
          </w:p>
          <w:p w14:paraId="52DE89E0"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Islande/Island</w:t>
            </w:r>
          </w:p>
          <w:p w14:paraId="3E5C2EDE" w14:textId="77777777" w:rsidR="00171DC7" w:rsidRPr="00776407" w:rsidRDefault="00171DC7" w:rsidP="00171DC7">
            <w:pPr>
              <w:pStyle w:val="KeinLeerraum"/>
              <w:rPr>
                <w:color w:val="000000" w:themeColor="text1"/>
                <w:sz w:val="22"/>
                <w:szCs w:val="22"/>
              </w:rPr>
            </w:pPr>
            <w:r w:rsidRPr="00776407">
              <w:rPr>
                <w:noProof/>
                <w:color w:val="000000" w:themeColor="text1"/>
                <w:sz w:val="22"/>
                <w:szCs w:val="22"/>
              </w:rPr>
              <w:t>Tél/Tel: +354 5503300</w:t>
            </w:r>
          </w:p>
          <w:p w14:paraId="717EC1FA" w14:textId="77777777" w:rsidR="00171DC7" w:rsidRPr="00776407" w:rsidRDefault="00171DC7" w:rsidP="00171DC7">
            <w:pPr>
              <w:pStyle w:val="KeinLeerraum"/>
              <w:rPr>
                <w:color w:val="000000" w:themeColor="text1"/>
                <w:sz w:val="22"/>
                <w:szCs w:val="22"/>
              </w:rPr>
            </w:pPr>
          </w:p>
        </w:tc>
      </w:tr>
      <w:tr w:rsidR="00171DC7" w:rsidRPr="00776407" w14:paraId="60CB614B" w14:textId="77777777" w:rsidTr="00171DC7">
        <w:trPr>
          <w:gridBefore w:val="1"/>
          <w:wBefore w:w="34" w:type="dxa"/>
          <w:cantSplit/>
          <w:trHeight w:val="751"/>
        </w:trPr>
        <w:tc>
          <w:tcPr>
            <w:tcW w:w="4644" w:type="dxa"/>
          </w:tcPr>
          <w:p w14:paraId="299C811A" w14:textId="77777777" w:rsidR="00171DC7" w:rsidRPr="00776407" w:rsidRDefault="00171DC7" w:rsidP="00171DC7">
            <w:pPr>
              <w:pStyle w:val="KeinLeerraum"/>
              <w:rPr>
                <w:color w:val="000000" w:themeColor="text1"/>
                <w:sz w:val="22"/>
                <w:szCs w:val="22"/>
              </w:rPr>
            </w:pPr>
            <w:r w:rsidRPr="00776407">
              <w:rPr>
                <w:b/>
                <w:color w:val="000000" w:themeColor="text1"/>
                <w:sz w:val="22"/>
                <w:szCs w:val="22"/>
              </w:rPr>
              <w:t>Česká republika</w:t>
            </w:r>
          </w:p>
          <w:p w14:paraId="741187D3" w14:textId="77777777" w:rsidR="00171DC7" w:rsidRPr="00776407" w:rsidRDefault="00171DC7" w:rsidP="00171DC7">
            <w:pPr>
              <w:tabs>
                <w:tab w:val="left" w:pos="-720"/>
              </w:tabs>
              <w:suppressAutoHyphens/>
              <w:ind w:right="567"/>
              <w:rPr>
                <w:noProof/>
                <w:color w:val="000000" w:themeColor="text1"/>
                <w:sz w:val="22"/>
                <w:szCs w:val="22"/>
              </w:rPr>
            </w:pPr>
            <w:r w:rsidRPr="00776407">
              <w:rPr>
                <w:noProof/>
                <w:color w:val="000000" w:themeColor="text1"/>
                <w:sz w:val="22"/>
                <w:szCs w:val="22"/>
              </w:rPr>
              <w:t>Teva Pharmaceuticals CR, s.r.o.</w:t>
            </w:r>
          </w:p>
          <w:p w14:paraId="5F94B17F"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Tel: +420 251007111</w:t>
            </w:r>
          </w:p>
          <w:p w14:paraId="666A3B1D" w14:textId="77777777" w:rsidR="00171DC7" w:rsidRPr="00776407" w:rsidRDefault="00171DC7" w:rsidP="00171DC7">
            <w:pPr>
              <w:pStyle w:val="KeinLeerraum"/>
              <w:rPr>
                <w:color w:val="000000" w:themeColor="text1"/>
                <w:sz w:val="22"/>
                <w:szCs w:val="22"/>
              </w:rPr>
            </w:pPr>
          </w:p>
        </w:tc>
        <w:tc>
          <w:tcPr>
            <w:tcW w:w="4678" w:type="dxa"/>
          </w:tcPr>
          <w:p w14:paraId="146AA98B" w14:textId="77777777" w:rsidR="00171DC7" w:rsidRPr="00776407" w:rsidRDefault="00171DC7" w:rsidP="00171DC7">
            <w:pPr>
              <w:pStyle w:val="KeinLeerraum"/>
              <w:rPr>
                <w:b/>
                <w:color w:val="000000" w:themeColor="text1"/>
                <w:sz w:val="22"/>
                <w:szCs w:val="22"/>
              </w:rPr>
            </w:pPr>
            <w:r w:rsidRPr="00776407">
              <w:rPr>
                <w:b/>
                <w:color w:val="000000" w:themeColor="text1"/>
                <w:sz w:val="22"/>
                <w:szCs w:val="22"/>
              </w:rPr>
              <w:t>Magyarország</w:t>
            </w:r>
          </w:p>
          <w:p w14:paraId="5AF70373" w14:textId="77777777" w:rsidR="00171DC7" w:rsidRPr="00776407" w:rsidRDefault="00171DC7" w:rsidP="00171DC7">
            <w:pPr>
              <w:pStyle w:val="KeinLeerraum"/>
              <w:rPr>
                <w:color w:val="000000" w:themeColor="text1"/>
                <w:sz w:val="22"/>
                <w:szCs w:val="22"/>
              </w:rPr>
            </w:pPr>
            <w:r w:rsidRPr="00776407">
              <w:rPr>
                <w:noProof/>
                <w:color w:val="000000" w:themeColor="text1"/>
                <w:sz w:val="22"/>
                <w:szCs w:val="22"/>
              </w:rPr>
              <w:t>Teva Gyógyszergyár Zrt.</w:t>
            </w:r>
          </w:p>
          <w:p w14:paraId="514C3755"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Tel: +36 1</w:t>
            </w:r>
            <w:r w:rsidRPr="00776407">
              <w:rPr>
                <w:noProof/>
                <w:color w:val="000000" w:themeColor="text1"/>
                <w:sz w:val="22"/>
                <w:szCs w:val="22"/>
              </w:rPr>
              <w:t>2886400</w:t>
            </w:r>
          </w:p>
          <w:p w14:paraId="73F38893" w14:textId="77777777" w:rsidR="00171DC7" w:rsidRPr="00776407" w:rsidRDefault="00171DC7" w:rsidP="00171DC7">
            <w:pPr>
              <w:pStyle w:val="KeinLeerraum"/>
              <w:rPr>
                <w:color w:val="000000" w:themeColor="text1"/>
                <w:sz w:val="22"/>
                <w:szCs w:val="22"/>
              </w:rPr>
            </w:pPr>
          </w:p>
        </w:tc>
      </w:tr>
      <w:tr w:rsidR="00171DC7" w:rsidRPr="00776407" w14:paraId="7DA34C8D" w14:textId="77777777" w:rsidTr="00171DC7">
        <w:trPr>
          <w:gridBefore w:val="1"/>
          <w:wBefore w:w="34" w:type="dxa"/>
          <w:cantSplit/>
        </w:trPr>
        <w:tc>
          <w:tcPr>
            <w:tcW w:w="4644" w:type="dxa"/>
          </w:tcPr>
          <w:p w14:paraId="756057AE" w14:textId="77777777" w:rsidR="00171DC7" w:rsidRPr="00776407" w:rsidRDefault="00171DC7" w:rsidP="00171DC7">
            <w:pPr>
              <w:pStyle w:val="KeinLeerraum"/>
              <w:rPr>
                <w:color w:val="000000" w:themeColor="text1"/>
                <w:sz w:val="22"/>
                <w:szCs w:val="22"/>
              </w:rPr>
            </w:pPr>
            <w:r w:rsidRPr="00776407">
              <w:rPr>
                <w:b/>
                <w:color w:val="000000" w:themeColor="text1"/>
                <w:sz w:val="22"/>
                <w:szCs w:val="22"/>
              </w:rPr>
              <w:t>Danmark</w:t>
            </w:r>
          </w:p>
          <w:p w14:paraId="0C109B76"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Teva Denmark A/S</w:t>
            </w:r>
          </w:p>
          <w:p w14:paraId="7428AAE5"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Tlf: +45 44985511</w:t>
            </w:r>
          </w:p>
          <w:p w14:paraId="573119C3" w14:textId="77777777" w:rsidR="00171DC7" w:rsidRPr="00776407" w:rsidRDefault="00171DC7" w:rsidP="00171DC7">
            <w:pPr>
              <w:pStyle w:val="KeinLeerraum"/>
              <w:rPr>
                <w:color w:val="000000" w:themeColor="text1"/>
                <w:sz w:val="22"/>
                <w:szCs w:val="22"/>
              </w:rPr>
            </w:pPr>
          </w:p>
        </w:tc>
        <w:tc>
          <w:tcPr>
            <w:tcW w:w="4678" w:type="dxa"/>
          </w:tcPr>
          <w:p w14:paraId="11B63060" w14:textId="77777777" w:rsidR="00171DC7" w:rsidRPr="00776407" w:rsidRDefault="00171DC7" w:rsidP="00171DC7">
            <w:pPr>
              <w:pStyle w:val="KeinLeerraum"/>
              <w:rPr>
                <w:b/>
                <w:color w:val="000000" w:themeColor="text1"/>
                <w:sz w:val="22"/>
                <w:szCs w:val="22"/>
              </w:rPr>
            </w:pPr>
            <w:r w:rsidRPr="00776407">
              <w:rPr>
                <w:b/>
                <w:color w:val="000000" w:themeColor="text1"/>
                <w:sz w:val="22"/>
                <w:szCs w:val="22"/>
              </w:rPr>
              <w:t>Malta</w:t>
            </w:r>
          </w:p>
          <w:p w14:paraId="156A80E2"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Actavis Ltd.</w:t>
            </w:r>
          </w:p>
          <w:p w14:paraId="31DF25CF"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Tel: +356 21693533</w:t>
            </w:r>
          </w:p>
          <w:p w14:paraId="58BA4985" w14:textId="77777777" w:rsidR="00171DC7" w:rsidRPr="00776407" w:rsidRDefault="00171DC7" w:rsidP="00171DC7">
            <w:pPr>
              <w:pStyle w:val="KeinLeerraum"/>
              <w:rPr>
                <w:color w:val="000000" w:themeColor="text1"/>
                <w:sz w:val="22"/>
                <w:szCs w:val="22"/>
              </w:rPr>
            </w:pPr>
          </w:p>
        </w:tc>
      </w:tr>
      <w:tr w:rsidR="00171DC7" w:rsidRPr="00776407" w14:paraId="244C7A51" w14:textId="77777777" w:rsidTr="00171DC7">
        <w:trPr>
          <w:gridBefore w:val="1"/>
          <w:wBefore w:w="34" w:type="dxa"/>
          <w:cantSplit/>
        </w:trPr>
        <w:tc>
          <w:tcPr>
            <w:tcW w:w="4644" w:type="dxa"/>
          </w:tcPr>
          <w:p w14:paraId="7CBCCA3C" w14:textId="77777777" w:rsidR="00171DC7" w:rsidRPr="00776407" w:rsidRDefault="00171DC7" w:rsidP="00171DC7">
            <w:pPr>
              <w:pStyle w:val="KeinLeerraum"/>
              <w:rPr>
                <w:color w:val="000000" w:themeColor="text1"/>
                <w:sz w:val="22"/>
                <w:szCs w:val="22"/>
              </w:rPr>
            </w:pPr>
            <w:r w:rsidRPr="00776407">
              <w:rPr>
                <w:b/>
                <w:color w:val="000000" w:themeColor="text1"/>
                <w:sz w:val="22"/>
                <w:szCs w:val="22"/>
              </w:rPr>
              <w:t>Deutschland</w:t>
            </w:r>
          </w:p>
          <w:p w14:paraId="71A75A27" w14:textId="77777777" w:rsidR="00171DC7" w:rsidRPr="00776407" w:rsidRDefault="00171DC7" w:rsidP="00171DC7">
            <w:pPr>
              <w:rPr>
                <w:color w:val="000000" w:themeColor="text1"/>
                <w:sz w:val="22"/>
                <w:szCs w:val="22"/>
              </w:rPr>
            </w:pPr>
            <w:r w:rsidRPr="00776407">
              <w:rPr>
                <w:color w:val="000000" w:themeColor="text1"/>
                <w:sz w:val="22"/>
                <w:szCs w:val="22"/>
              </w:rPr>
              <w:t>Actavis Group PTC ehf.</w:t>
            </w:r>
          </w:p>
          <w:p w14:paraId="3C3A7BD6"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Island</w:t>
            </w:r>
          </w:p>
          <w:p w14:paraId="2AAD8959"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Tel: +354 5503300</w:t>
            </w:r>
          </w:p>
          <w:p w14:paraId="5E7AF58B" w14:textId="77777777" w:rsidR="00171DC7" w:rsidRPr="00776407" w:rsidRDefault="00171DC7" w:rsidP="00171DC7">
            <w:pPr>
              <w:pStyle w:val="KeinLeerraum"/>
              <w:rPr>
                <w:color w:val="000000" w:themeColor="text1"/>
                <w:sz w:val="22"/>
                <w:szCs w:val="22"/>
              </w:rPr>
            </w:pPr>
          </w:p>
        </w:tc>
        <w:tc>
          <w:tcPr>
            <w:tcW w:w="4678" w:type="dxa"/>
          </w:tcPr>
          <w:p w14:paraId="2E2ACA03" w14:textId="77777777" w:rsidR="00171DC7" w:rsidRPr="00776407" w:rsidRDefault="00171DC7" w:rsidP="00171DC7">
            <w:pPr>
              <w:pStyle w:val="KeinLeerraum"/>
              <w:rPr>
                <w:color w:val="000000" w:themeColor="text1"/>
                <w:sz w:val="22"/>
                <w:szCs w:val="22"/>
              </w:rPr>
            </w:pPr>
            <w:r w:rsidRPr="00776407">
              <w:rPr>
                <w:b/>
                <w:color w:val="000000" w:themeColor="text1"/>
                <w:sz w:val="22"/>
                <w:szCs w:val="22"/>
              </w:rPr>
              <w:t>Nederland</w:t>
            </w:r>
          </w:p>
          <w:p w14:paraId="3A9499E0" w14:textId="77777777" w:rsidR="00171DC7" w:rsidRPr="00776407" w:rsidRDefault="00171DC7" w:rsidP="00171DC7">
            <w:pPr>
              <w:pStyle w:val="KeinLeerraum"/>
              <w:rPr>
                <w:iCs/>
                <w:color w:val="000000" w:themeColor="text1"/>
                <w:sz w:val="22"/>
                <w:szCs w:val="22"/>
              </w:rPr>
            </w:pPr>
            <w:r w:rsidRPr="00776407">
              <w:rPr>
                <w:iCs/>
                <w:color w:val="000000" w:themeColor="text1"/>
                <w:sz w:val="22"/>
                <w:szCs w:val="22"/>
              </w:rPr>
              <w:t>Actavis Group PTC ehf.</w:t>
            </w:r>
          </w:p>
          <w:p w14:paraId="71DFF678" w14:textId="77777777" w:rsidR="00171DC7" w:rsidRPr="00776407" w:rsidRDefault="00171DC7" w:rsidP="00171DC7">
            <w:pPr>
              <w:pStyle w:val="KeinLeerraum"/>
              <w:rPr>
                <w:iCs/>
                <w:color w:val="000000" w:themeColor="text1"/>
                <w:sz w:val="22"/>
                <w:szCs w:val="22"/>
              </w:rPr>
            </w:pPr>
            <w:r w:rsidRPr="00776407">
              <w:rPr>
                <w:iCs/>
                <w:color w:val="000000" w:themeColor="text1"/>
                <w:sz w:val="22"/>
                <w:szCs w:val="22"/>
              </w:rPr>
              <w:t>IJsland</w:t>
            </w:r>
          </w:p>
          <w:p w14:paraId="37FF6077"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Tel: +354 5503300</w:t>
            </w:r>
          </w:p>
          <w:p w14:paraId="5B248D45" w14:textId="77777777" w:rsidR="00171DC7" w:rsidRPr="00776407" w:rsidRDefault="00171DC7" w:rsidP="00171DC7">
            <w:pPr>
              <w:pStyle w:val="KeinLeerraum"/>
              <w:rPr>
                <w:color w:val="000000" w:themeColor="text1"/>
                <w:sz w:val="22"/>
                <w:szCs w:val="22"/>
              </w:rPr>
            </w:pPr>
          </w:p>
        </w:tc>
      </w:tr>
      <w:tr w:rsidR="00171DC7" w:rsidRPr="00776407" w14:paraId="165296F2" w14:textId="77777777" w:rsidTr="00171DC7">
        <w:trPr>
          <w:gridBefore w:val="1"/>
          <w:wBefore w:w="34" w:type="dxa"/>
          <w:cantSplit/>
        </w:trPr>
        <w:tc>
          <w:tcPr>
            <w:tcW w:w="4644" w:type="dxa"/>
          </w:tcPr>
          <w:p w14:paraId="24FD3EA2" w14:textId="77777777" w:rsidR="00171DC7" w:rsidRPr="00776407" w:rsidRDefault="00171DC7" w:rsidP="00171DC7">
            <w:pPr>
              <w:pStyle w:val="KeinLeerraum"/>
              <w:rPr>
                <w:b/>
                <w:bCs/>
                <w:color w:val="000000" w:themeColor="text1"/>
                <w:sz w:val="22"/>
                <w:szCs w:val="22"/>
              </w:rPr>
            </w:pPr>
            <w:r w:rsidRPr="00776407">
              <w:rPr>
                <w:b/>
                <w:bCs/>
                <w:color w:val="000000" w:themeColor="text1"/>
                <w:sz w:val="22"/>
                <w:szCs w:val="22"/>
              </w:rPr>
              <w:t>Eesti</w:t>
            </w:r>
          </w:p>
          <w:p w14:paraId="22589216" w14:textId="50153DC1" w:rsidR="00171DC7" w:rsidRPr="00776407" w:rsidRDefault="00171DC7" w:rsidP="00171DC7">
            <w:pPr>
              <w:pStyle w:val="KeinLeerraum"/>
              <w:rPr>
                <w:color w:val="000000" w:themeColor="text1"/>
                <w:sz w:val="22"/>
                <w:szCs w:val="22"/>
              </w:rPr>
            </w:pPr>
            <w:r w:rsidRPr="00776407">
              <w:rPr>
                <w:color w:val="000000" w:themeColor="text1"/>
                <w:sz w:val="22"/>
                <w:szCs w:val="22"/>
              </w:rPr>
              <w:t>UAB Teva Baltics</w:t>
            </w:r>
            <w:r w:rsidRPr="00776407">
              <w:rPr>
                <w:noProof/>
                <w:color w:val="000000" w:themeColor="text1"/>
                <w:sz w:val="22"/>
                <w:szCs w:val="22"/>
              </w:rPr>
              <w:t xml:space="preserve"> Eesti filiaal</w:t>
            </w:r>
          </w:p>
          <w:p w14:paraId="3AE9298A"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 xml:space="preserve">Tel: +372 </w:t>
            </w:r>
            <w:r w:rsidRPr="00776407">
              <w:rPr>
                <w:noProof/>
                <w:color w:val="000000" w:themeColor="text1"/>
                <w:sz w:val="22"/>
                <w:szCs w:val="22"/>
              </w:rPr>
              <w:t>6610801</w:t>
            </w:r>
          </w:p>
          <w:p w14:paraId="1DEB5AEB" w14:textId="77777777" w:rsidR="00171DC7" w:rsidRPr="00776407" w:rsidRDefault="00171DC7" w:rsidP="00171DC7">
            <w:pPr>
              <w:pStyle w:val="KeinLeerraum"/>
              <w:rPr>
                <w:color w:val="000000" w:themeColor="text1"/>
                <w:sz w:val="22"/>
                <w:szCs w:val="22"/>
              </w:rPr>
            </w:pPr>
          </w:p>
        </w:tc>
        <w:tc>
          <w:tcPr>
            <w:tcW w:w="4678" w:type="dxa"/>
          </w:tcPr>
          <w:p w14:paraId="690B9D4B" w14:textId="77777777" w:rsidR="00171DC7" w:rsidRPr="00776407" w:rsidRDefault="00171DC7" w:rsidP="00171DC7">
            <w:pPr>
              <w:pStyle w:val="KeinLeerraum"/>
              <w:rPr>
                <w:color w:val="000000" w:themeColor="text1"/>
                <w:sz w:val="22"/>
                <w:szCs w:val="22"/>
              </w:rPr>
            </w:pPr>
            <w:r w:rsidRPr="00776407">
              <w:rPr>
                <w:b/>
                <w:color w:val="000000" w:themeColor="text1"/>
                <w:sz w:val="22"/>
                <w:szCs w:val="22"/>
              </w:rPr>
              <w:t>Norge</w:t>
            </w:r>
          </w:p>
          <w:p w14:paraId="7D9E41B9" w14:textId="77777777" w:rsidR="00171DC7" w:rsidRPr="00776407" w:rsidRDefault="00171DC7" w:rsidP="00171DC7">
            <w:pPr>
              <w:pStyle w:val="KeinLeerraum"/>
              <w:rPr>
                <w:iCs/>
                <w:color w:val="000000" w:themeColor="text1"/>
                <w:sz w:val="22"/>
                <w:szCs w:val="22"/>
              </w:rPr>
            </w:pPr>
            <w:r w:rsidRPr="00776407">
              <w:rPr>
                <w:iCs/>
                <w:color w:val="000000" w:themeColor="text1"/>
                <w:sz w:val="22"/>
                <w:szCs w:val="22"/>
              </w:rPr>
              <w:t>Teva Norway AS</w:t>
            </w:r>
          </w:p>
          <w:p w14:paraId="3B4C6399" w14:textId="77777777" w:rsidR="00171DC7" w:rsidRPr="00776407" w:rsidRDefault="00171DC7" w:rsidP="00171DC7">
            <w:pPr>
              <w:pStyle w:val="KeinLeerraum"/>
              <w:rPr>
                <w:iCs/>
                <w:color w:val="000000" w:themeColor="text1"/>
                <w:sz w:val="22"/>
                <w:szCs w:val="22"/>
              </w:rPr>
            </w:pPr>
            <w:r w:rsidRPr="00776407">
              <w:rPr>
                <w:iCs/>
                <w:color w:val="000000" w:themeColor="text1"/>
                <w:sz w:val="22"/>
                <w:szCs w:val="22"/>
              </w:rPr>
              <w:t>Tlf: +47 66775590</w:t>
            </w:r>
          </w:p>
          <w:p w14:paraId="7C95B520" w14:textId="77777777" w:rsidR="00171DC7" w:rsidRPr="00776407" w:rsidRDefault="00171DC7" w:rsidP="00171DC7">
            <w:pPr>
              <w:pStyle w:val="KeinLeerraum"/>
              <w:rPr>
                <w:color w:val="000000" w:themeColor="text1"/>
                <w:sz w:val="22"/>
                <w:szCs w:val="22"/>
              </w:rPr>
            </w:pPr>
          </w:p>
        </w:tc>
      </w:tr>
      <w:tr w:rsidR="00171DC7" w:rsidRPr="00776407" w14:paraId="645C1C93" w14:textId="77777777" w:rsidTr="00171DC7">
        <w:trPr>
          <w:gridBefore w:val="1"/>
          <w:wBefore w:w="34" w:type="dxa"/>
          <w:cantSplit/>
        </w:trPr>
        <w:tc>
          <w:tcPr>
            <w:tcW w:w="4644" w:type="dxa"/>
          </w:tcPr>
          <w:p w14:paraId="7975813A" w14:textId="77777777" w:rsidR="00171DC7" w:rsidRPr="00776407" w:rsidRDefault="00171DC7" w:rsidP="00171DC7">
            <w:pPr>
              <w:pStyle w:val="KeinLeerraum"/>
              <w:rPr>
                <w:color w:val="000000" w:themeColor="text1"/>
                <w:sz w:val="22"/>
                <w:szCs w:val="22"/>
              </w:rPr>
            </w:pPr>
            <w:r w:rsidRPr="00776407">
              <w:rPr>
                <w:b/>
                <w:color w:val="000000" w:themeColor="text1"/>
                <w:sz w:val="22"/>
                <w:szCs w:val="22"/>
              </w:rPr>
              <w:t>Ελλάδα</w:t>
            </w:r>
          </w:p>
          <w:p w14:paraId="2BEB7A91" w14:textId="77777777" w:rsidR="00171DC7" w:rsidRPr="00776407" w:rsidRDefault="00171DC7" w:rsidP="00171DC7">
            <w:pPr>
              <w:pStyle w:val="NormalParagraphStyle"/>
              <w:spacing w:line="240" w:lineRule="auto"/>
              <w:rPr>
                <w:rFonts w:ascii="Times New Roman" w:hAnsi="Times New Roman"/>
                <w:color w:val="000000" w:themeColor="text1"/>
                <w:sz w:val="22"/>
                <w:szCs w:val="22"/>
                <w:lang w:val="lt-LT"/>
              </w:rPr>
            </w:pPr>
            <w:r w:rsidRPr="00881EFD">
              <w:rPr>
                <w:rFonts w:ascii="Times New Roman" w:hAnsi="Times New Roman"/>
                <w:color w:val="000000" w:themeColor="text1"/>
                <w:sz w:val="22"/>
                <w:szCs w:val="22"/>
                <w:lang w:val="lt-LT"/>
              </w:rPr>
              <w:t>Specifar A.B.E.E</w:t>
            </w:r>
            <w:r w:rsidRPr="00776407">
              <w:rPr>
                <w:rFonts w:ascii="Times New Roman" w:hAnsi="Times New Roman"/>
                <w:color w:val="000000" w:themeColor="text1"/>
                <w:sz w:val="22"/>
                <w:szCs w:val="22"/>
                <w:lang w:val="lt-LT"/>
              </w:rPr>
              <w:t>.</w:t>
            </w:r>
          </w:p>
          <w:p w14:paraId="03C9E71E" w14:textId="59EEFDB6" w:rsidR="00171DC7" w:rsidRPr="00776407" w:rsidRDefault="00171DC7" w:rsidP="00171DC7">
            <w:pPr>
              <w:pStyle w:val="KeinLeerraum"/>
              <w:rPr>
                <w:color w:val="000000" w:themeColor="text1"/>
                <w:sz w:val="22"/>
                <w:szCs w:val="22"/>
              </w:rPr>
            </w:pPr>
            <w:r w:rsidRPr="00776407">
              <w:rPr>
                <w:color w:val="000000" w:themeColor="text1"/>
                <w:sz w:val="22"/>
                <w:szCs w:val="22"/>
              </w:rPr>
              <w:t>Τηλ: +30 2118805000</w:t>
            </w:r>
          </w:p>
          <w:p w14:paraId="73B42696" w14:textId="77777777" w:rsidR="00171DC7" w:rsidRPr="00776407" w:rsidRDefault="00171DC7" w:rsidP="00171DC7">
            <w:pPr>
              <w:pStyle w:val="KeinLeerraum"/>
              <w:rPr>
                <w:color w:val="000000" w:themeColor="text1"/>
                <w:sz w:val="22"/>
                <w:szCs w:val="22"/>
              </w:rPr>
            </w:pPr>
          </w:p>
        </w:tc>
        <w:tc>
          <w:tcPr>
            <w:tcW w:w="4678" w:type="dxa"/>
          </w:tcPr>
          <w:p w14:paraId="61394DA3" w14:textId="77777777" w:rsidR="00171DC7" w:rsidRPr="00776407" w:rsidRDefault="00171DC7" w:rsidP="00171DC7">
            <w:pPr>
              <w:pStyle w:val="KeinLeerraum"/>
              <w:rPr>
                <w:color w:val="000000" w:themeColor="text1"/>
                <w:sz w:val="22"/>
                <w:szCs w:val="22"/>
              </w:rPr>
            </w:pPr>
            <w:r w:rsidRPr="00776407">
              <w:rPr>
                <w:b/>
                <w:color w:val="000000" w:themeColor="text1"/>
                <w:sz w:val="22"/>
                <w:szCs w:val="22"/>
              </w:rPr>
              <w:t>Österreich</w:t>
            </w:r>
          </w:p>
          <w:p w14:paraId="6E645DDF" w14:textId="77777777" w:rsidR="00171DC7" w:rsidRPr="00776407" w:rsidRDefault="00171DC7" w:rsidP="00171DC7">
            <w:pPr>
              <w:rPr>
                <w:rFonts w:eastAsia="Adobe Fangsong Std R"/>
                <w:color w:val="000000" w:themeColor="text1"/>
                <w:sz w:val="22"/>
                <w:szCs w:val="22"/>
              </w:rPr>
            </w:pPr>
            <w:r w:rsidRPr="00776407">
              <w:rPr>
                <w:rFonts w:eastAsia="Adobe Fangsong Std R"/>
                <w:color w:val="000000" w:themeColor="text1"/>
                <w:sz w:val="22"/>
                <w:szCs w:val="22"/>
              </w:rPr>
              <w:t>ratiopharm Arzneimittel Vertriebs-GmbH</w:t>
            </w:r>
          </w:p>
          <w:p w14:paraId="1B72374A" w14:textId="77777777" w:rsidR="00171DC7" w:rsidRPr="00776407" w:rsidRDefault="00171DC7" w:rsidP="00171DC7">
            <w:pPr>
              <w:rPr>
                <w:rFonts w:eastAsia="Adobe Fangsong Std R"/>
                <w:color w:val="000000" w:themeColor="text1"/>
                <w:sz w:val="22"/>
                <w:szCs w:val="22"/>
              </w:rPr>
            </w:pPr>
            <w:r w:rsidRPr="00776407">
              <w:rPr>
                <w:rFonts w:eastAsia="Adobe Fangsong Std R"/>
                <w:color w:val="000000" w:themeColor="text1"/>
                <w:sz w:val="22"/>
                <w:szCs w:val="22"/>
              </w:rPr>
              <w:t>Tel: +43 1970070</w:t>
            </w:r>
          </w:p>
          <w:p w14:paraId="07BFCE5B" w14:textId="77777777" w:rsidR="00171DC7" w:rsidRPr="00776407" w:rsidRDefault="00171DC7" w:rsidP="00171DC7">
            <w:pPr>
              <w:pStyle w:val="KeinLeerraum"/>
              <w:rPr>
                <w:color w:val="000000" w:themeColor="text1"/>
                <w:sz w:val="22"/>
                <w:szCs w:val="22"/>
              </w:rPr>
            </w:pPr>
          </w:p>
        </w:tc>
      </w:tr>
      <w:tr w:rsidR="00171DC7" w:rsidRPr="00776407" w14:paraId="47568BB8" w14:textId="77777777" w:rsidTr="00171DC7">
        <w:trPr>
          <w:cantSplit/>
        </w:trPr>
        <w:tc>
          <w:tcPr>
            <w:tcW w:w="4678" w:type="dxa"/>
            <w:gridSpan w:val="2"/>
          </w:tcPr>
          <w:p w14:paraId="3CC110FD" w14:textId="77777777" w:rsidR="00171DC7" w:rsidRPr="00776407" w:rsidRDefault="00171DC7" w:rsidP="00171DC7">
            <w:pPr>
              <w:pStyle w:val="KeinLeerraum"/>
              <w:rPr>
                <w:b/>
                <w:color w:val="000000" w:themeColor="text1"/>
                <w:sz w:val="22"/>
                <w:szCs w:val="22"/>
              </w:rPr>
            </w:pPr>
            <w:r w:rsidRPr="00776407">
              <w:rPr>
                <w:b/>
                <w:color w:val="000000" w:themeColor="text1"/>
                <w:sz w:val="22"/>
                <w:szCs w:val="22"/>
              </w:rPr>
              <w:t>España</w:t>
            </w:r>
          </w:p>
          <w:p w14:paraId="55B58EBA" w14:textId="77777777" w:rsidR="00171DC7" w:rsidRPr="00776407" w:rsidRDefault="00171DC7" w:rsidP="00171DC7">
            <w:pPr>
              <w:pStyle w:val="KeinLeerraum"/>
              <w:rPr>
                <w:iCs/>
                <w:color w:val="000000" w:themeColor="text1"/>
                <w:sz w:val="22"/>
                <w:szCs w:val="22"/>
              </w:rPr>
            </w:pPr>
            <w:r w:rsidRPr="00776407">
              <w:rPr>
                <w:iCs/>
                <w:color w:val="000000" w:themeColor="text1"/>
                <w:sz w:val="22"/>
                <w:szCs w:val="22"/>
              </w:rPr>
              <w:t>Actavis Group PTC ehf.</w:t>
            </w:r>
          </w:p>
          <w:p w14:paraId="31316717"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Islandia</w:t>
            </w:r>
          </w:p>
          <w:p w14:paraId="4F4C97F3"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Tel: +354 5503300</w:t>
            </w:r>
          </w:p>
          <w:p w14:paraId="486E20C4" w14:textId="77777777" w:rsidR="00171DC7" w:rsidRPr="00776407" w:rsidRDefault="00171DC7" w:rsidP="00171DC7">
            <w:pPr>
              <w:pStyle w:val="KeinLeerraum"/>
              <w:rPr>
                <w:color w:val="000000" w:themeColor="text1"/>
                <w:sz w:val="22"/>
                <w:szCs w:val="22"/>
              </w:rPr>
            </w:pPr>
          </w:p>
        </w:tc>
        <w:tc>
          <w:tcPr>
            <w:tcW w:w="4678" w:type="dxa"/>
          </w:tcPr>
          <w:p w14:paraId="43EBD0BA" w14:textId="77777777" w:rsidR="00171DC7" w:rsidRPr="00776407" w:rsidRDefault="00171DC7" w:rsidP="00171DC7">
            <w:pPr>
              <w:pStyle w:val="KeinLeerraum"/>
              <w:rPr>
                <w:b/>
                <w:bCs/>
                <w:i/>
                <w:iCs/>
                <w:color w:val="000000" w:themeColor="text1"/>
                <w:sz w:val="22"/>
                <w:szCs w:val="22"/>
              </w:rPr>
            </w:pPr>
            <w:r w:rsidRPr="00776407">
              <w:rPr>
                <w:b/>
                <w:color w:val="000000" w:themeColor="text1"/>
                <w:sz w:val="22"/>
                <w:szCs w:val="22"/>
              </w:rPr>
              <w:t>Polska</w:t>
            </w:r>
          </w:p>
          <w:p w14:paraId="48B33B06" w14:textId="77777777" w:rsidR="00171DC7" w:rsidRPr="00776407" w:rsidRDefault="00171DC7" w:rsidP="00171DC7">
            <w:pPr>
              <w:rPr>
                <w:color w:val="000000" w:themeColor="text1"/>
                <w:sz w:val="22"/>
                <w:szCs w:val="22"/>
              </w:rPr>
            </w:pPr>
            <w:r w:rsidRPr="00776407">
              <w:rPr>
                <w:color w:val="000000" w:themeColor="text1"/>
                <w:sz w:val="22"/>
                <w:szCs w:val="22"/>
              </w:rPr>
              <w:t>Teva Pharmaceuticals Polska Sp. z o.o.</w:t>
            </w:r>
          </w:p>
          <w:p w14:paraId="1EEC2BA6" w14:textId="77777777" w:rsidR="00171DC7" w:rsidRPr="00776407" w:rsidRDefault="00171DC7" w:rsidP="00171DC7">
            <w:pPr>
              <w:numPr>
                <w:ilvl w:val="12"/>
                <w:numId w:val="0"/>
              </w:numPr>
              <w:rPr>
                <w:color w:val="000000" w:themeColor="text1"/>
                <w:sz w:val="22"/>
                <w:szCs w:val="22"/>
                <w:lang w:eastAsia="is-IS"/>
              </w:rPr>
            </w:pPr>
            <w:r w:rsidRPr="00776407">
              <w:rPr>
                <w:color w:val="000000" w:themeColor="text1"/>
                <w:sz w:val="22"/>
                <w:szCs w:val="22"/>
              </w:rPr>
              <w:t>Tel: +48 223459300</w:t>
            </w:r>
          </w:p>
          <w:p w14:paraId="65534A4E" w14:textId="77777777" w:rsidR="00171DC7" w:rsidRPr="00776407" w:rsidRDefault="00171DC7" w:rsidP="00171DC7">
            <w:pPr>
              <w:pStyle w:val="KeinLeerraum"/>
              <w:rPr>
                <w:color w:val="000000" w:themeColor="text1"/>
                <w:sz w:val="22"/>
                <w:szCs w:val="22"/>
              </w:rPr>
            </w:pPr>
          </w:p>
        </w:tc>
      </w:tr>
      <w:tr w:rsidR="00171DC7" w:rsidRPr="00776407" w14:paraId="2FE6F76D" w14:textId="77777777" w:rsidTr="00171DC7">
        <w:trPr>
          <w:cantSplit/>
        </w:trPr>
        <w:tc>
          <w:tcPr>
            <w:tcW w:w="4678" w:type="dxa"/>
            <w:gridSpan w:val="2"/>
          </w:tcPr>
          <w:p w14:paraId="5E3AF592" w14:textId="77777777" w:rsidR="00171DC7" w:rsidRPr="00776407" w:rsidRDefault="00171DC7" w:rsidP="00171DC7">
            <w:pPr>
              <w:pStyle w:val="KeinLeerraum"/>
              <w:rPr>
                <w:b/>
                <w:color w:val="000000" w:themeColor="text1"/>
                <w:sz w:val="22"/>
                <w:szCs w:val="22"/>
              </w:rPr>
            </w:pPr>
            <w:r w:rsidRPr="00776407">
              <w:rPr>
                <w:b/>
                <w:color w:val="000000" w:themeColor="text1"/>
                <w:sz w:val="22"/>
                <w:szCs w:val="22"/>
              </w:rPr>
              <w:t>France</w:t>
            </w:r>
          </w:p>
          <w:p w14:paraId="16EBD92E"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Actavis Group PTC ehf.</w:t>
            </w:r>
          </w:p>
          <w:p w14:paraId="70F765D7"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Islande</w:t>
            </w:r>
          </w:p>
          <w:p w14:paraId="5E0AE8C8" w14:textId="77777777" w:rsidR="00171DC7" w:rsidRPr="00776407" w:rsidRDefault="00171DC7" w:rsidP="00171DC7">
            <w:pPr>
              <w:pStyle w:val="KeinLeerraum"/>
              <w:rPr>
                <w:color w:val="000000" w:themeColor="text1"/>
                <w:sz w:val="22"/>
                <w:szCs w:val="22"/>
              </w:rPr>
            </w:pPr>
            <w:r w:rsidRPr="00776407">
              <w:rPr>
                <w:color w:val="000000" w:themeColor="text1"/>
                <w:sz w:val="22"/>
                <w:szCs w:val="22"/>
                <w:lang w:eastAsia="en-GB"/>
              </w:rPr>
              <w:t>Tél</w:t>
            </w:r>
            <w:r w:rsidRPr="00776407">
              <w:rPr>
                <w:noProof/>
                <w:color w:val="000000" w:themeColor="text1"/>
                <w:sz w:val="22"/>
                <w:szCs w:val="22"/>
              </w:rPr>
              <w:t>:</w:t>
            </w:r>
            <w:r w:rsidRPr="00776407">
              <w:rPr>
                <w:color w:val="000000" w:themeColor="text1"/>
                <w:sz w:val="22"/>
                <w:szCs w:val="22"/>
              </w:rPr>
              <w:t xml:space="preserve"> +354 5503300</w:t>
            </w:r>
          </w:p>
          <w:p w14:paraId="63912E46" w14:textId="77777777" w:rsidR="00171DC7" w:rsidRPr="00776407" w:rsidRDefault="00171DC7" w:rsidP="00171DC7">
            <w:pPr>
              <w:pStyle w:val="KeinLeerraum"/>
              <w:rPr>
                <w:b/>
                <w:color w:val="000000" w:themeColor="text1"/>
                <w:sz w:val="22"/>
                <w:szCs w:val="22"/>
              </w:rPr>
            </w:pPr>
          </w:p>
        </w:tc>
        <w:tc>
          <w:tcPr>
            <w:tcW w:w="4678" w:type="dxa"/>
          </w:tcPr>
          <w:p w14:paraId="53A929AA" w14:textId="77777777" w:rsidR="00171DC7" w:rsidRPr="00776407" w:rsidRDefault="00171DC7" w:rsidP="00171DC7">
            <w:pPr>
              <w:pStyle w:val="KeinLeerraum"/>
              <w:rPr>
                <w:b/>
                <w:color w:val="000000" w:themeColor="text1"/>
                <w:sz w:val="22"/>
                <w:szCs w:val="22"/>
              </w:rPr>
            </w:pPr>
            <w:r w:rsidRPr="00776407">
              <w:rPr>
                <w:b/>
                <w:color w:val="000000" w:themeColor="text1"/>
                <w:sz w:val="22"/>
                <w:szCs w:val="22"/>
              </w:rPr>
              <w:t>Portugal</w:t>
            </w:r>
          </w:p>
          <w:p w14:paraId="1BB050BA" w14:textId="77777777" w:rsidR="00171DC7" w:rsidRPr="00776407" w:rsidRDefault="00171DC7" w:rsidP="00171DC7">
            <w:pPr>
              <w:pStyle w:val="KeinLeerraum"/>
              <w:rPr>
                <w:iCs/>
                <w:color w:val="000000" w:themeColor="text1"/>
                <w:sz w:val="22"/>
                <w:szCs w:val="22"/>
              </w:rPr>
            </w:pPr>
            <w:r w:rsidRPr="00776407">
              <w:rPr>
                <w:iCs/>
                <w:color w:val="000000" w:themeColor="text1"/>
                <w:sz w:val="22"/>
                <w:szCs w:val="22"/>
              </w:rPr>
              <w:t>Actavis Group PTC ehf.</w:t>
            </w:r>
          </w:p>
          <w:p w14:paraId="5615AD9C"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Islândia</w:t>
            </w:r>
          </w:p>
          <w:p w14:paraId="18B222CD" w14:textId="77777777" w:rsidR="00171DC7" w:rsidRPr="00776407" w:rsidRDefault="00171DC7" w:rsidP="00171DC7">
            <w:pPr>
              <w:pStyle w:val="KeinLeerraum"/>
              <w:rPr>
                <w:color w:val="000000" w:themeColor="text1"/>
                <w:sz w:val="22"/>
                <w:szCs w:val="22"/>
              </w:rPr>
            </w:pPr>
            <w:r w:rsidRPr="00776407">
              <w:rPr>
                <w:noProof/>
                <w:color w:val="000000" w:themeColor="text1"/>
                <w:sz w:val="22"/>
                <w:szCs w:val="22"/>
              </w:rPr>
              <w:t>Tel: +354 5503300</w:t>
            </w:r>
          </w:p>
          <w:p w14:paraId="04EDBFE2" w14:textId="77777777" w:rsidR="00171DC7" w:rsidRPr="00776407" w:rsidRDefault="00171DC7" w:rsidP="00171DC7">
            <w:pPr>
              <w:pStyle w:val="KeinLeerraum"/>
              <w:rPr>
                <w:color w:val="000000" w:themeColor="text1"/>
                <w:sz w:val="22"/>
                <w:szCs w:val="22"/>
              </w:rPr>
            </w:pPr>
          </w:p>
        </w:tc>
      </w:tr>
      <w:tr w:rsidR="00171DC7" w:rsidRPr="00776407" w14:paraId="6B17FB01" w14:textId="77777777" w:rsidTr="00171DC7">
        <w:trPr>
          <w:cantSplit/>
        </w:trPr>
        <w:tc>
          <w:tcPr>
            <w:tcW w:w="4678" w:type="dxa"/>
            <w:gridSpan w:val="2"/>
          </w:tcPr>
          <w:p w14:paraId="4AAEDE86" w14:textId="77777777" w:rsidR="00171DC7" w:rsidRPr="00776407" w:rsidRDefault="00171DC7" w:rsidP="00171DC7">
            <w:pPr>
              <w:tabs>
                <w:tab w:val="left" w:pos="-720"/>
                <w:tab w:val="left" w:pos="4536"/>
              </w:tabs>
              <w:suppressAutoHyphens/>
              <w:ind w:right="567"/>
              <w:rPr>
                <w:b/>
                <w:noProof/>
                <w:color w:val="000000" w:themeColor="text1"/>
                <w:sz w:val="22"/>
                <w:szCs w:val="22"/>
              </w:rPr>
            </w:pPr>
            <w:r w:rsidRPr="00776407">
              <w:rPr>
                <w:color w:val="000000" w:themeColor="text1"/>
                <w:sz w:val="22"/>
                <w:szCs w:val="22"/>
              </w:rPr>
              <w:br w:type="page"/>
            </w:r>
            <w:r w:rsidRPr="00776407">
              <w:rPr>
                <w:b/>
                <w:noProof/>
                <w:color w:val="000000" w:themeColor="text1"/>
                <w:sz w:val="22"/>
                <w:szCs w:val="22"/>
              </w:rPr>
              <w:t>Hrvatska</w:t>
            </w:r>
          </w:p>
          <w:p w14:paraId="319B90EC" w14:textId="77777777" w:rsidR="00171DC7" w:rsidRPr="00776407" w:rsidRDefault="00171DC7" w:rsidP="00171DC7">
            <w:pPr>
              <w:tabs>
                <w:tab w:val="left" w:pos="-720"/>
                <w:tab w:val="left" w:pos="4536"/>
              </w:tabs>
              <w:suppressAutoHyphens/>
              <w:ind w:right="567"/>
              <w:rPr>
                <w:color w:val="000000" w:themeColor="text1"/>
                <w:sz w:val="22"/>
                <w:szCs w:val="22"/>
              </w:rPr>
            </w:pPr>
            <w:r w:rsidRPr="00776407">
              <w:rPr>
                <w:color w:val="000000" w:themeColor="text1"/>
                <w:sz w:val="22"/>
                <w:szCs w:val="22"/>
              </w:rPr>
              <w:t>Pliva Hrvatska d.o.o.</w:t>
            </w:r>
          </w:p>
          <w:p w14:paraId="38138A32"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Tel: +385 13720000</w:t>
            </w:r>
          </w:p>
          <w:p w14:paraId="60A97F8C" w14:textId="77777777" w:rsidR="00171DC7" w:rsidRPr="00776407" w:rsidRDefault="00171DC7" w:rsidP="00171DC7">
            <w:pPr>
              <w:pStyle w:val="KeinLeerraum"/>
              <w:rPr>
                <w:color w:val="000000" w:themeColor="text1"/>
                <w:sz w:val="22"/>
                <w:szCs w:val="22"/>
              </w:rPr>
            </w:pPr>
          </w:p>
        </w:tc>
        <w:tc>
          <w:tcPr>
            <w:tcW w:w="4678" w:type="dxa"/>
          </w:tcPr>
          <w:p w14:paraId="618F0077" w14:textId="77777777" w:rsidR="00171DC7" w:rsidRPr="00776407" w:rsidRDefault="00171DC7" w:rsidP="00171DC7">
            <w:pPr>
              <w:pStyle w:val="KeinLeerraum"/>
              <w:rPr>
                <w:b/>
                <w:color w:val="000000" w:themeColor="text1"/>
                <w:sz w:val="22"/>
                <w:szCs w:val="22"/>
              </w:rPr>
            </w:pPr>
            <w:r w:rsidRPr="00776407">
              <w:rPr>
                <w:b/>
                <w:color w:val="000000" w:themeColor="text1"/>
                <w:sz w:val="22"/>
                <w:szCs w:val="22"/>
              </w:rPr>
              <w:t>România</w:t>
            </w:r>
          </w:p>
          <w:p w14:paraId="4611B091"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Teva Pharmaceuticals S.R.L.</w:t>
            </w:r>
          </w:p>
          <w:p w14:paraId="2FAF94A0"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Tel: +</w:t>
            </w:r>
            <w:r w:rsidRPr="00776407">
              <w:rPr>
                <w:noProof/>
                <w:color w:val="000000" w:themeColor="text1"/>
                <w:sz w:val="22"/>
                <w:szCs w:val="22"/>
              </w:rPr>
              <w:t>40 212306524</w:t>
            </w:r>
          </w:p>
          <w:p w14:paraId="7DE591D1" w14:textId="77777777" w:rsidR="00171DC7" w:rsidRPr="00776407" w:rsidRDefault="00171DC7" w:rsidP="00171DC7">
            <w:pPr>
              <w:pStyle w:val="KeinLeerraum"/>
              <w:rPr>
                <w:color w:val="000000" w:themeColor="text1"/>
                <w:sz w:val="22"/>
                <w:szCs w:val="22"/>
              </w:rPr>
            </w:pPr>
          </w:p>
        </w:tc>
      </w:tr>
      <w:tr w:rsidR="00171DC7" w:rsidRPr="00776407" w14:paraId="77533E90" w14:textId="77777777" w:rsidTr="00171DC7">
        <w:trPr>
          <w:cantSplit/>
        </w:trPr>
        <w:tc>
          <w:tcPr>
            <w:tcW w:w="4678" w:type="dxa"/>
            <w:gridSpan w:val="2"/>
          </w:tcPr>
          <w:p w14:paraId="12054DC7" w14:textId="77777777" w:rsidR="00171DC7" w:rsidRPr="00776407" w:rsidRDefault="00171DC7" w:rsidP="00171DC7">
            <w:pPr>
              <w:pStyle w:val="KeinLeerraum"/>
              <w:rPr>
                <w:color w:val="000000" w:themeColor="text1"/>
                <w:sz w:val="22"/>
                <w:szCs w:val="22"/>
              </w:rPr>
            </w:pPr>
            <w:r w:rsidRPr="00776407">
              <w:rPr>
                <w:b/>
                <w:color w:val="000000" w:themeColor="text1"/>
                <w:sz w:val="22"/>
                <w:szCs w:val="22"/>
              </w:rPr>
              <w:t>Ireland</w:t>
            </w:r>
          </w:p>
          <w:p w14:paraId="70857ADF"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Teva Pharmaceuticals Ireland</w:t>
            </w:r>
          </w:p>
          <w:p w14:paraId="4BC7A3F6" w14:textId="4113CAEA" w:rsidR="00171DC7" w:rsidRPr="00776407" w:rsidRDefault="00171DC7" w:rsidP="00171DC7">
            <w:pPr>
              <w:pStyle w:val="KeinLeerraum"/>
              <w:rPr>
                <w:color w:val="000000" w:themeColor="text1"/>
                <w:sz w:val="22"/>
                <w:szCs w:val="22"/>
              </w:rPr>
            </w:pPr>
            <w:r w:rsidRPr="00776407">
              <w:rPr>
                <w:color w:val="000000" w:themeColor="text1"/>
                <w:sz w:val="22"/>
                <w:szCs w:val="22"/>
              </w:rPr>
              <w:t>Tel: +353 19127700</w:t>
            </w:r>
          </w:p>
          <w:p w14:paraId="44EA043C" w14:textId="77777777" w:rsidR="00171DC7" w:rsidRPr="00776407" w:rsidRDefault="00171DC7" w:rsidP="00171DC7">
            <w:pPr>
              <w:pStyle w:val="KeinLeerraum"/>
              <w:rPr>
                <w:color w:val="000000" w:themeColor="text1"/>
                <w:sz w:val="22"/>
                <w:szCs w:val="22"/>
              </w:rPr>
            </w:pPr>
          </w:p>
        </w:tc>
        <w:tc>
          <w:tcPr>
            <w:tcW w:w="4678" w:type="dxa"/>
          </w:tcPr>
          <w:p w14:paraId="60B152E7" w14:textId="77777777" w:rsidR="00171DC7" w:rsidRPr="00776407" w:rsidRDefault="00171DC7" w:rsidP="00171DC7">
            <w:pPr>
              <w:pStyle w:val="KeinLeerraum"/>
              <w:rPr>
                <w:b/>
                <w:color w:val="000000" w:themeColor="text1"/>
                <w:sz w:val="22"/>
                <w:szCs w:val="22"/>
              </w:rPr>
            </w:pPr>
            <w:r w:rsidRPr="00776407">
              <w:rPr>
                <w:b/>
                <w:color w:val="000000" w:themeColor="text1"/>
                <w:sz w:val="22"/>
                <w:szCs w:val="22"/>
              </w:rPr>
              <w:t>Slovenija</w:t>
            </w:r>
          </w:p>
          <w:p w14:paraId="0DC65158"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Pliva Ljubljana d.o.o.</w:t>
            </w:r>
          </w:p>
          <w:p w14:paraId="0C2B6641"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Tel: +386 15890390</w:t>
            </w:r>
          </w:p>
          <w:p w14:paraId="77FE7173" w14:textId="77777777" w:rsidR="00171DC7" w:rsidRPr="00776407" w:rsidRDefault="00171DC7" w:rsidP="00171DC7">
            <w:pPr>
              <w:pStyle w:val="KeinLeerraum"/>
              <w:rPr>
                <w:b/>
                <w:color w:val="000000" w:themeColor="text1"/>
                <w:sz w:val="22"/>
                <w:szCs w:val="22"/>
              </w:rPr>
            </w:pPr>
          </w:p>
        </w:tc>
      </w:tr>
      <w:tr w:rsidR="00171DC7" w:rsidRPr="00776407" w14:paraId="79DEA612" w14:textId="77777777" w:rsidTr="00171DC7">
        <w:trPr>
          <w:cantSplit/>
        </w:trPr>
        <w:tc>
          <w:tcPr>
            <w:tcW w:w="4678" w:type="dxa"/>
            <w:gridSpan w:val="2"/>
          </w:tcPr>
          <w:p w14:paraId="4F9408D5" w14:textId="77777777" w:rsidR="00171DC7" w:rsidRPr="00776407" w:rsidRDefault="00171DC7" w:rsidP="00171DC7">
            <w:pPr>
              <w:pStyle w:val="KeinLeerraum"/>
              <w:rPr>
                <w:b/>
                <w:color w:val="000000" w:themeColor="text1"/>
                <w:sz w:val="22"/>
                <w:szCs w:val="22"/>
              </w:rPr>
            </w:pPr>
            <w:r w:rsidRPr="00776407">
              <w:rPr>
                <w:b/>
                <w:color w:val="000000" w:themeColor="text1"/>
                <w:sz w:val="22"/>
                <w:szCs w:val="22"/>
              </w:rPr>
              <w:t>Ísland</w:t>
            </w:r>
          </w:p>
          <w:p w14:paraId="7D23AA38"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Actavis Group PTC ehf.</w:t>
            </w:r>
          </w:p>
          <w:p w14:paraId="5C461430"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Sími: +354 5503300</w:t>
            </w:r>
          </w:p>
          <w:p w14:paraId="07815A38" w14:textId="77777777" w:rsidR="00171DC7" w:rsidRPr="00776407" w:rsidRDefault="00171DC7" w:rsidP="00171DC7">
            <w:pPr>
              <w:pStyle w:val="KeinLeerraum"/>
              <w:rPr>
                <w:b/>
                <w:color w:val="000000" w:themeColor="text1"/>
                <w:sz w:val="22"/>
                <w:szCs w:val="22"/>
              </w:rPr>
            </w:pPr>
          </w:p>
        </w:tc>
        <w:tc>
          <w:tcPr>
            <w:tcW w:w="4678" w:type="dxa"/>
          </w:tcPr>
          <w:p w14:paraId="086ED596" w14:textId="77777777" w:rsidR="00171DC7" w:rsidRPr="00776407" w:rsidRDefault="00171DC7" w:rsidP="00171DC7">
            <w:pPr>
              <w:pStyle w:val="KeinLeerraum"/>
              <w:rPr>
                <w:b/>
                <w:color w:val="000000" w:themeColor="text1"/>
                <w:sz w:val="22"/>
                <w:szCs w:val="22"/>
              </w:rPr>
            </w:pPr>
            <w:r w:rsidRPr="00776407">
              <w:rPr>
                <w:b/>
                <w:color w:val="000000" w:themeColor="text1"/>
                <w:sz w:val="22"/>
                <w:szCs w:val="22"/>
              </w:rPr>
              <w:t>Slovenská republika</w:t>
            </w:r>
          </w:p>
          <w:p w14:paraId="1F049AA9" w14:textId="77777777" w:rsidR="00171DC7" w:rsidRPr="00776407" w:rsidRDefault="00171DC7" w:rsidP="00171DC7">
            <w:pPr>
              <w:pStyle w:val="KeinLeerraum"/>
              <w:rPr>
                <w:color w:val="000000" w:themeColor="text1"/>
                <w:sz w:val="22"/>
                <w:szCs w:val="22"/>
              </w:rPr>
            </w:pPr>
            <w:r w:rsidRPr="00776407">
              <w:rPr>
                <w:noProof/>
                <w:color w:val="000000" w:themeColor="text1"/>
                <w:sz w:val="22"/>
                <w:szCs w:val="22"/>
              </w:rPr>
              <w:t>TEVA Pharmaceuticals Slovakia s.r.o.</w:t>
            </w:r>
          </w:p>
          <w:p w14:paraId="0EADFD98"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Tel: +421 2</w:t>
            </w:r>
            <w:r w:rsidRPr="00776407">
              <w:rPr>
                <w:noProof/>
                <w:color w:val="000000" w:themeColor="text1"/>
                <w:sz w:val="22"/>
                <w:szCs w:val="22"/>
              </w:rPr>
              <w:t>57267911</w:t>
            </w:r>
          </w:p>
          <w:p w14:paraId="43E66C89" w14:textId="77777777" w:rsidR="00171DC7" w:rsidRPr="00776407" w:rsidRDefault="00171DC7" w:rsidP="00171DC7">
            <w:pPr>
              <w:pStyle w:val="KeinLeerraum"/>
              <w:rPr>
                <w:color w:val="000000" w:themeColor="text1"/>
                <w:sz w:val="22"/>
                <w:szCs w:val="22"/>
              </w:rPr>
            </w:pPr>
          </w:p>
        </w:tc>
      </w:tr>
      <w:tr w:rsidR="00171DC7" w:rsidRPr="00776407" w14:paraId="75B65888" w14:textId="77777777" w:rsidTr="00171DC7">
        <w:trPr>
          <w:cantSplit/>
        </w:trPr>
        <w:tc>
          <w:tcPr>
            <w:tcW w:w="4678" w:type="dxa"/>
            <w:gridSpan w:val="2"/>
          </w:tcPr>
          <w:p w14:paraId="6D960CBA" w14:textId="77777777" w:rsidR="00171DC7" w:rsidRPr="00776407" w:rsidRDefault="00171DC7" w:rsidP="00171DC7">
            <w:pPr>
              <w:pStyle w:val="KeinLeerraum"/>
              <w:rPr>
                <w:color w:val="000000" w:themeColor="text1"/>
                <w:sz w:val="22"/>
                <w:szCs w:val="22"/>
              </w:rPr>
            </w:pPr>
            <w:r w:rsidRPr="00776407">
              <w:rPr>
                <w:b/>
                <w:color w:val="000000" w:themeColor="text1"/>
                <w:sz w:val="22"/>
                <w:szCs w:val="22"/>
              </w:rPr>
              <w:t>Italia</w:t>
            </w:r>
          </w:p>
          <w:p w14:paraId="30733614"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Actavis Group PTC ehf.</w:t>
            </w:r>
          </w:p>
          <w:p w14:paraId="4EEE7681"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Islanda</w:t>
            </w:r>
          </w:p>
          <w:p w14:paraId="2D451984" w14:textId="77777777" w:rsidR="00171DC7" w:rsidRPr="00776407" w:rsidRDefault="00171DC7" w:rsidP="00171DC7">
            <w:pPr>
              <w:pStyle w:val="KeinLeerraum"/>
              <w:rPr>
                <w:color w:val="000000" w:themeColor="text1"/>
                <w:sz w:val="22"/>
                <w:szCs w:val="22"/>
              </w:rPr>
            </w:pPr>
            <w:r w:rsidRPr="00776407">
              <w:rPr>
                <w:noProof/>
                <w:color w:val="000000" w:themeColor="text1"/>
                <w:sz w:val="22"/>
                <w:szCs w:val="22"/>
              </w:rPr>
              <w:t>Tel: +354 5503300</w:t>
            </w:r>
          </w:p>
          <w:p w14:paraId="4EF0B0F2" w14:textId="77777777" w:rsidR="00171DC7" w:rsidRPr="00776407" w:rsidRDefault="00171DC7" w:rsidP="00171DC7">
            <w:pPr>
              <w:pStyle w:val="KeinLeerraum"/>
              <w:rPr>
                <w:b/>
                <w:color w:val="000000" w:themeColor="text1"/>
                <w:sz w:val="22"/>
                <w:szCs w:val="22"/>
              </w:rPr>
            </w:pPr>
          </w:p>
        </w:tc>
        <w:tc>
          <w:tcPr>
            <w:tcW w:w="4678" w:type="dxa"/>
          </w:tcPr>
          <w:p w14:paraId="02C12582" w14:textId="77777777" w:rsidR="00171DC7" w:rsidRPr="00776407" w:rsidRDefault="00171DC7" w:rsidP="00171DC7">
            <w:pPr>
              <w:pStyle w:val="KeinLeerraum"/>
              <w:rPr>
                <w:color w:val="000000" w:themeColor="text1"/>
                <w:sz w:val="22"/>
                <w:szCs w:val="22"/>
              </w:rPr>
            </w:pPr>
            <w:r w:rsidRPr="00776407">
              <w:rPr>
                <w:b/>
                <w:color w:val="000000" w:themeColor="text1"/>
                <w:sz w:val="22"/>
                <w:szCs w:val="22"/>
              </w:rPr>
              <w:t>Suomi/Finland</w:t>
            </w:r>
          </w:p>
          <w:p w14:paraId="46C8ADCA" w14:textId="2F5C3E50" w:rsidR="00171DC7" w:rsidRPr="00776407" w:rsidRDefault="00171DC7" w:rsidP="00171DC7">
            <w:pPr>
              <w:pStyle w:val="KeinLeerraum"/>
              <w:rPr>
                <w:color w:val="000000" w:themeColor="text1"/>
                <w:sz w:val="22"/>
                <w:szCs w:val="22"/>
              </w:rPr>
            </w:pPr>
            <w:r w:rsidRPr="00776407">
              <w:rPr>
                <w:color w:val="000000" w:themeColor="text1"/>
                <w:sz w:val="22"/>
                <w:szCs w:val="22"/>
              </w:rPr>
              <w:t>Teva Finland Oy</w:t>
            </w:r>
          </w:p>
          <w:p w14:paraId="1BBFF5C1"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Puh/Tel: +358 201805900</w:t>
            </w:r>
          </w:p>
          <w:p w14:paraId="2E43AFA7" w14:textId="77777777" w:rsidR="00171DC7" w:rsidRPr="00776407" w:rsidRDefault="00171DC7" w:rsidP="00171DC7">
            <w:pPr>
              <w:pStyle w:val="KeinLeerraum"/>
              <w:rPr>
                <w:b/>
                <w:color w:val="000000" w:themeColor="text1"/>
                <w:sz w:val="22"/>
                <w:szCs w:val="22"/>
              </w:rPr>
            </w:pPr>
          </w:p>
        </w:tc>
      </w:tr>
      <w:tr w:rsidR="00171DC7" w:rsidRPr="00776407" w14:paraId="706DFDC2" w14:textId="77777777" w:rsidTr="00171DC7">
        <w:trPr>
          <w:cantSplit/>
        </w:trPr>
        <w:tc>
          <w:tcPr>
            <w:tcW w:w="4678" w:type="dxa"/>
            <w:gridSpan w:val="2"/>
          </w:tcPr>
          <w:p w14:paraId="6F6F4274" w14:textId="77777777" w:rsidR="00171DC7" w:rsidRPr="00776407" w:rsidRDefault="00171DC7" w:rsidP="00171DC7">
            <w:pPr>
              <w:pStyle w:val="KeinLeerraum"/>
              <w:rPr>
                <w:b/>
                <w:color w:val="000000" w:themeColor="text1"/>
                <w:sz w:val="22"/>
                <w:szCs w:val="22"/>
              </w:rPr>
            </w:pPr>
            <w:r w:rsidRPr="00776407">
              <w:rPr>
                <w:b/>
                <w:color w:val="000000" w:themeColor="text1"/>
                <w:sz w:val="22"/>
                <w:szCs w:val="22"/>
              </w:rPr>
              <w:t>Κύπρος</w:t>
            </w:r>
          </w:p>
          <w:p w14:paraId="1A554F4F"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Specifar A.B.E.E.</w:t>
            </w:r>
          </w:p>
          <w:p w14:paraId="55D04438"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Ελλάδα</w:t>
            </w:r>
          </w:p>
          <w:p w14:paraId="31D5ECDD" w14:textId="00CF4B99" w:rsidR="00171DC7" w:rsidRPr="00776407" w:rsidRDefault="00171DC7" w:rsidP="00171DC7">
            <w:pPr>
              <w:pStyle w:val="KeinLeerraum"/>
              <w:rPr>
                <w:color w:val="000000" w:themeColor="text1"/>
                <w:sz w:val="22"/>
                <w:szCs w:val="22"/>
              </w:rPr>
            </w:pPr>
            <w:r w:rsidRPr="00776407">
              <w:rPr>
                <w:color w:val="000000" w:themeColor="text1"/>
                <w:sz w:val="22"/>
                <w:szCs w:val="22"/>
              </w:rPr>
              <w:t>Τηλ: +30 2118805000</w:t>
            </w:r>
          </w:p>
          <w:p w14:paraId="76ECAFED" w14:textId="77777777" w:rsidR="00171DC7" w:rsidRPr="00776407" w:rsidRDefault="00171DC7" w:rsidP="00171DC7">
            <w:pPr>
              <w:pStyle w:val="KeinLeerraum"/>
              <w:rPr>
                <w:color w:val="000000" w:themeColor="text1"/>
                <w:sz w:val="22"/>
                <w:szCs w:val="22"/>
              </w:rPr>
            </w:pPr>
          </w:p>
        </w:tc>
        <w:tc>
          <w:tcPr>
            <w:tcW w:w="4678" w:type="dxa"/>
          </w:tcPr>
          <w:p w14:paraId="71260889" w14:textId="77777777" w:rsidR="00171DC7" w:rsidRPr="00776407" w:rsidRDefault="00171DC7" w:rsidP="00171DC7">
            <w:pPr>
              <w:pStyle w:val="KeinLeerraum"/>
              <w:rPr>
                <w:b/>
                <w:color w:val="000000" w:themeColor="text1"/>
                <w:sz w:val="22"/>
                <w:szCs w:val="22"/>
              </w:rPr>
            </w:pPr>
            <w:r w:rsidRPr="00776407">
              <w:rPr>
                <w:b/>
                <w:color w:val="000000" w:themeColor="text1"/>
                <w:sz w:val="22"/>
                <w:szCs w:val="22"/>
              </w:rPr>
              <w:t>Sverige</w:t>
            </w:r>
          </w:p>
          <w:p w14:paraId="5B22701F"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Teva Sweden AB</w:t>
            </w:r>
          </w:p>
          <w:p w14:paraId="533434F2"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Tel: +46 42121100</w:t>
            </w:r>
          </w:p>
          <w:p w14:paraId="14E00008" w14:textId="77777777" w:rsidR="00171DC7" w:rsidRPr="00776407" w:rsidRDefault="00171DC7" w:rsidP="00171DC7">
            <w:pPr>
              <w:pStyle w:val="KeinLeerraum"/>
              <w:rPr>
                <w:color w:val="000000" w:themeColor="text1"/>
                <w:sz w:val="22"/>
                <w:szCs w:val="22"/>
              </w:rPr>
            </w:pPr>
          </w:p>
        </w:tc>
      </w:tr>
      <w:tr w:rsidR="00171DC7" w:rsidRPr="00776407" w14:paraId="0A2936DC" w14:textId="77777777" w:rsidTr="00171DC7">
        <w:trPr>
          <w:cantSplit/>
        </w:trPr>
        <w:tc>
          <w:tcPr>
            <w:tcW w:w="4678" w:type="dxa"/>
            <w:gridSpan w:val="2"/>
          </w:tcPr>
          <w:p w14:paraId="46ACE6EC" w14:textId="77777777" w:rsidR="00171DC7" w:rsidRPr="00776407" w:rsidRDefault="00171DC7" w:rsidP="00171DC7">
            <w:pPr>
              <w:pStyle w:val="KeinLeerraum"/>
              <w:rPr>
                <w:b/>
                <w:bCs/>
                <w:color w:val="000000" w:themeColor="text1"/>
                <w:sz w:val="22"/>
                <w:szCs w:val="22"/>
                <w:lang w:eastAsia="en-GB"/>
              </w:rPr>
            </w:pPr>
            <w:r w:rsidRPr="00776407">
              <w:rPr>
                <w:b/>
                <w:bCs/>
                <w:color w:val="000000" w:themeColor="text1"/>
                <w:sz w:val="22"/>
                <w:szCs w:val="22"/>
                <w:lang w:eastAsia="en-GB"/>
              </w:rPr>
              <w:t>Latvija</w:t>
            </w:r>
          </w:p>
          <w:p w14:paraId="7223D7B4" w14:textId="2B93D977" w:rsidR="00171DC7" w:rsidRPr="00776407" w:rsidRDefault="00171DC7" w:rsidP="00171DC7">
            <w:pPr>
              <w:rPr>
                <w:color w:val="000000" w:themeColor="text1"/>
                <w:sz w:val="22"/>
                <w:szCs w:val="22"/>
                <w:lang w:eastAsia="en-GB"/>
              </w:rPr>
            </w:pPr>
            <w:r w:rsidRPr="00776407">
              <w:rPr>
                <w:color w:val="000000" w:themeColor="text1"/>
                <w:sz w:val="22"/>
                <w:szCs w:val="22"/>
                <w:lang w:eastAsia="en-GB"/>
              </w:rPr>
              <w:t>UAB Teva Baltics filiāle Latvijā</w:t>
            </w:r>
          </w:p>
          <w:p w14:paraId="64170AC7" w14:textId="77777777" w:rsidR="00171DC7" w:rsidRPr="00776407" w:rsidRDefault="00171DC7" w:rsidP="00171DC7">
            <w:pPr>
              <w:pStyle w:val="KeinLeerraum"/>
              <w:rPr>
                <w:color w:val="000000" w:themeColor="text1"/>
                <w:sz w:val="22"/>
                <w:szCs w:val="22"/>
                <w:lang w:eastAsia="en-GB"/>
              </w:rPr>
            </w:pPr>
            <w:r w:rsidRPr="00776407">
              <w:rPr>
                <w:color w:val="000000" w:themeColor="text1"/>
                <w:sz w:val="22"/>
                <w:szCs w:val="22"/>
                <w:lang w:eastAsia="en-GB"/>
              </w:rPr>
              <w:t>Tel: +371 67323666</w:t>
            </w:r>
          </w:p>
          <w:p w14:paraId="63054DD5" w14:textId="77777777" w:rsidR="00171DC7" w:rsidRPr="00776407" w:rsidRDefault="00171DC7" w:rsidP="00171DC7">
            <w:pPr>
              <w:pStyle w:val="KeinLeerraum"/>
              <w:rPr>
                <w:color w:val="000000" w:themeColor="text1"/>
                <w:sz w:val="22"/>
                <w:szCs w:val="22"/>
              </w:rPr>
            </w:pPr>
          </w:p>
        </w:tc>
        <w:tc>
          <w:tcPr>
            <w:tcW w:w="4678" w:type="dxa"/>
          </w:tcPr>
          <w:p w14:paraId="5D87C08A" w14:textId="77777777" w:rsidR="00171DC7" w:rsidRPr="00776407" w:rsidRDefault="00171DC7" w:rsidP="00171DC7">
            <w:pPr>
              <w:pStyle w:val="KeinLeerraum"/>
              <w:rPr>
                <w:b/>
                <w:color w:val="000000" w:themeColor="text1"/>
                <w:sz w:val="22"/>
                <w:szCs w:val="22"/>
              </w:rPr>
            </w:pPr>
            <w:r w:rsidRPr="00776407">
              <w:rPr>
                <w:b/>
                <w:color w:val="000000" w:themeColor="text1"/>
                <w:sz w:val="22"/>
                <w:szCs w:val="22"/>
              </w:rPr>
              <w:t>United Kingdom</w:t>
            </w:r>
          </w:p>
          <w:p w14:paraId="3BF25802"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Actavis UK Limited</w:t>
            </w:r>
          </w:p>
          <w:p w14:paraId="5B271174" w14:textId="77777777" w:rsidR="00171DC7" w:rsidRPr="00776407" w:rsidRDefault="00171DC7" w:rsidP="00171DC7">
            <w:pPr>
              <w:pStyle w:val="KeinLeerraum"/>
              <w:rPr>
                <w:color w:val="000000" w:themeColor="text1"/>
                <w:sz w:val="22"/>
                <w:szCs w:val="22"/>
              </w:rPr>
            </w:pPr>
            <w:r w:rsidRPr="00776407">
              <w:rPr>
                <w:color w:val="000000" w:themeColor="text1"/>
                <w:sz w:val="22"/>
                <w:szCs w:val="22"/>
              </w:rPr>
              <w:t>Tel: +44 1271385257</w:t>
            </w:r>
          </w:p>
          <w:p w14:paraId="04D568FC" w14:textId="77777777" w:rsidR="00171DC7" w:rsidRPr="00776407" w:rsidRDefault="00171DC7" w:rsidP="00171DC7">
            <w:pPr>
              <w:pStyle w:val="KeinLeerraum"/>
              <w:rPr>
                <w:color w:val="000000" w:themeColor="text1"/>
                <w:sz w:val="22"/>
                <w:szCs w:val="22"/>
              </w:rPr>
            </w:pPr>
          </w:p>
        </w:tc>
      </w:tr>
    </w:tbl>
    <w:p w14:paraId="6A2A48F2" w14:textId="77777777" w:rsidR="00171DC7" w:rsidRPr="00776407" w:rsidRDefault="00171DC7" w:rsidP="00171DC7">
      <w:pPr>
        <w:rPr>
          <w:color w:val="000000" w:themeColor="text1"/>
          <w:sz w:val="22"/>
          <w:szCs w:val="22"/>
        </w:rPr>
      </w:pPr>
    </w:p>
    <w:p w14:paraId="451046DF" w14:textId="77777777" w:rsidR="004D6E74" w:rsidRPr="00776407" w:rsidRDefault="004D6E74" w:rsidP="004D6E74">
      <w:pPr>
        <w:autoSpaceDE w:val="0"/>
        <w:autoSpaceDN w:val="0"/>
        <w:adjustRightInd w:val="0"/>
        <w:contextualSpacing/>
        <w:rPr>
          <w:b/>
          <w:bCs/>
          <w:sz w:val="22"/>
          <w:szCs w:val="22"/>
        </w:rPr>
      </w:pPr>
      <w:r w:rsidRPr="00776407">
        <w:rPr>
          <w:b/>
          <w:bCs/>
          <w:sz w:val="22"/>
          <w:szCs w:val="22"/>
        </w:rPr>
        <w:t>Šis pakuotės lapelis paskutinį kartą peržiūrėtas</w:t>
      </w:r>
    </w:p>
    <w:p w14:paraId="1C7BBD1E" w14:textId="77777777" w:rsidR="004D6E74" w:rsidRPr="00776407" w:rsidRDefault="004D6E74" w:rsidP="004D6E74">
      <w:pPr>
        <w:autoSpaceDE w:val="0"/>
        <w:autoSpaceDN w:val="0"/>
        <w:adjustRightInd w:val="0"/>
        <w:contextualSpacing/>
        <w:rPr>
          <w:bCs/>
          <w:sz w:val="22"/>
          <w:szCs w:val="22"/>
        </w:rPr>
      </w:pPr>
    </w:p>
    <w:p w14:paraId="5212F526" w14:textId="77777777" w:rsidR="004D6E74" w:rsidRPr="00776407" w:rsidRDefault="004D6E74" w:rsidP="004D6E74">
      <w:pPr>
        <w:autoSpaceDE w:val="0"/>
        <w:autoSpaceDN w:val="0"/>
        <w:adjustRightInd w:val="0"/>
        <w:rPr>
          <w:rFonts w:eastAsia="Calibri"/>
          <w:color w:val="000000"/>
          <w:sz w:val="22"/>
          <w:szCs w:val="22"/>
        </w:rPr>
      </w:pPr>
      <w:r w:rsidRPr="00776407">
        <w:rPr>
          <w:rFonts w:eastAsia="Calibri"/>
          <w:b/>
          <w:bCs/>
          <w:color w:val="000000"/>
          <w:sz w:val="22"/>
          <w:szCs w:val="22"/>
        </w:rPr>
        <w:t xml:space="preserve">Kiti informacijos šaltiniai </w:t>
      </w:r>
    </w:p>
    <w:p w14:paraId="3C53970F" w14:textId="77777777" w:rsidR="004D6E74" w:rsidRPr="00776407" w:rsidRDefault="004D6E74" w:rsidP="004D6E74">
      <w:pPr>
        <w:autoSpaceDE w:val="0"/>
        <w:autoSpaceDN w:val="0"/>
        <w:adjustRightInd w:val="0"/>
        <w:contextualSpacing/>
        <w:rPr>
          <w:sz w:val="22"/>
          <w:szCs w:val="22"/>
        </w:rPr>
      </w:pPr>
      <w:r w:rsidRPr="00776407">
        <w:rPr>
          <w:rFonts w:eastAsia="Calibri"/>
          <w:color w:val="000000"/>
          <w:sz w:val="22"/>
          <w:szCs w:val="22"/>
        </w:rPr>
        <w:t xml:space="preserve">Išsami informacija apie šį vaistą pateikiama Europos vaistų agentūros tinklalapyje </w:t>
      </w:r>
      <w:hyperlink r:id="rId17" w:history="1">
        <w:r w:rsidRPr="00776407">
          <w:rPr>
            <w:rStyle w:val="Hyperlink"/>
            <w:rFonts w:eastAsia="Calibri"/>
            <w:sz w:val="22"/>
            <w:szCs w:val="22"/>
          </w:rPr>
          <w:t>http://www.ema.europa.eu</w:t>
        </w:r>
      </w:hyperlink>
      <w:r w:rsidR="009E7E37" w:rsidRPr="00776407">
        <w:rPr>
          <w:rFonts w:eastAsia="Calibri"/>
          <w:color w:val="000000"/>
          <w:sz w:val="22"/>
          <w:szCs w:val="22"/>
        </w:rPr>
        <w:t>.</w:t>
      </w:r>
    </w:p>
    <w:p w14:paraId="6DD6F5A2" w14:textId="77777777" w:rsidR="00A52D60" w:rsidRPr="00776407" w:rsidRDefault="00BE3C08" w:rsidP="00A52D60">
      <w:pPr>
        <w:pStyle w:val="Default"/>
        <w:jc w:val="center"/>
        <w:rPr>
          <w:rFonts w:ascii="Times New Roman" w:hAnsi="Times New Roman" w:cs="Times New Roman"/>
          <w:b/>
          <w:bCs/>
          <w:sz w:val="22"/>
          <w:szCs w:val="22"/>
          <w:lang w:val="lt-LT"/>
        </w:rPr>
      </w:pPr>
      <w:r w:rsidRPr="00776407">
        <w:rPr>
          <w:b/>
          <w:sz w:val="22"/>
          <w:szCs w:val="22"/>
          <w:lang w:val="lt-LT"/>
        </w:rPr>
        <w:br w:type="page"/>
      </w:r>
      <w:r w:rsidR="00A52D60" w:rsidRPr="00776407">
        <w:rPr>
          <w:rFonts w:ascii="Times New Roman" w:hAnsi="Times New Roman" w:cs="Times New Roman"/>
          <w:b/>
          <w:bCs/>
          <w:sz w:val="22"/>
          <w:szCs w:val="22"/>
          <w:lang w:val="lt-LT"/>
        </w:rPr>
        <w:t>Pakuotės lapelis: informacija vartotojui</w:t>
      </w:r>
    </w:p>
    <w:p w14:paraId="6A9A4A39" w14:textId="77777777" w:rsidR="00A52D60" w:rsidRPr="00776407" w:rsidRDefault="00A52D60" w:rsidP="00A52D60">
      <w:pPr>
        <w:pStyle w:val="Default"/>
        <w:jc w:val="center"/>
        <w:rPr>
          <w:rFonts w:ascii="Times New Roman" w:hAnsi="Times New Roman" w:cs="Times New Roman"/>
          <w:sz w:val="22"/>
          <w:szCs w:val="22"/>
          <w:lang w:val="lt-LT"/>
        </w:rPr>
      </w:pPr>
    </w:p>
    <w:p w14:paraId="3C1E6F02" w14:textId="77777777" w:rsidR="00A52D60" w:rsidRPr="00776407" w:rsidRDefault="00A52D60" w:rsidP="00A52D60">
      <w:pPr>
        <w:autoSpaceDE w:val="0"/>
        <w:autoSpaceDN w:val="0"/>
        <w:adjustRightInd w:val="0"/>
        <w:jc w:val="center"/>
        <w:rPr>
          <w:b/>
          <w:bCs/>
          <w:sz w:val="22"/>
          <w:szCs w:val="22"/>
        </w:rPr>
      </w:pPr>
      <w:r w:rsidRPr="00776407">
        <w:rPr>
          <w:b/>
          <w:bCs/>
          <w:spacing w:val="-1"/>
          <w:sz w:val="22"/>
          <w:szCs w:val="22"/>
        </w:rPr>
        <w:t>Imatinib Actavis</w:t>
      </w:r>
      <w:r w:rsidRPr="00776407">
        <w:rPr>
          <w:b/>
          <w:bCs/>
          <w:spacing w:val="1"/>
          <w:sz w:val="22"/>
          <w:szCs w:val="22"/>
        </w:rPr>
        <w:t xml:space="preserve"> 1</w:t>
      </w:r>
      <w:r w:rsidRPr="00776407">
        <w:rPr>
          <w:b/>
          <w:bCs/>
          <w:sz w:val="22"/>
          <w:szCs w:val="22"/>
        </w:rPr>
        <w:t>00 </w:t>
      </w:r>
      <w:r w:rsidRPr="00776407">
        <w:rPr>
          <w:b/>
          <w:bCs/>
          <w:spacing w:val="1"/>
          <w:sz w:val="22"/>
          <w:szCs w:val="22"/>
        </w:rPr>
        <w:t>m</w:t>
      </w:r>
      <w:r w:rsidRPr="00776407">
        <w:rPr>
          <w:b/>
          <w:bCs/>
          <w:sz w:val="22"/>
          <w:szCs w:val="22"/>
        </w:rPr>
        <w:t>g kietosios kapsulės</w:t>
      </w:r>
    </w:p>
    <w:p w14:paraId="3BA3A3CB" w14:textId="475730C6" w:rsidR="00532218" w:rsidRPr="00776407" w:rsidRDefault="00532218" w:rsidP="00532218">
      <w:pPr>
        <w:autoSpaceDE w:val="0"/>
        <w:autoSpaceDN w:val="0"/>
        <w:adjustRightInd w:val="0"/>
        <w:jc w:val="center"/>
        <w:rPr>
          <w:rFonts w:eastAsia="Calibri"/>
          <w:color w:val="000000"/>
          <w:sz w:val="22"/>
          <w:szCs w:val="22"/>
        </w:rPr>
      </w:pPr>
      <w:r w:rsidRPr="00776407">
        <w:rPr>
          <w:rFonts w:eastAsia="Calibri"/>
          <w:color w:val="000000"/>
          <w:sz w:val="22"/>
          <w:szCs w:val="22"/>
        </w:rPr>
        <w:t xml:space="preserve">imatinibas </w:t>
      </w:r>
      <w:r w:rsidRPr="00776407">
        <w:rPr>
          <w:rFonts w:eastAsia="Calibri"/>
          <w:i/>
          <w:color w:val="000000"/>
          <w:sz w:val="22"/>
          <w:szCs w:val="22"/>
        </w:rPr>
        <w:t>(imatinibum)</w:t>
      </w:r>
    </w:p>
    <w:p w14:paraId="5EAAA9C1" w14:textId="77777777" w:rsidR="00A52D60" w:rsidRPr="00776407" w:rsidRDefault="00A52D60" w:rsidP="00A52D60">
      <w:pPr>
        <w:autoSpaceDE w:val="0"/>
        <w:autoSpaceDN w:val="0"/>
        <w:adjustRightInd w:val="0"/>
        <w:jc w:val="center"/>
        <w:rPr>
          <w:rFonts w:eastAsia="Calibri"/>
          <w:color w:val="000000"/>
          <w:sz w:val="22"/>
          <w:szCs w:val="22"/>
        </w:rPr>
      </w:pPr>
    </w:p>
    <w:p w14:paraId="543F29E7" w14:textId="77777777" w:rsidR="00A52D60" w:rsidRPr="00776407" w:rsidRDefault="00A52D60" w:rsidP="00A52D60">
      <w:pPr>
        <w:autoSpaceDE w:val="0"/>
        <w:autoSpaceDN w:val="0"/>
        <w:adjustRightInd w:val="0"/>
        <w:jc w:val="center"/>
        <w:rPr>
          <w:rFonts w:eastAsia="Calibri"/>
          <w:color w:val="000000"/>
          <w:sz w:val="22"/>
          <w:szCs w:val="22"/>
        </w:rPr>
      </w:pPr>
    </w:p>
    <w:p w14:paraId="16376620" w14:textId="77777777" w:rsidR="00A52D60" w:rsidRPr="00776407" w:rsidRDefault="00A52D60" w:rsidP="00A52D60">
      <w:pPr>
        <w:autoSpaceDE w:val="0"/>
        <w:autoSpaceDN w:val="0"/>
        <w:adjustRightInd w:val="0"/>
        <w:rPr>
          <w:rFonts w:eastAsia="Calibri"/>
          <w:color w:val="000000"/>
          <w:sz w:val="22"/>
          <w:szCs w:val="22"/>
        </w:rPr>
      </w:pPr>
      <w:r w:rsidRPr="00776407">
        <w:rPr>
          <w:rFonts w:eastAsia="Calibri"/>
          <w:b/>
          <w:bCs/>
          <w:color w:val="000000"/>
          <w:sz w:val="22"/>
          <w:szCs w:val="22"/>
        </w:rPr>
        <w:t xml:space="preserve">Atidžiai perskaitykite visą šį lapelį, prieš pradėdami vartoti vaistą, nes jame pateikiama Jums svarbi informacija. </w:t>
      </w:r>
    </w:p>
    <w:p w14:paraId="66559FFB" w14:textId="77777777" w:rsidR="00A52D60" w:rsidRPr="00776407" w:rsidRDefault="00A52D60" w:rsidP="00A52D60">
      <w:pPr>
        <w:autoSpaceDE w:val="0"/>
        <w:autoSpaceDN w:val="0"/>
        <w:adjustRightInd w:val="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Neišmeskite šio lapelio, nes vėl gali prireikti jį perskaityti. </w:t>
      </w:r>
    </w:p>
    <w:p w14:paraId="7DE74F86" w14:textId="77777777" w:rsidR="00A52D60" w:rsidRPr="00776407" w:rsidRDefault="00A52D60" w:rsidP="00A52D60">
      <w:pPr>
        <w:autoSpaceDE w:val="0"/>
        <w:autoSpaceDN w:val="0"/>
        <w:adjustRightInd w:val="0"/>
        <w:spacing w:after="23"/>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Jeigu kiltų daugiau klausimų, kreipkitės į gydytoją, vaistininką arba slaugytoją. </w:t>
      </w:r>
    </w:p>
    <w:p w14:paraId="2DE2C4BD" w14:textId="77777777" w:rsidR="00A52D60" w:rsidRPr="00776407" w:rsidRDefault="00A52D60" w:rsidP="00A52D60">
      <w:pPr>
        <w:autoSpaceDE w:val="0"/>
        <w:autoSpaceDN w:val="0"/>
        <w:adjustRightInd w:val="0"/>
        <w:spacing w:after="23"/>
        <w:ind w:left="720" w:hanging="72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Šis vaistas skirtas tik Jums, todėl kitiems žmonėms jo duoti negalima. Vaistas gali jiems pakenkti (net tiems, kurių ligos požymiai yra tokie patys kaip Jūsų). </w:t>
      </w:r>
    </w:p>
    <w:p w14:paraId="6FA24047" w14:textId="77777777" w:rsidR="00A52D60" w:rsidRPr="00776407" w:rsidRDefault="00A52D60" w:rsidP="00A52D60">
      <w:pPr>
        <w:autoSpaceDE w:val="0"/>
        <w:autoSpaceDN w:val="0"/>
        <w:adjustRightInd w:val="0"/>
        <w:ind w:left="720" w:hanging="72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Jeigu pasireiškė šalutinis poveikis (net jeigu jis šiame lapelyje nenurodytas), kreipkitės į gydytoją, vaistininką arba slaugytoją. </w:t>
      </w:r>
      <w:r w:rsidR="00893547" w:rsidRPr="00776407">
        <w:rPr>
          <w:rFonts w:eastAsia="Calibri"/>
          <w:color w:val="000000"/>
          <w:sz w:val="22"/>
          <w:szCs w:val="22"/>
        </w:rPr>
        <w:t>Žr. 4 skyrių.</w:t>
      </w:r>
    </w:p>
    <w:p w14:paraId="3E88D7C8" w14:textId="77777777" w:rsidR="00A52D60" w:rsidRPr="00776407" w:rsidRDefault="00A52D60" w:rsidP="00A52D60">
      <w:pPr>
        <w:autoSpaceDE w:val="0"/>
        <w:autoSpaceDN w:val="0"/>
        <w:adjustRightInd w:val="0"/>
        <w:rPr>
          <w:rFonts w:eastAsia="Calibri"/>
          <w:color w:val="000000"/>
          <w:sz w:val="22"/>
          <w:szCs w:val="22"/>
        </w:rPr>
      </w:pPr>
    </w:p>
    <w:p w14:paraId="22CAF464" w14:textId="77777777" w:rsidR="00A52D60" w:rsidRPr="00776407" w:rsidRDefault="00A52D60" w:rsidP="00A52D60">
      <w:pPr>
        <w:autoSpaceDE w:val="0"/>
        <w:autoSpaceDN w:val="0"/>
        <w:adjustRightInd w:val="0"/>
        <w:rPr>
          <w:rFonts w:eastAsia="Calibri"/>
          <w:b/>
          <w:bCs/>
          <w:color w:val="000000"/>
          <w:sz w:val="22"/>
          <w:szCs w:val="22"/>
        </w:rPr>
      </w:pPr>
      <w:r w:rsidRPr="00776407">
        <w:rPr>
          <w:rFonts w:eastAsia="Calibri"/>
          <w:b/>
          <w:bCs/>
          <w:color w:val="000000"/>
          <w:sz w:val="22"/>
          <w:szCs w:val="22"/>
        </w:rPr>
        <w:t xml:space="preserve">Apie ką rašoma šiame lapelyje? </w:t>
      </w:r>
    </w:p>
    <w:p w14:paraId="5F0E66E9" w14:textId="77777777" w:rsidR="00A52D60" w:rsidRPr="00776407" w:rsidRDefault="00A52D60" w:rsidP="00A52D60">
      <w:pPr>
        <w:autoSpaceDE w:val="0"/>
        <w:autoSpaceDN w:val="0"/>
        <w:adjustRightInd w:val="0"/>
        <w:rPr>
          <w:rFonts w:eastAsia="Calibri"/>
          <w:color w:val="000000"/>
          <w:sz w:val="22"/>
          <w:szCs w:val="22"/>
        </w:rPr>
      </w:pPr>
    </w:p>
    <w:p w14:paraId="468ED688" w14:textId="77777777" w:rsidR="00A52D60" w:rsidRPr="00776407" w:rsidRDefault="00A52D60" w:rsidP="00A52D60">
      <w:pPr>
        <w:autoSpaceDE w:val="0"/>
        <w:autoSpaceDN w:val="0"/>
        <w:adjustRightInd w:val="0"/>
        <w:rPr>
          <w:rFonts w:eastAsia="Calibri"/>
          <w:color w:val="000000"/>
          <w:sz w:val="22"/>
          <w:szCs w:val="22"/>
        </w:rPr>
      </w:pPr>
      <w:r w:rsidRPr="00776407">
        <w:rPr>
          <w:rFonts w:eastAsia="Calibri"/>
          <w:color w:val="000000"/>
          <w:sz w:val="22"/>
          <w:szCs w:val="22"/>
        </w:rPr>
        <w:t xml:space="preserve">1. Kas yra Imatinib Actavis ir kam jis vartojamas </w:t>
      </w:r>
    </w:p>
    <w:p w14:paraId="70C8E9BC" w14:textId="77777777" w:rsidR="00A52D60" w:rsidRPr="00776407" w:rsidRDefault="00A52D60" w:rsidP="00A52D60">
      <w:pPr>
        <w:autoSpaceDE w:val="0"/>
        <w:autoSpaceDN w:val="0"/>
        <w:adjustRightInd w:val="0"/>
        <w:rPr>
          <w:rFonts w:eastAsia="Calibri"/>
          <w:color w:val="000000"/>
          <w:sz w:val="22"/>
          <w:szCs w:val="22"/>
        </w:rPr>
      </w:pPr>
      <w:r w:rsidRPr="00776407">
        <w:rPr>
          <w:rFonts w:eastAsia="Calibri"/>
          <w:color w:val="000000"/>
          <w:sz w:val="22"/>
          <w:szCs w:val="22"/>
        </w:rPr>
        <w:t xml:space="preserve">2. Kas žinotina prieš vartojant Imatinib Actavis </w:t>
      </w:r>
    </w:p>
    <w:p w14:paraId="66BBB254" w14:textId="77777777" w:rsidR="00A52D60" w:rsidRPr="00776407" w:rsidRDefault="00A52D60" w:rsidP="00A52D60">
      <w:pPr>
        <w:autoSpaceDE w:val="0"/>
        <w:autoSpaceDN w:val="0"/>
        <w:adjustRightInd w:val="0"/>
        <w:rPr>
          <w:rFonts w:eastAsia="Calibri"/>
          <w:color w:val="000000"/>
          <w:sz w:val="22"/>
          <w:szCs w:val="22"/>
        </w:rPr>
      </w:pPr>
      <w:r w:rsidRPr="00776407">
        <w:rPr>
          <w:rFonts w:eastAsia="Calibri"/>
          <w:color w:val="000000"/>
          <w:sz w:val="22"/>
          <w:szCs w:val="22"/>
        </w:rPr>
        <w:t xml:space="preserve">3. Kaip vartoti Imatinib Actavis </w:t>
      </w:r>
    </w:p>
    <w:p w14:paraId="49B5230C" w14:textId="77777777" w:rsidR="00A52D60" w:rsidRPr="00776407" w:rsidRDefault="00A52D60" w:rsidP="00A52D60">
      <w:pPr>
        <w:autoSpaceDE w:val="0"/>
        <w:autoSpaceDN w:val="0"/>
        <w:adjustRightInd w:val="0"/>
        <w:rPr>
          <w:rFonts w:eastAsia="Calibri"/>
          <w:color w:val="000000"/>
          <w:sz w:val="22"/>
          <w:szCs w:val="22"/>
        </w:rPr>
      </w:pPr>
      <w:r w:rsidRPr="00776407">
        <w:rPr>
          <w:rFonts w:eastAsia="Calibri"/>
          <w:color w:val="000000"/>
          <w:sz w:val="22"/>
          <w:szCs w:val="22"/>
        </w:rPr>
        <w:t xml:space="preserve">4. Galimas šalutinis poveikis </w:t>
      </w:r>
    </w:p>
    <w:p w14:paraId="450E57BB" w14:textId="77777777" w:rsidR="00A52D60" w:rsidRPr="00776407" w:rsidRDefault="00A52D60" w:rsidP="00A52D60">
      <w:pPr>
        <w:autoSpaceDE w:val="0"/>
        <w:autoSpaceDN w:val="0"/>
        <w:adjustRightInd w:val="0"/>
        <w:rPr>
          <w:rFonts w:eastAsia="Calibri"/>
          <w:color w:val="000000"/>
          <w:sz w:val="22"/>
          <w:szCs w:val="22"/>
        </w:rPr>
      </w:pPr>
      <w:r w:rsidRPr="00776407">
        <w:rPr>
          <w:rFonts w:eastAsia="Calibri"/>
          <w:color w:val="000000"/>
          <w:sz w:val="22"/>
          <w:szCs w:val="22"/>
        </w:rPr>
        <w:t>5. Kaip laikyti Imatinib Actavis</w:t>
      </w:r>
    </w:p>
    <w:p w14:paraId="524868A4" w14:textId="77777777" w:rsidR="00A52D60" w:rsidRPr="00776407" w:rsidRDefault="00A52D60" w:rsidP="00A52D60">
      <w:pPr>
        <w:autoSpaceDE w:val="0"/>
        <w:autoSpaceDN w:val="0"/>
        <w:adjustRightInd w:val="0"/>
        <w:rPr>
          <w:rFonts w:eastAsia="Calibri"/>
          <w:color w:val="000000"/>
          <w:sz w:val="22"/>
          <w:szCs w:val="22"/>
        </w:rPr>
      </w:pPr>
      <w:r w:rsidRPr="00776407">
        <w:rPr>
          <w:rFonts w:eastAsia="Calibri"/>
          <w:color w:val="000000"/>
          <w:sz w:val="22"/>
          <w:szCs w:val="22"/>
        </w:rPr>
        <w:t xml:space="preserve">6. Pakuotės turinys ir kita informacija </w:t>
      </w:r>
    </w:p>
    <w:p w14:paraId="3EE32EE6" w14:textId="77777777" w:rsidR="00A52D60" w:rsidRPr="00776407" w:rsidRDefault="00A52D60" w:rsidP="00A52D60">
      <w:pPr>
        <w:autoSpaceDE w:val="0"/>
        <w:autoSpaceDN w:val="0"/>
        <w:adjustRightInd w:val="0"/>
        <w:rPr>
          <w:rFonts w:eastAsia="Calibri"/>
          <w:color w:val="000000"/>
          <w:sz w:val="22"/>
          <w:szCs w:val="22"/>
        </w:rPr>
      </w:pPr>
    </w:p>
    <w:p w14:paraId="2C8B06CC" w14:textId="77777777" w:rsidR="00A52D60" w:rsidRPr="00776407" w:rsidRDefault="00A52D60" w:rsidP="00A52D60">
      <w:pPr>
        <w:autoSpaceDE w:val="0"/>
        <w:autoSpaceDN w:val="0"/>
        <w:adjustRightInd w:val="0"/>
        <w:rPr>
          <w:rFonts w:eastAsia="Calibri"/>
          <w:color w:val="000000"/>
          <w:sz w:val="22"/>
          <w:szCs w:val="22"/>
        </w:rPr>
      </w:pPr>
    </w:p>
    <w:p w14:paraId="6C908065" w14:textId="77777777" w:rsidR="00A52D60" w:rsidRPr="00776407" w:rsidRDefault="00A52D60" w:rsidP="00864BE6">
      <w:pPr>
        <w:pStyle w:val="Listenabsatz"/>
        <w:numPr>
          <w:ilvl w:val="0"/>
          <w:numId w:val="11"/>
        </w:numPr>
        <w:autoSpaceDE w:val="0"/>
        <w:autoSpaceDN w:val="0"/>
        <w:adjustRightInd w:val="0"/>
        <w:ind w:left="567" w:hanging="567"/>
        <w:rPr>
          <w:rFonts w:eastAsia="Calibri"/>
          <w:b/>
          <w:bCs/>
          <w:color w:val="000000"/>
          <w:sz w:val="22"/>
          <w:szCs w:val="22"/>
        </w:rPr>
      </w:pPr>
      <w:r w:rsidRPr="00776407">
        <w:rPr>
          <w:rFonts w:eastAsia="Calibri"/>
          <w:b/>
          <w:bCs/>
          <w:color w:val="000000"/>
          <w:sz w:val="22"/>
          <w:szCs w:val="22"/>
        </w:rPr>
        <w:t xml:space="preserve">Kas yra Imatinib Actavis ir kam jis vartojamas </w:t>
      </w:r>
    </w:p>
    <w:p w14:paraId="7E9A9D0C" w14:textId="77777777" w:rsidR="00A52D60" w:rsidRPr="00776407" w:rsidRDefault="00A52D60" w:rsidP="00A52D60">
      <w:pPr>
        <w:autoSpaceDE w:val="0"/>
        <w:autoSpaceDN w:val="0"/>
        <w:adjustRightInd w:val="0"/>
        <w:rPr>
          <w:rFonts w:eastAsia="Calibri"/>
          <w:color w:val="000000"/>
          <w:sz w:val="22"/>
          <w:szCs w:val="22"/>
        </w:rPr>
      </w:pPr>
    </w:p>
    <w:p w14:paraId="0C87C707" w14:textId="77777777" w:rsidR="00A52D60" w:rsidRPr="00776407" w:rsidRDefault="00A52D60" w:rsidP="00A52D60">
      <w:pPr>
        <w:autoSpaceDE w:val="0"/>
        <w:autoSpaceDN w:val="0"/>
        <w:adjustRightInd w:val="0"/>
        <w:rPr>
          <w:rFonts w:eastAsia="Calibri"/>
          <w:color w:val="000000"/>
          <w:sz w:val="22"/>
          <w:szCs w:val="22"/>
        </w:rPr>
      </w:pPr>
      <w:r w:rsidRPr="00776407">
        <w:rPr>
          <w:rFonts w:eastAsia="Calibri"/>
          <w:color w:val="000000"/>
          <w:sz w:val="22"/>
          <w:szCs w:val="22"/>
        </w:rPr>
        <w:t xml:space="preserve">Imatinib Actavis yra vaistas, kurio sudėtyje yra veikliosios medžiagos imatinibo. Šis vaistas veikia slopindamas nenormalių ląstelių augimą, sergant </w:t>
      </w:r>
      <w:r w:rsidR="0012790D" w:rsidRPr="00776407">
        <w:rPr>
          <w:sz w:val="22"/>
          <w:szCs w:val="22"/>
        </w:rPr>
        <w:t xml:space="preserve">toliau išvardytomis ligomis. Jos apima ir kai kurių tipų vėžinius susirgimus. </w:t>
      </w:r>
    </w:p>
    <w:p w14:paraId="4FEB2026" w14:textId="77777777" w:rsidR="00A52D60" w:rsidRPr="00776407" w:rsidRDefault="00A52D60" w:rsidP="00A52D60">
      <w:pPr>
        <w:autoSpaceDE w:val="0"/>
        <w:autoSpaceDN w:val="0"/>
        <w:adjustRightInd w:val="0"/>
        <w:rPr>
          <w:rFonts w:eastAsia="Calibri"/>
          <w:color w:val="000000"/>
          <w:sz w:val="22"/>
          <w:szCs w:val="22"/>
        </w:rPr>
      </w:pPr>
    </w:p>
    <w:p w14:paraId="0A3D2C06" w14:textId="77777777" w:rsidR="00D23EE1" w:rsidRPr="00776407" w:rsidRDefault="00B4566D" w:rsidP="00D23EE1">
      <w:pPr>
        <w:autoSpaceDE w:val="0"/>
        <w:autoSpaceDN w:val="0"/>
        <w:adjustRightInd w:val="0"/>
        <w:rPr>
          <w:rFonts w:eastAsia="Calibri"/>
          <w:b/>
          <w:bCs/>
          <w:sz w:val="22"/>
          <w:szCs w:val="22"/>
        </w:rPr>
      </w:pPr>
      <w:r w:rsidRPr="00776407">
        <w:rPr>
          <w:rFonts w:eastAsia="Calibri"/>
          <w:b/>
          <w:bCs/>
          <w:sz w:val="22"/>
          <w:szCs w:val="22"/>
        </w:rPr>
        <w:t>Imatinib Actavis vartojamas gydyti:</w:t>
      </w:r>
    </w:p>
    <w:p w14:paraId="67CE89F7" w14:textId="77777777" w:rsidR="00B4566D" w:rsidRPr="00776407" w:rsidRDefault="00B4566D" w:rsidP="00D23EE1">
      <w:pPr>
        <w:autoSpaceDE w:val="0"/>
        <w:autoSpaceDN w:val="0"/>
        <w:adjustRightInd w:val="0"/>
        <w:rPr>
          <w:rFonts w:eastAsia="Calibri"/>
          <w:b/>
          <w:bCs/>
          <w:sz w:val="22"/>
          <w:szCs w:val="22"/>
        </w:rPr>
      </w:pPr>
    </w:p>
    <w:p w14:paraId="798FB3E0" w14:textId="77777777" w:rsidR="00A52D60" w:rsidRPr="00776407" w:rsidRDefault="0012790D" w:rsidP="00864BE6">
      <w:pPr>
        <w:autoSpaceDE w:val="0"/>
        <w:autoSpaceDN w:val="0"/>
        <w:adjustRightInd w:val="0"/>
        <w:ind w:left="709"/>
        <w:rPr>
          <w:rFonts w:eastAsia="Calibri"/>
          <w:color w:val="000000"/>
          <w:sz w:val="22"/>
          <w:szCs w:val="22"/>
        </w:rPr>
      </w:pPr>
      <w:r w:rsidRPr="00776407">
        <w:rPr>
          <w:rFonts w:eastAsia="Calibri"/>
          <w:b/>
          <w:bCs/>
          <w:sz w:val="22"/>
          <w:szCs w:val="22"/>
        </w:rPr>
        <w:t>L</w:t>
      </w:r>
      <w:r w:rsidR="00A52D60" w:rsidRPr="00776407">
        <w:rPr>
          <w:rFonts w:eastAsia="Calibri"/>
          <w:b/>
          <w:bCs/>
          <w:sz w:val="22"/>
          <w:szCs w:val="22"/>
        </w:rPr>
        <w:t xml:space="preserve">ėtinę mieloleukemiją (LML). </w:t>
      </w:r>
      <w:r w:rsidR="00A52D60" w:rsidRPr="00776407">
        <w:rPr>
          <w:rFonts w:eastAsia="Calibri"/>
          <w:bCs/>
          <w:sz w:val="22"/>
          <w:szCs w:val="22"/>
        </w:rPr>
        <w:t>Leukemija – tai baltųjų kraujo</w:t>
      </w:r>
      <w:r w:rsidR="00A52D60" w:rsidRPr="00776407">
        <w:rPr>
          <w:rFonts w:eastAsia="Calibri"/>
          <w:b/>
          <w:bCs/>
          <w:color w:val="000000"/>
          <w:sz w:val="22"/>
          <w:szCs w:val="22"/>
        </w:rPr>
        <w:t xml:space="preserve"> </w:t>
      </w:r>
      <w:r w:rsidR="00A52D60" w:rsidRPr="00776407">
        <w:rPr>
          <w:rFonts w:eastAsia="Calibri"/>
          <w:color w:val="000000"/>
          <w:sz w:val="22"/>
          <w:szCs w:val="22"/>
        </w:rPr>
        <w:t xml:space="preserve">kūnelių vėžys. Paprastai šios baltosios ląstelės padeda organizmui kovoti su infekcija. Lėtinė mieloleukemija yra tokia leukemijos forma, kai dažniausiai nenormalios ląstelės (vadinamos mieloidinėmis ląstelėmis), pradeda nekontroliuojamai augti. </w:t>
      </w:r>
    </w:p>
    <w:p w14:paraId="18F48ED7" w14:textId="77777777" w:rsidR="00A52D60" w:rsidRPr="00776407" w:rsidRDefault="00A52D60" w:rsidP="00A52D60">
      <w:pPr>
        <w:autoSpaceDE w:val="0"/>
        <w:autoSpaceDN w:val="0"/>
        <w:adjustRightInd w:val="0"/>
        <w:rPr>
          <w:rFonts w:eastAsia="Calibri"/>
          <w:color w:val="000000"/>
          <w:sz w:val="22"/>
          <w:szCs w:val="22"/>
        </w:rPr>
      </w:pPr>
    </w:p>
    <w:p w14:paraId="79188852" w14:textId="77777777" w:rsidR="001C543E" w:rsidRPr="00776407" w:rsidRDefault="001C543E" w:rsidP="00A52D60">
      <w:pPr>
        <w:autoSpaceDE w:val="0"/>
        <w:autoSpaceDN w:val="0"/>
        <w:adjustRightInd w:val="0"/>
        <w:rPr>
          <w:rFonts w:eastAsia="Calibri"/>
          <w:color w:val="000000"/>
          <w:sz w:val="22"/>
          <w:szCs w:val="22"/>
        </w:rPr>
      </w:pPr>
      <w:r w:rsidRPr="00776407">
        <w:rPr>
          <w:rFonts w:eastAsia="Calibri"/>
          <w:color w:val="000000"/>
          <w:sz w:val="22"/>
          <w:szCs w:val="22"/>
        </w:rPr>
        <w:t>Suaugusiesiems Imatinib Actavis naudojamas toliausiai pažengusiai ligos fazei (blastinei krizei) gydyti. Vaikams ir paaugliams Imatinib Actavis gali būti vartojamas įvairioms ligos stadijoms gydyti (chroniškai, ūminei ir blastinei krizei).</w:t>
      </w:r>
    </w:p>
    <w:p w14:paraId="3D32B729" w14:textId="77777777" w:rsidR="001C543E" w:rsidRPr="00776407" w:rsidRDefault="001C543E" w:rsidP="00A52D60">
      <w:pPr>
        <w:autoSpaceDE w:val="0"/>
        <w:autoSpaceDN w:val="0"/>
        <w:adjustRightInd w:val="0"/>
        <w:rPr>
          <w:rFonts w:eastAsia="Calibri"/>
          <w:color w:val="000000"/>
          <w:sz w:val="22"/>
          <w:szCs w:val="22"/>
        </w:rPr>
      </w:pPr>
    </w:p>
    <w:p w14:paraId="5DA98605" w14:textId="77777777" w:rsidR="00D23EE1" w:rsidRPr="00776407" w:rsidRDefault="0012790D" w:rsidP="00864BE6">
      <w:pPr>
        <w:numPr>
          <w:ilvl w:val="0"/>
          <w:numId w:val="1"/>
        </w:numPr>
        <w:autoSpaceDE w:val="0"/>
        <w:autoSpaceDN w:val="0"/>
        <w:adjustRightInd w:val="0"/>
        <w:ind w:hanging="720"/>
        <w:rPr>
          <w:rFonts w:eastAsia="Calibri"/>
          <w:color w:val="000000"/>
          <w:sz w:val="22"/>
          <w:szCs w:val="22"/>
        </w:rPr>
      </w:pPr>
      <w:r w:rsidRPr="00776407">
        <w:rPr>
          <w:rFonts w:eastAsia="Calibri"/>
          <w:b/>
          <w:bCs/>
          <w:i/>
          <w:iCs/>
          <w:color w:val="000000"/>
          <w:sz w:val="22"/>
          <w:szCs w:val="22"/>
        </w:rPr>
        <w:t xml:space="preserve">Philadelphia </w:t>
      </w:r>
      <w:r w:rsidRPr="00776407">
        <w:rPr>
          <w:rFonts w:eastAsia="Calibri"/>
          <w:b/>
          <w:bCs/>
          <w:color w:val="000000"/>
          <w:sz w:val="22"/>
          <w:szCs w:val="22"/>
        </w:rPr>
        <w:t xml:space="preserve">chromosomai teigiamai ūminei limfoleukemijai (Ph teigiama ŪLL) gydyti. </w:t>
      </w:r>
      <w:r w:rsidRPr="00776407">
        <w:rPr>
          <w:rFonts w:eastAsia="Calibri"/>
          <w:color w:val="000000"/>
          <w:sz w:val="22"/>
          <w:szCs w:val="22"/>
        </w:rPr>
        <w:t xml:space="preserve">Leukemija – tai baltųjų kraujo kūnelių vėžys. Paprastai šios baltosios ląstelės padeda organizmui kovoti su infekcija. Ūminė limfoleukemija yra tokia leukemijos forma, kai tam tikros nenormalios ląstelės (vadinamos limfoblastais) pradeda nekontroliuojamai augti. Imatinib Actavis slopina šių </w:t>
      </w:r>
      <w:r w:rsidR="00D23EE1" w:rsidRPr="00776407">
        <w:rPr>
          <w:rFonts w:eastAsia="Calibri"/>
          <w:color w:val="000000"/>
          <w:sz w:val="22"/>
          <w:szCs w:val="22"/>
        </w:rPr>
        <w:t>ląstelių augimą.</w:t>
      </w:r>
    </w:p>
    <w:p w14:paraId="4B875DC2" w14:textId="77777777" w:rsidR="00D23EE1" w:rsidRPr="00776407" w:rsidRDefault="00D23EE1" w:rsidP="00D23EE1">
      <w:pPr>
        <w:autoSpaceDE w:val="0"/>
        <w:autoSpaceDN w:val="0"/>
        <w:adjustRightInd w:val="0"/>
        <w:rPr>
          <w:rFonts w:eastAsia="Calibri"/>
          <w:color w:val="000000"/>
          <w:sz w:val="22"/>
          <w:szCs w:val="22"/>
        </w:rPr>
      </w:pPr>
    </w:p>
    <w:p w14:paraId="2324C38E" w14:textId="77777777" w:rsidR="00B4566D" w:rsidRPr="00776407" w:rsidRDefault="00B4566D" w:rsidP="00F02F4E">
      <w:pPr>
        <w:keepNext/>
        <w:autoSpaceDE w:val="0"/>
        <w:autoSpaceDN w:val="0"/>
        <w:adjustRightInd w:val="0"/>
        <w:rPr>
          <w:rFonts w:eastAsia="Calibri"/>
          <w:b/>
          <w:bCs/>
          <w:sz w:val="22"/>
          <w:szCs w:val="22"/>
        </w:rPr>
      </w:pPr>
      <w:r w:rsidRPr="00776407">
        <w:rPr>
          <w:rFonts w:eastAsia="Calibri"/>
          <w:b/>
          <w:bCs/>
          <w:sz w:val="22"/>
          <w:szCs w:val="22"/>
        </w:rPr>
        <w:t>Imatinib Actavis taip pat vartojama gydyti suaugusiųjų:</w:t>
      </w:r>
    </w:p>
    <w:p w14:paraId="546EDD86" w14:textId="77777777" w:rsidR="00B4566D" w:rsidRPr="00776407" w:rsidRDefault="00B4566D" w:rsidP="00F02F4E">
      <w:pPr>
        <w:keepNext/>
        <w:autoSpaceDE w:val="0"/>
        <w:autoSpaceDN w:val="0"/>
        <w:adjustRightInd w:val="0"/>
        <w:rPr>
          <w:rFonts w:eastAsia="Calibri"/>
          <w:b/>
          <w:bCs/>
          <w:sz w:val="22"/>
          <w:szCs w:val="22"/>
        </w:rPr>
      </w:pPr>
    </w:p>
    <w:p w14:paraId="3C354DB3" w14:textId="77777777" w:rsidR="0012790D" w:rsidRPr="00776407" w:rsidRDefault="0012790D"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Mielodisplazinėms ar mieloproliferacinėms ligoms (MDS/MPL) gydyti. </w:t>
      </w:r>
      <w:r w:rsidRPr="00776407">
        <w:rPr>
          <w:rFonts w:eastAsia="Calibri"/>
          <w:color w:val="000000"/>
          <w:sz w:val="22"/>
          <w:szCs w:val="22"/>
        </w:rPr>
        <w:t xml:space="preserve">Tai kraujo ligos, kurių metu kai kurios kraujo ląstelės pradeda daugintis nekontroliuojamos. Imatinib Actavis slopina šių ląstelių augimą, sergant tam tikrais šių ligų potipiais. </w:t>
      </w:r>
    </w:p>
    <w:p w14:paraId="63F294B5" w14:textId="77777777" w:rsidR="0012790D" w:rsidRPr="00776407" w:rsidRDefault="0012790D"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Hipereozinofilijos sindromui (HES) ir (arba) lėtinei eozinofilinei leukemijai (LEL) gydyti. </w:t>
      </w:r>
      <w:r w:rsidRPr="00776407">
        <w:rPr>
          <w:rFonts w:eastAsia="Calibri"/>
          <w:color w:val="000000"/>
          <w:sz w:val="22"/>
          <w:szCs w:val="22"/>
        </w:rPr>
        <w:t xml:space="preserve">Tai yra kraujo ligos, kurių metu kai kurios kraujo ląstelės (vadinamos eozinofilais) pradeda daugintis nekontroliuojamos. Imatinib Actavis slopina šių ląstelių augimą, sergant tam tikrais šių ligų potipiais. </w:t>
      </w:r>
    </w:p>
    <w:p w14:paraId="6C3FC4EF" w14:textId="77777777" w:rsidR="0012790D" w:rsidRPr="00776407" w:rsidRDefault="0012790D"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Iškiliajai dermatofibrosarkomai </w:t>
      </w:r>
      <w:r w:rsidRPr="00776407">
        <w:rPr>
          <w:rFonts w:eastAsia="Calibri"/>
          <w:i/>
          <w:iCs/>
          <w:color w:val="000000"/>
          <w:sz w:val="22"/>
          <w:szCs w:val="22"/>
        </w:rPr>
        <w:t xml:space="preserve">(dermatofibrosarcoma protuberans </w:t>
      </w:r>
      <w:r w:rsidRPr="00776407">
        <w:rPr>
          <w:rFonts w:eastAsia="Calibri"/>
          <w:color w:val="000000"/>
          <w:sz w:val="22"/>
          <w:szCs w:val="22"/>
        </w:rPr>
        <w:t xml:space="preserve">- </w:t>
      </w:r>
      <w:r w:rsidRPr="00776407">
        <w:rPr>
          <w:rFonts w:eastAsia="Calibri"/>
          <w:b/>
          <w:bCs/>
          <w:color w:val="000000"/>
          <w:sz w:val="22"/>
          <w:szCs w:val="22"/>
        </w:rPr>
        <w:t>DFSP</w:t>
      </w:r>
      <w:r w:rsidRPr="00776407">
        <w:rPr>
          <w:rFonts w:eastAsia="Calibri"/>
          <w:color w:val="000000"/>
          <w:sz w:val="22"/>
          <w:szCs w:val="22"/>
        </w:rPr>
        <w:t xml:space="preserve">) gydyti. DFSP - tai po oda esančio audinio vėžys, kurio metu kai kurios ląstelės pradeda nekontroliuojamai augti. Imatinib Actavis slopina šių ląstelių augimą. </w:t>
      </w:r>
    </w:p>
    <w:p w14:paraId="6572F537" w14:textId="77777777" w:rsidR="00D23EE1" w:rsidRPr="00776407" w:rsidRDefault="00D23EE1" w:rsidP="00D23EE1">
      <w:pPr>
        <w:autoSpaceDE w:val="0"/>
        <w:autoSpaceDN w:val="0"/>
        <w:adjustRightInd w:val="0"/>
        <w:ind w:left="720"/>
        <w:rPr>
          <w:rFonts w:eastAsia="Calibri"/>
          <w:color w:val="000000"/>
          <w:sz w:val="22"/>
          <w:szCs w:val="22"/>
        </w:rPr>
      </w:pPr>
    </w:p>
    <w:p w14:paraId="06362A82" w14:textId="77777777" w:rsidR="0012790D" w:rsidRPr="00776407" w:rsidRDefault="0012790D" w:rsidP="0012790D">
      <w:pPr>
        <w:autoSpaceDE w:val="0"/>
        <w:autoSpaceDN w:val="0"/>
        <w:adjustRightInd w:val="0"/>
        <w:rPr>
          <w:sz w:val="22"/>
          <w:szCs w:val="22"/>
        </w:rPr>
      </w:pPr>
      <w:r w:rsidRPr="00776407">
        <w:rPr>
          <w:sz w:val="22"/>
          <w:szCs w:val="22"/>
        </w:rPr>
        <w:t>Toliau šiame lapelyje apibūdinant minėtas ligas bus naudojamos nurodytos santrumpos.</w:t>
      </w:r>
    </w:p>
    <w:p w14:paraId="67096370" w14:textId="77777777" w:rsidR="00A52D60" w:rsidRPr="00776407" w:rsidRDefault="00A52D60" w:rsidP="00A52D60">
      <w:pPr>
        <w:autoSpaceDE w:val="0"/>
        <w:autoSpaceDN w:val="0"/>
        <w:adjustRightInd w:val="0"/>
        <w:rPr>
          <w:rFonts w:eastAsia="Calibri"/>
          <w:color w:val="000000"/>
          <w:sz w:val="22"/>
          <w:szCs w:val="22"/>
        </w:rPr>
      </w:pPr>
    </w:p>
    <w:p w14:paraId="6E38B1F3"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Jei Jums kiltų kokių nors klausimų apie Imatinib Actavis veikimą arba kodėl Jums jį paskyrė, klauskite gydytojo. </w:t>
      </w:r>
    </w:p>
    <w:p w14:paraId="100FB78F" w14:textId="77777777" w:rsidR="00A52D60" w:rsidRPr="00776407" w:rsidRDefault="00A52D60" w:rsidP="00A52D60">
      <w:pPr>
        <w:autoSpaceDE w:val="0"/>
        <w:autoSpaceDN w:val="0"/>
        <w:adjustRightInd w:val="0"/>
        <w:rPr>
          <w:rFonts w:eastAsia="Calibri"/>
          <w:sz w:val="22"/>
          <w:szCs w:val="22"/>
        </w:rPr>
      </w:pPr>
    </w:p>
    <w:p w14:paraId="46019B3A" w14:textId="77777777" w:rsidR="00A52D60" w:rsidRPr="00776407" w:rsidRDefault="00A52D60" w:rsidP="00A52D60">
      <w:pPr>
        <w:autoSpaceDE w:val="0"/>
        <w:autoSpaceDN w:val="0"/>
        <w:adjustRightInd w:val="0"/>
        <w:rPr>
          <w:rFonts w:eastAsia="Calibri"/>
          <w:sz w:val="22"/>
          <w:szCs w:val="22"/>
        </w:rPr>
      </w:pPr>
    </w:p>
    <w:p w14:paraId="46ACD557" w14:textId="77777777" w:rsidR="00A52D60" w:rsidRPr="00776407" w:rsidRDefault="00A52D60" w:rsidP="00864BE6">
      <w:pPr>
        <w:pStyle w:val="Listenabsatz"/>
        <w:numPr>
          <w:ilvl w:val="0"/>
          <w:numId w:val="11"/>
        </w:numPr>
        <w:autoSpaceDE w:val="0"/>
        <w:autoSpaceDN w:val="0"/>
        <w:adjustRightInd w:val="0"/>
        <w:ind w:left="567" w:hanging="567"/>
        <w:rPr>
          <w:rFonts w:eastAsia="Calibri"/>
          <w:b/>
          <w:sz w:val="22"/>
          <w:szCs w:val="22"/>
        </w:rPr>
      </w:pPr>
      <w:r w:rsidRPr="00776407">
        <w:rPr>
          <w:rFonts w:eastAsia="Calibri"/>
          <w:b/>
          <w:bCs/>
          <w:sz w:val="22"/>
          <w:szCs w:val="22"/>
        </w:rPr>
        <w:t xml:space="preserve">Kas žinotina prieš vartojant Imatinib Actavis </w:t>
      </w:r>
    </w:p>
    <w:p w14:paraId="6F813934" w14:textId="77777777" w:rsidR="00A52D60" w:rsidRPr="00776407" w:rsidRDefault="00A52D60" w:rsidP="00A52D60">
      <w:pPr>
        <w:autoSpaceDE w:val="0"/>
        <w:autoSpaceDN w:val="0"/>
        <w:adjustRightInd w:val="0"/>
        <w:rPr>
          <w:rFonts w:eastAsia="Calibri"/>
          <w:sz w:val="22"/>
          <w:szCs w:val="22"/>
        </w:rPr>
      </w:pPr>
    </w:p>
    <w:p w14:paraId="4B7C6E7C"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Imatinib Actavis Jums paskirs tik gydytojas, turintis kraujo vėžių arba solidinių navikų gydymo vaistais patirties. </w:t>
      </w:r>
    </w:p>
    <w:p w14:paraId="7FA768C7" w14:textId="77777777" w:rsidR="00A52D60" w:rsidRPr="00776407" w:rsidRDefault="00A52D60" w:rsidP="00A52D60">
      <w:pPr>
        <w:autoSpaceDE w:val="0"/>
        <w:autoSpaceDN w:val="0"/>
        <w:adjustRightInd w:val="0"/>
        <w:rPr>
          <w:rFonts w:eastAsia="Calibri"/>
          <w:sz w:val="22"/>
          <w:szCs w:val="22"/>
        </w:rPr>
      </w:pPr>
    </w:p>
    <w:p w14:paraId="546BA369"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Tiksliai laikykitės visų gydytojo nurodymų, net jei jie skiriasi nuo bendrosios šiame lapelyje esančios informacijos. </w:t>
      </w:r>
    </w:p>
    <w:p w14:paraId="4068DC92" w14:textId="77777777" w:rsidR="00A52D60" w:rsidRPr="00776407" w:rsidRDefault="00A52D60" w:rsidP="00A52D60">
      <w:pPr>
        <w:autoSpaceDE w:val="0"/>
        <w:autoSpaceDN w:val="0"/>
        <w:adjustRightInd w:val="0"/>
        <w:rPr>
          <w:rFonts w:eastAsia="Calibri"/>
          <w:b/>
          <w:bCs/>
          <w:sz w:val="22"/>
          <w:szCs w:val="22"/>
        </w:rPr>
      </w:pPr>
    </w:p>
    <w:p w14:paraId="11E29652" w14:textId="76F6FE3C"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Imatinib Actavis vartoti negalima </w:t>
      </w:r>
    </w:p>
    <w:p w14:paraId="3CAD93FE" w14:textId="77777777" w:rsidR="00A52D60" w:rsidRPr="00776407" w:rsidRDefault="00A52D60"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jeigu yra alergija imatinibui arba bet kuriai pagalbinei šio vaisto medžiagai (jos išvardytos 6</w:t>
      </w:r>
      <w:r w:rsidR="0012790D" w:rsidRPr="00776407">
        <w:rPr>
          <w:rFonts w:eastAsia="Calibri"/>
          <w:sz w:val="22"/>
          <w:szCs w:val="22"/>
        </w:rPr>
        <w:t> </w:t>
      </w:r>
      <w:r w:rsidRPr="00776407">
        <w:rPr>
          <w:rFonts w:eastAsia="Calibri"/>
          <w:sz w:val="22"/>
          <w:szCs w:val="22"/>
        </w:rPr>
        <w:t xml:space="preserve">skyriuje). </w:t>
      </w:r>
    </w:p>
    <w:p w14:paraId="6A1346B2" w14:textId="77777777" w:rsidR="00A52D60" w:rsidRPr="00776407" w:rsidRDefault="00A52D60" w:rsidP="00A52D60">
      <w:pPr>
        <w:autoSpaceDE w:val="0"/>
        <w:autoSpaceDN w:val="0"/>
        <w:adjustRightInd w:val="0"/>
        <w:rPr>
          <w:rFonts w:eastAsia="Calibri"/>
          <w:sz w:val="22"/>
          <w:szCs w:val="22"/>
        </w:rPr>
      </w:pPr>
    </w:p>
    <w:p w14:paraId="008C0930"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Jei ši sąlyga Jums tinka, </w:t>
      </w:r>
      <w:r w:rsidRPr="00776407">
        <w:rPr>
          <w:rFonts w:eastAsia="Calibri"/>
          <w:b/>
          <w:bCs/>
          <w:sz w:val="22"/>
          <w:szCs w:val="22"/>
        </w:rPr>
        <w:t xml:space="preserve">nevartokite Imatinib Actavis ir apie tai pasakykite gydytojui. </w:t>
      </w:r>
    </w:p>
    <w:p w14:paraId="174926D8" w14:textId="77777777" w:rsidR="00A52D60" w:rsidRPr="00776407" w:rsidRDefault="00A52D60" w:rsidP="00A52D60">
      <w:pPr>
        <w:autoSpaceDE w:val="0"/>
        <w:autoSpaceDN w:val="0"/>
        <w:adjustRightInd w:val="0"/>
        <w:rPr>
          <w:rFonts w:eastAsia="Calibri"/>
          <w:sz w:val="22"/>
          <w:szCs w:val="22"/>
        </w:rPr>
      </w:pPr>
    </w:p>
    <w:p w14:paraId="6C63ECFB"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Jeigu manote, kad galite būti alergiškas, bet nesate tikras, kreipkitės patarimo į gydytoją. </w:t>
      </w:r>
    </w:p>
    <w:p w14:paraId="50874D96" w14:textId="77777777" w:rsidR="00A52D60" w:rsidRPr="00776407" w:rsidRDefault="00A52D60" w:rsidP="00A52D60">
      <w:pPr>
        <w:autoSpaceDE w:val="0"/>
        <w:autoSpaceDN w:val="0"/>
        <w:adjustRightInd w:val="0"/>
        <w:rPr>
          <w:rFonts w:eastAsia="Calibri"/>
          <w:b/>
          <w:bCs/>
          <w:sz w:val="22"/>
          <w:szCs w:val="22"/>
        </w:rPr>
      </w:pPr>
    </w:p>
    <w:p w14:paraId="71B8410A"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Įspėjimai ir atsargumo priemonės </w:t>
      </w:r>
    </w:p>
    <w:p w14:paraId="44A41CC3"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Pasitarkite su gydytoju, prieš pradėdami vartoti Imatinib Actavis: </w:t>
      </w:r>
    </w:p>
    <w:p w14:paraId="66F02FB1"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t>jeigu Jums yra ar kada nors yra buvę kepenų, inkstų ar širdies sutrikimų</w:t>
      </w:r>
      <w:r w:rsidR="009E7E37" w:rsidRPr="00776407">
        <w:rPr>
          <w:rFonts w:eastAsia="Calibri"/>
          <w:sz w:val="22"/>
          <w:szCs w:val="22"/>
        </w:rPr>
        <w:t>;</w:t>
      </w:r>
    </w:p>
    <w:p w14:paraId="276284C0" w14:textId="7C84299F" w:rsidR="00D50475" w:rsidRPr="00776407" w:rsidRDefault="00A52D60" w:rsidP="00D50475">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t>jeigu dėl pašalintos skydliaukės vartojate vaist</w:t>
      </w:r>
      <w:r w:rsidR="00532218" w:rsidRPr="00776407">
        <w:rPr>
          <w:rFonts w:eastAsia="Calibri"/>
          <w:sz w:val="22"/>
          <w:szCs w:val="22"/>
        </w:rPr>
        <w:t>o</w:t>
      </w:r>
      <w:r w:rsidRPr="00776407">
        <w:rPr>
          <w:rFonts w:eastAsia="Calibri"/>
          <w:sz w:val="22"/>
          <w:szCs w:val="22"/>
        </w:rPr>
        <w:t xml:space="preserve"> levotiroksino</w:t>
      </w:r>
      <w:r w:rsidR="009E7E37" w:rsidRPr="00776407">
        <w:rPr>
          <w:rFonts w:eastAsia="Calibri"/>
          <w:sz w:val="22"/>
          <w:szCs w:val="22"/>
        </w:rPr>
        <w:t>;</w:t>
      </w:r>
    </w:p>
    <w:p w14:paraId="098B7F5D" w14:textId="77777777" w:rsidR="00BD21E4" w:rsidRPr="00776407" w:rsidRDefault="00D50475" w:rsidP="00D50475">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jums kada nors buvo diagnozuota hepatito B infekcija arba šiuo metu galite būti užsikrėtę šiuo virusu. Tai būtina, nes Imatinib Actavis gali vėl suaktyvinti hepatito B virusą, o kai kuriais atvejais tai gali būti mirtina. Prieš pradedant gydymą, gydytojas atidžiai patikrins, ar pacientas neturi šios infekcijos požymių</w:t>
      </w:r>
    </w:p>
    <w:p w14:paraId="47A1BC72" w14:textId="77777777" w:rsidR="00D50475" w:rsidRPr="00776407" w:rsidRDefault="00BD21E4" w:rsidP="00BD21E4">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r>
      <w:r w:rsidRPr="00776407">
        <w:rPr>
          <w:color w:val="000000"/>
          <w:spacing w:val="-2"/>
          <w:sz w:val="22"/>
          <w:szCs w:val="22"/>
        </w:rPr>
        <w:t>jeigu Jums vartojant Imatinib Actavis susidaro kraujosruvų, pasireiškia kraujavimas, karščiavimas, nuovargis ir sumišimas, kreipkitės į gydytoją. Tai gali būti kraujagyslių pažaidos, vadinamos trombine mikroangiopatija (TMA), požymis</w:t>
      </w:r>
      <w:r w:rsidR="00D50475" w:rsidRPr="00776407">
        <w:rPr>
          <w:rFonts w:eastAsia="Calibri"/>
          <w:sz w:val="22"/>
          <w:szCs w:val="22"/>
        </w:rPr>
        <w:t xml:space="preserve">. </w:t>
      </w:r>
    </w:p>
    <w:p w14:paraId="22C73AF5" w14:textId="77777777" w:rsidR="00447E0D" w:rsidRPr="00776407" w:rsidRDefault="00447E0D" w:rsidP="00447E0D">
      <w:pPr>
        <w:autoSpaceDE w:val="0"/>
        <w:autoSpaceDN w:val="0"/>
        <w:adjustRightInd w:val="0"/>
        <w:rPr>
          <w:rFonts w:eastAsia="Calibri"/>
          <w:sz w:val="22"/>
          <w:szCs w:val="22"/>
        </w:rPr>
      </w:pPr>
    </w:p>
    <w:p w14:paraId="7F99CDAD" w14:textId="77777777" w:rsidR="00532218" w:rsidRPr="00776407" w:rsidRDefault="00532218" w:rsidP="00532218">
      <w:pPr>
        <w:rPr>
          <w:color w:val="000000"/>
          <w:sz w:val="22"/>
          <w:szCs w:val="22"/>
        </w:rPr>
      </w:pPr>
      <w:r w:rsidRPr="00776407">
        <w:rPr>
          <w:bCs/>
          <w:sz w:val="22"/>
          <w:szCs w:val="22"/>
        </w:rPr>
        <w:t xml:space="preserve">Imatinib Actavis </w:t>
      </w:r>
      <w:r w:rsidRPr="00776407">
        <w:rPr>
          <w:color w:val="000000"/>
          <w:sz w:val="22"/>
          <w:szCs w:val="22"/>
        </w:rPr>
        <w:t>vartojimo metu galite tapti jautresnis saulės poveikiui. Svarbu apsaugoti atviras odos vietas nuo tiesioginių saulės spindulių ir naudoti preparatą nuo saulės nudegimo, kurio aukštas apsaugos faktorius (SPF).</w:t>
      </w:r>
      <w:r w:rsidRPr="00776407">
        <w:rPr>
          <w:rFonts w:ascii="Arial" w:hAnsi="Arial" w:cs="Arial"/>
          <w:color w:val="222222"/>
        </w:rPr>
        <w:t xml:space="preserve"> </w:t>
      </w:r>
      <w:r w:rsidRPr="00776407">
        <w:rPr>
          <w:color w:val="000000"/>
          <w:sz w:val="22"/>
          <w:szCs w:val="22"/>
        </w:rPr>
        <w:t>Šios atsargumo priemonės taip pat turi būti taikomos vaikams.</w:t>
      </w:r>
    </w:p>
    <w:p w14:paraId="7C666858" w14:textId="77777777" w:rsidR="00447E0D" w:rsidRPr="00776407" w:rsidRDefault="00447E0D" w:rsidP="00447E0D">
      <w:pPr>
        <w:autoSpaceDE w:val="0"/>
        <w:autoSpaceDN w:val="0"/>
        <w:adjustRightInd w:val="0"/>
        <w:rPr>
          <w:rFonts w:eastAsia="Calibri"/>
          <w:sz w:val="22"/>
          <w:szCs w:val="22"/>
        </w:rPr>
      </w:pPr>
    </w:p>
    <w:p w14:paraId="7FBDEB0E"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Jei bet kuri šių sąlygų Jums tinka, </w:t>
      </w:r>
      <w:r w:rsidRPr="00776407">
        <w:rPr>
          <w:rFonts w:eastAsia="Calibri"/>
          <w:b/>
          <w:bCs/>
          <w:sz w:val="22"/>
          <w:szCs w:val="22"/>
        </w:rPr>
        <w:t>prieš pradėdami vartoti Imatinib Actavis, pasakykite gydytojui</w:t>
      </w:r>
      <w:r w:rsidRPr="00776407">
        <w:rPr>
          <w:rFonts w:eastAsia="Calibri"/>
          <w:sz w:val="22"/>
          <w:szCs w:val="22"/>
        </w:rPr>
        <w:t xml:space="preserve">. </w:t>
      </w:r>
    </w:p>
    <w:p w14:paraId="33EF784A" w14:textId="77777777" w:rsidR="00A52D60" w:rsidRPr="00776407" w:rsidRDefault="00A52D60" w:rsidP="00A52D60">
      <w:pPr>
        <w:autoSpaceDE w:val="0"/>
        <w:autoSpaceDN w:val="0"/>
        <w:adjustRightInd w:val="0"/>
        <w:rPr>
          <w:rFonts w:eastAsia="Calibri"/>
          <w:b/>
          <w:bCs/>
          <w:sz w:val="22"/>
          <w:szCs w:val="22"/>
        </w:rPr>
      </w:pPr>
    </w:p>
    <w:p w14:paraId="04E680A2"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Imatinib Actavis vartojimo metu nedelsdami kreipkitės į gydytoją, </w:t>
      </w:r>
      <w:r w:rsidRPr="00776407">
        <w:rPr>
          <w:rFonts w:eastAsia="Calibri"/>
          <w:sz w:val="22"/>
          <w:szCs w:val="22"/>
        </w:rPr>
        <w:t xml:space="preserve">jeigu Jums labai greitai padidėjo kūno svoris. Dėl Imatinib Actavis poveikio Jūsų kūne gali kauptis skysčių (pasireikšti sunkus skysčių susilaikymas). </w:t>
      </w:r>
    </w:p>
    <w:p w14:paraId="19E180D9" w14:textId="77777777" w:rsidR="00A52D60" w:rsidRPr="00776407" w:rsidRDefault="00A52D60" w:rsidP="00A52D60">
      <w:pPr>
        <w:autoSpaceDE w:val="0"/>
        <w:autoSpaceDN w:val="0"/>
        <w:adjustRightInd w:val="0"/>
        <w:rPr>
          <w:rFonts w:eastAsia="Calibri"/>
          <w:sz w:val="22"/>
          <w:szCs w:val="22"/>
        </w:rPr>
      </w:pPr>
    </w:p>
    <w:p w14:paraId="7B18CEEF" w14:textId="753DB344"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Jums vartojant Imatinib Actavis, gydytojas reguliariai tikrins, ar vaist</w:t>
      </w:r>
      <w:r w:rsidR="00532218" w:rsidRPr="00776407">
        <w:rPr>
          <w:rFonts w:eastAsia="Calibri"/>
          <w:sz w:val="22"/>
          <w:szCs w:val="22"/>
        </w:rPr>
        <w:t>as</w:t>
      </w:r>
      <w:r w:rsidRPr="00776407">
        <w:rPr>
          <w:rFonts w:eastAsia="Calibri"/>
          <w:sz w:val="22"/>
          <w:szCs w:val="22"/>
        </w:rPr>
        <w:t xml:space="preserve"> veikia. Jums taip pat reguliariai tirs kraują ir kūno svorį. </w:t>
      </w:r>
    </w:p>
    <w:p w14:paraId="01C79952" w14:textId="77777777" w:rsidR="00A52D60" w:rsidRPr="00776407" w:rsidRDefault="00A52D60" w:rsidP="00A52D60">
      <w:pPr>
        <w:autoSpaceDE w:val="0"/>
        <w:autoSpaceDN w:val="0"/>
        <w:adjustRightInd w:val="0"/>
        <w:rPr>
          <w:rFonts w:eastAsia="Calibri"/>
          <w:b/>
          <w:bCs/>
          <w:sz w:val="22"/>
          <w:szCs w:val="22"/>
        </w:rPr>
      </w:pPr>
    </w:p>
    <w:p w14:paraId="615180E1"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Vaikams ir paaugliams </w:t>
      </w:r>
    </w:p>
    <w:p w14:paraId="0ECA2A62" w14:textId="77777777" w:rsidR="00447E0D" w:rsidRPr="00776407" w:rsidRDefault="00447E0D" w:rsidP="00447E0D">
      <w:pPr>
        <w:autoSpaceDE w:val="0"/>
        <w:autoSpaceDN w:val="0"/>
        <w:adjustRightInd w:val="0"/>
        <w:rPr>
          <w:rFonts w:eastAsia="Calibri"/>
          <w:sz w:val="22"/>
          <w:szCs w:val="22"/>
        </w:rPr>
      </w:pPr>
      <w:r w:rsidRPr="00776407">
        <w:rPr>
          <w:rFonts w:eastAsia="Calibri"/>
          <w:sz w:val="22"/>
          <w:szCs w:val="22"/>
        </w:rPr>
        <w:t xml:space="preserve">Imatinib Actavis taip pat gydomi vaikai, sergantys LML. Vartojimo patirties vaikams, jaunesniems kaip 2 metų ir sergantiems LML, nėra. </w:t>
      </w:r>
      <w:r w:rsidRPr="00776407">
        <w:rPr>
          <w:sz w:val="22"/>
          <w:szCs w:val="22"/>
        </w:rPr>
        <w:t>Vartojimo patirties vaikams, sergantiems Ph teigiama ŪLL, yra nedaug, o vartojimo patirties vaikams, sergantiems MDS/MPL, DFSP ir HES/LEL, yra labai nedaug.</w:t>
      </w:r>
    </w:p>
    <w:p w14:paraId="7CC8B8A1" w14:textId="77777777" w:rsidR="00A52D60" w:rsidRPr="00776407" w:rsidRDefault="00A52D60" w:rsidP="00A52D60">
      <w:pPr>
        <w:autoSpaceDE w:val="0"/>
        <w:autoSpaceDN w:val="0"/>
        <w:adjustRightInd w:val="0"/>
        <w:rPr>
          <w:rFonts w:eastAsia="Calibri"/>
          <w:sz w:val="22"/>
          <w:szCs w:val="22"/>
        </w:rPr>
      </w:pPr>
    </w:p>
    <w:p w14:paraId="3B60002F"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Kai kurių vaikų ir paauglių, vartojančių Imatinib Actavis, augimas gali būti lėtesnis nei įprasta. Todėl gydytojas tikrins augimą įprastų vizitų metu. </w:t>
      </w:r>
    </w:p>
    <w:p w14:paraId="6CF3E31D" w14:textId="77777777" w:rsidR="00A52D60" w:rsidRPr="00776407" w:rsidRDefault="00A52D60" w:rsidP="00A52D60">
      <w:pPr>
        <w:autoSpaceDE w:val="0"/>
        <w:autoSpaceDN w:val="0"/>
        <w:adjustRightInd w:val="0"/>
        <w:rPr>
          <w:rFonts w:eastAsia="Calibri"/>
          <w:b/>
          <w:sz w:val="22"/>
          <w:szCs w:val="22"/>
        </w:rPr>
      </w:pPr>
    </w:p>
    <w:p w14:paraId="635CB9C8" w14:textId="77777777" w:rsidR="00A52D60" w:rsidRPr="00776407" w:rsidRDefault="00A52D60" w:rsidP="00A52D60">
      <w:pPr>
        <w:autoSpaceDE w:val="0"/>
        <w:autoSpaceDN w:val="0"/>
        <w:adjustRightInd w:val="0"/>
        <w:rPr>
          <w:rFonts w:eastAsia="Calibri"/>
          <w:b/>
          <w:sz w:val="22"/>
          <w:szCs w:val="22"/>
        </w:rPr>
      </w:pPr>
      <w:r w:rsidRPr="00776407">
        <w:rPr>
          <w:rFonts w:eastAsia="Calibri"/>
          <w:b/>
          <w:sz w:val="22"/>
          <w:szCs w:val="22"/>
        </w:rPr>
        <w:t>Kiti vaistai ir Imatinib Actavis</w:t>
      </w:r>
    </w:p>
    <w:p w14:paraId="77501D5F" w14:textId="0B3D9211"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Jeigu vartojate ar neseniai vartojote kitų vaistų arba dėl to nesate tikri, įskaitant įsigytus be recepto (tokių kaip paracetamolio) ir taip pat </w:t>
      </w:r>
      <w:r w:rsidR="009E7E37" w:rsidRPr="00776407">
        <w:rPr>
          <w:rFonts w:eastAsia="Calibri"/>
          <w:sz w:val="22"/>
          <w:szCs w:val="22"/>
        </w:rPr>
        <w:t>vaistažolių</w:t>
      </w:r>
      <w:r w:rsidRPr="00776407">
        <w:rPr>
          <w:rFonts w:eastAsia="Calibri"/>
          <w:sz w:val="22"/>
          <w:szCs w:val="22"/>
        </w:rPr>
        <w:t xml:space="preserve"> (tokių kaip jonažolės preparatų), apie tai pasakykite gydytojui arba vaistininkui. Kai kurie vaist</w:t>
      </w:r>
      <w:r w:rsidR="00532218" w:rsidRPr="00776407">
        <w:rPr>
          <w:rFonts w:eastAsia="Calibri"/>
          <w:sz w:val="22"/>
          <w:szCs w:val="22"/>
        </w:rPr>
        <w:t>ai</w:t>
      </w:r>
      <w:r w:rsidRPr="00776407">
        <w:rPr>
          <w:rFonts w:eastAsia="Calibri"/>
          <w:sz w:val="22"/>
          <w:szCs w:val="22"/>
        </w:rPr>
        <w:t xml:space="preserve"> vartojami kartu gali sąveikauti su Imatinib Actavis. Jie gali padidinti arba sumažinti Imatinib Actavis poveikį, arba padidindami nepageidaujamų reiškinių pasireiškimo dažnį, arba mažindami Imatinib Actavis veiksmingumą. Imatinib Actavis gali panašiai veikti kai kuriuos kitus vaist</w:t>
      </w:r>
      <w:r w:rsidR="00532218" w:rsidRPr="00776407">
        <w:rPr>
          <w:rFonts w:eastAsia="Calibri"/>
          <w:sz w:val="22"/>
          <w:szCs w:val="22"/>
        </w:rPr>
        <w:t>us</w:t>
      </w:r>
      <w:r w:rsidRPr="00776407">
        <w:rPr>
          <w:rFonts w:eastAsia="Calibri"/>
          <w:sz w:val="22"/>
          <w:szCs w:val="22"/>
        </w:rPr>
        <w:t xml:space="preserve">. </w:t>
      </w:r>
    </w:p>
    <w:p w14:paraId="5783BF0B" w14:textId="77777777" w:rsidR="00A52D60" w:rsidRPr="00776407" w:rsidRDefault="00A52D60" w:rsidP="00A52D60">
      <w:pPr>
        <w:autoSpaceDE w:val="0"/>
        <w:autoSpaceDN w:val="0"/>
        <w:adjustRightInd w:val="0"/>
        <w:rPr>
          <w:rFonts w:eastAsia="Calibri"/>
          <w:b/>
          <w:sz w:val="22"/>
          <w:szCs w:val="22"/>
        </w:rPr>
      </w:pPr>
      <w:r w:rsidRPr="00776407">
        <w:rPr>
          <w:rFonts w:eastAsia="Calibri"/>
          <w:sz w:val="22"/>
          <w:szCs w:val="22"/>
        </w:rPr>
        <w:t>Pasakykite gydytojui, jei vartojate vaistų, kurie apsaugo nuo kraujo krešulių susidarymo.</w:t>
      </w:r>
    </w:p>
    <w:p w14:paraId="7444FACF" w14:textId="77777777" w:rsidR="00A52D60" w:rsidRPr="00776407" w:rsidRDefault="00A52D60" w:rsidP="00A52D60">
      <w:pPr>
        <w:autoSpaceDE w:val="0"/>
        <w:autoSpaceDN w:val="0"/>
        <w:adjustRightInd w:val="0"/>
        <w:rPr>
          <w:rFonts w:eastAsia="Calibri"/>
          <w:sz w:val="22"/>
          <w:szCs w:val="22"/>
        </w:rPr>
      </w:pPr>
    </w:p>
    <w:p w14:paraId="1556D408"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Nėštumas, žindymo laikotarpis ir vaisingumas </w:t>
      </w:r>
    </w:p>
    <w:p w14:paraId="719B5922" w14:textId="77777777" w:rsidR="00532218" w:rsidRPr="00776407" w:rsidRDefault="00532218" w:rsidP="00532218">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Jeigu esate nėščia, žindote kūdikį, manote, kad galbūt esate nėščia arba planuojate pastoti, tai prieš vartodama šį vaistą pasitarkite su gydytoju. </w:t>
      </w:r>
    </w:p>
    <w:p w14:paraId="6FB75905" w14:textId="77777777" w:rsidR="00532218" w:rsidRPr="00776407" w:rsidRDefault="00532218" w:rsidP="00532218">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Imatinib Actavis nerekomenduojama vartoti nėščiosioms, nebent neišvengiama, nes tai gali pakenkti Jūsų kūdikiui. Gydytojas supažindins Jus su galima Imatinib Actavis vartojimo nėštumo laikotarpiu rizika. </w:t>
      </w:r>
    </w:p>
    <w:p w14:paraId="67DF15C4" w14:textId="77777777" w:rsidR="00532218" w:rsidRPr="00776407" w:rsidRDefault="00532218" w:rsidP="00532218">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Moterims, galinčioms pastoti, gydantis šiuo vaistu ir 15 dienų po gydymo pabaigos rekomenduojama taikyti efektyvias kontracepcijos priemones.</w:t>
      </w:r>
    </w:p>
    <w:p w14:paraId="7452F144" w14:textId="54194AC6" w:rsidR="00532218" w:rsidRPr="00776407" w:rsidRDefault="00532218" w:rsidP="00532218">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Vartodama Imatinib Actavis</w:t>
      </w:r>
      <w:r w:rsidRPr="00776407">
        <w:rPr>
          <w:color w:val="000000"/>
          <w:sz w:val="22"/>
          <w:szCs w:val="22"/>
        </w:rPr>
        <w:t xml:space="preserve"> </w:t>
      </w:r>
      <w:r w:rsidRPr="00776407">
        <w:rPr>
          <w:rFonts w:eastAsia="Calibri"/>
          <w:sz w:val="22"/>
          <w:szCs w:val="22"/>
        </w:rPr>
        <w:t>ir 15 dienų po gydymo pabaigos kūdikio nežindykite, nes tai gali pakenkti Jūsų kūdikiui.</w:t>
      </w:r>
    </w:p>
    <w:p w14:paraId="2CFEC194" w14:textId="77777777" w:rsidR="00532218" w:rsidRPr="00776407" w:rsidRDefault="00532218" w:rsidP="00532218">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Pacientai Imatinib Actavis vartojimo laikotarpiu dėl savo vaisingumo turi konsultuotis su gydytoju. </w:t>
      </w:r>
    </w:p>
    <w:p w14:paraId="3AFB802B" w14:textId="77777777" w:rsidR="00A52D60" w:rsidRPr="00776407" w:rsidRDefault="00A52D60" w:rsidP="00A52D60">
      <w:pPr>
        <w:autoSpaceDE w:val="0"/>
        <w:autoSpaceDN w:val="0"/>
        <w:adjustRightInd w:val="0"/>
        <w:rPr>
          <w:rFonts w:eastAsia="Calibri"/>
          <w:sz w:val="22"/>
          <w:szCs w:val="22"/>
        </w:rPr>
      </w:pPr>
    </w:p>
    <w:p w14:paraId="5D70BC9F"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Vairavimas ir mechanizmų valdymas </w:t>
      </w:r>
    </w:p>
    <w:p w14:paraId="49011925"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Vartodami šio vaisto galite jausti galvos svaigimą ar mieguistumą arba Jums gali pasireikšti neryškus matymas. Jeigu taip atsitiktų, nevairuokite ir nevaldykite bet kokios rūšies mechanizmų, kol vėl nepasijusite gerai. </w:t>
      </w:r>
    </w:p>
    <w:p w14:paraId="4A2E842C" w14:textId="77777777" w:rsidR="00BD21E4" w:rsidRPr="00776407" w:rsidRDefault="00BD21E4" w:rsidP="00BD21E4">
      <w:pPr>
        <w:autoSpaceDE w:val="0"/>
        <w:autoSpaceDN w:val="0"/>
        <w:adjustRightInd w:val="0"/>
        <w:rPr>
          <w:rFonts w:eastAsia="Calibri"/>
          <w:sz w:val="22"/>
          <w:szCs w:val="22"/>
        </w:rPr>
      </w:pPr>
    </w:p>
    <w:p w14:paraId="75915CC1" w14:textId="77777777" w:rsidR="00BD21E4" w:rsidRPr="00776407" w:rsidRDefault="00BD21E4" w:rsidP="00BD21E4">
      <w:pPr>
        <w:autoSpaceDE w:val="0"/>
        <w:autoSpaceDN w:val="0"/>
        <w:adjustRightInd w:val="0"/>
        <w:rPr>
          <w:rFonts w:eastAsia="Calibri"/>
          <w:b/>
          <w:sz w:val="22"/>
          <w:szCs w:val="22"/>
        </w:rPr>
      </w:pPr>
      <w:r w:rsidRPr="00776407">
        <w:rPr>
          <w:rFonts w:eastAsia="Calibri"/>
          <w:b/>
          <w:sz w:val="22"/>
          <w:szCs w:val="22"/>
        </w:rPr>
        <w:t>Imatinib Actavis sudėtyje yra natrio</w:t>
      </w:r>
    </w:p>
    <w:p w14:paraId="64A050F9" w14:textId="77777777" w:rsidR="00BD21E4" w:rsidRPr="00776407" w:rsidRDefault="00BD21E4" w:rsidP="00BD21E4">
      <w:pPr>
        <w:autoSpaceDE w:val="0"/>
        <w:autoSpaceDN w:val="0"/>
        <w:adjustRightInd w:val="0"/>
        <w:rPr>
          <w:rFonts w:eastAsia="Calibri"/>
          <w:sz w:val="22"/>
          <w:szCs w:val="22"/>
        </w:rPr>
      </w:pPr>
      <w:r w:rsidRPr="00776407">
        <w:rPr>
          <w:rFonts w:eastAsia="Calibri"/>
          <w:sz w:val="22"/>
          <w:szCs w:val="22"/>
        </w:rPr>
        <w:t>Šio vaisto kietojoje kapsulėje yra mažiau kaip 1 mmol (23 mg) natrio, t.y. jis beveik neturi reikšmės.</w:t>
      </w:r>
    </w:p>
    <w:p w14:paraId="754F39D8" w14:textId="77777777" w:rsidR="00A52D60" w:rsidRPr="00776407" w:rsidRDefault="00A52D60" w:rsidP="00A52D60">
      <w:pPr>
        <w:autoSpaceDE w:val="0"/>
        <w:autoSpaceDN w:val="0"/>
        <w:adjustRightInd w:val="0"/>
        <w:rPr>
          <w:rFonts w:eastAsia="Calibri"/>
          <w:sz w:val="22"/>
          <w:szCs w:val="22"/>
        </w:rPr>
      </w:pPr>
    </w:p>
    <w:p w14:paraId="7B6B080E" w14:textId="77777777" w:rsidR="00A52D60" w:rsidRPr="00776407" w:rsidRDefault="00A52D60" w:rsidP="00A52D60">
      <w:pPr>
        <w:autoSpaceDE w:val="0"/>
        <w:autoSpaceDN w:val="0"/>
        <w:adjustRightInd w:val="0"/>
        <w:rPr>
          <w:rFonts w:eastAsia="Calibri"/>
          <w:sz w:val="22"/>
          <w:szCs w:val="22"/>
        </w:rPr>
      </w:pPr>
    </w:p>
    <w:p w14:paraId="5420F333" w14:textId="77777777" w:rsidR="00A52D60" w:rsidRPr="00776407" w:rsidRDefault="00A52D60" w:rsidP="00684498">
      <w:pPr>
        <w:pStyle w:val="Listenabsatz"/>
        <w:keepNext/>
        <w:numPr>
          <w:ilvl w:val="0"/>
          <w:numId w:val="11"/>
        </w:numPr>
        <w:autoSpaceDE w:val="0"/>
        <w:autoSpaceDN w:val="0"/>
        <w:adjustRightInd w:val="0"/>
        <w:ind w:left="567" w:hanging="567"/>
        <w:rPr>
          <w:rFonts w:eastAsia="Calibri"/>
          <w:b/>
          <w:bCs/>
          <w:sz w:val="22"/>
          <w:szCs w:val="22"/>
        </w:rPr>
      </w:pPr>
      <w:r w:rsidRPr="00776407">
        <w:rPr>
          <w:rFonts w:eastAsia="Calibri"/>
          <w:b/>
          <w:bCs/>
          <w:sz w:val="22"/>
          <w:szCs w:val="22"/>
        </w:rPr>
        <w:t xml:space="preserve">Kaip vartoti Imatinib Actavis </w:t>
      </w:r>
    </w:p>
    <w:p w14:paraId="0F1EDDF2" w14:textId="77777777" w:rsidR="00A52D60" w:rsidRPr="00776407" w:rsidRDefault="00A52D60" w:rsidP="00684498">
      <w:pPr>
        <w:keepNext/>
        <w:autoSpaceDE w:val="0"/>
        <w:autoSpaceDN w:val="0"/>
        <w:adjustRightInd w:val="0"/>
        <w:rPr>
          <w:rFonts w:eastAsia="Calibri"/>
          <w:sz w:val="22"/>
          <w:szCs w:val="22"/>
        </w:rPr>
      </w:pPr>
    </w:p>
    <w:p w14:paraId="2E354E67"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Jūsų gydytojas Jums paskyrė Imatinib Actavis, kadangi sergate sunkia liga. Imatinib Actavis gali Jums padėti kovojant su šia būkle. </w:t>
      </w:r>
    </w:p>
    <w:p w14:paraId="4E0D95D1" w14:textId="77777777" w:rsidR="00A52D60" w:rsidRPr="00776407" w:rsidRDefault="00A52D60" w:rsidP="00A52D60">
      <w:pPr>
        <w:autoSpaceDE w:val="0"/>
        <w:autoSpaceDN w:val="0"/>
        <w:adjustRightInd w:val="0"/>
        <w:rPr>
          <w:rFonts w:eastAsia="Calibri"/>
          <w:sz w:val="22"/>
          <w:szCs w:val="22"/>
        </w:rPr>
      </w:pPr>
    </w:p>
    <w:p w14:paraId="7A3948F1"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Tačiau visada vartokite šį vaistą tiksliai kaip nurodė gydytojas arba vaistininkas. Svarbu, kad vaisto vartotumėte tiek laiko, kiek nurodė Jūsų gydytojas arba vaistininkas. Jeigu abejojate, kreipkitės į gydytoją arba vaistininką. </w:t>
      </w:r>
    </w:p>
    <w:p w14:paraId="02B0337A" w14:textId="77777777" w:rsidR="00A52D60" w:rsidRPr="00776407" w:rsidRDefault="00A52D60" w:rsidP="00A52D60">
      <w:pPr>
        <w:autoSpaceDE w:val="0"/>
        <w:autoSpaceDN w:val="0"/>
        <w:adjustRightInd w:val="0"/>
        <w:rPr>
          <w:rFonts w:eastAsia="Calibri"/>
          <w:sz w:val="22"/>
          <w:szCs w:val="22"/>
        </w:rPr>
      </w:pPr>
    </w:p>
    <w:p w14:paraId="3CB36E6B"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Nenustokite vartoti Imatinib Actavis, nebent taip nurodytų Jūsų gydytojas. Nedelsdami kreipkitės į gydytoją, jeigu negalite vartoti vaisto taip, kaip paskyrė gydytojas, arba jaučiate, kad šio vaisto Jums daugiau nereikia. </w:t>
      </w:r>
    </w:p>
    <w:p w14:paraId="4A9FC0F6" w14:textId="77777777" w:rsidR="00A52D60" w:rsidRPr="00776407" w:rsidRDefault="00A52D60" w:rsidP="00A52D60">
      <w:pPr>
        <w:autoSpaceDE w:val="0"/>
        <w:autoSpaceDN w:val="0"/>
        <w:adjustRightInd w:val="0"/>
        <w:rPr>
          <w:rFonts w:eastAsia="Calibri"/>
          <w:b/>
          <w:bCs/>
          <w:sz w:val="22"/>
          <w:szCs w:val="22"/>
        </w:rPr>
      </w:pPr>
    </w:p>
    <w:p w14:paraId="6DBA6FC9"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Kiek Imatinib Actavis vartoti </w:t>
      </w:r>
    </w:p>
    <w:p w14:paraId="245F6ABB" w14:textId="77777777" w:rsidR="00A52D60" w:rsidRPr="00776407" w:rsidRDefault="00A52D60" w:rsidP="00A52D60">
      <w:pPr>
        <w:autoSpaceDE w:val="0"/>
        <w:autoSpaceDN w:val="0"/>
        <w:adjustRightInd w:val="0"/>
        <w:rPr>
          <w:rFonts w:eastAsia="Calibri"/>
          <w:b/>
          <w:bCs/>
          <w:sz w:val="22"/>
          <w:szCs w:val="22"/>
        </w:rPr>
      </w:pPr>
    </w:p>
    <w:p w14:paraId="7B8E5362" w14:textId="77777777" w:rsidR="00A52D60" w:rsidRPr="00776407" w:rsidRDefault="00A52D60" w:rsidP="00A52D60">
      <w:pPr>
        <w:autoSpaceDE w:val="0"/>
        <w:autoSpaceDN w:val="0"/>
        <w:adjustRightInd w:val="0"/>
        <w:rPr>
          <w:rFonts w:eastAsia="Calibri"/>
          <w:b/>
          <w:bCs/>
          <w:sz w:val="22"/>
          <w:szCs w:val="22"/>
        </w:rPr>
      </w:pPr>
      <w:r w:rsidRPr="00776407">
        <w:rPr>
          <w:rFonts w:eastAsia="Calibri"/>
          <w:b/>
          <w:bCs/>
          <w:sz w:val="22"/>
          <w:szCs w:val="22"/>
        </w:rPr>
        <w:t xml:space="preserve">Vartojimas suaugusiesiems </w:t>
      </w:r>
    </w:p>
    <w:p w14:paraId="1E21D36F" w14:textId="77777777" w:rsidR="00B53FB5" w:rsidRPr="00776407" w:rsidRDefault="00B53FB5" w:rsidP="00B53FB5">
      <w:pPr>
        <w:autoSpaceDE w:val="0"/>
        <w:autoSpaceDN w:val="0"/>
        <w:adjustRightInd w:val="0"/>
        <w:rPr>
          <w:rFonts w:eastAsia="Calibri"/>
          <w:sz w:val="22"/>
          <w:szCs w:val="22"/>
        </w:rPr>
      </w:pPr>
      <w:r w:rsidRPr="00776407">
        <w:rPr>
          <w:rFonts w:eastAsia="Calibri"/>
          <w:sz w:val="22"/>
          <w:szCs w:val="22"/>
        </w:rPr>
        <w:t xml:space="preserve">Gydytojas Jums tiksliai nurodys, kiek Imatinib Actavis kapsulių gerti. </w:t>
      </w:r>
    </w:p>
    <w:p w14:paraId="12B9147B" w14:textId="77777777" w:rsidR="00B53FB5" w:rsidRPr="00776407" w:rsidRDefault="00B53FB5" w:rsidP="00A52D60">
      <w:pPr>
        <w:autoSpaceDE w:val="0"/>
        <w:autoSpaceDN w:val="0"/>
        <w:adjustRightInd w:val="0"/>
        <w:rPr>
          <w:rFonts w:eastAsia="Calibri"/>
          <w:b/>
          <w:bCs/>
          <w:sz w:val="22"/>
          <w:szCs w:val="22"/>
        </w:rPr>
      </w:pPr>
    </w:p>
    <w:p w14:paraId="61536D47" w14:textId="77777777" w:rsidR="0012790D" w:rsidRPr="00776407" w:rsidRDefault="0012790D" w:rsidP="00864BE6">
      <w:pPr>
        <w:numPr>
          <w:ilvl w:val="0"/>
          <w:numId w:val="1"/>
        </w:numPr>
        <w:autoSpaceDE w:val="0"/>
        <w:autoSpaceDN w:val="0"/>
        <w:adjustRightInd w:val="0"/>
        <w:ind w:hanging="720"/>
        <w:rPr>
          <w:rFonts w:eastAsia="Calibri"/>
          <w:sz w:val="22"/>
          <w:szCs w:val="22"/>
        </w:rPr>
      </w:pPr>
      <w:r w:rsidRPr="00776407">
        <w:rPr>
          <w:rFonts w:eastAsia="Calibri"/>
          <w:b/>
          <w:bCs/>
          <w:sz w:val="22"/>
          <w:szCs w:val="22"/>
        </w:rPr>
        <w:t>Jei gydoma LML:</w:t>
      </w:r>
    </w:p>
    <w:p w14:paraId="58941847" w14:textId="77777777" w:rsidR="00A52D60" w:rsidRPr="00776407" w:rsidRDefault="00A52D60" w:rsidP="00E93356">
      <w:pPr>
        <w:autoSpaceDE w:val="0"/>
        <w:autoSpaceDN w:val="0"/>
        <w:adjustRightInd w:val="0"/>
        <w:ind w:firstLine="720"/>
        <w:rPr>
          <w:rFonts w:eastAsia="Calibri"/>
          <w:sz w:val="22"/>
          <w:szCs w:val="22"/>
        </w:rPr>
      </w:pPr>
      <w:r w:rsidRPr="00776407">
        <w:rPr>
          <w:rFonts w:eastAsia="Calibri"/>
          <w:sz w:val="22"/>
          <w:szCs w:val="22"/>
        </w:rPr>
        <w:t xml:space="preserve">Rekomenduojama pradinė dozė yra 600 mg, vartojant po 6 kapsules </w:t>
      </w:r>
      <w:r w:rsidRPr="00776407">
        <w:rPr>
          <w:rFonts w:eastAsia="Calibri"/>
          <w:b/>
          <w:bCs/>
          <w:sz w:val="22"/>
          <w:szCs w:val="22"/>
        </w:rPr>
        <w:t xml:space="preserve">kartą </w:t>
      </w:r>
      <w:r w:rsidRPr="00776407">
        <w:rPr>
          <w:rFonts w:eastAsia="Calibri"/>
          <w:sz w:val="22"/>
          <w:szCs w:val="22"/>
        </w:rPr>
        <w:t xml:space="preserve">per parą. </w:t>
      </w:r>
    </w:p>
    <w:p w14:paraId="447453AE" w14:textId="77777777" w:rsidR="00A52D60" w:rsidRPr="00776407" w:rsidRDefault="00A52D60" w:rsidP="00A52D60">
      <w:pPr>
        <w:autoSpaceDE w:val="0"/>
        <w:autoSpaceDN w:val="0"/>
        <w:adjustRightInd w:val="0"/>
        <w:rPr>
          <w:rFonts w:eastAsia="Calibri"/>
          <w:sz w:val="22"/>
          <w:szCs w:val="22"/>
        </w:rPr>
      </w:pPr>
    </w:p>
    <w:p w14:paraId="3DBB05AA"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Jūsų gydytojas gali Jums skirti didesnę ar mažesnę dozę priklausomai nuo Jūsų atsako į gydymą.</w:t>
      </w:r>
      <w:r w:rsidR="0012790D" w:rsidRPr="00776407">
        <w:rPr>
          <w:rFonts w:eastAsia="Calibri"/>
          <w:sz w:val="22"/>
          <w:szCs w:val="22"/>
        </w:rPr>
        <w:t xml:space="preserve"> </w:t>
      </w:r>
      <w:r w:rsidRPr="00776407">
        <w:rPr>
          <w:rFonts w:eastAsia="Calibri"/>
          <w:sz w:val="22"/>
          <w:szCs w:val="22"/>
        </w:rPr>
        <w:t xml:space="preserve">Jei Jūsų paros dozė yra 800 mg (8 kapsulės), vartokite po 4 kapsules ryte ir 4 kapsules vakare. </w:t>
      </w:r>
    </w:p>
    <w:p w14:paraId="4AD5213A" w14:textId="77777777" w:rsidR="0012790D" w:rsidRPr="00776407" w:rsidRDefault="0012790D" w:rsidP="0012790D">
      <w:pPr>
        <w:autoSpaceDE w:val="0"/>
        <w:autoSpaceDN w:val="0"/>
        <w:adjustRightInd w:val="0"/>
        <w:rPr>
          <w:rFonts w:ascii="Symbol" w:eastAsia="Calibri" w:hAnsi="Symbol" w:cs="Symbol"/>
          <w:color w:val="000000"/>
        </w:rPr>
      </w:pPr>
    </w:p>
    <w:p w14:paraId="6D687912" w14:textId="77777777" w:rsidR="0012790D" w:rsidRPr="00776407" w:rsidRDefault="0012790D" w:rsidP="0012790D">
      <w:pPr>
        <w:autoSpaceDE w:val="0"/>
        <w:autoSpaceDN w:val="0"/>
        <w:adjustRightInd w:val="0"/>
        <w:ind w:left="567" w:hanging="567"/>
        <w:rPr>
          <w:rFonts w:eastAsia="Calibri"/>
          <w:color w:val="000000"/>
          <w:sz w:val="22"/>
          <w:szCs w:val="22"/>
        </w:rPr>
      </w:pPr>
      <w:r w:rsidRPr="00776407">
        <w:rPr>
          <w:rFonts w:ascii="Symbol" w:eastAsia="Calibri" w:hAnsi="Symbol" w:cs="Symbol"/>
          <w:color w:val="000000"/>
          <w:sz w:val="22"/>
          <w:szCs w:val="22"/>
        </w:rPr>
        <w:t></w:t>
      </w:r>
      <w:r w:rsidRPr="00776407">
        <w:rPr>
          <w:rFonts w:ascii="Symbol" w:eastAsia="Calibri" w:hAnsi="Symbol" w:cs="Symbol"/>
          <w:color w:val="000000"/>
          <w:sz w:val="22"/>
          <w:szCs w:val="22"/>
        </w:rPr>
        <w:t></w:t>
      </w:r>
      <w:r w:rsidRPr="00776407">
        <w:rPr>
          <w:rFonts w:ascii="Symbol" w:eastAsia="Calibri" w:hAnsi="Symbol" w:cs="Symbol"/>
          <w:color w:val="000000"/>
          <w:sz w:val="22"/>
          <w:szCs w:val="22"/>
        </w:rPr>
        <w:tab/>
      </w:r>
      <w:r w:rsidRPr="00776407">
        <w:rPr>
          <w:rFonts w:eastAsia="Calibri"/>
          <w:b/>
          <w:bCs/>
          <w:color w:val="000000"/>
          <w:sz w:val="22"/>
          <w:szCs w:val="22"/>
        </w:rPr>
        <w:t xml:space="preserve">Jeigu gydoma Ph teigiama ŪLL: </w:t>
      </w:r>
    </w:p>
    <w:p w14:paraId="5BF9A0EC" w14:textId="77777777" w:rsidR="0012790D" w:rsidRPr="00776407" w:rsidRDefault="0012790D" w:rsidP="0012790D">
      <w:pPr>
        <w:autoSpaceDE w:val="0"/>
        <w:autoSpaceDN w:val="0"/>
        <w:adjustRightInd w:val="0"/>
        <w:ind w:left="567"/>
        <w:rPr>
          <w:rFonts w:eastAsia="Calibri"/>
          <w:sz w:val="22"/>
          <w:szCs w:val="22"/>
        </w:rPr>
      </w:pPr>
      <w:r w:rsidRPr="00776407">
        <w:rPr>
          <w:rFonts w:eastAsia="Calibri"/>
          <w:color w:val="000000"/>
          <w:sz w:val="22"/>
          <w:szCs w:val="22"/>
        </w:rPr>
        <w:t>Pradinė dozė yra 600</w:t>
      </w:r>
      <w:r w:rsidR="000C7920" w:rsidRPr="00776407">
        <w:rPr>
          <w:rFonts w:eastAsia="Calibri"/>
          <w:color w:val="000000"/>
          <w:sz w:val="22"/>
          <w:szCs w:val="22"/>
        </w:rPr>
        <w:t> </w:t>
      </w:r>
      <w:r w:rsidRPr="00776407">
        <w:rPr>
          <w:rFonts w:eastAsia="Calibri"/>
          <w:color w:val="000000"/>
          <w:sz w:val="22"/>
          <w:szCs w:val="22"/>
        </w:rPr>
        <w:t>mg, vartojant po 6</w:t>
      </w:r>
      <w:r w:rsidR="000C7920" w:rsidRPr="00776407">
        <w:rPr>
          <w:rFonts w:eastAsia="Calibri"/>
          <w:color w:val="000000"/>
          <w:sz w:val="22"/>
          <w:szCs w:val="22"/>
        </w:rPr>
        <w:t> </w:t>
      </w:r>
      <w:r w:rsidRPr="00776407">
        <w:rPr>
          <w:rFonts w:eastAsia="Calibri"/>
          <w:color w:val="000000"/>
          <w:sz w:val="22"/>
          <w:szCs w:val="22"/>
        </w:rPr>
        <w:t xml:space="preserve">kapsulės </w:t>
      </w:r>
      <w:r w:rsidRPr="00776407">
        <w:rPr>
          <w:rFonts w:eastAsia="Calibri"/>
          <w:b/>
          <w:bCs/>
          <w:color w:val="000000"/>
          <w:sz w:val="22"/>
          <w:szCs w:val="22"/>
        </w:rPr>
        <w:t xml:space="preserve">kartą </w:t>
      </w:r>
      <w:r w:rsidRPr="00776407">
        <w:rPr>
          <w:rFonts w:eastAsia="Calibri"/>
          <w:color w:val="000000"/>
          <w:sz w:val="22"/>
          <w:szCs w:val="22"/>
        </w:rPr>
        <w:t>per parą.</w:t>
      </w:r>
    </w:p>
    <w:p w14:paraId="129F6178" w14:textId="77777777" w:rsidR="0012790D" w:rsidRPr="00776407" w:rsidRDefault="0012790D" w:rsidP="0012790D">
      <w:pPr>
        <w:autoSpaceDE w:val="0"/>
        <w:autoSpaceDN w:val="0"/>
        <w:adjustRightInd w:val="0"/>
        <w:rPr>
          <w:rFonts w:ascii="Symbol" w:eastAsia="Calibri" w:hAnsi="Symbol" w:cs="Symbol"/>
          <w:color w:val="000000"/>
        </w:rPr>
      </w:pPr>
    </w:p>
    <w:p w14:paraId="076AE302" w14:textId="77777777" w:rsidR="0012790D" w:rsidRPr="00776407" w:rsidRDefault="0012790D" w:rsidP="0012790D">
      <w:pPr>
        <w:autoSpaceDE w:val="0"/>
        <w:autoSpaceDN w:val="0"/>
        <w:adjustRightInd w:val="0"/>
        <w:rPr>
          <w:rFonts w:eastAsia="Calibri"/>
          <w:color w:val="000000"/>
          <w:sz w:val="22"/>
          <w:szCs w:val="22"/>
        </w:rPr>
      </w:pPr>
      <w:r w:rsidRPr="00776407">
        <w:rPr>
          <w:rFonts w:ascii="Symbol" w:eastAsia="Calibri" w:hAnsi="Symbol" w:cs="Symbol"/>
          <w:color w:val="000000"/>
          <w:sz w:val="22"/>
          <w:szCs w:val="22"/>
        </w:rPr>
        <w:t></w:t>
      </w:r>
      <w:r w:rsidRPr="00776407">
        <w:rPr>
          <w:rFonts w:ascii="Symbol" w:eastAsia="Calibri" w:hAnsi="Symbol" w:cs="Symbol"/>
          <w:color w:val="000000"/>
          <w:sz w:val="22"/>
          <w:szCs w:val="22"/>
        </w:rPr>
        <w:t></w:t>
      </w:r>
      <w:r w:rsidRPr="00776407">
        <w:rPr>
          <w:rFonts w:ascii="Symbol" w:eastAsia="Calibri" w:hAnsi="Symbol" w:cs="Symbol"/>
          <w:color w:val="000000"/>
          <w:sz w:val="22"/>
          <w:szCs w:val="22"/>
        </w:rPr>
        <w:tab/>
      </w:r>
      <w:r w:rsidRPr="00776407">
        <w:rPr>
          <w:rFonts w:eastAsia="Calibri"/>
          <w:b/>
          <w:bCs/>
          <w:color w:val="000000"/>
          <w:sz w:val="22"/>
          <w:szCs w:val="22"/>
        </w:rPr>
        <w:t xml:space="preserve">Jeigu gydoma MDS/MPL: </w:t>
      </w:r>
    </w:p>
    <w:p w14:paraId="2A936FDC" w14:textId="77777777" w:rsidR="0012790D" w:rsidRPr="00776407" w:rsidRDefault="0012790D" w:rsidP="0012790D">
      <w:pPr>
        <w:autoSpaceDE w:val="0"/>
        <w:autoSpaceDN w:val="0"/>
        <w:adjustRightInd w:val="0"/>
        <w:ind w:firstLine="720"/>
        <w:rPr>
          <w:rFonts w:eastAsia="Calibri"/>
          <w:color w:val="000000"/>
          <w:sz w:val="22"/>
          <w:szCs w:val="22"/>
        </w:rPr>
      </w:pPr>
      <w:r w:rsidRPr="00776407">
        <w:rPr>
          <w:rFonts w:eastAsia="Calibri"/>
          <w:color w:val="000000"/>
          <w:sz w:val="22"/>
          <w:szCs w:val="22"/>
        </w:rPr>
        <w:t>Pradinė dozė yra 400</w:t>
      </w:r>
      <w:r w:rsidR="000C7920" w:rsidRPr="00776407">
        <w:rPr>
          <w:rFonts w:eastAsia="Calibri"/>
          <w:color w:val="000000"/>
          <w:sz w:val="22"/>
          <w:szCs w:val="22"/>
        </w:rPr>
        <w:t> </w:t>
      </w:r>
      <w:r w:rsidRPr="00776407">
        <w:rPr>
          <w:rFonts w:eastAsia="Calibri"/>
          <w:color w:val="000000"/>
          <w:sz w:val="22"/>
          <w:szCs w:val="22"/>
        </w:rPr>
        <w:t>mg, vartojant po 4</w:t>
      </w:r>
      <w:r w:rsidR="000C7920" w:rsidRPr="00776407">
        <w:rPr>
          <w:rFonts w:eastAsia="Calibri"/>
          <w:color w:val="000000"/>
          <w:sz w:val="22"/>
          <w:szCs w:val="22"/>
        </w:rPr>
        <w:t> </w:t>
      </w:r>
      <w:r w:rsidRPr="00776407">
        <w:rPr>
          <w:rFonts w:eastAsia="Calibri"/>
          <w:color w:val="000000"/>
          <w:sz w:val="22"/>
          <w:szCs w:val="22"/>
        </w:rPr>
        <w:t xml:space="preserve">kapsules </w:t>
      </w:r>
      <w:r w:rsidRPr="00776407">
        <w:rPr>
          <w:rFonts w:eastAsia="Calibri"/>
          <w:b/>
          <w:bCs/>
          <w:color w:val="000000"/>
          <w:sz w:val="22"/>
          <w:szCs w:val="22"/>
        </w:rPr>
        <w:t xml:space="preserve">kartą </w:t>
      </w:r>
      <w:r w:rsidRPr="00776407">
        <w:rPr>
          <w:rFonts w:eastAsia="Calibri"/>
          <w:color w:val="000000"/>
          <w:sz w:val="22"/>
          <w:szCs w:val="22"/>
        </w:rPr>
        <w:t xml:space="preserve">per parą. </w:t>
      </w:r>
    </w:p>
    <w:p w14:paraId="7537243C" w14:textId="77777777" w:rsidR="0012790D" w:rsidRPr="00776407" w:rsidRDefault="0012790D" w:rsidP="0012790D">
      <w:pPr>
        <w:autoSpaceDE w:val="0"/>
        <w:autoSpaceDN w:val="0"/>
        <w:adjustRightInd w:val="0"/>
        <w:rPr>
          <w:rFonts w:eastAsia="Calibri"/>
          <w:color w:val="000000"/>
          <w:sz w:val="22"/>
          <w:szCs w:val="22"/>
        </w:rPr>
      </w:pPr>
    </w:p>
    <w:p w14:paraId="5F75FF6A" w14:textId="77777777" w:rsidR="0012790D" w:rsidRPr="00776407" w:rsidRDefault="0012790D"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Jeigu gydoma HES/LEL: </w:t>
      </w:r>
    </w:p>
    <w:p w14:paraId="4CD47BD2" w14:textId="77777777" w:rsidR="0012790D" w:rsidRPr="00776407" w:rsidRDefault="0012790D" w:rsidP="0012790D">
      <w:pPr>
        <w:autoSpaceDE w:val="0"/>
        <w:autoSpaceDN w:val="0"/>
        <w:adjustRightInd w:val="0"/>
        <w:ind w:left="720"/>
        <w:rPr>
          <w:rFonts w:eastAsia="Calibri"/>
          <w:color w:val="000000"/>
          <w:sz w:val="22"/>
          <w:szCs w:val="22"/>
        </w:rPr>
      </w:pPr>
      <w:r w:rsidRPr="00776407">
        <w:rPr>
          <w:rFonts w:eastAsia="Calibri"/>
          <w:color w:val="000000"/>
          <w:sz w:val="22"/>
          <w:szCs w:val="22"/>
        </w:rPr>
        <w:t>Pradinė dozė yra 100</w:t>
      </w:r>
      <w:r w:rsidR="000C7920" w:rsidRPr="00776407">
        <w:rPr>
          <w:rFonts w:eastAsia="Calibri"/>
          <w:color w:val="000000"/>
          <w:sz w:val="22"/>
          <w:szCs w:val="22"/>
        </w:rPr>
        <w:t> </w:t>
      </w:r>
      <w:r w:rsidRPr="00776407">
        <w:rPr>
          <w:rFonts w:eastAsia="Calibri"/>
          <w:color w:val="000000"/>
          <w:sz w:val="22"/>
          <w:szCs w:val="22"/>
        </w:rPr>
        <w:t>mg, vartojant po 1</w:t>
      </w:r>
      <w:r w:rsidR="000C7920" w:rsidRPr="00776407">
        <w:rPr>
          <w:rFonts w:eastAsia="Calibri"/>
          <w:color w:val="000000"/>
          <w:sz w:val="22"/>
          <w:szCs w:val="22"/>
        </w:rPr>
        <w:t> </w:t>
      </w:r>
      <w:r w:rsidRPr="00776407">
        <w:rPr>
          <w:rFonts w:eastAsia="Calibri"/>
          <w:color w:val="000000"/>
          <w:sz w:val="22"/>
          <w:szCs w:val="22"/>
        </w:rPr>
        <w:t xml:space="preserve">kapsulę </w:t>
      </w:r>
      <w:r w:rsidRPr="00776407">
        <w:rPr>
          <w:rFonts w:eastAsia="Calibri"/>
          <w:b/>
          <w:bCs/>
          <w:color w:val="000000"/>
          <w:sz w:val="22"/>
          <w:szCs w:val="22"/>
        </w:rPr>
        <w:t xml:space="preserve">kartą </w:t>
      </w:r>
      <w:r w:rsidRPr="00776407">
        <w:rPr>
          <w:rFonts w:eastAsia="Calibri"/>
          <w:color w:val="000000"/>
          <w:sz w:val="22"/>
          <w:szCs w:val="22"/>
        </w:rPr>
        <w:t>per parą. Priklausomai nuo Jūsų atsako į gydymą, Jūsų gydytojas gali nuspręsti padidinti dozę iki 400</w:t>
      </w:r>
      <w:r w:rsidR="000C7920" w:rsidRPr="00776407">
        <w:rPr>
          <w:rFonts w:eastAsia="Calibri"/>
          <w:color w:val="000000"/>
          <w:sz w:val="22"/>
          <w:szCs w:val="22"/>
        </w:rPr>
        <w:t> </w:t>
      </w:r>
      <w:r w:rsidRPr="00776407">
        <w:rPr>
          <w:rFonts w:eastAsia="Calibri"/>
          <w:color w:val="000000"/>
          <w:sz w:val="22"/>
          <w:szCs w:val="22"/>
        </w:rPr>
        <w:t>mg, vartojant po 4</w:t>
      </w:r>
      <w:r w:rsidR="000C7920" w:rsidRPr="00776407">
        <w:rPr>
          <w:rFonts w:eastAsia="Calibri"/>
          <w:color w:val="000000"/>
          <w:sz w:val="22"/>
          <w:szCs w:val="22"/>
        </w:rPr>
        <w:t> </w:t>
      </w:r>
      <w:r w:rsidRPr="00776407">
        <w:rPr>
          <w:rFonts w:eastAsia="Calibri"/>
          <w:color w:val="000000"/>
          <w:sz w:val="22"/>
          <w:szCs w:val="22"/>
        </w:rPr>
        <w:t xml:space="preserve">kapsules </w:t>
      </w:r>
      <w:r w:rsidRPr="00776407">
        <w:rPr>
          <w:rFonts w:eastAsia="Calibri"/>
          <w:b/>
          <w:bCs/>
          <w:color w:val="000000"/>
          <w:sz w:val="22"/>
          <w:szCs w:val="22"/>
        </w:rPr>
        <w:t xml:space="preserve">kartą </w:t>
      </w:r>
      <w:r w:rsidRPr="00776407">
        <w:rPr>
          <w:rFonts w:eastAsia="Calibri"/>
          <w:color w:val="000000"/>
          <w:sz w:val="22"/>
          <w:szCs w:val="22"/>
        </w:rPr>
        <w:t xml:space="preserve">per parą. </w:t>
      </w:r>
    </w:p>
    <w:p w14:paraId="0E9EF9DD" w14:textId="77777777" w:rsidR="0012790D" w:rsidRPr="00776407" w:rsidRDefault="0012790D" w:rsidP="0012790D">
      <w:pPr>
        <w:autoSpaceDE w:val="0"/>
        <w:autoSpaceDN w:val="0"/>
        <w:adjustRightInd w:val="0"/>
        <w:ind w:left="720"/>
        <w:rPr>
          <w:rFonts w:eastAsia="Calibri"/>
          <w:color w:val="000000"/>
          <w:sz w:val="22"/>
          <w:szCs w:val="22"/>
        </w:rPr>
      </w:pPr>
    </w:p>
    <w:p w14:paraId="03E44D35" w14:textId="77777777" w:rsidR="0012790D" w:rsidRPr="00776407" w:rsidRDefault="0012790D"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Jeigu gydoma DFSP: </w:t>
      </w:r>
    </w:p>
    <w:p w14:paraId="6872AD63" w14:textId="77777777" w:rsidR="0012790D" w:rsidRPr="00776407" w:rsidRDefault="0012790D" w:rsidP="0012790D">
      <w:pPr>
        <w:autoSpaceDE w:val="0"/>
        <w:autoSpaceDN w:val="0"/>
        <w:adjustRightInd w:val="0"/>
        <w:ind w:firstLine="720"/>
        <w:rPr>
          <w:rFonts w:eastAsia="Calibri"/>
          <w:color w:val="000000"/>
          <w:sz w:val="22"/>
          <w:szCs w:val="22"/>
        </w:rPr>
      </w:pPr>
      <w:r w:rsidRPr="00776407">
        <w:rPr>
          <w:rFonts w:eastAsia="Calibri"/>
          <w:color w:val="000000"/>
          <w:sz w:val="22"/>
          <w:szCs w:val="22"/>
        </w:rPr>
        <w:t>Dozė yra 800</w:t>
      </w:r>
      <w:r w:rsidR="000C7920" w:rsidRPr="00776407">
        <w:rPr>
          <w:rFonts w:eastAsia="Calibri"/>
          <w:color w:val="000000"/>
          <w:sz w:val="22"/>
          <w:szCs w:val="22"/>
        </w:rPr>
        <w:t> </w:t>
      </w:r>
      <w:r w:rsidRPr="00776407">
        <w:rPr>
          <w:rFonts w:eastAsia="Calibri"/>
          <w:color w:val="000000"/>
          <w:sz w:val="22"/>
          <w:szCs w:val="22"/>
        </w:rPr>
        <w:t>mg per parą (8</w:t>
      </w:r>
      <w:r w:rsidR="000C7920" w:rsidRPr="00776407">
        <w:rPr>
          <w:rFonts w:eastAsia="Calibri"/>
          <w:color w:val="000000"/>
          <w:sz w:val="22"/>
          <w:szCs w:val="22"/>
        </w:rPr>
        <w:t> </w:t>
      </w:r>
      <w:r w:rsidRPr="00776407">
        <w:rPr>
          <w:rFonts w:eastAsia="Calibri"/>
          <w:color w:val="000000"/>
          <w:sz w:val="22"/>
          <w:szCs w:val="22"/>
        </w:rPr>
        <w:t>kapsulės), vartojant po 4</w:t>
      </w:r>
      <w:r w:rsidR="000C7920" w:rsidRPr="00776407">
        <w:rPr>
          <w:rFonts w:eastAsia="Calibri"/>
          <w:color w:val="000000"/>
          <w:sz w:val="22"/>
          <w:szCs w:val="22"/>
        </w:rPr>
        <w:t> </w:t>
      </w:r>
      <w:r w:rsidRPr="00776407">
        <w:rPr>
          <w:rFonts w:eastAsia="Calibri"/>
          <w:color w:val="000000"/>
          <w:sz w:val="22"/>
          <w:szCs w:val="22"/>
        </w:rPr>
        <w:t>kapsules ryte ir 4</w:t>
      </w:r>
      <w:r w:rsidR="000C7920" w:rsidRPr="00776407">
        <w:rPr>
          <w:rFonts w:eastAsia="Calibri"/>
          <w:color w:val="000000"/>
          <w:sz w:val="22"/>
          <w:szCs w:val="22"/>
        </w:rPr>
        <w:t> </w:t>
      </w:r>
      <w:r w:rsidRPr="00776407">
        <w:rPr>
          <w:rFonts w:eastAsia="Calibri"/>
          <w:color w:val="000000"/>
          <w:sz w:val="22"/>
          <w:szCs w:val="22"/>
        </w:rPr>
        <w:t>kapsules vakare.</w:t>
      </w:r>
    </w:p>
    <w:p w14:paraId="1272A594" w14:textId="77777777" w:rsidR="00A52D60" w:rsidRPr="00776407" w:rsidRDefault="00A52D60" w:rsidP="00A52D60">
      <w:pPr>
        <w:autoSpaceDE w:val="0"/>
        <w:autoSpaceDN w:val="0"/>
        <w:adjustRightInd w:val="0"/>
        <w:rPr>
          <w:rFonts w:eastAsia="Calibri"/>
          <w:sz w:val="22"/>
          <w:szCs w:val="22"/>
        </w:rPr>
      </w:pPr>
    </w:p>
    <w:p w14:paraId="5346E6D9"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Vartojimas vaikams ir paaugliams </w:t>
      </w:r>
    </w:p>
    <w:p w14:paraId="6212E2A1" w14:textId="77777777" w:rsidR="00B53FB5" w:rsidRPr="00776407" w:rsidRDefault="00A52D60" w:rsidP="00A52D60">
      <w:pPr>
        <w:autoSpaceDE w:val="0"/>
        <w:autoSpaceDN w:val="0"/>
        <w:adjustRightInd w:val="0"/>
        <w:rPr>
          <w:rFonts w:eastAsia="Calibri"/>
          <w:sz w:val="22"/>
          <w:szCs w:val="22"/>
        </w:rPr>
      </w:pPr>
      <w:r w:rsidRPr="00776407">
        <w:rPr>
          <w:rFonts w:eastAsia="Calibri"/>
          <w:sz w:val="22"/>
          <w:szCs w:val="22"/>
        </w:rPr>
        <w:t>Gydytojas nurodys, kiek Imatinib Actavis kapsulių reikia duoti gerti vaikui. Imatinib Actavis dozė priklausys nuo vaiko būklės, kūno masės ir ūgio.</w:t>
      </w:r>
    </w:p>
    <w:p w14:paraId="098D257D" w14:textId="77777777" w:rsidR="00447E0D" w:rsidRPr="00776407" w:rsidRDefault="00B4566D" w:rsidP="00447E0D">
      <w:pPr>
        <w:autoSpaceDE w:val="0"/>
        <w:autoSpaceDN w:val="0"/>
        <w:adjustRightInd w:val="0"/>
        <w:rPr>
          <w:rFonts w:eastAsia="Calibri"/>
          <w:sz w:val="22"/>
          <w:szCs w:val="22"/>
        </w:rPr>
      </w:pPr>
      <w:r w:rsidRPr="00776407">
        <w:rPr>
          <w:rFonts w:eastAsia="Calibri"/>
          <w:sz w:val="22"/>
          <w:szCs w:val="22"/>
        </w:rPr>
        <w:t xml:space="preserve">Bendroji nuo LML gydomų vaikų paros dozė neturi būti didesnė kaip 800 mg ir 600 mg, sergančių Ph+ ŪLL. Vaistą galima vartoti vieną kartą per parą arba paros dozę padalyti į dvi dalis (pusę dozės vartoti ryte ir kitą pusę – vakare). </w:t>
      </w:r>
      <w:r w:rsidR="00447E0D" w:rsidRPr="00776407">
        <w:rPr>
          <w:rFonts w:eastAsia="Calibri"/>
          <w:sz w:val="22"/>
          <w:szCs w:val="22"/>
        </w:rPr>
        <w:t xml:space="preserve"> </w:t>
      </w:r>
    </w:p>
    <w:p w14:paraId="06E3EE93" w14:textId="77777777" w:rsidR="00A52D60" w:rsidRPr="00776407" w:rsidRDefault="00A52D60" w:rsidP="00A52D60">
      <w:pPr>
        <w:autoSpaceDE w:val="0"/>
        <w:autoSpaceDN w:val="0"/>
        <w:adjustRightInd w:val="0"/>
        <w:rPr>
          <w:rFonts w:eastAsia="Calibri"/>
          <w:sz w:val="22"/>
          <w:szCs w:val="22"/>
        </w:rPr>
      </w:pPr>
    </w:p>
    <w:p w14:paraId="71443FC9"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Kada ir kaip vartoti Imatinib Actavis </w:t>
      </w:r>
    </w:p>
    <w:p w14:paraId="624FFFAC" w14:textId="77777777" w:rsidR="00A52D60" w:rsidRPr="00776407" w:rsidRDefault="00A52D60" w:rsidP="00A52D60">
      <w:pPr>
        <w:autoSpaceDE w:val="0"/>
        <w:autoSpaceDN w:val="0"/>
        <w:adjustRightInd w:val="0"/>
        <w:spacing w:after="21"/>
        <w:ind w:left="720" w:hanging="720"/>
        <w:rPr>
          <w:rFonts w:eastAsia="Calibri"/>
          <w:sz w:val="22"/>
          <w:szCs w:val="22"/>
        </w:rPr>
      </w:pPr>
      <w:r w:rsidRPr="00776407">
        <w:rPr>
          <w:rFonts w:eastAsia="Calibri"/>
          <w:sz w:val="22"/>
          <w:szCs w:val="22"/>
        </w:rPr>
        <w:t>-</w:t>
      </w:r>
      <w:r w:rsidRPr="00776407">
        <w:rPr>
          <w:rFonts w:eastAsia="Calibri"/>
          <w:sz w:val="22"/>
          <w:szCs w:val="22"/>
        </w:rPr>
        <w:tab/>
      </w:r>
      <w:r w:rsidRPr="00776407">
        <w:rPr>
          <w:rFonts w:eastAsia="Calibri"/>
          <w:b/>
          <w:bCs/>
          <w:sz w:val="22"/>
          <w:szCs w:val="22"/>
        </w:rPr>
        <w:t xml:space="preserve">Imatinib Actavis gerkite valgio metu. </w:t>
      </w:r>
      <w:r w:rsidRPr="00776407">
        <w:rPr>
          <w:rFonts w:eastAsia="Calibri"/>
          <w:sz w:val="22"/>
          <w:szCs w:val="22"/>
        </w:rPr>
        <w:t xml:space="preserve">Tai padės išvengti skrandžio sutrikimų Imatinib Actavis vartojimo metu. </w:t>
      </w:r>
    </w:p>
    <w:p w14:paraId="32105ADA" w14:textId="77777777" w:rsidR="00A52D60" w:rsidRPr="00776407" w:rsidRDefault="00A52D60" w:rsidP="00A52D60">
      <w:pPr>
        <w:autoSpaceDE w:val="0"/>
        <w:autoSpaceDN w:val="0"/>
        <w:adjustRightInd w:val="0"/>
        <w:spacing w:after="21"/>
        <w:ind w:left="720" w:hanging="720"/>
        <w:rPr>
          <w:rFonts w:eastAsia="Calibri"/>
          <w:sz w:val="22"/>
          <w:szCs w:val="22"/>
        </w:rPr>
      </w:pPr>
      <w:r w:rsidRPr="00776407">
        <w:rPr>
          <w:rFonts w:eastAsia="Calibri"/>
          <w:sz w:val="22"/>
          <w:szCs w:val="22"/>
        </w:rPr>
        <w:t>-</w:t>
      </w:r>
      <w:r w:rsidRPr="00776407">
        <w:rPr>
          <w:rFonts w:eastAsia="Calibri"/>
          <w:sz w:val="22"/>
          <w:szCs w:val="22"/>
        </w:rPr>
        <w:tab/>
      </w:r>
      <w:r w:rsidRPr="00776407">
        <w:rPr>
          <w:rFonts w:eastAsia="Calibri"/>
          <w:b/>
          <w:bCs/>
          <w:sz w:val="22"/>
          <w:szCs w:val="22"/>
        </w:rPr>
        <w:t xml:space="preserve">Nurykite visą kapsulę užgerdami didele stikline vandens. </w:t>
      </w:r>
      <w:r w:rsidRPr="00776407">
        <w:rPr>
          <w:rFonts w:eastAsia="Calibri"/>
          <w:sz w:val="22"/>
          <w:szCs w:val="22"/>
        </w:rPr>
        <w:t xml:space="preserve">Kapsulių negalima atidaryti ir laužyti, nebent jas sunku nuryti (pvz., vaikams). </w:t>
      </w:r>
    </w:p>
    <w:p w14:paraId="387A3037" w14:textId="77777777" w:rsidR="00A52D60" w:rsidRPr="00776407" w:rsidRDefault="00A52D60" w:rsidP="00A52D60">
      <w:pPr>
        <w:autoSpaceDE w:val="0"/>
        <w:autoSpaceDN w:val="0"/>
        <w:adjustRightInd w:val="0"/>
        <w:spacing w:after="21"/>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Jeigu negalite nuryti kapsulės, galite ją atidaryti ir miltelius ištirpinti stiklinėje negazuoto vandens ar obuolių sulčių. </w:t>
      </w:r>
    </w:p>
    <w:p w14:paraId="429891B6" w14:textId="77777777" w:rsidR="00A52D60" w:rsidRPr="00776407" w:rsidRDefault="00A52D60" w:rsidP="00A52D60">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Jei esate ar galite būti nėščia ir ketinate atidaryti kapsulę, su jos turiniu turite elgtis labai atsargiai, kad vaisto nepatektų ant odos, į akis ir kad jo neįkvėptumėte. Atidarę kapsulę, nedelsdami nusiplaukite rankas. </w:t>
      </w:r>
    </w:p>
    <w:p w14:paraId="721AC3E3" w14:textId="77777777" w:rsidR="00A52D60" w:rsidRPr="00776407" w:rsidRDefault="00A52D60" w:rsidP="00A52D60">
      <w:pPr>
        <w:autoSpaceDE w:val="0"/>
        <w:autoSpaceDN w:val="0"/>
        <w:adjustRightInd w:val="0"/>
        <w:rPr>
          <w:rFonts w:eastAsia="Calibri"/>
          <w:sz w:val="22"/>
          <w:szCs w:val="22"/>
        </w:rPr>
      </w:pPr>
    </w:p>
    <w:p w14:paraId="07D9D454"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Kaip ilgai vartoti Imatinib Actavis </w:t>
      </w:r>
    </w:p>
    <w:p w14:paraId="4AB34D8B"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Imatinib Actavis vartokite kasdien, tiek laiko, kiek nurodė Jūsų gydytojas. </w:t>
      </w:r>
    </w:p>
    <w:p w14:paraId="5BB29BB8" w14:textId="77777777" w:rsidR="00A52D60" w:rsidRPr="00776407" w:rsidRDefault="00A52D60" w:rsidP="00A52D60">
      <w:pPr>
        <w:autoSpaceDE w:val="0"/>
        <w:autoSpaceDN w:val="0"/>
        <w:adjustRightInd w:val="0"/>
        <w:rPr>
          <w:rFonts w:eastAsia="Calibri"/>
          <w:sz w:val="22"/>
          <w:szCs w:val="22"/>
        </w:rPr>
      </w:pPr>
    </w:p>
    <w:p w14:paraId="6E0CD3F5"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Ką daryti pavartojus per didelę Imatinib Actavis dozę? </w:t>
      </w:r>
    </w:p>
    <w:p w14:paraId="7D2C5057"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Jei atsitiktinai išgėrėte per daug kapsulių, </w:t>
      </w:r>
      <w:r w:rsidRPr="00776407">
        <w:rPr>
          <w:rFonts w:eastAsia="Calibri"/>
          <w:b/>
          <w:bCs/>
          <w:sz w:val="22"/>
          <w:szCs w:val="22"/>
        </w:rPr>
        <w:t xml:space="preserve">iš karto </w:t>
      </w:r>
      <w:r w:rsidRPr="00776407">
        <w:rPr>
          <w:rFonts w:eastAsia="Calibri"/>
          <w:sz w:val="22"/>
          <w:szCs w:val="22"/>
        </w:rPr>
        <w:t xml:space="preserve">kreipkitės į gydytoją. Jums gali prireikti medicininės pagalbos. Pasiimkite su savimi vaisto pakuotę. </w:t>
      </w:r>
    </w:p>
    <w:p w14:paraId="28132101" w14:textId="77777777" w:rsidR="00A52D60" w:rsidRPr="00776407" w:rsidRDefault="00A52D60" w:rsidP="00A52D60">
      <w:pPr>
        <w:autoSpaceDE w:val="0"/>
        <w:autoSpaceDN w:val="0"/>
        <w:adjustRightInd w:val="0"/>
        <w:rPr>
          <w:rFonts w:eastAsia="Calibri"/>
          <w:b/>
          <w:bCs/>
          <w:sz w:val="22"/>
          <w:szCs w:val="22"/>
        </w:rPr>
      </w:pPr>
    </w:p>
    <w:p w14:paraId="00E5DF89"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Pamiršus pavartoti Imatinib Actavis </w:t>
      </w:r>
    </w:p>
    <w:p w14:paraId="0DBD38C7" w14:textId="77777777" w:rsidR="00A52D60" w:rsidRPr="00776407" w:rsidRDefault="00A52D60" w:rsidP="00A52D60">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Pamiršus pavartoti vaisto dozę, ją išgerkite kai tik prisiminėte. Tačiau jei jau beveik laikas gerti kitą dozę, praleistos dozės nevartokite. </w:t>
      </w:r>
    </w:p>
    <w:p w14:paraId="2F37F200" w14:textId="77777777" w:rsidR="00A52D60" w:rsidRPr="00776407" w:rsidRDefault="00A52D60" w:rsidP="00A52D60">
      <w:pPr>
        <w:autoSpaceDE w:val="0"/>
        <w:autoSpaceDN w:val="0"/>
        <w:adjustRightInd w:val="0"/>
        <w:spacing w:after="23"/>
        <w:rPr>
          <w:rFonts w:eastAsia="Calibri"/>
          <w:sz w:val="22"/>
          <w:szCs w:val="22"/>
        </w:rPr>
      </w:pPr>
      <w:r w:rsidRPr="00776407">
        <w:rPr>
          <w:rFonts w:eastAsia="Calibri"/>
          <w:sz w:val="22"/>
          <w:szCs w:val="22"/>
        </w:rPr>
        <w:t>-</w:t>
      </w:r>
      <w:r w:rsidRPr="00776407">
        <w:rPr>
          <w:rFonts w:eastAsia="Calibri"/>
          <w:sz w:val="22"/>
          <w:szCs w:val="22"/>
        </w:rPr>
        <w:tab/>
        <w:t xml:space="preserve">Vėliau tęskite vaisto vartojimą įprastu režimu. </w:t>
      </w:r>
    </w:p>
    <w:p w14:paraId="104BC8D3"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t xml:space="preserve">Negalima vartoti dvigubos dozės norint kompensuoti praleistą dozę. </w:t>
      </w:r>
    </w:p>
    <w:p w14:paraId="4664082D" w14:textId="77777777" w:rsidR="00A52D60" w:rsidRPr="00776407" w:rsidRDefault="00A52D60" w:rsidP="00A52D60">
      <w:pPr>
        <w:autoSpaceDE w:val="0"/>
        <w:autoSpaceDN w:val="0"/>
        <w:adjustRightInd w:val="0"/>
        <w:rPr>
          <w:rFonts w:eastAsia="Calibri"/>
          <w:sz w:val="22"/>
          <w:szCs w:val="22"/>
        </w:rPr>
      </w:pPr>
    </w:p>
    <w:p w14:paraId="069A8D6A"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Jeigu kiltų daugiau klausimų dėl šio vaisto vartojimo, kreipkitės į gydytoją, vaistininką arba slaugytoją. </w:t>
      </w:r>
    </w:p>
    <w:p w14:paraId="722FDC3E" w14:textId="77777777" w:rsidR="00A52D60" w:rsidRPr="00776407" w:rsidRDefault="00A52D60" w:rsidP="00A52D60">
      <w:pPr>
        <w:autoSpaceDE w:val="0"/>
        <w:autoSpaceDN w:val="0"/>
        <w:adjustRightInd w:val="0"/>
        <w:rPr>
          <w:rFonts w:eastAsia="Calibri"/>
          <w:sz w:val="22"/>
          <w:szCs w:val="22"/>
        </w:rPr>
      </w:pPr>
    </w:p>
    <w:p w14:paraId="31213454" w14:textId="77777777" w:rsidR="00A52D60" w:rsidRPr="00776407" w:rsidRDefault="00A52D60" w:rsidP="00A52D60">
      <w:pPr>
        <w:autoSpaceDE w:val="0"/>
        <w:autoSpaceDN w:val="0"/>
        <w:adjustRightInd w:val="0"/>
        <w:rPr>
          <w:rFonts w:eastAsia="Calibri"/>
          <w:sz w:val="22"/>
          <w:szCs w:val="22"/>
        </w:rPr>
      </w:pPr>
    </w:p>
    <w:p w14:paraId="61E15374" w14:textId="77777777" w:rsidR="00A52D60" w:rsidRPr="00776407" w:rsidRDefault="00A52D60" w:rsidP="00864BE6">
      <w:pPr>
        <w:pStyle w:val="Listenabsatz"/>
        <w:numPr>
          <w:ilvl w:val="0"/>
          <w:numId w:val="11"/>
        </w:numPr>
        <w:autoSpaceDE w:val="0"/>
        <w:autoSpaceDN w:val="0"/>
        <w:adjustRightInd w:val="0"/>
        <w:ind w:left="567" w:hanging="567"/>
        <w:rPr>
          <w:rFonts w:eastAsia="Calibri"/>
          <w:b/>
          <w:sz w:val="22"/>
          <w:szCs w:val="22"/>
        </w:rPr>
      </w:pPr>
      <w:r w:rsidRPr="00776407">
        <w:rPr>
          <w:rFonts w:eastAsia="Calibri"/>
          <w:b/>
          <w:sz w:val="22"/>
          <w:szCs w:val="22"/>
        </w:rPr>
        <w:t>Galimas šalutinis poveikis</w:t>
      </w:r>
    </w:p>
    <w:p w14:paraId="1C4B7A49" w14:textId="77777777" w:rsidR="00A52D60" w:rsidRPr="00776407" w:rsidRDefault="00A52D60" w:rsidP="00A52D60">
      <w:pPr>
        <w:autoSpaceDE w:val="0"/>
        <w:autoSpaceDN w:val="0"/>
        <w:adjustRightInd w:val="0"/>
        <w:rPr>
          <w:rFonts w:eastAsia="Calibri"/>
          <w:sz w:val="22"/>
          <w:szCs w:val="22"/>
        </w:rPr>
      </w:pPr>
    </w:p>
    <w:p w14:paraId="169F00A3"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Šis vaistas, kaip ir visi kiti, gali sukelti šalutinį poveikį, nors jis pasireiškia ne visiems žmonėms. Paprastai jis būna nesunkus ar vidutinio sunkumo. </w:t>
      </w:r>
    </w:p>
    <w:p w14:paraId="6CE836F1" w14:textId="77777777" w:rsidR="00A52D60" w:rsidRPr="00776407" w:rsidRDefault="00A52D60" w:rsidP="00A52D60">
      <w:pPr>
        <w:autoSpaceDE w:val="0"/>
        <w:autoSpaceDN w:val="0"/>
        <w:adjustRightInd w:val="0"/>
        <w:rPr>
          <w:rFonts w:eastAsia="Calibri"/>
          <w:sz w:val="22"/>
          <w:szCs w:val="22"/>
        </w:rPr>
      </w:pPr>
    </w:p>
    <w:p w14:paraId="2390B191"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Kai kurie šalutiniai </w:t>
      </w:r>
      <w:r w:rsidR="00121DA9" w:rsidRPr="00776407">
        <w:rPr>
          <w:rFonts w:eastAsia="Calibri"/>
          <w:b/>
          <w:bCs/>
          <w:sz w:val="22"/>
          <w:szCs w:val="22"/>
        </w:rPr>
        <w:t>poveikiai</w:t>
      </w:r>
      <w:r w:rsidRPr="00776407">
        <w:rPr>
          <w:rFonts w:eastAsia="Calibri"/>
          <w:b/>
          <w:bCs/>
          <w:sz w:val="22"/>
          <w:szCs w:val="22"/>
        </w:rPr>
        <w:t xml:space="preserve"> gali būti sunkūs. Nedelsiant pasakykite gydytojui, jeigu Jums pasireikštų kuris nors iš toliau išvardytų </w:t>
      </w:r>
      <w:r w:rsidR="00121DA9" w:rsidRPr="00776407">
        <w:rPr>
          <w:rFonts w:eastAsia="Calibri"/>
          <w:b/>
          <w:bCs/>
          <w:sz w:val="22"/>
          <w:szCs w:val="22"/>
        </w:rPr>
        <w:t>poveikių</w:t>
      </w:r>
      <w:r w:rsidRPr="00776407">
        <w:rPr>
          <w:rFonts w:eastAsia="Calibri"/>
          <w:b/>
          <w:bCs/>
          <w:sz w:val="22"/>
          <w:szCs w:val="22"/>
        </w:rPr>
        <w:t xml:space="preserve">. </w:t>
      </w:r>
    </w:p>
    <w:p w14:paraId="00F8BE74" w14:textId="77777777" w:rsidR="00A52D60" w:rsidRPr="00776407" w:rsidRDefault="00A52D60" w:rsidP="00A52D60">
      <w:pPr>
        <w:autoSpaceDE w:val="0"/>
        <w:autoSpaceDN w:val="0"/>
        <w:adjustRightInd w:val="0"/>
        <w:rPr>
          <w:rFonts w:eastAsia="Calibri"/>
          <w:b/>
          <w:bCs/>
          <w:sz w:val="22"/>
          <w:szCs w:val="22"/>
        </w:rPr>
      </w:pPr>
    </w:p>
    <w:p w14:paraId="61AF1326" w14:textId="77777777" w:rsidR="00447E0D" w:rsidRPr="00776407" w:rsidRDefault="00447E0D" w:rsidP="00447E0D">
      <w:pPr>
        <w:autoSpaceDE w:val="0"/>
        <w:autoSpaceDN w:val="0"/>
        <w:adjustRightInd w:val="0"/>
        <w:rPr>
          <w:rFonts w:eastAsia="Calibri"/>
          <w:sz w:val="22"/>
          <w:szCs w:val="22"/>
        </w:rPr>
      </w:pPr>
      <w:r w:rsidRPr="00776407">
        <w:rPr>
          <w:rFonts w:eastAsia="Calibri"/>
          <w:b/>
          <w:bCs/>
          <w:sz w:val="22"/>
          <w:szCs w:val="22"/>
        </w:rPr>
        <w:t xml:space="preserve">Labai dažni </w:t>
      </w:r>
      <w:r w:rsidRPr="00776407">
        <w:rPr>
          <w:rFonts w:eastAsia="Calibri"/>
          <w:bCs/>
          <w:sz w:val="22"/>
          <w:szCs w:val="22"/>
        </w:rPr>
        <w:t>(gali pasireikšti daugiau nei 1 žmogui iš 10)</w:t>
      </w:r>
      <w:r w:rsidRPr="00776407">
        <w:rPr>
          <w:rFonts w:eastAsia="Calibri"/>
          <w:b/>
          <w:bCs/>
          <w:sz w:val="22"/>
          <w:szCs w:val="22"/>
        </w:rPr>
        <w:t xml:space="preserve"> ir dažni </w:t>
      </w:r>
      <w:r w:rsidRPr="00776407">
        <w:rPr>
          <w:rFonts w:eastAsia="Calibri"/>
          <w:bCs/>
          <w:sz w:val="22"/>
          <w:szCs w:val="22"/>
        </w:rPr>
        <w:t>(gali pasireikšti iki 1 žmogaus iš 10)</w:t>
      </w:r>
      <w:r w:rsidRPr="00776407">
        <w:rPr>
          <w:rFonts w:eastAsia="Calibri"/>
          <w:b/>
          <w:bCs/>
          <w:sz w:val="22"/>
          <w:szCs w:val="22"/>
        </w:rPr>
        <w:t>:</w:t>
      </w:r>
    </w:p>
    <w:p w14:paraId="147E7CB0" w14:textId="0F9E34AD"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Greitai padidėjęs kūno svoris. Vartojant Imatinib Actavis organizme gali pradėti kauptis skystis (t.</w:t>
      </w:r>
      <w:r w:rsidR="00532218" w:rsidRPr="00776407">
        <w:rPr>
          <w:rFonts w:eastAsia="Calibri"/>
          <w:sz w:val="22"/>
          <w:szCs w:val="22"/>
        </w:rPr>
        <w:t> </w:t>
      </w:r>
      <w:r w:rsidRPr="00776407">
        <w:rPr>
          <w:rFonts w:eastAsia="Calibri"/>
          <w:sz w:val="22"/>
          <w:szCs w:val="22"/>
        </w:rPr>
        <w:t xml:space="preserve">y. pasireikšti sunkus skysčių susilaikymas). </w:t>
      </w:r>
    </w:p>
    <w:p w14:paraId="53822FBF"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Infekcijos požymiai – pavyzdžiui, karščiavimas, stiprus šaltkrėtis, gerklės skausmas ar burnos išopėjimas. Imatinib Actavis gali sumažinti baltųjų kraujo kūnelių skaičių, todėl galite greičiau užsikrėsti infekcinėmis ligomis. </w:t>
      </w:r>
    </w:p>
    <w:p w14:paraId="446E9AFD" w14:textId="77777777" w:rsidR="00A52D60" w:rsidRPr="00776407" w:rsidRDefault="00A52D60" w:rsidP="00864BE6">
      <w:pPr>
        <w:pStyle w:val="Listenabsatz"/>
        <w:numPr>
          <w:ilvl w:val="0"/>
          <w:numId w:val="1"/>
        </w:numPr>
        <w:autoSpaceDE w:val="0"/>
        <w:autoSpaceDN w:val="0"/>
        <w:adjustRightInd w:val="0"/>
        <w:ind w:left="567" w:hanging="567"/>
        <w:rPr>
          <w:rFonts w:eastAsia="Calibri"/>
          <w:sz w:val="22"/>
          <w:szCs w:val="22"/>
        </w:rPr>
      </w:pPr>
      <w:r w:rsidRPr="00776407">
        <w:rPr>
          <w:rFonts w:eastAsia="Calibri"/>
          <w:sz w:val="22"/>
          <w:szCs w:val="22"/>
        </w:rPr>
        <w:t xml:space="preserve">Netikėtas kraujavimas ar mėlynių susidarymas (be jokio sužalojimo). </w:t>
      </w:r>
    </w:p>
    <w:p w14:paraId="623CA543" w14:textId="77777777" w:rsidR="00A52D60" w:rsidRPr="00776407" w:rsidRDefault="00A52D60" w:rsidP="00A52D60">
      <w:pPr>
        <w:autoSpaceDE w:val="0"/>
        <w:autoSpaceDN w:val="0"/>
        <w:adjustRightInd w:val="0"/>
        <w:rPr>
          <w:rFonts w:eastAsia="Calibri"/>
          <w:sz w:val="22"/>
          <w:szCs w:val="22"/>
        </w:rPr>
      </w:pPr>
    </w:p>
    <w:p w14:paraId="4B9CF4E0" w14:textId="77777777" w:rsidR="00A52D60" w:rsidRPr="00776407" w:rsidRDefault="00447E0D" w:rsidP="00A52D60">
      <w:pPr>
        <w:autoSpaceDE w:val="0"/>
        <w:autoSpaceDN w:val="0"/>
        <w:adjustRightInd w:val="0"/>
        <w:rPr>
          <w:rFonts w:eastAsia="Calibri"/>
          <w:sz w:val="22"/>
          <w:szCs w:val="22"/>
        </w:rPr>
      </w:pPr>
      <w:r w:rsidRPr="00776407">
        <w:rPr>
          <w:rFonts w:eastAsia="Calibri"/>
          <w:b/>
          <w:bCs/>
          <w:sz w:val="22"/>
          <w:szCs w:val="22"/>
        </w:rPr>
        <w:t xml:space="preserve">Nedažni </w:t>
      </w:r>
      <w:r w:rsidRPr="00776407">
        <w:rPr>
          <w:rFonts w:eastAsia="Calibri"/>
          <w:bCs/>
          <w:sz w:val="22"/>
          <w:szCs w:val="22"/>
        </w:rPr>
        <w:t>(gali pasireikšti iki 1 žmogaus iš 100)</w:t>
      </w:r>
      <w:r w:rsidRPr="00776407">
        <w:rPr>
          <w:rFonts w:eastAsia="Calibri"/>
          <w:b/>
          <w:bCs/>
          <w:sz w:val="22"/>
          <w:szCs w:val="22"/>
        </w:rPr>
        <w:t xml:space="preserve"> ir reti </w:t>
      </w:r>
      <w:r w:rsidRPr="00776407">
        <w:rPr>
          <w:rFonts w:eastAsia="Calibri"/>
          <w:bCs/>
          <w:sz w:val="22"/>
          <w:szCs w:val="22"/>
        </w:rPr>
        <w:t xml:space="preserve">(gali pasireikšti iki 1 žmogaus </w:t>
      </w:r>
      <w:r w:rsidR="00A52D60" w:rsidRPr="00776407">
        <w:rPr>
          <w:rFonts w:eastAsia="Calibri"/>
          <w:bCs/>
          <w:sz w:val="22"/>
          <w:szCs w:val="22"/>
        </w:rPr>
        <w:t xml:space="preserve">iš 1 000): </w:t>
      </w:r>
    </w:p>
    <w:p w14:paraId="5F6B00AD"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Skausmas krūtinėje, nereguliarus širdies ritmas (širdies sutrikimų požymiai). </w:t>
      </w:r>
    </w:p>
    <w:p w14:paraId="2705DBBE"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Kosulys, pasunkėjęs kvėpavimas arba skausmingas kvėpavimas (plaučių sutrikimų požymiai). </w:t>
      </w:r>
    </w:p>
    <w:p w14:paraId="26CBDB45"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Apsvaigimas, galvos svaigimas ar alpimas (žemo kraujospūdžio požymiai). </w:t>
      </w:r>
    </w:p>
    <w:p w14:paraId="75A7B856"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Šleikštulys (pykinimas), taip pat apetito trūkumas, </w:t>
      </w:r>
      <w:r w:rsidR="000C7920" w:rsidRPr="00776407">
        <w:rPr>
          <w:rFonts w:eastAsia="Calibri"/>
          <w:sz w:val="22"/>
          <w:szCs w:val="22"/>
        </w:rPr>
        <w:t>tamsus šlapimas</w:t>
      </w:r>
      <w:r w:rsidRPr="00776407">
        <w:rPr>
          <w:rFonts w:eastAsia="Calibri"/>
          <w:sz w:val="22"/>
          <w:szCs w:val="22"/>
        </w:rPr>
        <w:t xml:space="preserve">, pageltusi oda ar akių baltymai (kepenų sutrikimų požymiai). </w:t>
      </w:r>
    </w:p>
    <w:p w14:paraId="3E57A604" w14:textId="77777777" w:rsidR="00A52D60" w:rsidRPr="00776407" w:rsidRDefault="002C37B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Išb</w:t>
      </w:r>
      <w:r w:rsidR="00A52D60" w:rsidRPr="00776407">
        <w:rPr>
          <w:rFonts w:eastAsia="Calibri"/>
          <w:sz w:val="22"/>
          <w:szCs w:val="22"/>
        </w:rPr>
        <w:t>ėrimas, odos paraudimas, taip pat pūslių atsiradimas ant lūpų, akių, odos arba burnos gleivinės, odos pleiskanojimas, karščiavimas, pakilę raudoni arba purpuriniai odos lopai, niež</w:t>
      </w:r>
      <w:r w:rsidRPr="00776407">
        <w:rPr>
          <w:rFonts w:eastAsia="Calibri"/>
          <w:sz w:val="22"/>
          <w:szCs w:val="22"/>
        </w:rPr>
        <w:t>ėjimas</w:t>
      </w:r>
      <w:r w:rsidR="00A52D60" w:rsidRPr="00776407">
        <w:rPr>
          <w:rFonts w:eastAsia="Calibri"/>
          <w:sz w:val="22"/>
          <w:szCs w:val="22"/>
        </w:rPr>
        <w:t xml:space="preserve">, deginimo pojūtis, pūslinis </w:t>
      </w:r>
      <w:r w:rsidRPr="00776407">
        <w:rPr>
          <w:rFonts w:eastAsia="Calibri"/>
          <w:sz w:val="22"/>
          <w:szCs w:val="22"/>
        </w:rPr>
        <w:t>iš</w:t>
      </w:r>
      <w:r w:rsidR="00A52D60" w:rsidRPr="00776407">
        <w:rPr>
          <w:rFonts w:eastAsia="Calibri"/>
          <w:sz w:val="22"/>
          <w:szCs w:val="22"/>
        </w:rPr>
        <w:t xml:space="preserve">bėrimas (odos sutrikimų požymiai). </w:t>
      </w:r>
    </w:p>
    <w:p w14:paraId="4388BB26"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Stiprus pilvo skausmas, vėmimas, tuštinimasis ar šlapinimasis su kraujo priemaiša, juodos spalvos išmatos (virškinimo trakto sutrikimų požymiai). </w:t>
      </w:r>
    </w:p>
    <w:p w14:paraId="6F807685"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Labai sumažėjęs šlapimo kiekis, troškulys (inkstų sutrikimų požymiai). </w:t>
      </w:r>
    </w:p>
    <w:p w14:paraId="2E4FC4BA"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Šleikštulys (pykinimas) kartu su viduriavimu ir vėmimu, pilvo skausmas arba karščiavimas (žarnų sutrikimų požymiai). </w:t>
      </w:r>
    </w:p>
    <w:p w14:paraId="453AE983"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Stiprus galvos skausmas, silpnumas arba galūnių ar veido paralyžius, pasunkėjusi kalba, staigus sąmonės praradimas (nervų sistemos sutrikimų, pavyzdžiui, kraujavimo kaukolės ertmėje ar galvos smegenų patinimo, požymiai). </w:t>
      </w:r>
    </w:p>
    <w:p w14:paraId="001D2D8C" w14:textId="77777777" w:rsidR="00A52D60" w:rsidRPr="00776407" w:rsidRDefault="00A52D60"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 xml:space="preserve">Išblyškusi oda, nuovargis ir dusulys, tamsus šlapimas (sumažėjusio raudonųjų kraujo ląstelių skaičiaus požymiai). </w:t>
      </w:r>
    </w:p>
    <w:p w14:paraId="7A68F6FF"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Akies skausmas ar pablogėjusi rega</w:t>
      </w:r>
      <w:r w:rsidR="0012790D" w:rsidRPr="00776407">
        <w:rPr>
          <w:rFonts w:eastAsia="Calibri"/>
          <w:sz w:val="22"/>
          <w:szCs w:val="22"/>
        </w:rPr>
        <w:t>, kraujavimas į akies vidų</w:t>
      </w:r>
      <w:r w:rsidRPr="00776407">
        <w:rPr>
          <w:rFonts w:eastAsia="Calibri"/>
          <w:sz w:val="22"/>
          <w:szCs w:val="22"/>
        </w:rPr>
        <w:t xml:space="preserve">. </w:t>
      </w:r>
    </w:p>
    <w:p w14:paraId="27D89C1C"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Skausmas klubo sąnariuose ar pasunkėjęs vaikščiojimas. </w:t>
      </w:r>
    </w:p>
    <w:p w14:paraId="3BE9AF9F"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Kojų ir rankų pirštų nutirpimas ar šalimas (Raynaud‘s sindromo požymiai). </w:t>
      </w:r>
    </w:p>
    <w:p w14:paraId="0F032B40"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Staigus odos patinimas ir paraudimas (odos infekcijos, vadinamos celiulitu, požymiai). </w:t>
      </w:r>
    </w:p>
    <w:p w14:paraId="079EEA7B"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Sutrikusi klausa. </w:t>
      </w:r>
    </w:p>
    <w:p w14:paraId="769614F2"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Raumenų silpnumas ir spazmas kartu su sutrikusiu širdies ritmu (požymiai, rodantys, kad pakito kalio kiekis Jūsų kraujyje). </w:t>
      </w:r>
    </w:p>
    <w:p w14:paraId="76AE84D1"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Mėlynės. </w:t>
      </w:r>
    </w:p>
    <w:p w14:paraId="202A3E56"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Skrandžio skausmas kartu su šleikštuliu (pykinimu). </w:t>
      </w:r>
    </w:p>
    <w:p w14:paraId="0FA63F30"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Raumenų spazmai ir kartu pasireiškiantis karščiavimas, raudonai rudos spalvos šlapimas, raumenų skausmas ar silpnumas (raumenų sutrikimų požymiai). </w:t>
      </w:r>
    </w:p>
    <w:p w14:paraId="77D2D506" w14:textId="77777777" w:rsidR="00A52D60" w:rsidRPr="00776407" w:rsidRDefault="00A52D60"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Dubens srities skausmas, kartais kartu su pykinimu ir vėmimu, kartu su netikėtu kraujavimu iš makšties, galvos svaigimu ar alpimu dėl sumažėjusio kraujospūdžio (kiaušidžių ar gimdos sutrikimų požymiai). </w:t>
      </w:r>
    </w:p>
    <w:p w14:paraId="6E43370C" w14:textId="77777777" w:rsidR="00A52D60" w:rsidRPr="00776407" w:rsidRDefault="00A52D60"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Pykinimas, oro trūkumas, nereguliarus širdies ritmas, drumstas šlapimas, nuovargis ir</w:t>
      </w:r>
      <w:r w:rsidR="002C37B0" w:rsidRPr="00776407">
        <w:rPr>
          <w:rFonts w:eastAsia="Calibri"/>
          <w:sz w:val="22"/>
          <w:szCs w:val="22"/>
        </w:rPr>
        <w:t xml:space="preserve"> (</w:t>
      </w:r>
      <w:r w:rsidRPr="00776407">
        <w:rPr>
          <w:rFonts w:eastAsia="Calibri"/>
          <w:sz w:val="22"/>
          <w:szCs w:val="22"/>
        </w:rPr>
        <w:t>arba</w:t>
      </w:r>
      <w:r w:rsidR="002C37B0" w:rsidRPr="00776407">
        <w:rPr>
          <w:rFonts w:eastAsia="Calibri"/>
          <w:sz w:val="22"/>
          <w:szCs w:val="22"/>
        </w:rPr>
        <w:t>)</w:t>
      </w:r>
      <w:r w:rsidRPr="00776407">
        <w:rPr>
          <w:rFonts w:eastAsia="Calibri"/>
          <w:sz w:val="22"/>
          <w:szCs w:val="22"/>
        </w:rPr>
        <w:t xml:space="preserve"> sąnarių diskomfortas susijęs su anomaliais laboratorinių tyrimų rezultatais (pvz., didelis kalio, šlapimo rūgšties</w:t>
      </w:r>
      <w:r w:rsidR="00EA3736" w:rsidRPr="00776407">
        <w:rPr>
          <w:rFonts w:eastAsia="Calibri"/>
          <w:sz w:val="22"/>
          <w:szCs w:val="22"/>
        </w:rPr>
        <w:t xml:space="preserve"> ir kalcio kiekis</w:t>
      </w:r>
      <w:r w:rsidRPr="00776407">
        <w:rPr>
          <w:rFonts w:eastAsia="Calibri"/>
          <w:sz w:val="22"/>
          <w:szCs w:val="22"/>
        </w:rPr>
        <w:t xml:space="preserve"> ir </w:t>
      </w:r>
      <w:r w:rsidR="00EA3736" w:rsidRPr="00776407">
        <w:rPr>
          <w:rFonts w:eastAsia="Calibri"/>
          <w:sz w:val="22"/>
          <w:szCs w:val="22"/>
        </w:rPr>
        <w:t xml:space="preserve">mažas </w:t>
      </w:r>
      <w:r w:rsidRPr="00776407">
        <w:rPr>
          <w:rFonts w:eastAsia="Calibri"/>
          <w:sz w:val="22"/>
          <w:szCs w:val="22"/>
        </w:rPr>
        <w:t xml:space="preserve">fosforo kiekis kiekis kraujyje). </w:t>
      </w:r>
    </w:p>
    <w:p w14:paraId="23A3A88B" w14:textId="77777777" w:rsidR="00BD21E4" w:rsidRPr="00776407" w:rsidRDefault="00BD21E4" w:rsidP="00BD21E4">
      <w:pPr>
        <w:pStyle w:val="Listenabsatz"/>
        <w:numPr>
          <w:ilvl w:val="0"/>
          <w:numId w:val="1"/>
        </w:numPr>
        <w:autoSpaceDE w:val="0"/>
        <w:autoSpaceDN w:val="0"/>
        <w:adjustRightInd w:val="0"/>
        <w:rPr>
          <w:rFonts w:eastAsia="Calibri"/>
          <w:sz w:val="22"/>
          <w:szCs w:val="22"/>
        </w:rPr>
      </w:pPr>
      <w:r w:rsidRPr="00776407">
        <w:rPr>
          <w:color w:val="000000"/>
          <w:sz w:val="22"/>
          <w:szCs w:val="22"/>
          <w:lang w:bidi="th-TH"/>
        </w:rPr>
        <w:t>Kraujo krešulių susidarymas smulkiose kraujagyslėse (</w:t>
      </w:r>
      <w:r w:rsidRPr="00776407">
        <w:rPr>
          <w:color w:val="000000"/>
          <w:spacing w:val="-2"/>
          <w:sz w:val="22"/>
          <w:szCs w:val="22"/>
        </w:rPr>
        <w:t>trombinė mikroangiopatija).</w:t>
      </w:r>
    </w:p>
    <w:p w14:paraId="5885A699" w14:textId="77777777" w:rsidR="00EA3736" w:rsidRPr="00776407" w:rsidRDefault="00EA3736" w:rsidP="00EA3736">
      <w:pPr>
        <w:pStyle w:val="Listenabsatz"/>
        <w:autoSpaceDE w:val="0"/>
        <w:autoSpaceDN w:val="0"/>
        <w:adjustRightInd w:val="0"/>
        <w:ind w:left="0"/>
        <w:rPr>
          <w:rFonts w:eastAsia="Calibri"/>
          <w:sz w:val="22"/>
          <w:szCs w:val="22"/>
        </w:rPr>
      </w:pPr>
    </w:p>
    <w:p w14:paraId="1A552E13" w14:textId="77777777" w:rsidR="00447E0D" w:rsidRPr="00776407" w:rsidRDefault="00447E0D" w:rsidP="00447E0D">
      <w:pPr>
        <w:pStyle w:val="Listenabsatz"/>
        <w:autoSpaceDE w:val="0"/>
        <w:autoSpaceDN w:val="0"/>
        <w:adjustRightInd w:val="0"/>
        <w:ind w:left="0"/>
        <w:rPr>
          <w:rFonts w:eastAsia="Calibri"/>
          <w:sz w:val="22"/>
          <w:szCs w:val="22"/>
        </w:rPr>
      </w:pPr>
      <w:r w:rsidRPr="00776407">
        <w:rPr>
          <w:rFonts w:eastAsia="Calibri"/>
          <w:b/>
          <w:sz w:val="22"/>
          <w:szCs w:val="22"/>
        </w:rPr>
        <w:t xml:space="preserve">Dažnis nežinomas </w:t>
      </w:r>
      <w:r w:rsidRPr="00776407">
        <w:rPr>
          <w:rFonts w:eastAsia="Calibri"/>
          <w:sz w:val="22"/>
          <w:szCs w:val="22"/>
        </w:rPr>
        <w:t>(negali būti apskaičiuotas pagal turimus duomenis):</w:t>
      </w:r>
    </w:p>
    <w:p w14:paraId="50D5575B" w14:textId="77777777" w:rsidR="00447E0D" w:rsidRPr="00776407" w:rsidRDefault="00447E0D"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Plačiai išplitęs stiprus odos išbėrimas kartu su pykinimu, karščiavimu, kai kurių baltųjų kraujo kūnelių skaičiaus padidėjimu arba odos ir akių pageltimu (geltos požymiai), lydimas dusulio, krūtinės skausmo/diskomforto, labai sumažėjusio šlapimo išsiskyrimo bei troškulio ir t.t. (alerginės reakcijos požymiai susiję su gydymu).</w:t>
      </w:r>
    </w:p>
    <w:p w14:paraId="238530B3" w14:textId="77777777" w:rsidR="00447E0D" w:rsidRPr="00776407" w:rsidRDefault="00447E0D"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Lėtinis inkstų nepakankamumas.</w:t>
      </w:r>
    </w:p>
    <w:p w14:paraId="47AA196B" w14:textId="77777777" w:rsidR="00447E0D" w:rsidRPr="00776407" w:rsidRDefault="00447E0D"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Hepatito B infekcijos atsinaujinimas (reaktyvacija), jeigu praeityje jums buvo diagnozuotas hepatitas B (kepenų infekcija).</w:t>
      </w:r>
    </w:p>
    <w:p w14:paraId="639E0844" w14:textId="77777777" w:rsidR="00EA3736" w:rsidRPr="00776407" w:rsidRDefault="00EA3736" w:rsidP="00E93356">
      <w:pPr>
        <w:pStyle w:val="Listenabsatz"/>
        <w:autoSpaceDE w:val="0"/>
        <w:autoSpaceDN w:val="0"/>
        <w:adjustRightInd w:val="0"/>
        <w:rPr>
          <w:rFonts w:eastAsia="Calibri"/>
          <w:sz w:val="22"/>
          <w:szCs w:val="22"/>
        </w:rPr>
      </w:pPr>
    </w:p>
    <w:p w14:paraId="40B01635"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Jeigu Jums pasireikštų bet kuris iš anksčiau nurodytų </w:t>
      </w:r>
      <w:r w:rsidR="002C37B0" w:rsidRPr="00776407">
        <w:rPr>
          <w:rFonts w:eastAsia="Calibri"/>
          <w:sz w:val="22"/>
          <w:szCs w:val="22"/>
        </w:rPr>
        <w:t>poveikių</w:t>
      </w:r>
      <w:r w:rsidRPr="00776407">
        <w:rPr>
          <w:rFonts w:eastAsia="Calibri"/>
          <w:sz w:val="22"/>
          <w:szCs w:val="22"/>
        </w:rPr>
        <w:t xml:space="preserve">, </w:t>
      </w:r>
      <w:r w:rsidRPr="00776407">
        <w:rPr>
          <w:rFonts w:eastAsia="Calibri"/>
          <w:b/>
          <w:bCs/>
          <w:sz w:val="22"/>
          <w:szCs w:val="22"/>
        </w:rPr>
        <w:t xml:space="preserve">nedelsiant pasakykite gydytojui. </w:t>
      </w:r>
    </w:p>
    <w:p w14:paraId="3E50D29C" w14:textId="77777777" w:rsidR="00A52D60" w:rsidRPr="00776407" w:rsidRDefault="00A52D60" w:rsidP="00A52D60">
      <w:pPr>
        <w:autoSpaceDE w:val="0"/>
        <w:autoSpaceDN w:val="0"/>
        <w:adjustRightInd w:val="0"/>
        <w:rPr>
          <w:rFonts w:eastAsia="Calibri"/>
          <w:b/>
          <w:bCs/>
          <w:sz w:val="22"/>
          <w:szCs w:val="22"/>
        </w:rPr>
      </w:pPr>
    </w:p>
    <w:p w14:paraId="3DAC7EF7"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Taip pat gali pasireikšti kiti šalutiniai </w:t>
      </w:r>
      <w:r w:rsidR="002C37B0" w:rsidRPr="00776407">
        <w:rPr>
          <w:rFonts w:eastAsia="Calibri"/>
          <w:b/>
          <w:bCs/>
          <w:sz w:val="22"/>
          <w:szCs w:val="22"/>
        </w:rPr>
        <w:t>poveikiai</w:t>
      </w:r>
      <w:r w:rsidRPr="00776407">
        <w:rPr>
          <w:rFonts w:eastAsia="Calibri"/>
          <w:b/>
          <w:bCs/>
          <w:sz w:val="22"/>
          <w:szCs w:val="22"/>
        </w:rPr>
        <w:t xml:space="preserve">: </w:t>
      </w:r>
    </w:p>
    <w:p w14:paraId="1D8FB0D6" w14:textId="77777777" w:rsidR="00A52D60" w:rsidRPr="00776407" w:rsidRDefault="00A52D60" w:rsidP="00A52D60">
      <w:pPr>
        <w:autoSpaceDE w:val="0"/>
        <w:autoSpaceDN w:val="0"/>
        <w:adjustRightInd w:val="0"/>
        <w:rPr>
          <w:rFonts w:eastAsia="Calibri"/>
          <w:b/>
          <w:bCs/>
          <w:sz w:val="22"/>
          <w:szCs w:val="22"/>
        </w:rPr>
      </w:pPr>
    </w:p>
    <w:p w14:paraId="2C7FB2D2" w14:textId="77777777" w:rsidR="00447E0D" w:rsidRPr="00776407" w:rsidRDefault="00447E0D" w:rsidP="00447E0D">
      <w:pPr>
        <w:autoSpaceDE w:val="0"/>
        <w:autoSpaceDN w:val="0"/>
        <w:adjustRightInd w:val="0"/>
        <w:rPr>
          <w:rFonts w:eastAsia="Calibri"/>
          <w:sz w:val="22"/>
          <w:szCs w:val="22"/>
        </w:rPr>
      </w:pPr>
      <w:r w:rsidRPr="00776407">
        <w:rPr>
          <w:rFonts w:eastAsia="Calibri"/>
          <w:b/>
          <w:bCs/>
          <w:sz w:val="22"/>
          <w:szCs w:val="22"/>
        </w:rPr>
        <w:t xml:space="preserve">Labai dažni </w:t>
      </w:r>
      <w:r w:rsidRPr="00776407">
        <w:rPr>
          <w:rFonts w:eastAsia="Calibri"/>
          <w:bCs/>
          <w:sz w:val="22"/>
          <w:szCs w:val="22"/>
        </w:rPr>
        <w:t>(gali pasireikšti daugiau nei 1 žmogui iš 10):</w:t>
      </w:r>
      <w:r w:rsidRPr="00776407">
        <w:rPr>
          <w:rFonts w:eastAsia="Calibri"/>
          <w:b/>
          <w:bCs/>
          <w:sz w:val="22"/>
          <w:szCs w:val="22"/>
        </w:rPr>
        <w:t xml:space="preserve"> </w:t>
      </w:r>
    </w:p>
    <w:p w14:paraId="39FBFB28"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Galvos skausmas ar nuovargis. </w:t>
      </w:r>
    </w:p>
    <w:p w14:paraId="12DEF158"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Šleikštulys (pykinimas), vėmimas, viduriavimas ar nevirškinimas. </w:t>
      </w:r>
    </w:p>
    <w:p w14:paraId="0DDD7F35" w14:textId="77777777" w:rsidR="00A52D60" w:rsidRPr="00776407" w:rsidRDefault="002C37B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Išb</w:t>
      </w:r>
      <w:r w:rsidR="00A52D60" w:rsidRPr="00776407">
        <w:rPr>
          <w:rFonts w:eastAsia="Calibri"/>
          <w:sz w:val="22"/>
          <w:szCs w:val="22"/>
        </w:rPr>
        <w:t xml:space="preserve">ėrimas. </w:t>
      </w:r>
    </w:p>
    <w:p w14:paraId="0565DD9D"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Raumenų mėšlungis arba sąnarių, raumenų ir kaulų skausmas</w:t>
      </w:r>
      <w:r w:rsidR="009050B3" w:rsidRPr="00776407">
        <w:rPr>
          <w:rFonts w:eastAsia="Calibri"/>
          <w:sz w:val="22"/>
          <w:szCs w:val="22"/>
        </w:rPr>
        <w:t xml:space="preserve"> </w:t>
      </w:r>
      <w:r w:rsidR="006D099C" w:rsidRPr="00776407">
        <w:rPr>
          <w:rFonts w:eastAsia="Calibri"/>
          <w:sz w:val="22"/>
          <w:szCs w:val="22"/>
        </w:rPr>
        <w:t>imatinibo vartojimo metu arba nutraukus imatinibo vartojimą</w:t>
      </w:r>
      <w:r w:rsidRPr="00776407">
        <w:rPr>
          <w:rFonts w:eastAsia="Calibri"/>
          <w:sz w:val="22"/>
          <w:szCs w:val="22"/>
        </w:rPr>
        <w:t xml:space="preserve">. </w:t>
      </w:r>
    </w:p>
    <w:p w14:paraId="2FF37CD8"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Tinimas, pavyzdžiui, patinusios kulkšnys ar paburkę akių vokai. </w:t>
      </w:r>
    </w:p>
    <w:p w14:paraId="2B0935C6" w14:textId="77777777" w:rsidR="00A52D60" w:rsidRPr="00776407" w:rsidRDefault="00A52D60" w:rsidP="00864BE6">
      <w:pPr>
        <w:pStyle w:val="Listenabsatz"/>
        <w:numPr>
          <w:ilvl w:val="0"/>
          <w:numId w:val="1"/>
        </w:numPr>
        <w:autoSpaceDE w:val="0"/>
        <w:autoSpaceDN w:val="0"/>
        <w:adjustRightInd w:val="0"/>
        <w:ind w:left="567" w:hanging="567"/>
        <w:rPr>
          <w:rFonts w:eastAsia="Calibri"/>
          <w:sz w:val="22"/>
          <w:szCs w:val="22"/>
        </w:rPr>
      </w:pPr>
      <w:r w:rsidRPr="00776407">
        <w:rPr>
          <w:rFonts w:eastAsia="Calibri"/>
          <w:sz w:val="22"/>
          <w:szCs w:val="22"/>
        </w:rPr>
        <w:t xml:space="preserve">Padidėjęs kūno svoris. </w:t>
      </w:r>
    </w:p>
    <w:p w14:paraId="1B60B576" w14:textId="77777777" w:rsidR="00A52D60" w:rsidRPr="00776407" w:rsidRDefault="00A52D60" w:rsidP="00A52D60">
      <w:pPr>
        <w:autoSpaceDE w:val="0"/>
        <w:autoSpaceDN w:val="0"/>
        <w:adjustRightInd w:val="0"/>
        <w:rPr>
          <w:rFonts w:eastAsia="Calibri"/>
          <w:sz w:val="22"/>
          <w:szCs w:val="22"/>
        </w:rPr>
      </w:pPr>
    </w:p>
    <w:p w14:paraId="681E431C"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Jei bet kuris iš šių reiškinių tampa sunkiu, </w:t>
      </w:r>
      <w:r w:rsidRPr="00776407">
        <w:rPr>
          <w:rFonts w:eastAsia="Calibri"/>
          <w:b/>
          <w:bCs/>
          <w:sz w:val="22"/>
          <w:szCs w:val="22"/>
        </w:rPr>
        <w:t>pasakykite gydytojui</w:t>
      </w:r>
      <w:r w:rsidRPr="00776407">
        <w:rPr>
          <w:rFonts w:eastAsia="Calibri"/>
          <w:b/>
          <w:sz w:val="22"/>
          <w:szCs w:val="22"/>
        </w:rPr>
        <w:t>.</w:t>
      </w:r>
      <w:r w:rsidRPr="00776407">
        <w:rPr>
          <w:rFonts w:eastAsia="Calibri"/>
          <w:sz w:val="22"/>
          <w:szCs w:val="22"/>
        </w:rPr>
        <w:t xml:space="preserve"> </w:t>
      </w:r>
    </w:p>
    <w:p w14:paraId="6C0181CE" w14:textId="77777777" w:rsidR="00A52D60" w:rsidRPr="00776407" w:rsidRDefault="00A52D60" w:rsidP="00A52D60">
      <w:pPr>
        <w:autoSpaceDE w:val="0"/>
        <w:autoSpaceDN w:val="0"/>
        <w:adjustRightInd w:val="0"/>
        <w:rPr>
          <w:rFonts w:eastAsia="Calibri"/>
          <w:b/>
          <w:bCs/>
          <w:sz w:val="22"/>
          <w:szCs w:val="22"/>
        </w:rPr>
      </w:pPr>
    </w:p>
    <w:p w14:paraId="10DDA69D" w14:textId="77777777" w:rsidR="00447E0D" w:rsidRPr="00776407" w:rsidRDefault="00447E0D" w:rsidP="00447E0D">
      <w:pPr>
        <w:autoSpaceDE w:val="0"/>
        <w:autoSpaceDN w:val="0"/>
        <w:adjustRightInd w:val="0"/>
        <w:rPr>
          <w:rFonts w:eastAsia="Calibri"/>
          <w:sz w:val="22"/>
          <w:szCs w:val="22"/>
        </w:rPr>
      </w:pPr>
      <w:r w:rsidRPr="00776407">
        <w:rPr>
          <w:rFonts w:eastAsia="Calibri"/>
          <w:b/>
          <w:bCs/>
          <w:sz w:val="22"/>
          <w:szCs w:val="22"/>
        </w:rPr>
        <w:t xml:space="preserve">Dažni </w:t>
      </w:r>
      <w:r w:rsidRPr="00776407">
        <w:rPr>
          <w:rFonts w:eastAsia="Calibri"/>
          <w:bCs/>
          <w:sz w:val="22"/>
          <w:szCs w:val="22"/>
        </w:rPr>
        <w:t>(gali pasireikšti iki 1 iš 10 žmonių):</w:t>
      </w:r>
      <w:r w:rsidRPr="00776407">
        <w:rPr>
          <w:rFonts w:eastAsia="Calibri"/>
          <w:b/>
          <w:bCs/>
          <w:sz w:val="22"/>
          <w:szCs w:val="22"/>
        </w:rPr>
        <w:t xml:space="preserve"> </w:t>
      </w:r>
    </w:p>
    <w:p w14:paraId="224D825E"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Anoreksija, sumažėjęs kūno svoris, sutrikęs skonio jutimas. </w:t>
      </w:r>
    </w:p>
    <w:p w14:paraId="128F25DF"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Galvos svaigimas, silpnumas. </w:t>
      </w:r>
    </w:p>
    <w:p w14:paraId="18AC87B3"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Sunkumas užmigti (nemiga). </w:t>
      </w:r>
    </w:p>
    <w:p w14:paraId="2DDE8D89"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Išskyros iš akies kartu su niežuliu, paraudimu ir patinimu (konjunktyvitas), ašarojimas, neryškus matymas. </w:t>
      </w:r>
    </w:p>
    <w:p w14:paraId="4DE87A64"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Kraujavimas iš nosies. </w:t>
      </w:r>
    </w:p>
    <w:p w14:paraId="6AAC1BF4"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Pilvo skausmas ar patinimas, vidurių pūtimas, rėmuo, vidurių užkietėjimas. </w:t>
      </w:r>
    </w:p>
    <w:p w14:paraId="67B9405F"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Niež</w:t>
      </w:r>
      <w:r w:rsidR="002C37B0" w:rsidRPr="00776407">
        <w:rPr>
          <w:rFonts w:eastAsia="Calibri"/>
          <w:sz w:val="22"/>
          <w:szCs w:val="22"/>
        </w:rPr>
        <w:t>ėjimas</w:t>
      </w:r>
      <w:r w:rsidRPr="00776407">
        <w:rPr>
          <w:rFonts w:eastAsia="Calibri"/>
          <w:sz w:val="22"/>
          <w:szCs w:val="22"/>
        </w:rPr>
        <w:t xml:space="preserve">. </w:t>
      </w:r>
    </w:p>
    <w:p w14:paraId="48E76975"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Neįprastas plaukų slinkimas ar plonėjimas. </w:t>
      </w:r>
    </w:p>
    <w:p w14:paraId="70C58B63"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Plaštakų ar pėdų tirpimas. </w:t>
      </w:r>
    </w:p>
    <w:p w14:paraId="658145A8"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Burnos išopėjimas. </w:t>
      </w:r>
    </w:p>
    <w:p w14:paraId="2B5A1F11"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Sąnarių skausmas ir patinimas. </w:t>
      </w:r>
    </w:p>
    <w:p w14:paraId="3B668B45"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Burnos, odos ar akių džiūvimas. </w:t>
      </w:r>
    </w:p>
    <w:p w14:paraId="67F9A377" w14:textId="77777777" w:rsidR="00A52D60" w:rsidRPr="00776407" w:rsidRDefault="00A52D60"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Sumažėjęs arba padidėjęs odos jautrumas. </w:t>
      </w:r>
    </w:p>
    <w:p w14:paraId="6F00FE6B" w14:textId="77777777" w:rsidR="00A52D60" w:rsidRPr="00776407" w:rsidRDefault="00A52D60" w:rsidP="00864BE6">
      <w:pPr>
        <w:pStyle w:val="Listenabsatz"/>
        <w:numPr>
          <w:ilvl w:val="0"/>
          <w:numId w:val="1"/>
        </w:numPr>
        <w:autoSpaceDE w:val="0"/>
        <w:autoSpaceDN w:val="0"/>
        <w:adjustRightInd w:val="0"/>
        <w:ind w:left="567" w:hanging="567"/>
        <w:rPr>
          <w:rFonts w:eastAsia="Calibri"/>
          <w:sz w:val="22"/>
          <w:szCs w:val="22"/>
        </w:rPr>
      </w:pPr>
      <w:r w:rsidRPr="00776407">
        <w:rPr>
          <w:rFonts w:eastAsia="Calibri"/>
          <w:sz w:val="22"/>
          <w:szCs w:val="22"/>
        </w:rPr>
        <w:t xml:space="preserve">Karščio pylimai, drebulys, naktinis prakaitavimas. </w:t>
      </w:r>
    </w:p>
    <w:p w14:paraId="142D482F" w14:textId="77777777" w:rsidR="00A52D60" w:rsidRPr="00776407" w:rsidRDefault="00A52D60" w:rsidP="00CB0738">
      <w:pPr>
        <w:autoSpaceDE w:val="0"/>
        <w:autoSpaceDN w:val="0"/>
        <w:adjustRightInd w:val="0"/>
        <w:rPr>
          <w:rFonts w:eastAsia="Calibri"/>
          <w:sz w:val="22"/>
          <w:szCs w:val="22"/>
        </w:rPr>
      </w:pPr>
    </w:p>
    <w:p w14:paraId="2836E98D" w14:textId="77777777" w:rsidR="00A52D60" w:rsidRPr="00776407" w:rsidRDefault="00A52D60" w:rsidP="00F1551B">
      <w:pPr>
        <w:autoSpaceDE w:val="0"/>
        <w:autoSpaceDN w:val="0"/>
        <w:adjustRightInd w:val="0"/>
        <w:rPr>
          <w:rFonts w:ascii="Arial" w:eastAsia="Calibri" w:hAnsi="Arial" w:cs="Arial"/>
          <w:sz w:val="16"/>
          <w:szCs w:val="16"/>
        </w:rPr>
      </w:pPr>
      <w:r w:rsidRPr="00776407">
        <w:rPr>
          <w:rFonts w:eastAsia="Calibri"/>
          <w:sz w:val="22"/>
          <w:szCs w:val="22"/>
        </w:rPr>
        <w:t xml:space="preserve">Jei bet kuris iš šių </w:t>
      </w:r>
      <w:r w:rsidR="002C37B0" w:rsidRPr="00776407">
        <w:rPr>
          <w:rFonts w:eastAsia="Calibri"/>
          <w:sz w:val="22"/>
          <w:szCs w:val="22"/>
        </w:rPr>
        <w:t>poveikių</w:t>
      </w:r>
      <w:r w:rsidRPr="00776407">
        <w:rPr>
          <w:rFonts w:eastAsia="Calibri"/>
          <w:sz w:val="22"/>
          <w:szCs w:val="22"/>
        </w:rPr>
        <w:t xml:space="preserve"> tampa sunkiu, </w:t>
      </w:r>
      <w:r w:rsidRPr="00776407">
        <w:rPr>
          <w:rFonts w:eastAsia="Calibri"/>
          <w:b/>
          <w:bCs/>
          <w:sz w:val="22"/>
          <w:szCs w:val="22"/>
        </w:rPr>
        <w:t>pasakykite gydytojui</w:t>
      </w:r>
      <w:r w:rsidRPr="00776407">
        <w:rPr>
          <w:rFonts w:eastAsia="Calibri"/>
          <w:b/>
          <w:sz w:val="22"/>
          <w:szCs w:val="22"/>
        </w:rPr>
        <w:t>.</w:t>
      </w:r>
    </w:p>
    <w:p w14:paraId="5DAA7BB8" w14:textId="77777777" w:rsidR="00A52D60" w:rsidRPr="00776407" w:rsidRDefault="00A52D60" w:rsidP="00667829">
      <w:pPr>
        <w:autoSpaceDE w:val="0"/>
        <w:autoSpaceDN w:val="0"/>
        <w:adjustRightInd w:val="0"/>
        <w:rPr>
          <w:rFonts w:eastAsia="Calibri"/>
        </w:rPr>
      </w:pPr>
    </w:p>
    <w:p w14:paraId="70593634" w14:textId="77777777" w:rsidR="00447E0D" w:rsidRPr="00776407" w:rsidRDefault="00447E0D" w:rsidP="00447E0D">
      <w:pPr>
        <w:autoSpaceDE w:val="0"/>
        <w:autoSpaceDN w:val="0"/>
        <w:adjustRightInd w:val="0"/>
        <w:rPr>
          <w:rFonts w:eastAsia="Calibri"/>
          <w:sz w:val="22"/>
          <w:szCs w:val="22"/>
        </w:rPr>
      </w:pPr>
      <w:r w:rsidRPr="00776407">
        <w:rPr>
          <w:rFonts w:eastAsia="Calibri"/>
          <w:b/>
          <w:bCs/>
          <w:sz w:val="22"/>
          <w:szCs w:val="22"/>
        </w:rPr>
        <w:t xml:space="preserve">Šalutiniai poveikiai, kurių dažnis nežinomas </w:t>
      </w:r>
      <w:r w:rsidRPr="00776407">
        <w:rPr>
          <w:rFonts w:eastAsia="Calibri"/>
          <w:bCs/>
          <w:sz w:val="22"/>
          <w:szCs w:val="22"/>
        </w:rPr>
        <w:t>(negali būti apskaičiuotas pagal turimus duomenis):</w:t>
      </w:r>
      <w:r w:rsidRPr="00776407">
        <w:rPr>
          <w:rFonts w:eastAsia="Calibri"/>
          <w:b/>
          <w:bCs/>
          <w:sz w:val="22"/>
          <w:szCs w:val="22"/>
        </w:rPr>
        <w:t xml:space="preserve"> </w:t>
      </w:r>
    </w:p>
    <w:p w14:paraId="29816C77" w14:textId="77777777" w:rsidR="00447E0D" w:rsidRPr="00776407" w:rsidRDefault="00447E0D" w:rsidP="00864BE6">
      <w:pPr>
        <w:pStyle w:val="Listenabsatz"/>
        <w:numPr>
          <w:ilvl w:val="0"/>
          <w:numId w:val="1"/>
        </w:numPr>
        <w:autoSpaceDE w:val="0"/>
        <w:autoSpaceDN w:val="0"/>
        <w:adjustRightInd w:val="0"/>
        <w:spacing w:after="35"/>
        <w:ind w:hanging="720"/>
        <w:rPr>
          <w:rFonts w:eastAsia="Calibri"/>
          <w:sz w:val="22"/>
          <w:szCs w:val="22"/>
        </w:rPr>
      </w:pPr>
      <w:r w:rsidRPr="00776407">
        <w:rPr>
          <w:rFonts w:eastAsia="Calibri"/>
          <w:sz w:val="22"/>
          <w:szCs w:val="22"/>
        </w:rPr>
        <w:t xml:space="preserve">Delnų ir padų paraudimas ir (arba) patinimas, kurie gali pasireikšti kartu su dilgčiojimo pojūčiu ir deginančiu skausmu. </w:t>
      </w:r>
    </w:p>
    <w:p w14:paraId="652AE992" w14:textId="77777777" w:rsidR="00447E0D" w:rsidRPr="00776407" w:rsidRDefault="00B4566D" w:rsidP="00864BE6">
      <w:pPr>
        <w:pStyle w:val="Listenabsatz"/>
        <w:numPr>
          <w:ilvl w:val="0"/>
          <w:numId w:val="1"/>
        </w:numPr>
        <w:autoSpaceDE w:val="0"/>
        <w:autoSpaceDN w:val="0"/>
        <w:adjustRightInd w:val="0"/>
        <w:spacing w:after="35"/>
        <w:ind w:hanging="720"/>
        <w:rPr>
          <w:rFonts w:eastAsia="Calibri"/>
          <w:sz w:val="22"/>
          <w:szCs w:val="22"/>
        </w:rPr>
      </w:pPr>
      <w:r w:rsidRPr="00776407">
        <w:rPr>
          <w:rFonts w:eastAsia="Calibri"/>
          <w:sz w:val="22"/>
          <w:szCs w:val="22"/>
        </w:rPr>
        <w:t>Skausmingi ir (arba) pūsliniai odos pažeidimai.</w:t>
      </w:r>
    </w:p>
    <w:p w14:paraId="3A4F65CC" w14:textId="77777777" w:rsidR="00447E0D" w:rsidRPr="00776407" w:rsidRDefault="00447E0D"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 xml:space="preserve">Sulėtėjęs vaikų ir paauglių augimas. </w:t>
      </w:r>
    </w:p>
    <w:p w14:paraId="13012232" w14:textId="77777777" w:rsidR="00447E0D" w:rsidRPr="00776407" w:rsidRDefault="00447E0D" w:rsidP="00864BE6">
      <w:pPr>
        <w:numPr>
          <w:ilvl w:val="0"/>
          <w:numId w:val="1"/>
        </w:numPr>
        <w:autoSpaceDE w:val="0"/>
        <w:autoSpaceDN w:val="0"/>
        <w:adjustRightInd w:val="0"/>
        <w:ind w:left="851" w:hanging="851"/>
        <w:rPr>
          <w:rFonts w:eastAsia="Calibri"/>
          <w:sz w:val="22"/>
          <w:szCs w:val="22"/>
        </w:rPr>
      </w:pPr>
      <w:r w:rsidRPr="00776407">
        <w:rPr>
          <w:rFonts w:eastAsia="Calibri"/>
          <w:sz w:val="22"/>
          <w:szCs w:val="22"/>
        </w:rPr>
        <w:t xml:space="preserve">Jei bet kuris iš šių poveikių tampa sunkiu, </w:t>
      </w:r>
      <w:r w:rsidRPr="00776407">
        <w:rPr>
          <w:rFonts w:eastAsia="Calibri"/>
          <w:b/>
          <w:bCs/>
          <w:sz w:val="22"/>
          <w:szCs w:val="22"/>
        </w:rPr>
        <w:t>pasakykite gydytojui</w:t>
      </w:r>
      <w:r w:rsidRPr="00776407">
        <w:rPr>
          <w:rFonts w:eastAsia="Calibri"/>
          <w:sz w:val="22"/>
          <w:szCs w:val="22"/>
        </w:rPr>
        <w:t xml:space="preserve">. </w:t>
      </w:r>
    </w:p>
    <w:p w14:paraId="2D899EE6" w14:textId="77777777" w:rsidR="00A52D60" w:rsidRPr="00776407" w:rsidRDefault="00A52D60" w:rsidP="00A52D60">
      <w:pPr>
        <w:autoSpaceDE w:val="0"/>
        <w:autoSpaceDN w:val="0"/>
        <w:adjustRightInd w:val="0"/>
        <w:rPr>
          <w:rFonts w:eastAsia="Calibri"/>
          <w:b/>
          <w:bCs/>
          <w:sz w:val="22"/>
          <w:szCs w:val="22"/>
        </w:rPr>
      </w:pPr>
    </w:p>
    <w:p w14:paraId="13A1A304" w14:textId="77777777" w:rsidR="00893547" w:rsidRPr="00776407" w:rsidRDefault="00893547" w:rsidP="00893547">
      <w:pPr>
        <w:rPr>
          <w:b/>
          <w:sz w:val="22"/>
          <w:szCs w:val="22"/>
        </w:rPr>
      </w:pPr>
      <w:r w:rsidRPr="00776407">
        <w:rPr>
          <w:b/>
          <w:sz w:val="22"/>
          <w:szCs w:val="22"/>
        </w:rPr>
        <w:t>Pranešimas apie šalutinį poveikį</w:t>
      </w:r>
    </w:p>
    <w:p w14:paraId="3AF7928A" w14:textId="77777777" w:rsidR="00893547" w:rsidRPr="00776407" w:rsidRDefault="00893547" w:rsidP="00893547">
      <w:pPr>
        <w:autoSpaceDE w:val="0"/>
        <w:autoSpaceDN w:val="0"/>
        <w:adjustRightInd w:val="0"/>
        <w:rPr>
          <w:rFonts w:eastAsia="Calibri"/>
          <w:b/>
          <w:bCs/>
          <w:sz w:val="22"/>
          <w:szCs w:val="22"/>
        </w:rPr>
      </w:pPr>
      <w:r w:rsidRPr="00776407">
        <w:rPr>
          <w:sz w:val="22"/>
          <w:szCs w:val="22"/>
        </w:rPr>
        <w:t xml:space="preserve">Jeigu pasireiškė šalutinis poveikis, įskaitant šiame lapelyje nenurodytą, pasakykite gydytojui, vaistininkui arba slaugytojai. Apie šalutinį poveikį taip pat galite pranešti tiesiogiai naudodamiesi </w:t>
      </w:r>
      <w:hyperlink r:id="rId18" w:history="1">
        <w:r w:rsidR="00192A97" w:rsidRPr="00776407">
          <w:rPr>
            <w:rFonts w:eastAsia="Calibri"/>
            <w:color w:val="0000FF"/>
            <w:sz w:val="22"/>
            <w:szCs w:val="22"/>
            <w:highlight w:val="lightGray"/>
            <w:u w:val="single"/>
          </w:rPr>
          <w:t>V priede</w:t>
        </w:r>
      </w:hyperlink>
      <w:r w:rsidRPr="00776407">
        <w:rPr>
          <w:sz w:val="22"/>
          <w:szCs w:val="22"/>
          <w:highlight w:val="lightGray"/>
        </w:rPr>
        <w:t xml:space="preserve"> nurodyta nacionaline pranešimo sistema</w:t>
      </w:r>
      <w:r w:rsidRPr="00776407">
        <w:rPr>
          <w:sz w:val="22"/>
          <w:szCs w:val="22"/>
        </w:rPr>
        <w:t>. Pranešdami apie šalutinį poveikį galite mums padėti gauti daugiau informacijos apie šio vaisto saugumą.</w:t>
      </w:r>
    </w:p>
    <w:p w14:paraId="46BD99EA" w14:textId="77777777" w:rsidR="00A52D60" w:rsidRPr="00776407" w:rsidRDefault="00A52D60" w:rsidP="00A52D60">
      <w:pPr>
        <w:autoSpaceDE w:val="0"/>
        <w:autoSpaceDN w:val="0"/>
        <w:adjustRightInd w:val="0"/>
        <w:rPr>
          <w:rFonts w:eastAsia="Calibri"/>
          <w:b/>
          <w:bCs/>
          <w:sz w:val="22"/>
          <w:szCs w:val="22"/>
        </w:rPr>
      </w:pPr>
    </w:p>
    <w:p w14:paraId="72C6816B" w14:textId="77777777" w:rsidR="00A52D60" w:rsidRPr="00776407" w:rsidRDefault="00A52D60" w:rsidP="00A52D60">
      <w:pPr>
        <w:autoSpaceDE w:val="0"/>
        <w:autoSpaceDN w:val="0"/>
        <w:adjustRightInd w:val="0"/>
        <w:rPr>
          <w:rFonts w:eastAsia="Calibri"/>
          <w:sz w:val="22"/>
          <w:szCs w:val="22"/>
        </w:rPr>
      </w:pPr>
    </w:p>
    <w:p w14:paraId="445FD6CA" w14:textId="77777777" w:rsidR="00A52D60" w:rsidRPr="00776407" w:rsidRDefault="00A52D60" w:rsidP="00864BE6">
      <w:pPr>
        <w:pStyle w:val="Listenabsatz"/>
        <w:numPr>
          <w:ilvl w:val="0"/>
          <w:numId w:val="11"/>
        </w:numPr>
        <w:autoSpaceDE w:val="0"/>
        <w:autoSpaceDN w:val="0"/>
        <w:adjustRightInd w:val="0"/>
        <w:ind w:left="567" w:hanging="567"/>
        <w:rPr>
          <w:rFonts w:eastAsia="Calibri"/>
          <w:b/>
          <w:sz w:val="22"/>
          <w:szCs w:val="22"/>
        </w:rPr>
      </w:pPr>
      <w:r w:rsidRPr="00776407">
        <w:rPr>
          <w:rFonts w:eastAsia="Calibri"/>
          <w:b/>
          <w:bCs/>
          <w:sz w:val="22"/>
          <w:szCs w:val="22"/>
        </w:rPr>
        <w:t xml:space="preserve">Kaip laikyti Imatinib Actavis </w:t>
      </w:r>
    </w:p>
    <w:p w14:paraId="2BBFD308" w14:textId="77777777" w:rsidR="00A52D60" w:rsidRPr="00776407" w:rsidRDefault="00A52D60" w:rsidP="00A52D60">
      <w:pPr>
        <w:autoSpaceDE w:val="0"/>
        <w:autoSpaceDN w:val="0"/>
        <w:adjustRightInd w:val="0"/>
        <w:spacing w:after="38"/>
        <w:rPr>
          <w:rFonts w:eastAsia="Calibri"/>
          <w:sz w:val="22"/>
          <w:szCs w:val="22"/>
        </w:rPr>
      </w:pPr>
    </w:p>
    <w:p w14:paraId="790FB6F7" w14:textId="77777777" w:rsidR="00A52D60" w:rsidRPr="00776407" w:rsidRDefault="00A52D60" w:rsidP="00A52D60">
      <w:pPr>
        <w:autoSpaceDE w:val="0"/>
        <w:autoSpaceDN w:val="0"/>
        <w:adjustRightInd w:val="0"/>
        <w:spacing w:after="38"/>
        <w:rPr>
          <w:rFonts w:eastAsia="Calibri"/>
          <w:sz w:val="22"/>
          <w:szCs w:val="22"/>
        </w:rPr>
      </w:pPr>
      <w:r w:rsidRPr="00776407">
        <w:rPr>
          <w:rFonts w:eastAsia="Calibri"/>
          <w:sz w:val="22"/>
          <w:szCs w:val="22"/>
        </w:rPr>
        <w:t xml:space="preserve">Šį vaistą laikykite vaikams nepastebimoje ir nepasiekiamoje vietoje. </w:t>
      </w:r>
    </w:p>
    <w:p w14:paraId="6AEB127F" w14:textId="77777777" w:rsidR="00447E0D" w:rsidRPr="00776407" w:rsidRDefault="00447E0D" w:rsidP="00447E0D">
      <w:pPr>
        <w:rPr>
          <w:sz w:val="22"/>
          <w:szCs w:val="22"/>
        </w:rPr>
      </w:pPr>
      <w:r w:rsidRPr="00776407">
        <w:rPr>
          <w:rFonts w:eastAsia="Calibri"/>
          <w:sz w:val="22"/>
          <w:szCs w:val="22"/>
        </w:rPr>
        <w:t xml:space="preserve">Ant dėžutės ir lizdinės plokštelės po „EXP“ nurodytam tinkamumo laikui pasibaigus, šio vaisto vartoti negalima. </w:t>
      </w:r>
      <w:r w:rsidRPr="00776407">
        <w:rPr>
          <w:sz w:val="22"/>
          <w:szCs w:val="22"/>
        </w:rPr>
        <w:t>Vaistas tinkamas vartoti iki paskutinės nurodyto mėnesio dienos.</w:t>
      </w:r>
    </w:p>
    <w:p w14:paraId="57317A36" w14:textId="77777777" w:rsidR="00A52D60" w:rsidRPr="00776407" w:rsidRDefault="00A52D60" w:rsidP="00A52D60">
      <w:pPr>
        <w:autoSpaceDE w:val="0"/>
        <w:autoSpaceDN w:val="0"/>
        <w:adjustRightInd w:val="0"/>
        <w:spacing w:after="38"/>
        <w:rPr>
          <w:rFonts w:eastAsia="Calibri"/>
          <w:sz w:val="22"/>
          <w:szCs w:val="22"/>
        </w:rPr>
      </w:pPr>
      <w:r w:rsidRPr="00776407">
        <w:rPr>
          <w:rFonts w:eastAsia="Calibri"/>
          <w:sz w:val="22"/>
          <w:szCs w:val="22"/>
        </w:rPr>
        <w:t xml:space="preserve">Laikyti ne aukštesnėje kaip </w:t>
      </w:r>
      <w:r w:rsidR="00BC75A7" w:rsidRPr="00776407">
        <w:rPr>
          <w:sz w:val="22"/>
          <w:szCs w:val="22"/>
        </w:rPr>
        <w:t>25</w:t>
      </w:r>
      <w:r w:rsidR="00121DA9" w:rsidRPr="00776407">
        <w:rPr>
          <w:sz w:val="22"/>
          <w:szCs w:val="22"/>
        </w:rPr>
        <w:t> </w:t>
      </w:r>
      <w:r w:rsidRPr="00776407">
        <w:rPr>
          <w:sz w:val="22"/>
          <w:szCs w:val="22"/>
        </w:rPr>
        <w:t>°C</w:t>
      </w:r>
      <w:r w:rsidRPr="00776407">
        <w:rPr>
          <w:rFonts w:eastAsia="Calibri"/>
          <w:sz w:val="22"/>
          <w:szCs w:val="22"/>
        </w:rPr>
        <w:t xml:space="preserve"> temperatūroje. </w:t>
      </w:r>
    </w:p>
    <w:p w14:paraId="202A4EFF" w14:textId="77777777" w:rsidR="00A52D60" w:rsidRPr="00776407" w:rsidRDefault="00A52D60" w:rsidP="00A52D60">
      <w:pPr>
        <w:autoSpaceDE w:val="0"/>
        <w:autoSpaceDN w:val="0"/>
        <w:adjustRightInd w:val="0"/>
        <w:spacing w:after="38"/>
        <w:rPr>
          <w:rFonts w:eastAsia="Calibri"/>
          <w:sz w:val="22"/>
          <w:szCs w:val="22"/>
        </w:rPr>
      </w:pPr>
      <w:r w:rsidRPr="00776407">
        <w:rPr>
          <w:rFonts w:eastAsia="Calibri"/>
          <w:sz w:val="22"/>
          <w:szCs w:val="22"/>
        </w:rPr>
        <w:t xml:space="preserve">Laikyti gamintojo pakuotėje, kad preparatas būtų apsaugotas nuo drėgmės. </w:t>
      </w:r>
    </w:p>
    <w:p w14:paraId="12255D43"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 xml:space="preserve">Negalima vartoti vaisto iš pakuotės, kuri yra pažeista ar yra sugedimo požymių. </w:t>
      </w:r>
    </w:p>
    <w:p w14:paraId="3E7797E6" w14:textId="77777777" w:rsidR="00A52D60" w:rsidRPr="00776407" w:rsidRDefault="00A52D60" w:rsidP="00A52D60">
      <w:pPr>
        <w:autoSpaceDE w:val="0"/>
        <w:autoSpaceDN w:val="0"/>
        <w:adjustRightInd w:val="0"/>
        <w:rPr>
          <w:rFonts w:eastAsia="Calibri"/>
          <w:sz w:val="22"/>
          <w:szCs w:val="22"/>
        </w:rPr>
      </w:pPr>
      <w:r w:rsidRPr="00776407">
        <w:rPr>
          <w:sz w:val="22"/>
          <w:szCs w:val="22"/>
        </w:rPr>
        <w:t>Vaistų negalima išmesti į kanalizaciją arba su buitinėmis atliekomis. Kaip išmesti nereikalingus vaistus, klauskite vaistininko. Šios priemonės padės apsaugoti aplinką.</w:t>
      </w:r>
    </w:p>
    <w:p w14:paraId="0D0B341D" w14:textId="77777777" w:rsidR="00A52D60" w:rsidRPr="00776407" w:rsidRDefault="00A52D60" w:rsidP="00A52D60">
      <w:pPr>
        <w:autoSpaceDE w:val="0"/>
        <w:autoSpaceDN w:val="0"/>
        <w:adjustRightInd w:val="0"/>
        <w:rPr>
          <w:rFonts w:eastAsia="Calibri"/>
          <w:sz w:val="22"/>
          <w:szCs w:val="22"/>
        </w:rPr>
      </w:pPr>
    </w:p>
    <w:p w14:paraId="01DB030C" w14:textId="77777777" w:rsidR="00A52D60" w:rsidRPr="00776407" w:rsidRDefault="00A52D60" w:rsidP="00A52D60">
      <w:pPr>
        <w:autoSpaceDE w:val="0"/>
        <w:autoSpaceDN w:val="0"/>
        <w:adjustRightInd w:val="0"/>
        <w:rPr>
          <w:rFonts w:eastAsia="Calibri"/>
          <w:sz w:val="22"/>
          <w:szCs w:val="22"/>
        </w:rPr>
      </w:pPr>
    </w:p>
    <w:p w14:paraId="4A1093EA" w14:textId="77777777" w:rsidR="00A52D60" w:rsidRPr="00776407" w:rsidRDefault="00A52D60" w:rsidP="00864BE6">
      <w:pPr>
        <w:pStyle w:val="Listenabsatz"/>
        <w:numPr>
          <w:ilvl w:val="0"/>
          <w:numId w:val="11"/>
        </w:numPr>
        <w:autoSpaceDE w:val="0"/>
        <w:autoSpaceDN w:val="0"/>
        <w:adjustRightInd w:val="0"/>
        <w:ind w:left="567" w:hanging="567"/>
        <w:rPr>
          <w:rFonts w:eastAsia="Calibri"/>
          <w:sz w:val="22"/>
          <w:szCs w:val="22"/>
        </w:rPr>
      </w:pPr>
      <w:r w:rsidRPr="00776407">
        <w:rPr>
          <w:rFonts w:eastAsia="Calibri"/>
          <w:b/>
          <w:bCs/>
          <w:sz w:val="22"/>
          <w:szCs w:val="22"/>
        </w:rPr>
        <w:t xml:space="preserve">Pakuotės turinys ir kita informacija </w:t>
      </w:r>
    </w:p>
    <w:p w14:paraId="79074675" w14:textId="77777777" w:rsidR="00A52D60" w:rsidRPr="00776407" w:rsidRDefault="00A52D60" w:rsidP="00A52D60">
      <w:pPr>
        <w:autoSpaceDE w:val="0"/>
        <w:autoSpaceDN w:val="0"/>
        <w:adjustRightInd w:val="0"/>
        <w:rPr>
          <w:rFonts w:eastAsia="Calibri"/>
          <w:sz w:val="22"/>
          <w:szCs w:val="22"/>
        </w:rPr>
      </w:pPr>
    </w:p>
    <w:p w14:paraId="2726EE2B" w14:textId="77777777" w:rsidR="00A52D60" w:rsidRPr="00776407" w:rsidRDefault="00A52D60" w:rsidP="00A52D60">
      <w:pPr>
        <w:autoSpaceDE w:val="0"/>
        <w:autoSpaceDN w:val="0"/>
        <w:adjustRightInd w:val="0"/>
        <w:rPr>
          <w:rFonts w:eastAsia="Calibri"/>
          <w:b/>
          <w:bCs/>
          <w:sz w:val="22"/>
          <w:szCs w:val="22"/>
        </w:rPr>
      </w:pPr>
      <w:r w:rsidRPr="00776407">
        <w:rPr>
          <w:rFonts w:eastAsia="Calibri"/>
          <w:b/>
          <w:bCs/>
          <w:sz w:val="22"/>
          <w:szCs w:val="22"/>
        </w:rPr>
        <w:t xml:space="preserve">Imatinib Actavis sudėtis </w:t>
      </w:r>
    </w:p>
    <w:p w14:paraId="1B8B9E3F" w14:textId="77777777" w:rsidR="00A52D60" w:rsidRPr="00776407" w:rsidRDefault="00A52D60" w:rsidP="00A52D60">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Veiklioji medžiaga yra imatinibo mesilatas. Kiekvienoje kapsulėje yra 100 mg imatinibo (mesilato</w:t>
      </w:r>
      <w:r w:rsidR="002C37B0" w:rsidRPr="00776407">
        <w:rPr>
          <w:rFonts w:eastAsia="Calibri"/>
          <w:sz w:val="22"/>
          <w:szCs w:val="22"/>
        </w:rPr>
        <w:t xml:space="preserve"> pavidalu</w:t>
      </w:r>
      <w:r w:rsidRPr="00776407">
        <w:rPr>
          <w:rFonts w:eastAsia="Calibri"/>
          <w:sz w:val="22"/>
          <w:szCs w:val="22"/>
        </w:rPr>
        <w:t xml:space="preserve">). </w:t>
      </w:r>
    </w:p>
    <w:p w14:paraId="56429A52" w14:textId="77777777" w:rsidR="00A52D60" w:rsidRPr="00776407" w:rsidRDefault="00A52D60" w:rsidP="00A52D60">
      <w:pPr>
        <w:autoSpaceDE w:val="0"/>
        <w:autoSpaceDN w:val="0"/>
        <w:adjustRightInd w:val="0"/>
        <w:ind w:left="720" w:hanging="720"/>
        <w:rPr>
          <w:rFonts w:eastAsia="Calibri"/>
          <w:color w:val="000000"/>
          <w:sz w:val="22"/>
          <w:szCs w:val="22"/>
        </w:rPr>
      </w:pPr>
      <w:r w:rsidRPr="00776407">
        <w:rPr>
          <w:rFonts w:eastAsia="Calibri"/>
          <w:sz w:val="22"/>
          <w:szCs w:val="22"/>
        </w:rPr>
        <w:t>-</w:t>
      </w:r>
      <w:r w:rsidRPr="00776407">
        <w:rPr>
          <w:rFonts w:eastAsia="Calibri"/>
          <w:sz w:val="22"/>
          <w:szCs w:val="22"/>
        </w:rPr>
        <w:tab/>
        <w:t>Pagalbinės medžiagos yra: k</w:t>
      </w:r>
      <w:r w:rsidRPr="00776407">
        <w:rPr>
          <w:rFonts w:eastAsia="Calibri"/>
          <w:color w:val="000000"/>
          <w:sz w:val="22"/>
          <w:szCs w:val="22"/>
        </w:rPr>
        <w:t>apsulės turinys: mikrokristalinė celiuliozė, kopovidonas, krospovidonas, natrio stearilfumaratas, koloidinis hidrofobinis silicio dioksidas, koloidinis bevandenis silicio dioksidas,. Kapsulės korpusas: hipromeliozė, titano oksidas (E171), geltonasis geležies oksidas (E172), raudonasis geležies oksidas (E171). Rašalas: šelakas, juodasis geležies oksidas (E172), propilenglikolis, amoniako tirpalas, kalio hidroksidas.</w:t>
      </w:r>
    </w:p>
    <w:p w14:paraId="542727E9" w14:textId="77777777" w:rsidR="00A52D60" w:rsidRPr="00776407" w:rsidRDefault="00A52D60" w:rsidP="00A52D60">
      <w:pPr>
        <w:autoSpaceDE w:val="0"/>
        <w:autoSpaceDN w:val="0"/>
        <w:adjustRightInd w:val="0"/>
        <w:rPr>
          <w:rFonts w:eastAsia="Calibri"/>
          <w:color w:val="000000"/>
          <w:sz w:val="22"/>
          <w:szCs w:val="22"/>
        </w:rPr>
      </w:pPr>
    </w:p>
    <w:p w14:paraId="7D32F39A"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Imatinib Actavis išvaizda ir kiekis pakuotėje </w:t>
      </w:r>
    </w:p>
    <w:p w14:paraId="26B8529C" w14:textId="77777777" w:rsidR="00A52D60" w:rsidRPr="00776407" w:rsidRDefault="00A52D60" w:rsidP="00A52D60">
      <w:pPr>
        <w:pStyle w:val="Default"/>
        <w:rPr>
          <w:rFonts w:ascii="Times New Roman" w:hAnsi="Times New Roman" w:cs="Times New Roman"/>
          <w:color w:val="auto"/>
          <w:sz w:val="22"/>
          <w:szCs w:val="22"/>
          <w:lang w:val="lt-LT"/>
        </w:rPr>
      </w:pPr>
    </w:p>
    <w:p w14:paraId="0845E14C" w14:textId="77777777" w:rsidR="00A52D60" w:rsidRPr="00776407" w:rsidRDefault="00A52D60" w:rsidP="00A52D60">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Kietoji kapsulė su šviesiai geltonu dangteliu ir oranžiniu korpusu su užrašu juodu rašalu “100 mg”.</w:t>
      </w:r>
    </w:p>
    <w:p w14:paraId="7BE0E40B" w14:textId="77777777" w:rsidR="00A52D60" w:rsidRPr="00776407" w:rsidRDefault="00A52D60" w:rsidP="00A52D60">
      <w:pPr>
        <w:autoSpaceDE w:val="0"/>
        <w:autoSpaceDN w:val="0"/>
        <w:adjustRightInd w:val="0"/>
        <w:rPr>
          <w:rFonts w:eastAsia="Calibri"/>
          <w:sz w:val="22"/>
          <w:szCs w:val="22"/>
        </w:rPr>
      </w:pPr>
    </w:p>
    <w:p w14:paraId="7D99661D"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Al/PVC/Aclar lizdinės plokštelės.</w:t>
      </w:r>
    </w:p>
    <w:p w14:paraId="00EF6AF0" w14:textId="77777777" w:rsidR="00A52D60" w:rsidRPr="00776407" w:rsidRDefault="00A52D60" w:rsidP="00A52D60">
      <w:pPr>
        <w:autoSpaceDE w:val="0"/>
        <w:autoSpaceDN w:val="0"/>
        <w:adjustRightInd w:val="0"/>
        <w:rPr>
          <w:rFonts w:eastAsia="Calibri"/>
          <w:sz w:val="22"/>
          <w:szCs w:val="22"/>
        </w:rPr>
      </w:pPr>
    </w:p>
    <w:p w14:paraId="7BE62B29" w14:textId="77777777" w:rsidR="00A52D60" w:rsidRPr="00776407" w:rsidRDefault="00A52D60" w:rsidP="00A52D60">
      <w:pPr>
        <w:autoSpaceDE w:val="0"/>
        <w:autoSpaceDN w:val="0"/>
        <w:adjustRightInd w:val="0"/>
        <w:rPr>
          <w:rFonts w:eastAsia="Calibri"/>
          <w:i/>
          <w:sz w:val="22"/>
          <w:szCs w:val="22"/>
        </w:rPr>
      </w:pPr>
      <w:r w:rsidRPr="00776407">
        <w:rPr>
          <w:rFonts w:eastAsia="Calibri"/>
          <w:i/>
          <w:sz w:val="22"/>
          <w:szCs w:val="22"/>
        </w:rPr>
        <w:t>Pakuočių dydžiai:</w:t>
      </w:r>
    </w:p>
    <w:p w14:paraId="4812CA04" w14:textId="77777777" w:rsidR="00A52D60" w:rsidRPr="00776407" w:rsidRDefault="00A52D60" w:rsidP="00A52D60">
      <w:pPr>
        <w:autoSpaceDE w:val="0"/>
        <w:autoSpaceDN w:val="0"/>
        <w:adjustRightInd w:val="0"/>
        <w:rPr>
          <w:rFonts w:eastAsia="Calibri"/>
          <w:sz w:val="22"/>
          <w:szCs w:val="22"/>
          <w:highlight w:val="lightGray"/>
        </w:rPr>
      </w:pPr>
    </w:p>
    <w:p w14:paraId="13DCE614" w14:textId="77777777" w:rsidR="00A52D60" w:rsidRPr="00776407" w:rsidRDefault="00EA3736" w:rsidP="00A52D60">
      <w:pPr>
        <w:autoSpaceDE w:val="0"/>
        <w:autoSpaceDN w:val="0"/>
        <w:adjustRightInd w:val="0"/>
        <w:rPr>
          <w:rFonts w:eastAsia="Calibri"/>
          <w:sz w:val="22"/>
          <w:szCs w:val="22"/>
        </w:rPr>
      </w:pPr>
      <w:r w:rsidRPr="00776407">
        <w:rPr>
          <w:rFonts w:eastAsia="Calibri"/>
          <w:sz w:val="22"/>
          <w:szCs w:val="22"/>
        </w:rPr>
        <w:t xml:space="preserve">Kapulės supakuotos į aliuminio lizdines plokšteles. </w:t>
      </w:r>
      <w:r w:rsidR="00A52D60" w:rsidRPr="00776407">
        <w:rPr>
          <w:rFonts w:eastAsia="Calibri"/>
          <w:sz w:val="22"/>
          <w:szCs w:val="22"/>
        </w:rPr>
        <w:t xml:space="preserve">Pakuotėje yra 24, 48, </w:t>
      </w:r>
      <w:r w:rsidR="008144B1" w:rsidRPr="00776407">
        <w:rPr>
          <w:rFonts w:eastAsia="Calibri"/>
          <w:sz w:val="22"/>
          <w:szCs w:val="22"/>
        </w:rPr>
        <w:t xml:space="preserve">60, </w:t>
      </w:r>
      <w:r w:rsidR="00A52D60" w:rsidRPr="00776407">
        <w:rPr>
          <w:rFonts w:eastAsia="Calibri"/>
          <w:sz w:val="22"/>
          <w:szCs w:val="22"/>
        </w:rPr>
        <w:t>96, 120 ar 180 kapsulių.</w:t>
      </w:r>
    </w:p>
    <w:p w14:paraId="1C7352F4" w14:textId="77777777" w:rsidR="00A52D60" w:rsidRPr="00776407" w:rsidRDefault="00A52D60" w:rsidP="00A52D60">
      <w:pPr>
        <w:autoSpaceDE w:val="0"/>
        <w:autoSpaceDN w:val="0"/>
        <w:adjustRightInd w:val="0"/>
        <w:rPr>
          <w:rFonts w:eastAsia="Calibri"/>
          <w:sz w:val="22"/>
          <w:szCs w:val="22"/>
        </w:rPr>
      </w:pPr>
    </w:p>
    <w:p w14:paraId="0F420B46" w14:textId="77777777" w:rsidR="00A52D60" w:rsidRPr="00776407" w:rsidRDefault="00A52D60" w:rsidP="00A52D60">
      <w:pPr>
        <w:autoSpaceDE w:val="0"/>
        <w:autoSpaceDN w:val="0"/>
        <w:adjustRightInd w:val="0"/>
        <w:rPr>
          <w:rFonts w:eastAsia="Calibri"/>
          <w:sz w:val="22"/>
          <w:szCs w:val="22"/>
        </w:rPr>
      </w:pPr>
      <w:r w:rsidRPr="00776407">
        <w:rPr>
          <w:rFonts w:eastAsia="Calibri"/>
          <w:sz w:val="22"/>
          <w:szCs w:val="22"/>
        </w:rPr>
        <w:t>Gali būti tiekiamos ne visų dydžių pakuotės.</w:t>
      </w:r>
    </w:p>
    <w:p w14:paraId="73B72B7B" w14:textId="77777777" w:rsidR="00A52D60" w:rsidRPr="00776407" w:rsidRDefault="00A52D60" w:rsidP="00A52D60">
      <w:pPr>
        <w:pStyle w:val="Default"/>
        <w:rPr>
          <w:rFonts w:ascii="Times New Roman" w:hAnsi="Times New Roman" w:cs="Times New Roman"/>
          <w:color w:val="auto"/>
          <w:sz w:val="22"/>
          <w:szCs w:val="22"/>
          <w:lang w:val="lt-LT"/>
        </w:rPr>
      </w:pPr>
    </w:p>
    <w:p w14:paraId="550C1095" w14:textId="77777777" w:rsidR="00A52D60" w:rsidRPr="00776407" w:rsidRDefault="00944055" w:rsidP="00A52D60">
      <w:pPr>
        <w:autoSpaceDE w:val="0"/>
        <w:autoSpaceDN w:val="0"/>
        <w:adjustRightInd w:val="0"/>
        <w:rPr>
          <w:rFonts w:eastAsia="Calibri"/>
          <w:sz w:val="22"/>
          <w:szCs w:val="22"/>
        </w:rPr>
      </w:pPr>
      <w:r w:rsidRPr="00776407">
        <w:rPr>
          <w:rFonts w:eastAsia="Calibri"/>
          <w:b/>
          <w:bCs/>
          <w:sz w:val="22"/>
          <w:szCs w:val="22"/>
        </w:rPr>
        <w:t>Registruotojas</w:t>
      </w:r>
      <w:r w:rsidR="00A52D60" w:rsidRPr="00776407">
        <w:rPr>
          <w:rFonts w:eastAsia="Calibri"/>
          <w:b/>
          <w:bCs/>
          <w:sz w:val="22"/>
          <w:szCs w:val="22"/>
        </w:rPr>
        <w:t xml:space="preserve"> </w:t>
      </w:r>
    </w:p>
    <w:p w14:paraId="4AE50A8E" w14:textId="77777777" w:rsidR="00A52D60" w:rsidRPr="00776407" w:rsidRDefault="00A52D60" w:rsidP="00A52D60">
      <w:pPr>
        <w:autoSpaceDE w:val="0"/>
        <w:autoSpaceDN w:val="0"/>
        <w:adjustRightInd w:val="0"/>
        <w:rPr>
          <w:sz w:val="22"/>
          <w:szCs w:val="22"/>
        </w:rPr>
      </w:pPr>
      <w:r w:rsidRPr="00776407">
        <w:rPr>
          <w:sz w:val="22"/>
          <w:szCs w:val="22"/>
        </w:rPr>
        <w:t>Actavis Group PTC ehf.</w:t>
      </w:r>
    </w:p>
    <w:p w14:paraId="4FD2CF0A" w14:textId="77777777" w:rsidR="00A52D60" w:rsidRPr="00776407" w:rsidRDefault="00A52D60" w:rsidP="00A52D60">
      <w:pPr>
        <w:autoSpaceDE w:val="0"/>
        <w:autoSpaceDN w:val="0"/>
        <w:adjustRightInd w:val="0"/>
        <w:rPr>
          <w:sz w:val="22"/>
          <w:szCs w:val="22"/>
        </w:rPr>
      </w:pPr>
      <w:r w:rsidRPr="00776407">
        <w:rPr>
          <w:sz w:val="22"/>
          <w:szCs w:val="22"/>
        </w:rPr>
        <w:t>Reykjavíkurvegur 76-78,</w:t>
      </w:r>
    </w:p>
    <w:p w14:paraId="655D8A39" w14:textId="77777777" w:rsidR="00A52D60" w:rsidRPr="00776407" w:rsidRDefault="001C543E" w:rsidP="00A52D60">
      <w:pPr>
        <w:autoSpaceDE w:val="0"/>
        <w:autoSpaceDN w:val="0"/>
        <w:adjustRightInd w:val="0"/>
        <w:rPr>
          <w:sz w:val="22"/>
          <w:szCs w:val="22"/>
        </w:rPr>
      </w:pPr>
      <w:r w:rsidRPr="00776407">
        <w:rPr>
          <w:sz w:val="22"/>
          <w:szCs w:val="22"/>
        </w:rPr>
        <w:t xml:space="preserve">220 </w:t>
      </w:r>
      <w:r w:rsidR="00A52D60" w:rsidRPr="00776407">
        <w:rPr>
          <w:sz w:val="22"/>
          <w:szCs w:val="22"/>
        </w:rPr>
        <w:t>Hafnarfjörður</w:t>
      </w:r>
    </w:p>
    <w:p w14:paraId="508C9382" w14:textId="77777777" w:rsidR="00A52D60" w:rsidRPr="00776407" w:rsidRDefault="00A52D60" w:rsidP="00A52D60">
      <w:pPr>
        <w:autoSpaceDE w:val="0"/>
        <w:autoSpaceDN w:val="0"/>
        <w:adjustRightInd w:val="0"/>
        <w:rPr>
          <w:sz w:val="22"/>
          <w:szCs w:val="22"/>
        </w:rPr>
      </w:pPr>
      <w:r w:rsidRPr="00776407">
        <w:rPr>
          <w:sz w:val="22"/>
          <w:szCs w:val="22"/>
        </w:rPr>
        <w:t>Islandija</w:t>
      </w:r>
    </w:p>
    <w:p w14:paraId="3C03C429" w14:textId="77777777" w:rsidR="00A52D60" w:rsidRPr="00776407" w:rsidRDefault="00A52D60" w:rsidP="00A52D60">
      <w:pPr>
        <w:autoSpaceDE w:val="0"/>
        <w:autoSpaceDN w:val="0"/>
        <w:adjustRightInd w:val="0"/>
        <w:rPr>
          <w:rFonts w:eastAsia="Calibri"/>
          <w:b/>
          <w:bCs/>
          <w:sz w:val="22"/>
          <w:szCs w:val="22"/>
        </w:rPr>
      </w:pPr>
    </w:p>
    <w:p w14:paraId="77891BE1" w14:textId="77777777" w:rsidR="00A52D60" w:rsidRPr="00776407" w:rsidRDefault="00A52D60" w:rsidP="00A52D60">
      <w:pPr>
        <w:autoSpaceDE w:val="0"/>
        <w:autoSpaceDN w:val="0"/>
        <w:adjustRightInd w:val="0"/>
        <w:rPr>
          <w:rFonts w:eastAsia="Calibri"/>
          <w:sz w:val="22"/>
          <w:szCs w:val="22"/>
        </w:rPr>
      </w:pPr>
      <w:r w:rsidRPr="00776407">
        <w:rPr>
          <w:rFonts w:eastAsia="Calibri"/>
          <w:b/>
          <w:bCs/>
          <w:sz w:val="22"/>
          <w:szCs w:val="22"/>
        </w:rPr>
        <w:t xml:space="preserve">Gamintojas </w:t>
      </w:r>
    </w:p>
    <w:p w14:paraId="61FF6F69" w14:textId="77777777" w:rsidR="00A52D60" w:rsidRPr="00776407" w:rsidRDefault="00A52D60" w:rsidP="00A52D60">
      <w:pPr>
        <w:pStyle w:val="KeinLeerraum"/>
        <w:rPr>
          <w:sz w:val="22"/>
          <w:szCs w:val="22"/>
        </w:rPr>
      </w:pPr>
      <w:r w:rsidRPr="00776407">
        <w:rPr>
          <w:sz w:val="22"/>
          <w:szCs w:val="22"/>
        </w:rPr>
        <w:t>S.C. Sindan</w:t>
      </w:r>
      <w:r w:rsidRPr="00776407">
        <w:rPr>
          <w:sz w:val="22"/>
          <w:szCs w:val="22"/>
        </w:rPr>
        <w:noBreakHyphen/>
        <w:t>Pharma S.R.L.</w:t>
      </w:r>
    </w:p>
    <w:p w14:paraId="1F6205E8" w14:textId="77777777" w:rsidR="00A52D60" w:rsidRPr="00776407" w:rsidRDefault="00A52D60" w:rsidP="00A52D60">
      <w:pPr>
        <w:pStyle w:val="KeinLeerraum"/>
        <w:rPr>
          <w:sz w:val="22"/>
          <w:szCs w:val="22"/>
        </w:rPr>
      </w:pPr>
      <w:r w:rsidRPr="00776407">
        <w:rPr>
          <w:sz w:val="22"/>
          <w:szCs w:val="22"/>
        </w:rPr>
        <w:t>11 Ion Mihalache Blvd</w:t>
      </w:r>
    </w:p>
    <w:p w14:paraId="0E896B4D" w14:textId="77777777" w:rsidR="00A52D60" w:rsidRPr="00776407" w:rsidRDefault="00A52D60" w:rsidP="00A52D60">
      <w:pPr>
        <w:pStyle w:val="KeinLeerraum"/>
        <w:rPr>
          <w:sz w:val="22"/>
          <w:szCs w:val="22"/>
        </w:rPr>
      </w:pPr>
      <w:r w:rsidRPr="00776407">
        <w:rPr>
          <w:sz w:val="22"/>
          <w:szCs w:val="22"/>
        </w:rPr>
        <w:t>Bucharest</w:t>
      </w:r>
    </w:p>
    <w:p w14:paraId="48E63087" w14:textId="77777777" w:rsidR="00A52D60" w:rsidRPr="00776407" w:rsidRDefault="00A52D60" w:rsidP="00A52D60">
      <w:pPr>
        <w:pStyle w:val="KeinLeerraum"/>
        <w:rPr>
          <w:sz w:val="22"/>
          <w:szCs w:val="22"/>
        </w:rPr>
      </w:pPr>
      <w:r w:rsidRPr="00776407">
        <w:rPr>
          <w:sz w:val="22"/>
          <w:szCs w:val="22"/>
        </w:rPr>
        <w:t>Rumunija</w:t>
      </w:r>
    </w:p>
    <w:p w14:paraId="41E096CA" w14:textId="77777777" w:rsidR="00A52D60" w:rsidRPr="00776407" w:rsidRDefault="00A52D60" w:rsidP="00A52D60">
      <w:pPr>
        <w:numPr>
          <w:ilvl w:val="12"/>
          <w:numId w:val="0"/>
        </w:numPr>
        <w:ind w:right="-2"/>
        <w:rPr>
          <w:sz w:val="22"/>
          <w:szCs w:val="22"/>
        </w:rPr>
      </w:pPr>
    </w:p>
    <w:p w14:paraId="6005A4DD" w14:textId="77777777" w:rsidR="00A52D60" w:rsidRPr="00776407" w:rsidRDefault="00A52D60" w:rsidP="00A52D60">
      <w:pPr>
        <w:numPr>
          <w:ilvl w:val="12"/>
          <w:numId w:val="0"/>
        </w:numPr>
        <w:ind w:right="-2"/>
        <w:rPr>
          <w:sz w:val="22"/>
          <w:szCs w:val="22"/>
        </w:rPr>
      </w:pPr>
      <w:r w:rsidRPr="00776407">
        <w:rPr>
          <w:sz w:val="22"/>
          <w:szCs w:val="22"/>
        </w:rPr>
        <w:t xml:space="preserve">Jeigu apie šį vaistą norite sužinoti daugiau, kreipkitės į vietinį </w:t>
      </w:r>
      <w:r w:rsidR="006B452E" w:rsidRPr="00776407">
        <w:rPr>
          <w:sz w:val="22"/>
          <w:szCs w:val="22"/>
        </w:rPr>
        <w:t xml:space="preserve">registruotojo </w:t>
      </w:r>
      <w:r w:rsidRPr="00776407">
        <w:rPr>
          <w:sz w:val="22"/>
          <w:szCs w:val="22"/>
        </w:rPr>
        <w:t>atstovą.</w:t>
      </w:r>
    </w:p>
    <w:p w14:paraId="1B422048" w14:textId="77777777" w:rsidR="004D72CE" w:rsidRPr="00881EFD" w:rsidRDefault="004D72CE" w:rsidP="004D72CE">
      <w:pPr>
        <w:autoSpaceDE w:val="0"/>
        <w:autoSpaceDN w:val="0"/>
        <w:adjustRightInd w:val="0"/>
        <w:rPr>
          <w:color w:val="000000" w:themeColor="text1"/>
          <w:sz w:val="22"/>
          <w:szCs w:val="22"/>
        </w:rPr>
      </w:pPr>
    </w:p>
    <w:tbl>
      <w:tblPr>
        <w:tblW w:w="9360" w:type="dxa"/>
        <w:tblInd w:w="-34" w:type="dxa"/>
        <w:tblLayout w:type="fixed"/>
        <w:tblLook w:val="04A0" w:firstRow="1" w:lastRow="0" w:firstColumn="1" w:lastColumn="0" w:noHBand="0" w:noVBand="1"/>
      </w:tblPr>
      <w:tblGrid>
        <w:gridCol w:w="34"/>
        <w:gridCol w:w="4646"/>
        <w:gridCol w:w="4680"/>
      </w:tblGrid>
      <w:tr w:rsidR="004D72CE" w:rsidRPr="00776407" w14:paraId="0F1299C9" w14:textId="77777777" w:rsidTr="00876969">
        <w:trPr>
          <w:gridBefore w:val="1"/>
          <w:wBefore w:w="34" w:type="dxa"/>
          <w:cantSplit/>
        </w:trPr>
        <w:tc>
          <w:tcPr>
            <w:tcW w:w="4644" w:type="dxa"/>
          </w:tcPr>
          <w:p w14:paraId="52DD2978"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België/Belgique/Belgien</w:t>
            </w:r>
          </w:p>
          <w:p w14:paraId="098CCD18"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79A4C5CA"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IJsland/Islande/Island</w:t>
            </w:r>
          </w:p>
          <w:p w14:paraId="4144DFC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Tél/Tel: +354 5503300</w:t>
            </w:r>
          </w:p>
          <w:p w14:paraId="0A4A9A43" w14:textId="77777777" w:rsidR="004D72CE" w:rsidRPr="00776407" w:rsidRDefault="004D72CE" w:rsidP="00876969">
            <w:pPr>
              <w:pStyle w:val="KeinLeerraum"/>
              <w:rPr>
                <w:color w:val="000000" w:themeColor="text1"/>
                <w:sz w:val="22"/>
                <w:szCs w:val="22"/>
              </w:rPr>
            </w:pPr>
          </w:p>
        </w:tc>
        <w:tc>
          <w:tcPr>
            <w:tcW w:w="4678" w:type="dxa"/>
          </w:tcPr>
          <w:p w14:paraId="6B0CA732"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Lietuva</w:t>
            </w:r>
          </w:p>
          <w:p w14:paraId="5F772578" w14:textId="69567B66" w:rsidR="004D72CE" w:rsidRPr="00776407" w:rsidRDefault="004D72CE" w:rsidP="00876969">
            <w:pPr>
              <w:ind w:right="567"/>
              <w:rPr>
                <w:noProof/>
                <w:color w:val="000000" w:themeColor="text1"/>
                <w:sz w:val="22"/>
                <w:szCs w:val="22"/>
              </w:rPr>
            </w:pPr>
            <w:r w:rsidRPr="00776407">
              <w:rPr>
                <w:noProof/>
                <w:color w:val="000000" w:themeColor="text1"/>
                <w:sz w:val="22"/>
                <w:szCs w:val="22"/>
              </w:rPr>
              <w:t>UAB Teva Baltics</w:t>
            </w:r>
          </w:p>
          <w:p w14:paraId="78E5539E"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+370 5</w:t>
            </w:r>
            <w:r w:rsidRPr="00776407">
              <w:rPr>
                <w:noProof/>
                <w:color w:val="000000" w:themeColor="text1"/>
                <w:sz w:val="22"/>
                <w:szCs w:val="22"/>
              </w:rPr>
              <w:t>2660203</w:t>
            </w:r>
          </w:p>
          <w:p w14:paraId="10C5CB3D" w14:textId="77777777" w:rsidR="004D72CE" w:rsidRPr="00776407" w:rsidRDefault="004D72CE" w:rsidP="00876969">
            <w:pPr>
              <w:pStyle w:val="KeinLeerraum"/>
              <w:rPr>
                <w:color w:val="000000" w:themeColor="text1"/>
                <w:sz w:val="22"/>
                <w:szCs w:val="22"/>
              </w:rPr>
            </w:pPr>
          </w:p>
        </w:tc>
      </w:tr>
      <w:tr w:rsidR="004D72CE" w:rsidRPr="00776407" w14:paraId="637E6118" w14:textId="77777777" w:rsidTr="00876969">
        <w:trPr>
          <w:gridBefore w:val="1"/>
          <w:wBefore w:w="34" w:type="dxa"/>
          <w:cantSplit/>
        </w:trPr>
        <w:tc>
          <w:tcPr>
            <w:tcW w:w="4644" w:type="dxa"/>
          </w:tcPr>
          <w:p w14:paraId="57A27774" w14:textId="77777777" w:rsidR="004D72CE" w:rsidRPr="00776407" w:rsidRDefault="004D72CE" w:rsidP="00876969">
            <w:pPr>
              <w:pStyle w:val="KeinLeerraum"/>
              <w:rPr>
                <w:b/>
                <w:bCs/>
                <w:color w:val="000000" w:themeColor="text1"/>
                <w:sz w:val="22"/>
                <w:szCs w:val="22"/>
              </w:rPr>
            </w:pPr>
            <w:r w:rsidRPr="00776407">
              <w:rPr>
                <w:b/>
                <w:bCs/>
                <w:color w:val="000000" w:themeColor="text1"/>
                <w:sz w:val="22"/>
                <w:szCs w:val="22"/>
              </w:rPr>
              <w:t>България</w:t>
            </w:r>
          </w:p>
          <w:p w14:paraId="0ECD8944"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Актавис ЕАД</w:t>
            </w:r>
          </w:p>
          <w:p w14:paraId="7E17AD4C"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Teл: +359 24899585</w:t>
            </w:r>
          </w:p>
          <w:p w14:paraId="6D603444" w14:textId="77777777" w:rsidR="004D72CE" w:rsidRPr="00776407" w:rsidRDefault="004D72CE" w:rsidP="00876969">
            <w:pPr>
              <w:pStyle w:val="KeinLeerraum"/>
              <w:rPr>
                <w:color w:val="000000" w:themeColor="text1"/>
                <w:sz w:val="22"/>
                <w:szCs w:val="22"/>
              </w:rPr>
            </w:pPr>
          </w:p>
        </w:tc>
        <w:tc>
          <w:tcPr>
            <w:tcW w:w="4678" w:type="dxa"/>
          </w:tcPr>
          <w:p w14:paraId="1EC2180E"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Luxembourg/Luxemburg</w:t>
            </w:r>
          </w:p>
          <w:p w14:paraId="17219499"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7E4E7E4E"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Islande/Island</w:t>
            </w:r>
          </w:p>
          <w:p w14:paraId="2450768A"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Tél/Tel: +354 5503300</w:t>
            </w:r>
          </w:p>
          <w:p w14:paraId="3DE05DE1" w14:textId="77777777" w:rsidR="004D72CE" w:rsidRPr="00776407" w:rsidRDefault="004D72CE" w:rsidP="00876969">
            <w:pPr>
              <w:pStyle w:val="KeinLeerraum"/>
              <w:rPr>
                <w:color w:val="000000" w:themeColor="text1"/>
                <w:sz w:val="22"/>
                <w:szCs w:val="22"/>
              </w:rPr>
            </w:pPr>
          </w:p>
        </w:tc>
      </w:tr>
      <w:tr w:rsidR="004D72CE" w:rsidRPr="00776407" w14:paraId="124928A8" w14:textId="77777777" w:rsidTr="00876969">
        <w:trPr>
          <w:gridBefore w:val="1"/>
          <w:wBefore w:w="34" w:type="dxa"/>
          <w:cantSplit/>
          <w:trHeight w:val="751"/>
        </w:trPr>
        <w:tc>
          <w:tcPr>
            <w:tcW w:w="4644" w:type="dxa"/>
          </w:tcPr>
          <w:p w14:paraId="025FC631"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Česká republika</w:t>
            </w:r>
          </w:p>
          <w:p w14:paraId="2F42EB91" w14:textId="77777777" w:rsidR="004D72CE" w:rsidRPr="00776407" w:rsidRDefault="004D72CE" w:rsidP="00876969">
            <w:pPr>
              <w:tabs>
                <w:tab w:val="left" w:pos="-720"/>
              </w:tabs>
              <w:suppressAutoHyphens/>
              <w:ind w:right="567"/>
              <w:rPr>
                <w:noProof/>
                <w:color w:val="000000" w:themeColor="text1"/>
                <w:sz w:val="22"/>
                <w:szCs w:val="22"/>
              </w:rPr>
            </w:pPr>
            <w:r w:rsidRPr="00776407">
              <w:rPr>
                <w:noProof/>
                <w:color w:val="000000" w:themeColor="text1"/>
                <w:sz w:val="22"/>
                <w:szCs w:val="22"/>
              </w:rPr>
              <w:t>Teva Pharmaceuticals CR, s.r.o.</w:t>
            </w:r>
          </w:p>
          <w:p w14:paraId="3553E222"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+420 251007111</w:t>
            </w:r>
          </w:p>
          <w:p w14:paraId="6E1715A1" w14:textId="77777777" w:rsidR="004D72CE" w:rsidRPr="00776407" w:rsidRDefault="004D72CE" w:rsidP="00876969">
            <w:pPr>
              <w:pStyle w:val="KeinLeerraum"/>
              <w:rPr>
                <w:color w:val="000000" w:themeColor="text1"/>
                <w:sz w:val="22"/>
                <w:szCs w:val="22"/>
              </w:rPr>
            </w:pPr>
          </w:p>
        </w:tc>
        <w:tc>
          <w:tcPr>
            <w:tcW w:w="4678" w:type="dxa"/>
          </w:tcPr>
          <w:p w14:paraId="06A5B52E"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Magyarország</w:t>
            </w:r>
          </w:p>
          <w:p w14:paraId="1E246A93"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Teva Gyógyszergyár Zrt.</w:t>
            </w:r>
          </w:p>
          <w:p w14:paraId="76193A1A"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+36 1</w:t>
            </w:r>
            <w:r w:rsidRPr="00776407">
              <w:rPr>
                <w:noProof/>
                <w:color w:val="000000" w:themeColor="text1"/>
                <w:sz w:val="22"/>
                <w:szCs w:val="22"/>
              </w:rPr>
              <w:t>2886400</w:t>
            </w:r>
          </w:p>
          <w:p w14:paraId="40D6FA32" w14:textId="77777777" w:rsidR="004D72CE" w:rsidRPr="00776407" w:rsidRDefault="004D72CE" w:rsidP="00876969">
            <w:pPr>
              <w:pStyle w:val="KeinLeerraum"/>
              <w:rPr>
                <w:color w:val="000000" w:themeColor="text1"/>
                <w:sz w:val="22"/>
                <w:szCs w:val="22"/>
              </w:rPr>
            </w:pPr>
          </w:p>
        </w:tc>
      </w:tr>
      <w:tr w:rsidR="004D72CE" w:rsidRPr="00776407" w14:paraId="0F1F0E9C" w14:textId="77777777" w:rsidTr="00876969">
        <w:trPr>
          <w:gridBefore w:val="1"/>
          <w:wBefore w:w="34" w:type="dxa"/>
          <w:cantSplit/>
        </w:trPr>
        <w:tc>
          <w:tcPr>
            <w:tcW w:w="4644" w:type="dxa"/>
          </w:tcPr>
          <w:p w14:paraId="1BA97C5E"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Danmark</w:t>
            </w:r>
          </w:p>
          <w:p w14:paraId="5014D2A0"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Denmark A/S</w:t>
            </w:r>
          </w:p>
          <w:p w14:paraId="49E131F8"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Tlf: +45 44985511</w:t>
            </w:r>
          </w:p>
          <w:p w14:paraId="5F46DBDF" w14:textId="77777777" w:rsidR="004D72CE" w:rsidRPr="00776407" w:rsidRDefault="004D72CE" w:rsidP="00876969">
            <w:pPr>
              <w:pStyle w:val="KeinLeerraum"/>
              <w:rPr>
                <w:color w:val="000000" w:themeColor="text1"/>
                <w:sz w:val="22"/>
                <w:szCs w:val="22"/>
              </w:rPr>
            </w:pPr>
          </w:p>
        </w:tc>
        <w:tc>
          <w:tcPr>
            <w:tcW w:w="4678" w:type="dxa"/>
          </w:tcPr>
          <w:p w14:paraId="3C6DDF9D"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Malta</w:t>
            </w:r>
          </w:p>
          <w:p w14:paraId="5E286F90"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Ltd.</w:t>
            </w:r>
          </w:p>
          <w:p w14:paraId="504CC5DF"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+356 21693533</w:t>
            </w:r>
          </w:p>
          <w:p w14:paraId="2C4FDEB2" w14:textId="77777777" w:rsidR="004D72CE" w:rsidRPr="00776407" w:rsidRDefault="004D72CE" w:rsidP="00876969">
            <w:pPr>
              <w:pStyle w:val="KeinLeerraum"/>
              <w:rPr>
                <w:color w:val="000000" w:themeColor="text1"/>
                <w:sz w:val="22"/>
                <w:szCs w:val="22"/>
              </w:rPr>
            </w:pPr>
          </w:p>
        </w:tc>
      </w:tr>
      <w:tr w:rsidR="004D72CE" w:rsidRPr="00776407" w14:paraId="26DE4768" w14:textId="77777777" w:rsidTr="00876969">
        <w:trPr>
          <w:gridBefore w:val="1"/>
          <w:wBefore w:w="34" w:type="dxa"/>
          <w:cantSplit/>
        </w:trPr>
        <w:tc>
          <w:tcPr>
            <w:tcW w:w="4644" w:type="dxa"/>
          </w:tcPr>
          <w:p w14:paraId="35803623"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Deutschland</w:t>
            </w:r>
          </w:p>
          <w:p w14:paraId="12A9B0CA" w14:textId="77777777" w:rsidR="004D72CE" w:rsidRPr="00776407" w:rsidRDefault="004D72CE" w:rsidP="00876969">
            <w:pPr>
              <w:rPr>
                <w:color w:val="000000" w:themeColor="text1"/>
                <w:sz w:val="22"/>
                <w:szCs w:val="22"/>
              </w:rPr>
            </w:pPr>
            <w:r w:rsidRPr="00776407">
              <w:rPr>
                <w:color w:val="000000" w:themeColor="text1"/>
                <w:sz w:val="22"/>
                <w:szCs w:val="22"/>
              </w:rPr>
              <w:t>Actavis Group PTC ehf.</w:t>
            </w:r>
          </w:p>
          <w:p w14:paraId="12EFE138"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w:t>
            </w:r>
          </w:p>
          <w:p w14:paraId="179FDECA"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+354 5503300</w:t>
            </w:r>
          </w:p>
          <w:p w14:paraId="6B329CC2" w14:textId="77777777" w:rsidR="004D72CE" w:rsidRPr="00776407" w:rsidRDefault="004D72CE" w:rsidP="00876969">
            <w:pPr>
              <w:pStyle w:val="KeinLeerraum"/>
              <w:rPr>
                <w:color w:val="000000" w:themeColor="text1"/>
                <w:sz w:val="22"/>
                <w:szCs w:val="22"/>
              </w:rPr>
            </w:pPr>
          </w:p>
        </w:tc>
        <w:tc>
          <w:tcPr>
            <w:tcW w:w="4678" w:type="dxa"/>
          </w:tcPr>
          <w:p w14:paraId="0FB4B338"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Nederland</w:t>
            </w:r>
          </w:p>
          <w:p w14:paraId="224C1EAC"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Actavis Group PTC ehf.</w:t>
            </w:r>
          </w:p>
          <w:p w14:paraId="5D417038"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IJsland</w:t>
            </w:r>
          </w:p>
          <w:p w14:paraId="327AF5FA"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+354 5503300</w:t>
            </w:r>
          </w:p>
          <w:p w14:paraId="323B454C" w14:textId="77777777" w:rsidR="004D72CE" w:rsidRPr="00776407" w:rsidRDefault="004D72CE" w:rsidP="00876969">
            <w:pPr>
              <w:pStyle w:val="KeinLeerraum"/>
              <w:rPr>
                <w:color w:val="000000" w:themeColor="text1"/>
                <w:sz w:val="22"/>
                <w:szCs w:val="22"/>
              </w:rPr>
            </w:pPr>
          </w:p>
        </w:tc>
      </w:tr>
      <w:tr w:rsidR="004D72CE" w:rsidRPr="00776407" w14:paraId="4CBAD624" w14:textId="77777777" w:rsidTr="00876969">
        <w:trPr>
          <w:gridBefore w:val="1"/>
          <w:wBefore w:w="34" w:type="dxa"/>
          <w:cantSplit/>
        </w:trPr>
        <w:tc>
          <w:tcPr>
            <w:tcW w:w="4644" w:type="dxa"/>
          </w:tcPr>
          <w:p w14:paraId="38662F9B" w14:textId="77777777" w:rsidR="004D72CE" w:rsidRPr="00776407" w:rsidRDefault="004D72CE" w:rsidP="00876969">
            <w:pPr>
              <w:pStyle w:val="KeinLeerraum"/>
              <w:rPr>
                <w:b/>
                <w:bCs/>
                <w:color w:val="000000" w:themeColor="text1"/>
                <w:sz w:val="22"/>
                <w:szCs w:val="22"/>
              </w:rPr>
            </w:pPr>
            <w:r w:rsidRPr="00776407">
              <w:rPr>
                <w:b/>
                <w:bCs/>
                <w:color w:val="000000" w:themeColor="text1"/>
                <w:sz w:val="22"/>
                <w:szCs w:val="22"/>
              </w:rPr>
              <w:t>Eesti</w:t>
            </w:r>
          </w:p>
          <w:p w14:paraId="433D2A72" w14:textId="7653D6E6" w:rsidR="004D72CE" w:rsidRPr="00776407" w:rsidRDefault="004D72CE" w:rsidP="00876969">
            <w:pPr>
              <w:pStyle w:val="KeinLeerraum"/>
              <w:rPr>
                <w:color w:val="000000" w:themeColor="text1"/>
                <w:sz w:val="22"/>
                <w:szCs w:val="22"/>
              </w:rPr>
            </w:pPr>
            <w:r w:rsidRPr="00776407">
              <w:rPr>
                <w:color w:val="000000" w:themeColor="text1"/>
                <w:sz w:val="22"/>
                <w:szCs w:val="22"/>
              </w:rPr>
              <w:t>UAB Teva Baltics</w:t>
            </w:r>
            <w:r w:rsidRPr="00776407">
              <w:rPr>
                <w:noProof/>
                <w:color w:val="000000" w:themeColor="text1"/>
                <w:sz w:val="22"/>
                <w:szCs w:val="22"/>
              </w:rPr>
              <w:t xml:space="preserve"> Eesti filiaal</w:t>
            </w:r>
          </w:p>
          <w:p w14:paraId="1C9228CA"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 xml:space="preserve">Tel: +372 </w:t>
            </w:r>
            <w:r w:rsidRPr="00776407">
              <w:rPr>
                <w:noProof/>
                <w:color w:val="000000" w:themeColor="text1"/>
                <w:sz w:val="22"/>
                <w:szCs w:val="22"/>
              </w:rPr>
              <w:t>6610801</w:t>
            </w:r>
          </w:p>
          <w:p w14:paraId="2E338AE6" w14:textId="77777777" w:rsidR="004D72CE" w:rsidRPr="00776407" w:rsidRDefault="004D72CE" w:rsidP="00876969">
            <w:pPr>
              <w:pStyle w:val="KeinLeerraum"/>
              <w:rPr>
                <w:color w:val="000000" w:themeColor="text1"/>
                <w:sz w:val="22"/>
                <w:szCs w:val="22"/>
              </w:rPr>
            </w:pPr>
          </w:p>
        </w:tc>
        <w:tc>
          <w:tcPr>
            <w:tcW w:w="4678" w:type="dxa"/>
          </w:tcPr>
          <w:p w14:paraId="0A647845"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Norge</w:t>
            </w:r>
          </w:p>
          <w:p w14:paraId="4B6692F5"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Teva Norway AS</w:t>
            </w:r>
          </w:p>
          <w:p w14:paraId="39209B12"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Tlf: +47 66775590</w:t>
            </w:r>
          </w:p>
          <w:p w14:paraId="32E9C1C1" w14:textId="77777777" w:rsidR="004D72CE" w:rsidRPr="00776407" w:rsidRDefault="004D72CE" w:rsidP="00876969">
            <w:pPr>
              <w:pStyle w:val="KeinLeerraum"/>
              <w:rPr>
                <w:color w:val="000000" w:themeColor="text1"/>
                <w:sz w:val="22"/>
                <w:szCs w:val="22"/>
              </w:rPr>
            </w:pPr>
          </w:p>
        </w:tc>
      </w:tr>
      <w:tr w:rsidR="004D72CE" w:rsidRPr="00776407" w14:paraId="2A771D52" w14:textId="77777777" w:rsidTr="00876969">
        <w:trPr>
          <w:gridBefore w:val="1"/>
          <w:wBefore w:w="34" w:type="dxa"/>
          <w:cantSplit/>
        </w:trPr>
        <w:tc>
          <w:tcPr>
            <w:tcW w:w="4644" w:type="dxa"/>
          </w:tcPr>
          <w:p w14:paraId="36B5F26E"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Ελλάδα</w:t>
            </w:r>
          </w:p>
          <w:p w14:paraId="7D222725" w14:textId="77777777" w:rsidR="004D72CE" w:rsidRPr="00776407" w:rsidRDefault="004D72CE" w:rsidP="00876969">
            <w:pPr>
              <w:pStyle w:val="NormalParagraphStyle"/>
              <w:spacing w:line="240" w:lineRule="auto"/>
              <w:rPr>
                <w:rFonts w:ascii="Times New Roman" w:hAnsi="Times New Roman"/>
                <w:color w:val="000000" w:themeColor="text1"/>
                <w:sz w:val="22"/>
                <w:szCs w:val="22"/>
                <w:lang w:val="lt-LT"/>
              </w:rPr>
            </w:pPr>
            <w:r w:rsidRPr="00881EFD">
              <w:rPr>
                <w:rFonts w:ascii="Times New Roman" w:hAnsi="Times New Roman"/>
                <w:color w:val="000000" w:themeColor="text1"/>
                <w:sz w:val="22"/>
                <w:szCs w:val="22"/>
                <w:lang w:val="lt-LT"/>
              </w:rPr>
              <w:t>Specifar A.B.E.E</w:t>
            </w:r>
            <w:r w:rsidRPr="00776407">
              <w:rPr>
                <w:rFonts w:ascii="Times New Roman" w:hAnsi="Times New Roman"/>
                <w:color w:val="000000" w:themeColor="text1"/>
                <w:sz w:val="22"/>
                <w:szCs w:val="22"/>
                <w:lang w:val="lt-LT"/>
              </w:rPr>
              <w:t>.</w:t>
            </w:r>
          </w:p>
          <w:p w14:paraId="2244B7B2" w14:textId="09683F94" w:rsidR="004D72CE" w:rsidRPr="00776407" w:rsidRDefault="004D72CE" w:rsidP="00876969">
            <w:pPr>
              <w:pStyle w:val="KeinLeerraum"/>
              <w:rPr>
                <w:color w:val="000000" w:themeColor="text1"/>
                <w:sz w:val="22"/>
                <w:szCs w:val="22"/>
              </w:rPr>
            </w:pPr>
            <w:r w:rsidRPr="00776407">
              <w:rPr>
                <w:color w:val="000000" w:themeColor="text1"/>
                <w:sz w:val="22"/>
                <w:szCs w:val="22"/>
              </w:rPr>
              <w:t>Τηλ: +30 2118805000</w:t>
            </w:r>
          </w:p>
          <w:p w14:paraId="4147E7E1" w14:textId="77777777" w:rsidR="004D72CE" w:rsidRPr="00776407" w:rsidRDefault="004D72CE" w:rsidP="00876969">
            <w:pPr>
              <w:pStyle w:val="KeinLeerraum"/>
              <w:rPr>
                <w:color w:val="000000" w:themeColor="text1"/>
                <w:sz w:val="22"/>
                <w:szCs w:val="22"/>
              </w:rPr>
            </w:pPr>
          </w:p>
        </w:tc>
        <w:tc>
          <w:tcPr>
            <w:tcW w:w="4678" w:type="dxa"/>
          </w:tcPr>
          <w:p w14:paraId="7E976FC3"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Österreich</w:t>
            </w:r>
          </w:p>
          <w:p w14:paraId="12A7818E" w14:textId="77777777" w:rsidR="004D72CE" w:rsidRPr="00776407" w:rsidRDefault="004D72CE" w:rsidP="00876969">
            <w:pPr>
              <w:rPr>
                <w:rFonts w:eastAsia="Adobe Fangsong Std R"/>
                <w:color w:val="000000" w:themeColor="text1"/>
                <w:sz w:val="22"/>
                <w:szCs w:val="22"/>
              </w:rPr>
            </w:pPr>
            <w:r w:rsidRPr="00776407">
              <w:rPr>
                <w:rFonts w:eastAsia="Adobe Fangsong Std R"/>
                <w:color w:val="000000" w:themeColor="text1"/>
                <w:sz w:val="22"/>
                <w:szCs w:val="22"/>
              </w:rPr>
              <w:t>ratiopharm Arzneimittel Vertriebs-GmbH</w:t>
            </w:r>
          </w:p>
          <w:p w14:paraId="3F21E5D9" w14:textId="77777777" w:rsidR="004D72CE" w:rsidRPr="00776407" w:rsidRDefault="004D72CE" w:rsidP="00876969">
            <w:pPr>
              <w:rPr>
                <w:rFonts w:eastAsia="Adobe Fangsong Std R"/>
                <w:color w:val="000000" w:themeColor="text1"/>
                <w:sz w:val="22"/>
                <w:szCs w:val="22"/>
              </w:rPr>
            </w:pPr>
            <w:r w:rsidRPr="00776407">
              <w:rPr>
                <w:rFonts w:eastAsia="Adobe Fangsong Std R"/>
                <w:color w:val="000000" w:themeColor="text1"/>
                <w:sz w:val="22"/>
                <w:szCs w:val="22"/>
              </w:rPr>
              <w:t>Tel: +43 1970070</w:t>
            </w:r>
          </w:p>
          <w:p w14:paraId="127B97B1" w14:textId="77777777" w:rsidR="004D72CE" w:rsidRPr="00776407" w:rsidRDefault="004D72CE" w:rsidP="00876969">
            <w:pPr>
              <w:pStyle w:val="KeinLeerraum"/>
              <w:rPr>
                <w:color w:val="000000" w:themeColor="text1"/>
                <w:sz w:val="22"/>
                <w:szCs w:val="22"/>
              </w:rPr>
            </w:pPr>
          </w:p>
        </w:tc>
      </w:tr>
      <w:tr w:rsidR="004D72CE" w:rsidRPr="00776407" w14:paraId="5C395828" w14:textId="77777777" w:rsidTr="00876969">
        <w:trPr>
          <w:cantSplit/>
        </w:trPr>
        <w:tc>
          <w:tcPr>
            <w:tcW w:w="4678" w:type="dxa"/>
            <w:gridSpan w:val="2"/>
          </w:tcPr>
          <w:p w14:paraId="36AC9939"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España</w:t>
            </w:r>
          </w:p>
          <w:p w14:paraId="167EEFA9"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Actavis Group PTC ehf.</w:t>
            </w:r>
          </w:p>
          <w:p w14:paraId="1EBCD29B"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Islandia</w:t>
            </w:r>
          </w:p>
          <w:p w14:paraId="4CE83E3A"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+354 5503300</w:t>
            </w:r>
          </w:p>
          <w:p w14:paraId="04A82093" w14:textId="77777777" w:rsidR="004D72CE" w:rsidRPr="00776407" w:rsidRDefault="004D72CE" w:rsidP="00876969">
            <w:pPr>
              <w:pStyle w:val="KeinLeerraum"/>
              <w:rPr>
                <w:color w:val="000000" w:themeColor="text1"/>
                <w:sz w:val="22"/>
                <w:szCs w:val="22"/>
              </w:rPr>
            </w:pPr>
          </w:p>
        </w:tc>
        <w:tc>
          <w:tcPr>
            <w:tcW w:w="4678" w:type="dxa"/>
          </w:tcPr>
          <w:p w14:paraId="40F6514A" w14:textId="77777777" w:rsidR="004D72CE" w:rsidRPr="00776407" w:rsidRDefault="004D72CE" w:rsidP="00876969">
            <w:pPr>
              <w:pStyle w:val="KeinLeerraum"/>
              <w:rPr>
                <w:b/>
                <w:bCs/>
                <w:i/>
                <w:iCs/>
                <w:color w:val="000000" w:themeColor="text1"/>
                <w:sz w:val="22"/>
                <w:szCs w:val="22"/>
              </w:rPr>
            </w:pPr>
            <w:r w:rsidRPr="00776407">
              <w:rPr>
                <w:b/>
                <w:color w:val="000000" w:themeColor="text1"/>
                <w:sz w:val="22"/>
                <w:szCs w:val="22"/>
              </w:rPr>
              <w:t>Polska</w:t>
            </w:r>
          </w:p>
          <w:p w14:paraId="44994BF7" w14:textId="77777777" w:rsidR="004D72CE" w:rsidRPr="00776407" w:rsidRDefault="004D72CE" w:rsidP="00876969">
            <w:pPr>
              <w:rPr>
                <w:color w:val="000000" w:themeColor="text1"/>
                <w:sz w:val="22"/>
                <w:szCs w:val="22"/>
              </w:rPr>
            </w:pPr>
            <w:r w:rsidRPr="00776407">
              <w:rPr>
                <w:color w:val="000000" w:themeColor="text1"/>
                <w:sz w:val="22"/>
                <w:szCs w:val="22"/>
              </w:rPr>
              <w:t>Teva Pharmaceuticals Polska Sp. z o.o.</w:t>
            </w:r>
          </w:p>
          <w:p w14:paraId="48041287" w14:textId="77777777" w:rsidR="004D72CE" w:rsidRPr="00776407" w:rsidRDefault="004D72CE" w:rsidP="00876969">
            <w:pPr>
              <w:numPr>
                <w:ilvl w:val="12"/>
                <w:numId w:val="0"/>
              </w:numPr>
              <w:rPr>
                <w:color w:val="000000" w:themeColor="text1"/>
                <w:sz w:val="22"/>
                <w:szCs w:val="22"/>
                <w:lang w:eastAsia="is-IS"/>
              </w:rPr>
            </w:pPr>
            <w:r w:rsidRPr="00776407">
              <w:rPr>
                <w:color w:val="000000" w:themeColor="text1"/>
                <w:sz w:val="22"/>
                <w:szCs w:val="22"/>
              </w:rPr>
              <w:t>Tel: +48 223459300</w:t>
            </w:r>
          </w:p>
          <w:p w14:paraId="5F47B00A" w14:textId="77777777" w:rsidR="004D72CE" w:rsidRPr="00776407" w:rsidRDefault="004D72CE" w:rsidP="00876969">
            <w:pPr>
              <w:pStyle w:val="KeinLeerraum"/>
              <w:rPr>
                <w:color w:val="000000" w:themeColor="text1"/>
                <w:sz w:val="22"/>
                <w:szCs w:val="22"/>
              </w:rPr>
            </w:pPr>
          </w:p>
        </w:tc>
      </w:tr>
      <w:tr w:rsidR="004D72CE" w:rsidRPr="00776407" w14:paraId="65641F06" w14:textId="77777777" w:rsidTr="00876969">
        <w:trPr>
          <w:cantSplit/>
        </w:trPr>
        <w:tc>
          <w:tcPr>
            <w:tcW w:w="4678" w:type="dxa"/>
            <w:gridSpan w:val="2"/>
          </w:tcPr>
          <w:p w14:paraId="1EF7DF49"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France</w:t>
            </w:r>
          </w:p>
          <w:p w14:paraId="263DA473"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25DA9AB5"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Islande</w:t>
            </w:r>
          </w:p>
          <w:p w14:paraId="4E6DDDCE" w14:textId="77777777" w:rsidR="004D72CE" w:rsidRPr="00776407" w:rsidRDefault="004D72CE" w:rsidP="00876969">
            <w:pPr>
              <w:pStyle w:val="KeinLeerraum"/>
              <w:rPr>
                <w:color w:val="000000" w:themeColor="text1"/>
                <w:sz w:val="22"/>
                <w:szCs w:val="22"/>
              </w:rPr>
            </w:pPr>
            <w:r w:rsidRPr="00776407">
              <w:rPr>
                <w:color w:val="000000" w:themeColor="text1"/>
                <w:sz w:val="22"/>
                <w:szCs w:val="22"/>
                <w:lang w:eastAsia="en-GB"/>
              </w:rPr>
              <w:t>Tél</w:t>
            </w:r>
            <w:r w:rsidRPr="00776407">
              <w:rPr>
                <w:noProof/>
                <w:color w:val="000000" w:themeColor="text1"/>
                <w:sz w:val="22"/>
                <w:szCs w:val="22"/>
              </w:rPr>
              <w:t>:</w:t>
            </w:r>
            <w:r w:rsidRPr="00776407">
              <w:rPr>
                <w:color w:val="000000" w:themeColor="text1"/>
                <w:sz w:val="22"/>
                <w:szCs w:val="22"/>
              </w:rPr>
              <w:t xml:space="preserve"> +354 5503300</w:t>
            </w:r>
          </w:p>
          <w:p w14:paraId="67E30FAF" w14:textId="77777777" w:rsidR="004D72CE" w:rsidRPr="00776407" w:rsidRDefault="004D72CE" w:rsidP="00876969">
            <w:pPr>
              <w:pStyle w:val="KeinLeerraum"/>
              <w:rPr>
                <w:b/>
                <w:color w:val="000000" w:themeColor="text1"/>
                <w:sz w:val="22"/>
                <w:szCs w:val="22"/>
              </w:rPr>
            </w:pPr>
          </w:p>
        </w:tc>
        <w:tc>
          <w:tcPr>
            <w:tcW w:w="4678" w:type="dxa"/>
          </w:tcPr>
          <w:p w14:paraId="0CDDA357"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Portugal</w:t>
            </w:r>
          </w:p>
          <w:p w14:paraId="2DCFF043"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Actavis Group PTC ehf.</w:t>
            </w:r>
          </w:p>
          <w:p w14:paraId="1D4101E6"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Islândia</w:t>
            </w:r>
          </w:p>
          <w:p w14:paraId="61F299F0"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Tel: +354 5503300</w:t>
            </w:r>
          </w:p>
          <w:p w14:paraId="33086DAC" w14:textId="77777777" w:rsidR="004D72CE" w:rsidRPr="00776407" w:rsidRDefault="004D72CE" w:rsidP="00876969">
            <w:pPr>
              <w:pStyle w:val="KeinLeerraum"/>
              <w:rPr>
                <w:color w:val="000000" w:themeColor="text1"/>
                <w:sz w:val="22"/>
                <w:szCs w:val="22"/>
              </w:rPr>
            </w:pPr>
          </w:p>
        </w:tc>
      </w:tr>
      <w:tr w:rsidR="004D72CE" w:rsidRPr="00776407" w14:paraId="778B3F55" w14:textId="77777777" w:rsidTr="00876969">
        <w:trPr>
          <w:cantSplit/>
        </w:trPr>
        <w:tc>
          <w:tcPr>
            <w:tcW w:w="4678" w:type="dxa"/>
            <w:gridSpan w:val="2"/>
          </w:tcPr>
          <w:p w14:paraId="4D070438" w14:textId="77777777" w:rsidR="004D72CE" w:rsidRPr="00776407" w:rsidRDefault="004D72CE" w:rsidP="00876969">
            <w:pPr>
              <w:tabs>
                <w:tab w:val="left" w:pos="-720"/>
                <w:tab w:val="left" w:pos="4536"/>
              </w:tabs>
              <w:suppressAutoHyphens/>
              <w:ind w:right="567"/>
              <w:rPr>
                <w:b/>
                <w:noProof/>
                <w:color w:val="000000" w:themeColor="text1"/>
                <w:sz w:val="22"/>
                <w:szCs w:val="22"/>
              </w:rPr>
            </w:pPr>
            <w:r w:rsidRPr="00776407">
              <w:rPr>
                <w:color w:val="000000" w:themeColor="text1"/>
                <w:sz w:val="22"/>
                <w:szCs w:val="22"/>
              </w:rPr>
              <w:br w:type="page"/>
            </w:r>
            <w:r w:rsidRPr="00776407">
              <w:rPr>
                <w:b/>
                <w:noProof/>
                <w:color w:val="000000" w:themeColor="text1"/>
                <w:sz w:val="22"/>
                <w:szCs w:val="22"/>
              </w:rPr>
              <w:t>Hrvatska</w:t>
            </w:r>
          </w:p>
          <w:p w14:paraId="2139A66C" w14:textId="77777777" w:rsidR="004D72CE" w:rsidRPr="00776407" w:rsidRDefault="004D72CE" w:rsidP="00876969">
            <w:pPr>
              <w:tabs>
                <w:tab w:val="left" w:pos="-720"/>
                <w:tab w:val="left" w:pos="4536"/>
              </w:tabs>
              <w:suppressAutoHyphens/>
              <w:ind w:right="567"/>
              <w:rPr>
                <w:color w:val="000000" w:themeColor="text1"/>
                <w:sz w:val="22"/>
                <w:szCs w:val="22"/>
              </w:rPr>
            </w:pPr>
            <w:r w:rsidRPr="00776407">
              <w:rPr>
                <w:color w:val="000000" w:themeColor="text1"/>
                <w:sz w:val="22"/>
                <w:szCs w:val="22"/>
              </w:rPr>
              <w:t>Pliva Hrvatska d.o.o.</w:t>
            </w:r>
          </w:p>
          <w:p w14:paraId="3BB23B0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+385 13720000</w:t>
            </w:r>
          </w:p>
          <w:p w14:paraId="3F9035F1" w14:textId="77777777" w:rsidR="004D72CE" w:rsidRPr="00776407" w:rsidRDefault="004D72CE" w:rsidP="00876969">
            <w:pPr>
              <w:pStyle w:val="KeinLeerraum"/>
              <w:rPr>
                <w:color w:val="000000" w:themeColor="text1"/>
                <w:sz w:val="22"/>
                <w:szCs w:val="22"/>
              </w:rPr>
            </w:pPr>
          </w:p>
        </w:tc>
        <w:tc>
          <w:tcPr>
            <w:tcW w:w="4678" w:type="dxa"/>
          </w:tcPr>
          <w:p w14:paraId="1A723EB0"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România</w:t>
            </w:r>
          </w:p>
          <w:p w14:paraId="2BDB9B23"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Pharmaceuticals S.R.L.</w:t>
            </w:r>
          </w:p>
          <w:p w14:paraId="22DB6635"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w:t>
            </w:r>
            <w:r w:rsidRPr="00776407">
              <w:rPr>
                <w:noProof/>
                <w:color w:val="000000" w:themeColor="text1"/>
                <w:sz w:val="22"/>
                <w:szCs w:val="22"/>
              </w:rPr>
              <w:t>40 212306524</w:t>
            </w:r>
          </w:p>
          <w:p w14:paraId="55ECC696" w14:textId="77777777" w:rsidR="004D72CE" w:rsidRPr="00776407" w:rsidRDefault="004D72CE" w:rsidP="00876969">
            <w:pPr>
              <w:pStyle w:val="KeinLeerraum"/>
              <w:rPr>
                <w:color w:val="000000" w:themeColor="text1"/>
                <w:sz w:val="22"/>
                <w:szCs w:val="22"/>
              </w:rPr>
            </w:pPr>
          </w:p>
        </w:tc>
      </w:tr>
      <w:tr w:rsidR="004D72CE" w:rsidRPr="00776407" w14:paraId="288F3D2A" w14:textId="77777777" w:rsidTr="00876969">
        <w:trPr>
          <w:cantSplit/>
        </w:trPr>
        <w:tc>
          <w:tcPr>
            <w:tcW w:w="4678" w:type="dxa"/>
            <w:gridSpan w:val="2"/>
          </w:tcPr>
          <w:p w14:paraId="34098DBA"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Ireland</w:t>
            </w:r>
          </w:p>
          <w:p w14:paraId="6D8ED6FC"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Pharmaceuticals Ireland</w:t>
            </w:r>
          </w:p>
          <w:p w14:paraId="1BDA6727" w14:textId="7C1D2BDE" w:rsidR="004D72CE" w:rsidRPr="00776407" w:rsidRDefault="004D72CE" w:rsidP="00876969">
            <w:pPr>
              <w:pStyle w:val="KeinLeerraum"/>
              <w:rPr>
                <w:color w:val="000000" w:themeColor="text1"/>
                <w:sz w:val="22"/>
                <w:szCs w:val="22"/>
              </w:rPr>
            </w:pPr>
            <w:r w:rsidRPr="00776407">
              <w:rPr>
                <w:color w:val="000000" w:themeColor="text1"/>
                <w:sz w:val="22"/>
                <w:szCs w:val="22"/>
              </w:rPr>
              <w:t>Tel: +353 19127700</w:t>
            </w:r>
          </w:p>
          <w:p w14:paraId="24B40256" w14:textId="77777777" w:rsidR="004D72CE" w:rsidRPr="00776407" w:rsidRDefault="004D72CE" w:rsidP="00876969">
            <w:pPr>
              <w:pStyle w:val="KeinLeerraum"/>
              <w:rPr>
                <w:color w:val="000000" w:themeColor="text1"/>
                <w:sz w:val="22"/>
                <w:szCs w:val="22"/>
              </w:rPr>
            </w:pPr>
          </w:p>
        </w:tc>
        <w:tc>
          <w:tcPr>
            <w:tcW w:w="4678" w:type="dxa"/>
          </w:tcPr>
          <w:p w14:paraId="28CA5571"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Slovenija</w:t>
            </w:r>
          </w:p>
          <w:p w14:paraId="753C8C5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Pliva Ljubljana d.o.o.</w:t>
            </w:r>
          </w:p>
          <w:p w14:paraId="2EE1D475"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+386 15890390</w:t>
            </w:r>
          </w:p>
          <w:p w14:paraId="28A04BF8" w14:textId="77777777" w:rsidR="004D72CE" w:rsidRPr="00776407" w:rsidRDefault="004D72CE" w:rsidP="00876969">
            <w:pPr>
              <w:pStyle w:val="KeinLeerraum"/>
              <w:rPr>
                <w:b/>
                <w:color w:val="000000" w:themeColor="text1"/>
                <w:sz w:val="22"/>
                <w:szCs w:val="22"/>
              </w:rPr>
            </w:pPr>
          </w:p>
        </w:tc>
      </w:tr>
      <w:tr w:rsidR="004D72CE" w:rsidRPr="00776407" w14:paraId="0D386AC6" w14:textId="77777777" w:rsidTr="00876969">
        <w:trPr>
          <w:cantSplit/>
        </w:trPr>
        <w:tc>
          <w:tcPr>
            <w:tcW w:w="4678" w:type="dxa"/>
            <w:gridSpan w:val="2"/>
          </w:tcPr>
          <w:p w14:paraId="1A2A4675"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Ísland</w:t>
            </w:r>
          </w:p>
          <w:p w14:paraId="62DDB3F1"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6E4D22A7"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Sími: +354 5503300</w:t>
            </w:r>
          </w:p>
          <w:p w14:paraId="20375569" w14:textId="77777777" w:rsidR="004D72CE" w:rsidRPr="00776407" w:rsidRDefault="004D72CE" w:rsidP="00876969">
            <w:pPr>
              <w:pStyle w:val="KeinLeerraum"/>
              <w:rPr>
                <w:b/>
                <w:color w:val="000000" w:themeColor="text1"/>
                <w:sz w:val="22"/>
                <w:szCs w:val="22"/>
              </w:rPr>
            </w:pPr>
          </w:p>
        </w:tc>
        <w:tc>
          <w:tcPr>
            <w:tcW w:w="4678" w:type="dxa"/>
          </w:tcPr>
          <w:p w14:paraId="05D45079"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Slovenská republika</w:t>
            </w:r>
          </w:p>
          <w:p w14:paraId="3D1FF5B1"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TEVA Pharmaceuticals Slovakia s.r.o.</w:t>
            </w:r>
          </w:p>
          <w:p w14:paraId="0E2168F0"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+421 2</w:t>
            </w:r>
            <w:r w:rsidRPr="00776407">
              <w:rPr>
                <w:noProof/>
                <w:color w:val="000000" w:themeColor="text1"/>
                <w:sz w:val="22"/>
                <w:szCs w:val="22"/>
              </w:rPr>
              <w:t>57267911</w:t>
            </w:r>
          </w:p>
          <w:p w14:paraId="32C3664D" w14:textId="77777777" w:rsidR="004D72CE" w:rsidRPr="00776407" w:rsidRDefault="004D72CE" w:rsidP="00876969">
            <w:pPr>
              <w:pStyle w:val="KeinLeerraum"/>
              <w:rPr>
                <w:color w:val="000000" w:themeColor="text1"/>
                <w:sz w:val="22"/>
                <w:szCs w:val="22"/>
              </w:rPr>
            </w:pPr>
          </w:p>
        </w:tc>
      </w:tr>
      <w:tr w:rsidR="004D72CE" w:rsidRPr="00776407" w14:paraId="3EEA04DD" w14:textId="77777777" w:rsidTr="00876969">
        <w:trPr>
          <w:cantSplit/>
        </w:trPr>
        <w:tc>
          <w:tcPr>
            <w:tcW w:w="4678" w:type="dxa"/>
            <w:gridSpan w:val="2"/>
          </w:tcPr>
          <w:p w14:paraId="4864D664"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Italia</w:t>
            </w:r>
          </w:p>
          <w:p w14:paraId="5F819776"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099C819B"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Islanda</w:t>
            </w:r>
          </w:p>
          <w:p w14:paraId="5424D4D3"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Tel: +354 5503300</w:t>
            </w:r>
          </w:p>
          <w:p w14:paraId="2405815D" w14:textId="77777777" w:rsidR="004D72CE" w:rsidRPr="00776407" w:rsidRDefault="004D72CE" w:rsidP="00876969">
            <w:pPr>
              <w:pStyle w:val="KeinLeerraum"/>
              <w:rPr>
                <w:b/>
                <w:color w:val="000000" w:themeColor="text1"/>
                <w:sz w:val="22"/>
                <w:szCs w:val="22"/>
              </w:rPr>
            </w:pPr>
          </w:p>
        </w:tc>
        <w:tc>
          <w:tcPr>
            <w:tcW w:w="4678" w:type="dxa"/>
          </w:tcPr>
          <w:p w14:paraId="0240970B"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Suomi/Finland</w:t>
            </w:r>
          </w:p>
          <w:p w14:paraId="02EF34B3" w14:textId="0628E2F5" w:rsidR="004D72CE" w:rsidRPr="00776407" w:rsidRDefault="004D72CE" w:rsidP="00876969">
            <w:pPr>
              <w:pStyle w:val="KeinLeerraum"/>
              <w:rPr>
                <w:color w:val="000000" w:themeColor="text1"/>
                <w:sz w:val="22"/>
                <w:szCs w:val="22"/>
              </w:rPr>
            </w:pPr>
            <w:r w:rsidRPr="00776407">
              <w:rPr>
                <w:color w:val="000000" w:themeColor="text1"/>
                <w:sz w:val="22"/>
                <w:szCs w:val="22"/>
              </w:rPr>
              <w:t>Teva Finland Oy</w:t>
            </w:r>
          </w:p>
          <w:p w14:paraId="2DC5773F"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Puh/Tel: +358 201805900</w:t>
            </w:r>
          </w:p>
          <w:p w14:paraId="0B7C698D" w14:textId="77777777" w:rsidR="004D72CE" w:rsidRPr="00776407" w:rsidRDefault="004D72CE" w:rsidP="00876969">
            <w:pPr>
              <w:pStyle w:val="KeinLeerraum"/>
              <w:rPr>
                <w:b/>
                <w:color w:val="000000" w:themeColor="text1"/>
                <w:sz w:val="22"/>
                <w:szCs w:val="22"/>
              </w:rPr>
            </w:pPr>
          </w:p>
        </w:tc>
      </w:tr>
      <w:tr w:rsidR="004D72CE" w:rsidRPr="00776407" w14:paraId="0E456F3C" w14:textId="77777777" w:rsidTr="00876969">
        <w:trPr>
          <w:cantSplit/>
        </w:trPr>
        <w:tc>
          <w:tcPr>
            <w:tcW w:w="4678" w:type="dxa"/>
            <w:gridSpan w:val="2"/>
          </w:tcPr>
          <w:p w14:paraId="32C9666E"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Κύπρος</w:t>
            </w:r>
          </w:p>
          <w:p w14:paraId="736B631F"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Specifar A.B.E.E.</w:t>
            </w:r>
          </w:p>
          <w:p w14:paraId="79C6A24E"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Ελλάδα</w:t>
            </w:r>
          </w:p>
          <w:p w14:paraId="544D88E4" w14:textId="6997757E" w:rsidR="004D72CE" w:rsidRPr="00776407" w:rsidRDefault="004D72CE" w:rsidP="00876969">
            <w:pPr>
              <w:pStyle w:val="KeinLeerraum"/>
              <w:rPr>
                <w:color w:val="000000" w:themeColor="text1"/>
                <w:sz w:val="22"/>
                <w:szCs w:val="22"/>
              </w:rPr>
            </w:pPr>
            <w:r w:rsidRPr="00776407">
              <w:rPr>
                <w:color w:val="000000" w:themeColor="text1"/>
                <w:sz w:val="22"/>
                <w:szCs w:val="22"/>
              </w:rPr>
              <w:t>Τηλ: +30 2118805000</w:t>
            </w:r>
          </w:p>
          <w:p w14:paraId="3D8964BA" w14:textId="77777777" w:rsidR="004D72CE" w:rsidRPr="00776407" w:rsidRDefault="004D72CE" w:rsidP="00876969">
            <w:pPr>
              <w:pStyle w:val="KeinLeerraum"/>
              <w:rPr>
                <w:color w:val="000000" w:themeColor="text1"/>
                <w:sz w:val="22"/>
                <w:szCs w:val="22"/>
              </w:rPr>
            </w:pPr>
          </w:p>
        </w:tc>
        <w:tc>
          <w:tcPr>
            <w:tcW w:w="4678" w:type="dxa"/>
          </w:tcPr>
          <w:p w14:paraId="5AE9FB80"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Sverige</w:t>
            </w:r>
          </w:p>
          <w:p w14:paraId="5D6245B9"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Sweden AB</w:t>
            </w:r>
          </w:p>
          <w:p w14:paraId="1E19BD73"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+46 42121100</w:t>
            </w:r>
          </w:p>
          <w:p w14:paraId="5C85A630" w14:textId="77777777" w:rsidR="004D72CE" w:rsidRPr="00776407" w:rsidRDefault="004D72CE" w:rsidP="00876969">
            <w:pPr>
              <w:pStyle w:val="KeinLeerraum"/>
              <w:rPr>
                <w:color w:val="000000" w:themeColor="text1"/>
                <w:sz w:val="22"/>
                <w:szCs w:val="22"/>
              </w:rPr>
            </w:pPr>
          </w:p>
        </w:tc>
      </w:tr>
      <w:tr w:rsidR="004D72CE" w:rsidRPr="00776407" w14:paraId="46E235EA" w14:textId="77777777" w:rsidTr="00876969">
        <w:trPr>
          <w:cantSplit/>
        </w:trPr>
        <w:tc>
          <w:tcPr>
            <w:tcW w:w="4678" w:type="dxa"/>
            <w:gridSpan w:val="2"/>
          </w:tcPr>
          <w:p w14:paraId="18C90493" w14:textId="77777777" w:rsidR="004D72CE" w:rsidRPr="00776407" w:rsidRDefault="004D72CE" w:rsidP="00876969">
            <w:pPr>
              <w:pStyle w:val="KeinLeerraum"/>
              <w:rPr>
                <w:b/>
                <w:bCs/>
                <w:color w:val="000000" w:themeColor="text1"/>
                <w:sz w:val="22"/>
                <w:szCs w:val="22"/>
                <w:lang w:eastAsia="en-GB"/>
              </w:rPr>
            </w:pPr>
            <w:r w:rsidRPr="00776407">
              <w:rPr>
                <w:b/>
                <w:bCs/>
                <w:color w:val="000000" w:themeColor="text1"/>
                <w:sz w:val="22"/>
                <w:szCs w:val="22"/>
                <w:lang w:eastAsia="en-GB"/>
              </w:rPr>
              <w:t>Latvija</w:t>
            </w:r>
          </w:p>
          <w:p w14:paraId="72C14295" w14:textId="72834E38" w:rsidR="004D72CE" w:rsidRPr="00776407" w:rsidRDefault="004D72CE" w:rsidP="00876969">
            <w:pPr>
              <w:rPr>
                <w:color w:val="000000" w:themeColor="text1"/>
                <w:sz w:val="22"/>
                <w:szCs w:val="22"/>
                <w:lang w:eastAsia="en-GB"/>
              </w:rPr>
            </w:pPr>
            <w:r w:rsidRPr="00776407">
              <w:rPr>
                <w:color w:val="000000" w:themeColor="text1"/>
                <w:sz w:val="22"/>
                <w:szCs w:val="22"/>
                <w:lang w:eastAsia="en-GB"/>
              </w:rPr>
              <w:t>UAB Teva Baltics filiāle Latvijā</w:t>
            </w:r>
          </w:p>
          <w:p w14:paraId="7B243D65" w14:textId="77777777" w:rsidR="004D72CE" w:rsidRPr="00776407" w:rsidRDefault="004D72CE" w:rsidP="00876969">
            <w:pPr>
              <w:pStyle w:val="KeinLeerraum"/>
              <w:rPr>
                <w:color w:val="000000" w:themeColor="text1"/>
                <w:sz w:val="22"/>
                <w:szCs w:val="22"/>
                <w:lang w:eastAsia="en-GB"/>
              </w:rPr>
            </w:pPr>
            <w:r w:rsidRPr="00776407">
              <w:rPr>
                <w:color w:val="000000" w:themeColor="text1"/>
                <w:sz w:val="22"/>
                <w:szCs w:val="22"/>
                <w:lang w:eastAsia="en-GB"/>
              </w:rPr>
              <w:t>Tel: +371 67323666</w:t>
            </w:r>
          </w:p>
          <w:p w14:paraId="385441DB" w14:textId="77777777" w:rsidR="004D72CE" w:rsidRPr="00776407" w:rsidRDefault="004D72CE" w:rsidP="00876969">
            <w:pPr>
              <w:pStyle w:val="KeinLeerraum"/>
              <w:rPr>
                <w:color w:val="000000" w:themeColor="text1"/>
                <w:sz w:val="22"/>
                <w:szCs w:val="22"/>
              </w:rPr>
            </w:pPr>
          </w:p>
        </w:tc>
        <w:tc>
          <w:tcPr>
            <w:tcW w:w="4678" w:type="dxa"/>
          </w:tcPr>
          <w:p w14:paraId="136F3345"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United Kingdom</w:t>
            </w:r>
          </w:p>
          <w:p w14:paraId="2C0EA733"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UK Limited</w:t>
            </w:r>
          </w:p>
          <w:p w14:paraId="49310DCB"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+44 1271385257</w:t>
            </w:r>
          </w:p>
          <w:p w14:paraId="79EAFC69" w14:textId="77777777" w:rsidR="004D72CE" w:rsidRPr="00776407" w:rsidRDefault="004D72CE" w:rsidP="00876969">
            <w:pPr>
              <w:pStyle w:val="KeinLeerraum"/>
              <w:rPr>
                <w:color w:val="000000" w:themeColor="text1"/>
                <w:sz w:val="22"/>
                <w:szCs w:val="22"/>
              </w:rPr>
            </w:pPr>
          </w:p>
        </w:tc>
      </w:tr>
    </w:tbl>
    <w:p w14:paraId="6F3B2FE4" w14:textId="77777777" w:rsidR="004D72CE" w:rsidRPr="00776407" w:rsidRDefault="004D72CE" w:rsidP="004D72CE">
      <w:pPr>
        <w:rPr>
          <w:color w:val="000000" w:themeColor="text1"/>
          <w:sz w:val="22"/>
          <w:szCs w:val="22"/>
        </w:rPr>
      </w:pPr>
    </w:p>
    <w:p w14:paraId="0679B900" w14:textId="77777777" w:rsidR="00A52D60" w:rsidRPr="00776407" w:rsidRDefault="00A52D60" w:rsidP="00A52D60">
      <w:pPr>
        <w:autoSpaceDE w:val="0"/>
        <w:autoSpaceDN w:val="0"/>
        <w:adjustRightInd w:val="0"/>
        <w:contextualSpacing/>
        <w:rPr>
          <w:b/>
          <w:bCs/>
          <w:sz w:val="22"/>
          <w:szCs w:val="22"/>
        </w:rPr>
      </w:pPr>
      <w:r w:rsidRPr="00776407">
        <w:rPr>
          <w:b/>
          <w:bCs/>
          <w:sz w:val="22"/>
          <w:szCs w:val="22"/>
        </w:rPr>
        <w:t>Šis pakuotės lapelis paskutinį kartą peržiūrėtas</w:t>
      </w:r>
    </w:p>
    <w:p w14:paraId="06BAF272" w14:textId="77777777" w:rsidR="00A52D60" w:rsidRPr="00776407" w:rsidRDefault="00A52D60" w:rsidP="00A52D60">
      <w:pPr>
        <w:autoSpaceDE w:val="0"/>
        <w:autoSpaceDN w:val="0"/>
        <w:adjustRightInd w:val="0"/>
        <w:contextualSpacing/>
        <w:rPr>
          <w:bCs/>
          <w:sz w:val="22"/>
          <w:szCs w:val="22"/>
        </w:rPr>
      </w:pPr>
    </w:p>
    <w:p w14:paraId="4CF3B0CB" w14:textId="77777777" w:rsidR="00A52D60" w:rsidRPr="00776407" w:rsidRDefault="00A52D60" w:rsidP="00A52D60">
      <w:pPr>
        <w:autoSpaceDE w:val="0"/>
        <w:autoSpaceDN w:val="0"/>
        <w:adjustRightInd w:val="0"/>
        <w:rPr>
          <w:rFonts w:eastAsia="Calibri"/>
          <w:color w:val="000000"/>
          <w:sz w:val="22"/>
          <w:szCs w:val="22"/>
        </w:rPr>
      </w:pPr>
      <w:r w:rsidRPr="00776407">
        <w:rPr>
          <w:rFonts w:eastAsia="Calibri"/>
          <w:b/>
          <w:bCs/>
          <w:color w:val="000000"/>
          <w:sz w:val="22"/>
          <w:szCs w:val="22"/>
        </w:rPr>
        <w:t xml:space="preserve">Kiti informacijos šaltiniai </w:t>
      </w:r>
    </w:p>
    <w:p w14:paraId="3BD22A1F" w14:textId="77777777" w:rsidR="00A52D60" w:rsidRPr="00776407" w:rsidRDefault="00A52D60" w:rsidP="00A52D60">
      <w:pPr>
        <w:autoSpaceDE w:val="0"/>
        <w:autoSpaceDN w:val="0"/>
        <w:adjustRightInd w:val="0"/>
        <w:contextualSpacing/>
        <w:rPr>
          <w:sz w:val="22"/>
          <w:szCs w:val="22"/>
        </w:rPr>
      </w:pPr>
      <w:r w:rsidRPr="00776407">
        <w:rPr>
          <w:rFonts w:eastAsia="Calibri"/>
          <w:color w:val="000000"/>
          <w:sz w:val="22"/>
          <w:szCs w:val="22"/>
        </w:rPr>
        <w:t xml:space="preserve">Išsami informacija apie šį vaistą pateikiama Europos vaistų agentūros tinklalapyje </w:t>
      </w:r>
      <w:hyperlink r:id="rId19" w:history="1">
        <w:r w:rsidRPr="00776407">
          <w:rPr>
            <w:rStyle w:val="Hyperlink"/>
            <w:rFonts w:eastAsia="Calibri"/>
            <w:sz w:val="22"/>
            <w:szCs w:val="22"/>
          </w:rPr>
          <w:t>http://www.ema.europa.eu</w:t>
        </w:r>
      </w:hyperlink>
      <w:r w:rsidR="00121DA9" w:rsidRPr="00776407">
        <w:rPr>
          <w:rFonts w:eastAsia="Calibri"/>
          <w:color w:val="000000"/>
          <w:sz w:val="22"/>
          <w:szCs w:val="22"/>
        </w:rPr>
        <w:t>.</w:t>
      </w:r>
    </w:p>
    <w:p w14:paraId="08A6C0F4" w14:textId="77777777" w:rsidR="002D2BD8" w:rsidRPr="00776407" w:rsidRDefault="00A52D60" w:rsidP="002D2BD8">
      <w:pPr>
        <w:pStyle w:val="Default"/>
        <w:jc w:val="center"/>
        <w:rPr>
          <w:rFonts w:ascii="Times New Roman" w:hAnsi="Times New Roman" w:cs="Times New Roman"/>
          <w:b/>
          <w:bCs/>
          <w:sz w:val="22"/>
          <w:szCs w:val="22"/>
          <w:lang w:val="lt-LT" w:eastAsia="is-IS"/>
        </w:rPr>
      </w:pPr>
      <w:r w:rsidRPr="00776407">
        <w:rPr>
          <w:b/>
          <w:sz w:val="22"/>
          <w:szCs w:val="22"/>
          <w:lang w:val="lt-LT"/>
        </w:rPr>
        <w:br w:type="page"/>
      </w:r>
      <w:r w:rsidR="002D2BD8" w:rsidRPr="00776407">
        <w:rPr>
          <w:rFonts w:ascii="Times New Roman" w:hAnsi="Times New Roman" w:cs="Times New Roman"/>
          <w:b/>
          <w:bCs/>
          <w:sz w:val="22"/>
          <w:szCs w:val="22"/>
          <w:lang w:val="lt-LT" w:eastAsia="is-IS"/>
        </w:rPr>
        <w:t>Pakuotės lapelis: informacija vartotojui</w:t>
      </w:r>
    </w:p>
    <w:p w14:paraId="00451461" w14:textId="77777777" w:rsidR="002D2BD8" w:rsidRPr="00776407" w:rsidRDefault="002D2BD8" w:rsidP="002D2BD8">
      <w:pPr>
        <w:autoSpaceDE w:val="0"/>
        <w:autoSpaceDN w:val="0"/>
        <w:adjustRightInd w:val="0"/>
        <w:jc w:val="center"/>
        <w:rPr>
          <w:rFonts w:eastAsia="Calibri"/>
          <w:color w:val="000000"/>
          <w:sz w:val="22"/>
          <w:szCs w:val="22"/>
        </w:rPr>
      </w:pPr>
    </w:p>
    <w:p w14:paraId="752B8881" w14:textId="77777777" w:rsidR="002D2BD8" w:rsidRPr="00776407" w:rsidRDefault="002D2BD8" w:rsidP="002D2BD8">
      <w:pPr>
        <w:widowControl w:val="0"/>
        <w:tabs>
          <w:tab w:val="left" w:pos="9356"/>
        </w:tabs>
        <w:autoSpaceDE w:val="0"/>
        <w:autoSpaceDN w:val="0"/>
        <w:adjustRightInd w:val="0"/>
        <w:ind w:right="50"/>
        <w:jc w:val="center"/>
        <w:rPr>
          <w:sz w:val="22"/>
          <w:szCs w:val="22"/>
        </w:rPr>
      </w:pPr>
      <w:r w:rsidRPr="00776407">
        <w:rPr>
          <w:b/>
          <w:bCs/>
          <w:spacing w:val="-1"/>
          <w:sz w:val="22"/>
          <w:szCs w:val="22"/>
        </w:rPr>
        <w:t>Imatinib Actavis</w:t>
      </w:r>
      <w:r w:rsidRPr="00776407">
        <w:rPr>
          <w:b/>
          <w:bCs/>
          <w:spacing w:val="1"/>
          <w:sz w:val="22"/>
          <w:szCs w:val="22"/>
        </w:rPr>
        <w:t xml:space="preserve"> 400</w:t>
      </w:r>
      <w:r w:rsidRPr="00776407">
        <w:rPr>
          <w:b/>
          <w:bCs/>
          <w:sz w:val="22"/>
          <w:szCs w:val="22"/>
        </w:rPr>
        <w:t> </w:t>
      </w:r>
      <w:r w:rsidRPr="00776407">
        <w:rPr>
          <w:b/>
          <w:bCs/>
          <w:spacing w:val="1"/>
          <w:sz w:val="22"/>
          <w:szCs w:val="22"/>
        </w:rPr>
        <w:t>m</w:t>
      </w:r>
      <w:r w:rsidRPr="00776407">
        <w:rPr>
          <w:b/>
          <w:bCs/>
          <w:sz w:val="22"/>
          <w:szCs w:val="22"/>
        </w:rPr>
        <w:t>g kietosios kapsulės</w:t>
      </w:r>
    </w:p>
    <w:p w14:paraId="2220B0B5" w14:textId="27654187" w:rsidR="002D2BD8" w:rsidRPr="00776407" w:rsidRDefault="00532218" w:rsidP="002D2BD8">
      <w:pPr>
        <w:autoSpaceDE w:val="0"/>
        <w:autoSpaceDN w:val="0"/>
        <w:adjustRightInd w:val="0"/>
        <w:jc w:val="center"/>
        <w:rPr>
          <w:rFonts w:eastAsia="Calibri"/>
          <w:color w:val="000000"/>
          <w:sz w:val="22"/>
          <w:szCs w:val="22"/>
        </w:rPr>
      </w:pPr>
      <w:r w:rsidRPr="00776407">
        <w:rPr>
          <w:rFonts w:eastAsia="Calibri"/>
          <w:color w:val="000000"/>
          <w:sz w:val="22"/>
          <w:szCs w:val="22"/>
        </w:rPr>
        <w:t>i</w:t>
      </w:r>
      <w:r w:rsidR="002D2BD8" w:rsidRPr="00776407">
        <w:rPr>
          <w:rFonts w:eastAsia="Calibri"/>
          <w:color w:val="000000"/>
          <w:sz w:val="22"/>
          <w:szCs w:val="22"/>
        </w:rPr>
        <w:t>matinibas</w:t>
      </w:r>
      <w:r w:rsidR="00EA6C95" w:rsidRPr="00776407">
        <w:rPr>
          <w:rFonts w:eastAsia="Calibri"/>
          <w:color w:val="000000"/>
          <w:sz w:val="22"/>
          <w:szCs w:val="22"/>
        </w:rPr>
        <w:t xml:space="preserve"> </w:t>
      </w:r>
      <w:r w:rsidR="00EA6C95" w:rsidRPr="00776407">
        <w:rPr>
          <w:rFonts w:eastAsia="Calibri"/>
          <w:i/>
          <w:color w:val="000000"/>
          <w:sz w:val="22"/>
          <w:szCs w:val="22"/>
        </w:rPr>
        <w:t>(</w:t>
      </w:r>
      <w:r w:rsidRPr="00776407">
        <w:rPr>
          <w:rFonts w:eastAsia="Calibri"/>
          <w:i/>
          <w:color w:val="000000"/>
          <w:sz w:val="22"/>
          <w:szCs w:val="22"/>
        </w:rPr>
        <w:t>i</w:t>
      </w:r>
      <w:r w:rsidR="00EA6C95" w:rsidRPr="00776407">
        <w:rPr>
          <w:rFonts w:eastAsia="Calibri"/>
          <w:i/>
          <w:color w:val="000000"/>
          <w:sz w:val="22"/>
          <w:szCs w:val="22"/>
        </w:rPr>
        <w:t>matinibum)</w:t>
      </w:r>
    </w:p>
    <w:p w14:paraId="5B27CA92" w14:textId="77777777" w:rsidR="002D2BD8" w:rsidRPr="00776407" w:rsidRDefault="002D2BD8" w:rsidP="002D2BD8">
      <w:pPr>
        <w:ind w:right="-1"/>
        <w:jc w:val="center"/>
        <w:rPr>
          <w:rFonts w:eastAsia="Calibri"/>
          <w:sz w:val="22"/>
          <w:szCs w:val="22"/>
        </w:rPr>
      </w:pPr>
    </w:p>
    <w:p w14:paraId="2093336F" w14:textId="77777777" w:rsidR="002D2BD8" w:rsidRPr="00776407" w:rsidRDefault="002D2BD8" w:rsidP="002D2BD8">
      <w:pPr>
        <w:autoSpaceDE w:val="0"/>
        <w:autoSpaceDN w:val="0"/>
        <w:adjustRightInd w:val="0"/>
        <w:rPr>
          <w:rFonts w:eastAsia="Calibri"/>
          <w:sz w:val="22"/>
          <w:szCs w:val="22"/>
        </w:rPr>
      </w:pPr>
    </w:p>
    <w:p w14:paraId="4A28EE7C" w14:textId="77777777" w:rsidR="002D2BD8" w:rsidRPr="00776407" w:rsidRDefault="002D2BD8" w:rsidP="002D2BD8">
      <w:pPr>
        <w:autoSpaceDE w:val="0"/>
        <w:autoSpaceDN w:val="0"/>
        <w:adjustRightInd w:val="0"/>
        <w:rPr>
          <w:rFonts w:eastAsia="Calibri"/>
          <w:color w:val="000000"/>
          <w:sz w:val="22"/>
          <w:szCs w:val="22"/>
        </w:rPr>
      </w:pPr>
      <w:r w:rsidRPr="00776407">
        <w:rPr>
          <w:rFonts w:eastAsia="Calibri"/>
          <w:b/>
          <w:bCs/>
          <w:color w:val="000000"/>
          <w:sz w:val="22"/>
          <w:szCs w:val="22"/>
        </w:rPr>
        <w:t xml:space="preserve">Atidžiai perskaitykite visą šį lapelį, prieš pradėdami vartoti vaistą, nes jame pateikiama Jums svarbi informacija. </w:t>
      </w:r>
    </w:p>
    <w:p w14:paraId="1F51D7A0" w14:textId="77777777" w:rsidR="002D2BD8" w:rsidRPr="00776407" w:rsidRDefault="002D2BD8" w:rsidP="002D2BD8">
      <w:pPr>
        <w:autoSpaceDE w:val="0"/>
        <w:autoSpaceDN w:val="0"/>
        <w:adjustRightInd w:val="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Neišmeskite šio lapelio, nes vėl gali prireikti jį perskaityti. </w:t>
      </w:r>
    </w:p>
    <w:p w14:paraId="21C9E108" w14:textId="77777777" w:rsidR="002D2BD8" w:rsidRPr="00776407" w:rsidRDefault="002D2BD8" w:rsidP="002D2BD8">
      <w:pPr>
        <w:autoSpaceDE w:val="0"/>
        <w:autoSpaceDN w:val="0"/>
        <w:adjustRightInd w:val="0"/>
        <w:spacing w:after="23"/>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Jeigu kiltų daugiau klausimų, kreipkitės į gydytoją, vaistininką arba slaugytoją. </w:t>
      </w:r>
    </w:p>
    <w:p w14:paraId="58CAA375" w14:textId="77777777" w:rsidR="002D2BD8" w:rsidRPr="00776407" w:rsidRDefault="002D2BD8" w:rsidP="002D2BD8">
      <w:pPr>
        <w:autoSpaceDE w:val="0"/>
        <w:autoSpaceDN w:val="0"/>
        <w:adjustRightInd w:val="0"/>
        <w:spacing w:after="23"/>
        <w:ind w:left="720" w:hanging="72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Šis vaistas skirtas tik Jums, todėl kitiems žmonėms jo duoti negalima. Vaistas gali jiems pakenkti (net tiems, kurių ligos požymiai yra tokie patys kaip Jūsų). </w:t>
      </w:r>
    </w:p>
    <w:p w14:paraId="70ED9824" w14:textId="77777777" w:rsidR="002D2BD8" w:rsidRPr="00776407" w:rsidRDefault="002D2BD8" w:rsidP="002D2BD8">
      <w:pPr>
        <w:autoSpaceDE w:val="0"/>
        <w:autoSpaceDN w:val="0"/>
        <w:adjustRightInd w:val="0"/>
        <w:ind w:left="720" w:hanging="72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Jeigu pasireiškė šalutinis poveikis (net jeigu jis šiame lapelyje nenurodytas), kreipkitės į gydytoją, vaistininką arba slaugytoją. Žr. 4 skyrių.</w:t>
      </w:r>
    </w:p>
    <w:p w14:paraId="65F298B5" w14:textId="77777777" w:rsidR="002D2BD8" w:rsidRPr="00776407" w:rsidRDefault="002D2BD8" w:rsidP="002D2BD8">
      <w:pPr>
        <w:autoSpaceDE w:val="0"/>
        <w:autoSpaceDN w:val="0"/>
        <w:adjustRightInd w:val="0"/>
        <w:rPr>
          <w:rFonts w:eastAsia="Calibri"/>
          <w:color w:val="000000"/>
          <w:sz w:val="22"/>
          <w:szCs w:val="22"/>
        </w:rPr>
      </w:pPr>
    </w:p>
    <w:p w14:paraId="26D94CDE" w14:textId="77777777" w:rsidR="002D2BD8" w:rsidRPr="00776407" w:rsidRDefault="002D2BD8" w:rsidP="002D2BD8">
      <w:pPr>
        <w:autoSpaceDE w:val="0"/>
        <w:autoSpaceDN w:val="0"/>
        <w:adjustRightInd w:val="0"/>
        <w:rPr>
          <w:rFonts w:eastAsia="Calibri"/>
          <w:b/>
          <w:bCs/>
          <w:color w:val="000000"/>
          <w:sz w:val="22"/>
          <w:szCs w:val="22"/>
        </w:rPr>
      </w:pPr>
      <w:r w:rsidRPr="00776407">
        <w:rPr>
          <w:rFonts w:eastAsia="Calibri"/>
          <w:b/>
          <w:bCs/>
          <w:color w:val="000000"/>
          <w:sz w:val="22"/>
          <w:szCs w:val="22"/>
        </w:rPr>
        <w:t xml:space="preserve">Apie ką rašoma šiame lapelyje? </w:t>
      </w:r>
    </w:p>
    <w:p w14:paraId="7966B6D0" w14:textId="77777777" w:rsidR="002D2BD8" w:rsidRPr="00776407" w:rsidRDefault="002D2BD8" w:rsidP="002D2BD8">
      <w:pPr>
        <w:autoSpaceDE w:val="0"/>
        <w:autoSpaceDN w:val="0"/>
        <w:adjustRightInd w:val="0"/>
        <w:rPr>
          <w:rFonts w:eastAsia="Calibri"/>
          <w:color w:val="000000"/>
          <w:sz w:val="22"/>
          <w:szCs w:val="22"/>
        </w:rPr>
      </w:pPr>
    </w:p>
    <w:p w14:paraId="7480456B" w14:textId="77777777" w:rsidR="002D2BD8" w:rsidRPr="00776407" w:rsidRDefault="002D2BD8" w:rsidP="002D2BD8">
      <w:pPr>
        <w:autoSpaceDE w:val="0"/>
        <w:autoSpaceDN w:val="0"/>
        <w:adjustRightInd w:val="0"/>
        <w:rPr>
          <w:rFonts w:eastAsia="Calibri"/>
          <w:color w:val="000000"/>
          <w:sz w:val="22"/>
          <w:szCs w:val="22"/>
        </w:rPr>
      </w:pPr>
      <w:r w:rsidRPr="00776407">
        <w:rPr>
          <w:rFonts w:eastAsia="Calibri"/>
          <w:color w:val="000000"/>
          <w:sz w:val="22"/>
          <w:szCs w:val="22"/>
        </w:rPr>
        <w:t xml:space="preserve">1. Kas yra Imatinib Actavis ir kam jis vartojamas </w:t>
      </w:r>
    </w:p>
    <w:p w14:paraId="77F3FD73" w14:textId="77777777" w:rsidR="002D2BD8" w:rsidRPr="00776407" w:rsidRDefault="002D2BD8" w:rsidP="002D2BD8">
      <w:pPr>
        <w:autoSpaceDE w:val="0"/>
        <w:autoSpaceDN w:val="0"/>
        <w:adjustRightInd w:val="0"/>
        <w:rPr>
          <w:rFonts w:eastAsia="Calibri"/>
          <w:color w:val="000000"/>
          <w:sz w:val="22"/>
          <w:szCs w:val="22"/>
        </w:rPr>
      </w:pPr>
      <w:r w:rsidRPr="00776407">
        <w:rPr>
          <w:rFonts w:eastAsia="Calibri"/>
          <w:color w:val="000000"/>
          <w:sz w:val="22"/>
          <w:szCs w:val="22"/>
        </w:rPr>
        <w:t xml:space="preserve">2. Kas žinotina prieš vartojant Imatinib Actavis </w:t>
      </w:r>
    </w:p>
    <w:p w14:paraId="664F0E0D" w14:textId="77777777" w:rsidR="002D2BD8" w:rsidRPr="00776407" w:rsidRDefault="002D2BD8" w:rsidP="002D2BD8">
      <w:pPr>
        <w:autoSpaceDE w:val="0"/>
        <w:autoSpaceDN w:val="0"/>
        <w:adjustRightInd w:val="0"/>
        <w:rPr>
          <w:rFonts w:eastAsia="Calibri"/>
          <w:color w:val="000000"/>
          <w:sz w:val="22"/>
          <w:szCs w:val="22"/>
        </w:rPr>
      </w:pPr>
      <w:r w:rsidRPr="00776407">
        <w:rPr>
          <w:rFonts w:eastAsia="Calibri"/>
          <w:color w:val="000000"/>
          <w:sz w:val="22"/>
          <w:szCs w:val="22"/>
        </w:rPr>
        <w:t xml:space="preserve">3. Kaip vartoti Imatinib Actavis </w:t>
      </w:r>
    </w:p>
    <w:p w14:paraId="01DAEA82" w14:textId="77777777" w:rsidR="002D2BD8" w:rsidRPr="00776407" w:rsidRDefault="002D2BD8" w:rsidP="002D2BD8">
      <w:pPr>
        <w:autoSpaceDE w:val="0"/>
        <w:autoSpaceDN w:val="0"/>
        <w:adjustRightInd w:val="0"/>
        <w:rPr>
          <w:rFonts w:eastAsia="Calibri"/>
          <w:color w:val="000000"/>
          <w:sz w:val="22"/>
          <w:szCs w:val="22"/>
        </w:rPr>
      </w:pPr>
      <w:r w:rsidRPr="00776407">
        <w:rPr>
          <w:rFonts w:eastAsia="Calibri"/>
          <w:color w:val="000000"/>
          <w:sz w:val="22"/>
          <w:szCs w:val="22"/>
        </w:rPr>
        <w:t xml:space="preserve">4. Galimas šalutinis poveikis </w:t>
      </w:r>
    </w:p>
    <w:p w14:paraId="46633247" w14:textId="77777777" w:rsidR="002D2BD8" w:rsidRPr="00776407" w:rsidRDefault="002D2BD8" w:rsidP="002D2BD8">
      <w:pPr>
        <w:autoSpaceDE w:val="0"/>
        <w:autoSpaceDN w:val="0"/>
        <w:adjustRightInd w:val="0"/>
        <w:rPr>
          <w:rFonts w:eastAsia="Calibri"/>
          <w:color w:val="000000"/>
          <w:sz w:val="22"/>
          <w:szCs w:val="22"/>
        </w:rPr>
      </w:pPr>
      <w:r w:rsidRPr="00776407">
        <w:rPr>
          <w:rFonts w:eastAsia="Calibri"/>
          <w:color w:val="000000"/>
          <w:sz w:val="22"/>
          <w:szCs w:val="22"/>
        </w:rPr>
        <w:t>5. Kaip laikyti Imatinib Actavis</w:t>
      </w:r>
    </w:p>
    <w:p w14:paraId="668C9859" w14:textId="77777777" w:rsidR="002D2BD8" w:rsidRPr="00776407" w:rsidRDefault="002D2BD8" w:rsidP="002D2BD8">
      <w:pPr>
        <w:autoSpaceDE w:val="0"/>
        <w:autoSpaceDN w:val="0"/>
        <w:adjustRightInd w:val="0"/>
        <w:rPr>
          <w:rFonts w:eastAsia="Calibri"/>
          <w:color w:val="000000"/>
          <w:sz w:val="22"/>
          <w:szCs w:val="22"/>
        </w:rPr>
      </w:pPr>
      <w:r w:rsidRPr="00776407">
        <w:rPr>
          <w:rFonts w:eastAsia="Calibri"/>
          <w:color w:val="000000"/>
          <w:sz w:val="22"/>
          <w:szCs w:val="22"/>
        </w:rPr>
        <w:t xml:space="preserve">6. Pakuotės turinys ir kita informacija </w:t>
      </w:r>
    </w:p>
    <w:p w14:paraId="3ABD74E9" w14:textId="77777777" w:rsidR="002D2BD8" w:rsidRPr="00776407" w:rsidRDefault="002D2BD8" w:rsidP="002D2BD8">
      <w:pPr>
        <w:autoSpaceDE w:val="0"/>
        <w:autoSpaceDN w:val="0"/>
        <w:adjustRightInd w:val="0"/>
        <w:rPr>
          <w:rFonts w:eastAsia="Calibri"/>
          <w:sz w:val="22"/>
          <w:szCs w:val="22"/>
        </w:rPr>
      </w:pPr>
    </w:p>
    <w:p w14:paraId="113ADBAD" w14:textId="77777777" w:rsidR="002D2BD8" w:rsidRPr="00776407" w:rsidRDefault="002D2BD8" w:rsidP="002D2BD8">
      <w:pPr>
        <w:autoSpaceDE w:val="0"/>
        <w:autoSpaceDN w:val="0"/>
        <w:adjustRightInd w:val="0"/>
        <w:rPr>
          <w:rFonts w:eastAsia="Calibri"/>
          <w:sz w:val="22"/>
          <w:szCs w:val="22"/>
        </w:rPr>
      </w:pPr>
    </w:p>
    <w:p w14:paraId="1A0A24D6" w14:textId="77777777" w:rsidR="002D2BD8" w:rsidRPr="00776407" w:rsidRDefault="002D2BD8" w:rsidP="002D2BD8">
      <w:pPr>
        <w:autoSpaceDE w:val="0"/>
        <w:autoSpaceDN w:val="0"/>
        <w:adjustRightInd w:val="0"/>
        <w:contextualSpacing/>
        <w:rPr>
          <w:rFonts w:eastAsia="Calibri"/>
          <w:b/>
          <w:bCs/>
          <w:color w:val="000000"/>
          <w:sz w:val="22"/>
          <w:szCs w:val="22"/>
        </w:rPr>
      </w:pPr>
      <w:r w:rsidRPr="00776407">
        <w:rPr>
          <w:b/>
          <w:bCs/>
        </w:rPr>
        <w:t>1.</w:t>
      </w:r>
      <w:r w:rsidRPr="00776407">
        <w:rPr>
          <w:b/>
          <w:bCs/>
        </w:rPr>
        <w:tab/>
      </w:r>
      <w:r w:rsidRPr="00776407">
        <w:rPr>
          <w:rFonts w:eastAsia="Calibri"/>
          <w:b/>
          <w:bCs/>
          <w:color w:val="000000"/>
          <w:sz w:val="22"/>
          <w:szCs w:val="22"/>
        </w:rPr>
        <w:t xml:space="preserve">Kas yra Imatinib Actavis ir kam jis vartojamas </w:t>
      </w:r>
    </w:p>
    <w:p w14:paraId="1233E6EF" w14:textId="77777777" w:rsidR="002D2BD8" w:rsidRPr="00776407" w:rsidRDefault="002D2BD8" w:rsidP="002D2BD8">
      <w:pPr>
        <w:autoSpaceDE w:val="0"/>
        <w:autoSpaceDN w:val="0"/>
        <w:adjustRightInd w:val="0"/>
        <w:rPr>
          <w:rFonts w:eastAsia="Calibri"/>
          <w:color w:val="000000"/>
          <w:sz w:val="22"/>
          <w:szCs w:val="22"/>
        </w:rPr>
      </w:pPr>
    </w:p>
    <w:p w14:paraId="6C2F1359" w14:textId="77777777" w:rsidR="002D2BD8" w:rsidRPr="00776407" w:rsidRDefault="002D2BD8" w:rsidP="002D2BD8">
      <w:pPr>
        <w:autoSpaceDE w:val="0"/>
        <w:autoSpaceDN w:val="0"/>
        <w:adjustRightInd w:val="0"/>
        <w:rPr>
          <w:sz w:val="22"/>
          <w:szCs w:val="22"/>
        </w:rPr>
      </w:pPr>
      <w:r w:rsidRPr="00776407">
        <w:rPr>
          <w:rFonts w:eastAsia="Calibri"/>
          <w:color w:val="000000"/>
          <w:sz w:val="22"/>
          <w:szCs w:val="22"/>
        </w:rPr>
        <w:t xml:space="preserve">Imatinib Actavis yra vaistas, kurio sudėtyje yra veikliosios medžiagos imatinibo. Šis vaistas veikia slopindamas nenormalių ląstelių augimą, sergant </w:t>
      </w:r>
      <w:r w:rsidRPr="00776407">
        <w:rPr>
          <w:sz w:val="22"/>
          <w:szCs w:val="22"/>
        </w:rPr>
        <w:t xml:space="preserve">toliau išvardytomis ligomis. Jos apima ir kai kurių tipų vėžinius susirgimus. </w:t>
      </w:r>
    </w:p>
    <w:p w14:paraId="650623D5" w14:textId="77777777" w:rsidR="002D2BD8" w:rsidRPr="00776407" w:rsidRDefault="002D2BD8" w:rsidP="002D2BD8">
      <w:pPr>
        <w:keepNext/>
        <w:autoSpaceDE w:val="0"/>
        <w:autoSpaceDN w:val="0"/>
        <w:adjustRightInd w:val="0"/>
        <w:rPr>
          <w:rFonts w:eastAsia="Calibri"/>
          <w:sz w:val="22"/>
          <w:szCs w:val="22"/>
        </w:rPr>
      </w:pPr>
    </w:p>
    <w:p w14:paraId="37998ECD" w14:textId="77777777" w:rsidR="00447E0D" w:rsidRPr="00776407" w:rsidRDefault="00B4566D" w:rsidP="00447E0D">
      <w:pPr>
        <w:autoSpaceDE w:val="0"/>
        <w:autoSpaceDN w:val="0"/>
        <w:adjustRightInd w:val="0"/>
        <w:rPr>
          <w:rFonts w:eastAsia="Calibri"/>
          <w:b/>
          <w:bCs/>
          <w:sz w:val="22"/>
          <w:szCs w:val="22"/>
        </w:rPr>
      </w:pPr>
      <w:r w:rsidRPr="00776407">
        <w:rPr>
          <w:rFonts w:eastAsia="Calibri"/>
          <w:b/>
          <w:bCs/>
          <w:sz w:val="22"/>
          <w:szCs w:val="22"/>
        </w:rPr>
        <w:t>Imatinib Actavis vartojamas gydyti:</w:t>
      </w:r>
    </w:p>
    <w:p w14:paraId="190821F2" w14:textId="77777777" w:rsidR="002D2BD8" w:rsidRPr="00776407" w:rsidRDefault="002D2BD8" w:rsidP="002D2BD8">
      <w:pPr>
        <w:autoSpaceDE w:val="0"/>
        <w:autoSpaceDN w:val="0"/>
        <w:adjustRightInd w:val="0"/>
        <w:rPr>
          <w:rFonts w:eastAsia="Calibri"/>
          <w:b/>
          <w:bCs/>
          <w:sz w:val="22"/>
          <w:szCs w:val="22"/>
        </w:rPr>
      </w:pPr>
    </w:p>
    <w:p w14:paraId="680B01BA" w14:textId="77777777" w:rsidR="002D2BD8" w:rsidRPr="00776407" w:rsidRDefault="002D2BD8" w:rsidP="002D2BD8">
      <w:pPr>
        <w:autoSpaceDE w:val="0"/>
        <w:autoSpaceDN w:val="0"/>
        <w:adjustRightInd w:val="0"/>
        <w:ind w:left="720" w:hanging="720"/>
        <w:rPr>
          <w:rFonts w:eastAsia="Calibri"/>
          <w:color w:val="000000"/>
          <w:sz w:val="22"/>
          <w:szCs w:val="22"/>
        </w:rPr>
      </w:pPr>
      <w:r w:rsidRPr="00776407">
        <w:rPr>
          <w:rFonts w:eastAsia="Calibri"/>
          <w:b/>
          <w:bCs/>
          <w:sz w:val="22"/>
          <w:szCs w:val="22"/>
        </w:rPr>
        <w:tab/>
        <w:t xml:space="preserve">Lėtinę mieloleukemiją (LML). </w:t>
      </w:r>
      <w:r w:rsidRPr="00776407">
        <w:rPr>
          <w:rFonts w:eastAsia="Calibri"/>
          <w:sz w:val="22"/>
          <w:szCs w:val="22"/>
        </w:rPr>
        <w:t>Leukemija – tai baltųjų kraujo</w:t>
      </w:r>
      <w:r w:rsidRPr="00776407">
        <w:rPr>
          <w:rFonts w:eastAsia="Calibri"/>
          <w:color w:val="000000"/>
          <w:sz w:val="22"/>
          <w:szCs w:val="22"/>
        </w:rPr>
        <w:t xml:space="preserve"> kūnelių vėžys. Paprastai šios baltosios ląstelės padeda organizmui kovoti su infekcija. Lėtinė mieloleukemija yra tokia leukemijos forma, kai dažniausiai nenormalios ląstelės (vadinamos mieloidinėmis ląstelėmis), pradeda nekontroliuojamai augti. </w:t>
      </w:r>
    </w:p>
    <w:p w14:paraId="094E1AFC" w14:textId="77777777" w:rsidR="002D2BD8" w:rsidRPr="00776407" w:rsidRDefault="002D2BD8" w:rsidP="002D2BD8">
      <w:pPr>
        <w:keepNext/>
        <w:autoSpaceDE w:val="0"/>
        <w:autoSpaceDN w:val="0"/>
        <w:adjustRightInd w:val="0"/>
        <w:rPr>
          <w:rFonts w:eastAsia="Calibri"/>
          <w:sz w:val="22"/>
          <w:szCs w:val="22"/>
        </w:rPr>
      </w:pPr>
    </w:p>
    <w:p w14:paraId="146DE3EE" w14:textId="77777777" w:rsidR="002D2BD8" w:rsidRPr="00776407" w:rsidRDefault="002D2BD8" w:rsidP="002D2BD8">
      <w:pPr>
        <w:autoSpaceDE w:val="0"/>
        <w:autoSpaceDN w:val="0"/>
        <w:adjustRightInd w:val="0"/>
        <w:rPr>
          <w:rFonts w:eastAsia="Calibri"/>
          <w:color w:val="000000"/>
          <w:sz w:val="22"/>
          <w:szCs w:val="22"/>
        </w:rPr>
      </w:pPr>
      <w:r w:rsidRPr="00776407">
        <w:rPr>
          <w:rFonts w:eastAsia="Calibri"/>
          <w:color w:val="000000"/>
          <w:sz w:val="22"/>
          <w:szCs w:val="22"/>
        </w:rPr>
        <w:t>Suaugusiesiems Imatinib Actavis naudojamas toliausiai pažengusiai ligos fazei (blastinei krizei) gydyti. Vaikams ir paaugliams Imatinib Actavis gali būti vartojamas įvairioms ligos stadijoms gydyti (chroniškai, ūminei ir blastinei krizei).</w:t>
      </w:r>
    </w:p>
    <w:p w14:paraId="56CDE5A5" w14:textId="77777777" w:rsidR="002D2BD8" w:rsidRPr="00776407" w:rsidRDefault="002D2BD8" w:rsidP="002D2BD8">
      <w:pPr>
        <w:autoSpaceDE w:val="0"/>
        <w:autoSpaceDN w:val="0"/>
        <w:adjustRightInd w:val="0"/>
        <w:rPr>
          <w:rFonts w:eastAsia="Calibri"/>
          <w:color w:val="000000"/>
          <w:sz w:val="22"/>
          <w:szCs w:val="22"/>
          <w:lang w:eastAsia="is-IS"/>
        </w:rPr>
      </w:pPr>
    </w:p>
    <w:p w14:paraId="33EFD005" w14:textId="77777777" w:rsidR="00447E0D" w:rsidRPr="00776407" w:rsidRDefault="00447E0D" w:rsidP="00864BE6">
      <w:pPr>
        <w:numPr>
          <w:ilvl w:val="0"/>
          <w:numId w:val="1"/>
        </w:numPr>
        <w:autoSpaceDE w:val="0"/>
        <w:autoSpaceDN w:val="0"/>
        <w:adjustRightInd w:val="0"/>
        <w:ind w:hanging="720"/>
        <w:rPr>
          <w:rFonts w:eastAsia="Calibri"/>
          <w:color w:val="000000"/>
          <w:sz w:val="22"/>
          <w:szCs w:val="22"/>
        </w:rPr>
      </w:pPr>
      <w:r w:rsidRPr="00776407">
        <w:rPr>
          <w:rFonts w:eastAsia="Calibri"/>
          <w:b/>
          <w:bCs/>
          <w:i/>
          <w:iCs/>
          <w:color w:val="000000"/>
          <w:sz w:val="22"/>
          <w:szCs w:val="22"/>
        </w:rPr>
        <w:t xml:space="preserve">Philadelphia </w:t>
      </w:r>
      <w:r w:rsidRPr="00776407">
        <w:rPr>
          <w:rFonts w:eastAsia="Calibri"/>
          <w:b/>
          <w:bCs/>
          <w:color w:val="000000"/>
          <w:sz w:val="22"/>
          <w:szCs w:val="22"/>
        </w:rPr>
        <w:t xml:space="preserve">chromosomai teigiamai ūminei limfoleukemijai (Ph teigiama ŪLL) gydyti. </w:t>
      </w:r>
      <w:r w:rsidRPr="00776407">
        <w:rPr>
          <w:rFonts w:eastAsia="Calibri"/>
          <w:color w:val="000000"/>
          <w:sz w:val="22"/>
          <w:szCs w:val="22"/>
        </w:rPr>
        <w:t>Leukemija – tai baltųjų kraujo kūnelių vėžys. Paprastai šios baltosios ląstelės padeda organizmui kovoti su infekcija. Ūminė limfoleukemija yra tokia leukemijos forma, kai tam tikros nenormalios ląstelės (vadinamos limfoblastais) pradeda nekontroliuojamai augti. Imatinib Actavis slopina šių ląstelių augimą.</w:t>
      </w:r>
    </w:p>
    <w:p w14:paraId="120C2AEF" w14:textId="77777777" w:rsidR="00447E0D" w:rsidRPr="00776407" w:rsidRDefault="00447E0D" w:rsidP="00447E0D">
      <w:pPr>
        <w:autoSpaceDE w:val="0"/>
        <w:autoSpaceDN w:val="0"/>
        <w:adjustRightInd w:val="0"/>
        <w:rPr>
          <w:rFonts w:eastAsia="Calibri"/>
          <w:color w:val="000000"/>
          <w:sz w:val="22"/>
          <w:szCs w:val="22"/>
        </w:rPr>
      </w:pPr>
    </w:p>
    <w:p w14:paraId="77D7C180" w14:textId="77777777" w:rsidR="00447E0D" w:rsidRPr="00776407" w:rsidRDefault="00B4566D" w:rsidP="00447E0D">
      <w:pPr>
        <w:keepNext/>
        <w:keepLines/>
        <w:autoSpaceDE w:val="0"/>
        <w:autoSpaceDN w:val="0"/>
        <w:adjustRightInd w:val="0"/>
        <w:rPr>
          <w:rFonts w:eastAsia="Calibri"/>
          <w:b/>
          <w:bCs/>
          <w:sz w:val="22"/>
          <w:szCs w:val="22"/>
        </w:rPr>
      </w:pPr>
      <w:r w:rsidRPr="00776407">
        <w:rPr>
          <w:rFonts w:eastAsia="Calibri"/>
          <w:b/>
          <w:bCs/>
          <w:sz w:val="22"/>
          <w:szCs w:val="22"/>
        </w:rPr>
        <w:t>Imatinib Actavis taip pat vartojama gydyti suaugusiųjų:</w:t>
      </w:r>
    </w:p>
    <w:p w14:paraId="2B2751EC" w14:textId="77777777" w:rsidR="00447E0D" w:rsidRPr="00776407" w:rsidRDefault="00447E0D" w:rsidP="00447E0D">
      <w:pPr>
        <w:autoSpaceDE w:val="0"/>
        <w:autoSpaceDN w:val="0"/>
        <w:adjustRightInd w:val="0"/>
        <w:rPr>
          <w:rFonts w:eastAsia="Calibri"/>
          <w:color w:val="000000"/>
          <w:sz w:val="22"/>
          <w:szCs w:val="22"/>
        </w:rPr>
      </w:pPr>
    </w:p>
    <w:p w14:paraId="1E7E9F7B" w14:textId="77777777" w:rsidR="002D2BD8" w:rsidRPr="00776407" w:rsidRDefault="002D2BD8" w:rsidP="00864BE6">
      <w:pPr>
        <w:numPr>
          <w:ilvl w:val="0"/>
          <w:numId w:val="1"/>
        </w:numPr>
        <w:autoSpaceDE w:val="0"/>
        <w:autoSpaceDN w:val="0"/>
        <w:adjustRightInd w:val="0"/>
        <w:spacing w:line="276" w:lineRule="auto"/>
        <w:ind w:left="567" w:hanging="567"/>
        <w:rPr>
          <w:rFonts w:eastAsia="Calibri"/>
          <w:color w:val="000000"/>
          <w:sz w:val="22"/>
          <w:szCs w:val="22"/>
        </w:rPr>
      </w:pPr>
      <w:r w:rsidRPr="00776407">
        <w:rPr>
          <w:rFonts w:eastAsia="Calibri"/>
          <w:b/>
          <w:bCs/>
          <w:color w:val="000000"/>
          <w:sz w:val="22"/>
          <w:szCs w:val="22"/>
        </w:rPr>
        <w:t xml:space="preserve">Mielodisplazinėms ar mieloproliferacinėms ligoms (MDS/MPL) gydyti. </w:t>
      </w:r>
      <w:r w:rsidRPr="00776407">
        <w:rPr>
          <w:rFonts w:eastAsia="Calibri"/>
          <w:color w:val="000000"/>
          <w:sz w:val="22"/>
          <w:szCs w:val="22"/>
        </w:rPr>
        <w:t xml:space="preserve">Tai kraujo ligos, kurių metu kai kurios kraujo ląstelės pradeda daugintis nekontroliuojamos. Imatinib Actavis slopina šių ląstelių augimą, sergant tam tikrais šių ligų potipiais. </w:t>
      </w:r>
    </w:p>
    <w:p w14:paraId="7AB8F5DD" w14:textId="77777777" w:rsidR="002D2BD8" w:rsidRPr="00776407" w:rsidRDefault="002D2BD8" w:rsidP="00864BE6">
      <w:pPr>
        <w:numPr>
          <w:ilvl w:val="0"/>
          <w:numId w:val="1"/>
        </w:numPr>
        <w:autoSpaceDE w:val="0"/>
        <w:autoSpaceDN w:val="0"/>
        <w:adjustRightInd w:val="0"/>
        <w:spacing w:line="276" w:lineRule="auto"/>
        <w:ind w:left="567" w:hanging="567"/>
        <w:rPr>
          <w:rFonts w:eastAsia="Calibri"/>
          <w:color w:val="000000"/>
          <w:sz w:val="22"/>
          <w:szCs w:val="22"/>
        </w:rPr>
      </w:pPr>
      <w:r w:rsidRPr="00776407">
        <w:rPr>
          <w:rFonts w:eastAsia="Calibri"/>
          <w:b/>
          <w:bCs/>
          <w:color w:val="000000"/>
          <w:sz w:val="22"/>
          <w:szCs w:val="22"/>
        </w:rPr>
        <w:t xml:space="preserve">Hipereozinofilijos sindromui (HES) ir (arba) lėtinei eozinofilinei leukemijai (LEL) gydyti. </w:t>
      </w:r>
      <w:r w:rsidRPr="00776407">
        <w:rPr>
          <w:rFonts w:eastAsia="Calibri"/>
          <w:color w:val="000000"/>
          <w:sz w:val="22"/>
          <w:szCs w:val="22"/>
        </w:rPr>
        <w:t xml:space="preserve">Tai yra kraujo ligos, kurių metu kai kurios kraujo ląstelės (vadinamos eozinofilais) pradeda daugintis nekontroliuojamos. Imatinib Actavis slopina šių ląstelių augimą, sergant tam tikrais šių ligų potipiais. </w:t>
      </w:r>
    </w:p>
    <w:p w14:paraId="24BD2ABB" w14:textId="77777777" w:rsidR="002D2BD8" w:rsidRPr="00776407" w:rsidRDefault="002D2BD8" w:rsidP="00864BE6">
      <w:pPr>
        <w:numPr>
          <w:ilvl w:val="0"/>
          <w:numId w:val="1"/>
        </w:numPr>
        <w:autoSpaceDE w:val="0"/>
        <w:autoSpaceDN w:val="0"/>
        <w:adjustRightInd w:val="0"/>
        <w:spacing w:line="276" w:lineRule="auto"/>
        <w:ind w:left="567" w:hanging="567"/>
        <w:rPr>
          <w:rFonts w:eastAsia="Calibri"/>
          <w:color w:val="000000"/>
          <w:sz w:val="22"/>
          <w:szCs w:val="22"/>
        </w:rPr>
      </w:pPr>
      <w:r w:rsidRPr="00776407">
        <w:rPr>
          <w:rFonts w:eastAsia="Calibri"/>
          <w:b/>
          <w:bCs/>
          <w:color w:val="000000"/>
          <w:sz w:val="22"/>
          <w:szCs w:val="22"/>
        </w:rPr>
        <w:t xml:space="preserve">Iškiliajai dermatofibrosarkomai </w:t>
      </w:r>
      <w:r w:rsidRPr="00776407">
        <w:rPr>
          <w:rFonts w:eastAsia="Calibri"/>
          <w:i/>
          <w:iCs/>
          <w:color w:val="000000"/>
          <w:sz w:val="22"/>
          <w:szCs w:val="22"/>
        </w:rPr>
        <w:t xml:space="preserve">(dermatofibrosarcoma protuberans </w:t>
      </w:r>
      <w:r w:rsidRPr="00776407">
        <w:rPr>
          <w:rFonts w:eastAsia="Calibri"/>
          <w:color w:val="000000"/>
          <w:sz w:val="22"/>
          <w:szCs w:val="22"/>
        </w:rPr>
        <w:t xml:space="preserve">- </w:t>
      </w:r>
      <w:r w:rsidRPr="00776407">
        <w:rPr>
          <w:rFonts w:eastAsia="Calibri"/>
          <w:b/>
          <w:bCs/>
          <w:color w:val="000000"/>
          <w:sz w:val="22"/>
          <w:szCs w:val="22"/>
        </w:rPr>
        <w:t>DFSP</w:t>
      </w:r>
      <w:r w:rsidRPr="00776407">
        <w:rPr>
          <w:rFonts w:eastAsia="Calibri"/>
          <w:color w:val="000000"/>
          <w:sz w:val="22"/>
          <w:szCs w:val="22"/>
        </w:rPr>
        <w:t xml:space="preserve">) gydyti. DFSP - tai po oda esančio audinio vėžys, kurio metu kai kurios ląstelės pradeda nekontroliuojamai augti. Imatinib Actavis slopina šių ląstelių augimą. </w:t>
      </w:r>
    </w:p>
    <w:p w14:paraId="081CFCC3" w14:textId="77777777" w:rsidR="00447E0D" w:rsidRPr="00776407" w:rsidRDefault="00447E0D" w:rsidP="00447E0D">
      <w:pPr>
        <w:autoSpaceDE w:val="0"/>
        <w:autoSpaceDN w:val="0"/>
        <w:adjustRightInd w:val="0"/>
        <w:spacing w:line="276" w:lineRule="auto"/>
        <w:rPr>
          <w:rFonts w:eastAsia="Calibri"/>
          <w:color w:val="000000"/>
          <w:sz w:val="22"/>
          <w:szCs w:val="22"/>
        </w:rPr>
      </w:pPr>
    </w:p>
    <w:p w14:paraId="5B197A7D" w14:textId="77777777" w:rsidR="002D2BD8" w:rsidRPr="00776407" w:rsidRDefault="002D2BD8" w:rsidP="00121DA9">
      <w:pPr>
        <w:autoSpaceDE w:val="0"/>
        <w:autoSpaceDN w:val="0"/>
        <w:adjustRightInd w:val="0"/>
        <w:rPr>
          <w:sz w:val="22"/>
          <w:szCs w:val="22"/>
        </w:rPr>
      </w:pPr>
      <w:r w:rsidRPr="00776407">
        <w:rPr>
          <w:sz w:val="22"/>
          <w:szCs w:val="22"/>
        </w:rPr>
        <w:t>Toliau šiame lapelyje apibūdinant minėtas ligas bus naudojamos nurodytos santrumpos.</w:t>
      </w:r>
    </w:p>
    <w:p w14:paraId="7B7CE958" w14:textId="77777777" w:rsidR="002D2BD8" w:rsidRPr="00776407" w:rsidRDefault="002D2BD8" w:rsidP="00933DE5">
      <w:pPr>
        <w:autoSpaceDE w:val="0"/>
        <w:autoSpaceDN w:val="0"/>
        <w:adjustRightInd w:val="0"/>
        <w:rPr>
          <w:rFonts w:eastAsia="Calibri"/>
          <w:color w:val="000000"/>
          <w:sz w:val="22"/>
          <w:szCs w:val="22"/>
        </w:rPr>
      </w:pPr>
    </w:p>
    <w:p w14:paraId="0210D04E" w14:textId="77777777" w:rsidR="002D2BD8" w:rsidRPr="00776407" w:rsidRDefault="002D2BD8" w:rsidP="009D11E6">
      <w:pPr>
        <w:autoSpaceDE w:val="0"/>
        <w:autoSpaceDN w:val="0"/>
        <w:adjustRightInd w:val="0"/>
        <w:rPr>
          <w:rFonts w:eastAsia="Calibri"/>
          <w:sz w:val="22"/>
          <w:szCs w:val="22"/>
        </w:rPr>
      </w:pPr>
      <w:r w:rsidRPr="00776407">
        <w:rPr>
          <w:rFonts w:eastAsia="Calibri"/>
          <w:sz w:val="22"/>
          <w:szCs w:val="22"/>
        </w:rPr>
        <w:t xml:space="preserve">Jei Jums kiltų kokių nors klausimų apie Imatinib Actavis veikimą arba kodėl Jums jį paskyrė, klauskite gydytojo. </w:t>
      </w:r>
    </w:p>
    <w:p w14:paraId="5A13F336" w14:textId="77777777" w:rsidR="002D2BD8" w:rsidRPr="00776407" w:rsidRDefault="002D2BD8" w:rsidP="00AA4A43">
      <w:pPr>
        <w:autoSpaceDE w:val="0"/>
        <w:autoSpaceDN w:val="0"/>
        <w:adjustRightInd w:val="0"/>
        <w:rPr>
          <w:rFonts w:eastAsia="Calibri"/>
          <w:sz w:val="22"/>
          <w:szCs w:val="22"/>
        </w:rPr>
      </w:pPr>
    </w:p>
    <w:p w14:paraId="4A664545" w14:textId="77777777" w:rsidR="002D2BD8" w:rsidRPr="00776407" w:rsidRDefault="002D2BD8" w:rsidP="00AA4A43">
      <w:pPr>
        <w:autoSpaceDE w:val="0"/>
        <w:autoSpaceDN w:val="0"/>
        <w:adjustRightInd w:val="0"/>
        <w:rPr>
          <w:rFonts w:eastAsia="Calibri"/>
          <w:sz w:val="22"/>
          <w:szCs w:val="22"/>
        </w:rPr>
      </w:pPr>
    </w:p>
    <w:p w14:paraId="507C5310" w14:textId="77777777" w:rsidR="002D2BD8" w:rsidRPr="00776407" w:rsidRDefault="002D2BD8" w:rsidP="00AA4A43">
      <w:pPr>
        <w:keepNext/>
        <w:autoSpaceDE w:val="0"/>
        <w:autoSpaceDN w:val="0"/>
        <w:adjustRightInd w:val="0"/>
        <w:rPr>
          <w:rFonts w:eastAsia="Calibri"/>
          <w:b/>
          <w:bCs/>
          <w:sz w:val="22"/>
          <w:szCs w:val="22"/>
        </w:rPr>
      </w:pPr>
      <w:r w:rsidRPr="00776407">
        <w:rPr>
          <w:rFonts w:eastAsia="Calibri"/>
          <w:b/>
          <w:bCs/>
          <w:sz w:val="22"/>
          <w:szCs w:val="22"/>
        </w:rPr>
        <w:t>2.</w:t>
      </w:r>
      <w:r w:rsidRPr="00776407">
        <w:rPr>
          <w:rFonts w:eastAsia="Calibri"/>
          <w:b/>
          <w:bCs/>
          <w:sz w:val="22"/>
          <w:szCs w:val="22"/>
        </w:rPr>
        <w:tab/>
        <w:t>Kas žinotina prieš vartojant Imatinib Actavis</w:t>
      </w:r>
    </w:p>
    <w:p w14:paraId="4C8B7556" w14:textId="77777777" w:rsidR="002D2BD8" w:rsidRPr="00776407" w:rsidRDefault="002D2BD8" w:rsidP="002D2BD8">
      <w:pPr>
        <w:keepNext/>
        <w:autoSpaceDE w:val="0"/>
        <w:autoSpaceDN w:val="0"/>
        <w:adjustRightInd w:val="0"/>
        <w:rPr>
          <w:rFonts w:eastAsia="Calibri"/>
          <w:bCs/>
          <w:sz w:val="22"/>
          <w:szCs w:val="22"/>
        </w:rPr>
      </w:pPr>
    </w:p>
    <w:p w14:paraId="1D214CFF"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Imatinib Actavis Jums paskirs tik gydytojas, turintis kraujo vėžių arba solidinių navikų gydymo vaistais patirties. </w:t>
      </w:r>
    </w:p>
    <w:p w14:paraId="21938391" w14:textId="77777777" w:rsidR="002D2BD8" w:rsidRPr="00776407" w:rsidRDefault="002D2BD8" w:rsidP="002D2BD8">
      <w:pPr>
        <w:autoSpaceDE w:val="0"/>
        <w:autoSpaceDN w:val="0"/>
        <w:adjustRightInd w:val="0"/>
        <w:rPr>
          <w:rFonts w:eastAsia="Calibri"/>
          <w:sz w:val="22"/>
          <w:szCs w:val="22"/>
        </w:rPr>
      </w:pPr>
    </w:p>
    <w:p w14:paraId="332B1C9B"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Tiksliai laikykitės visų gydytojo nurodymų, net jei jie skiriasi nuo bendrosios šiame lapelyje esančios informacijos. </w:t>
      </w:r>
    </w:p>
    <w:p w14:paraId="17F5325D" w14:textId="77777777" w:rsidR="002D2BD8" w:rsidRPr="00776407" w:rsidRDefault="002D2BD8" w:rsidP="002D2BD8">
      <w:pPr>
        <w:autoSpaceDE w:val="0"/>
        <w:autoSpaceDN w:val="0"/>
        <w:adjustRightInd w:val="0"/>
        <w:rPr>
          <w:rFonts w:eastAsia="Calibri"/>
          <w:b/>
          <w:bCs/>
          <w:sz w:val="22"/>
          <w:szCs w:val="22"/>
        </w:rPr>
      </w:pPr>
    </w:p>
    <w:p w14:paraId="3499DB46" w14:textId="728F922F"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Imatinib Actavis vartoti negalima </w:t>
      </w:r>
    </w:p>
    <w:p w14:paraId="0D7DDCD5" w14:textId="77777777" w:rsidR="002D2BD8" w:rsidRPr="00776407" w:rsidRDefault="002D2BD8" w:rsidP="00864BE6">
      <w:pPr>
        <w:numPr>
          <w:ilvl w:val="0"/>
          <w:numId w:val="1"/>
        </w:numPr>
        <w:autoSpaceDE w:val="0"/>
        <w:autoSpaceDN w:val="0"/>
        <w:adjustRightInd w:val="0"/>
        <w:spacing w:after="200" w:line="276" w:lineRule="auto"/>
        <w:ind w:hanging="720"/>
        <w:contextualSpacing/>
        <w:rPr>
          <w:rFonts w:eastAsia="Calibri"/>
          <w:sz w:val="22"/>
          <w:szCs w:val="22"/>
        </w:rPr>
      </w:pPr>
      <w:r w:rsidRPr="00776407">
        <w:rPr>
          <w:rFonts w:eastAsia="Calibri"/>
          <w:sz w:val="22"/>
          <w:szCs w:val="22"/>
        </w:rPr>
        <w:t xml:space="preserve">jeigu yra alergija imatinibui arba bet kuriai pagalbinei šio vaisto medžiagai (jos išvardytos 6 skyriuje). </w:t>
      </w:r>
    </w:p>
    <w:p w14:paraId="308D8709" w14:textId="77777777" w:rsidR="002D2BD8" w:rsidRPr="00776407" w:rsidRDefault="002D2BD8" w:rsidP="002D2BD8">
      <w:pPr>
        <w:autoSpaceDE w:val="0"/>
        <w:autoSpaceDN w:val="0"/>
        <w:adjustRightInd w:val="0"/>
        <w:rPr>
          <w:rFonts w:eastAsia="Calibri"/>
          <w:sz w:val="22"/>
          <w:szCs w:val="22"/>
        </w:rPr>
      </w:pPr>
    </w:p>
    <w:p w14:paraId="40822BD4"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Jei ši sąlyga Jums tinka, </w:t>
      </w:r>
      <w:r w:rsidRPr="00776407">
        <w:rPr>
          <w:rFonts w:eastAsia="Calibri"/>
          <w:b/>
          <w:bCs/>
          <w:sz w:val="22"/>
          <w:szCs w:val="22"/>
        </w:rPr>
        <w:t xml:space="preserve">nevartokite Imatinib Actavis ir apie tai pasakykite gydytojui. </w:t>
      </w:r>
    </w:p>
    <w:p w14:paraId="5CD82966" w14:textId="77777777" w:rsidR="002D2BD8" w:rsidRPr="00776407" w:rsidRDefault="002D2BD8" w:rsidP="002D2BD8">
      <w:pPr>
        <w:autoSpaceDE w:val="0"/>
        <w:autoSpaceDN w:val="0"/>
        <w:adjustRightInd w:val="0"/>
        <w:rPr>
          <w:rFonts w:eastAsia="Calibri"/>
          <w:sz w:val="22"/>
          <w:szCs w:val="22"/>
        </w:rPr>
      </w:pPr>
    </w:p>
    <w:p w14:paraId="6BB90F89"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Jeigu manote, kad galite būti alergiškas, bet nesate tikras, kreipkitės patarimo į gydytoją.</w:t>
      </w:r>
    </w:p>
    <w:p w14:paraId="3595E0AC"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 </w:t>
      </w:r>
    </w:p>
    <w:p w14:paraId="51D90186" w14:textId="77777777"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Įspėjimai ir atsargumo priemonės </w:t>
      </w:r>
    </w:p>
    <w:p w14:paraId="0D1C3FC2"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Pasitarkite su gydytoju, prieš pradėdami vartoti Imatinib Actavis: </w:t>
      </w:r>
    </w:p>
    <w:p w14:paraId="0FC6B34C"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t>jeigu Jums yra ar kada nors yra buvę kepenų, inkstų ar širdies sutrikimų</w:t>
      </w:r>
      <w:r w:rsidR="002C37B0" w:rsidRPr="00776407">
        <w:rPr>
          <w:rFonts w:eastAsia="Calibri"/>
          <w:sz w:val="22"/>
          <w:szCs w:val="22"/>
        </w:rPr>
        <w:t>;</w:t>
      </w:r>
    </w:p>
    <w:p w14:paraId="54D91877" w14:textId="08E8137B" w:rsidR="00D50475" w:rsidRPr="00776407" w:rsidRDefault="002D2BD8" w:rsidP="00D50475">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t>jeigu dėl pašalintos skydliaukės vartojate vaist</w:t>
      </w:r>
      <w:r w:rsidR="00532218" w:rsidRPr="00776407">
        <w:rPr>
          <w:rFonts w:eastAsia="Calibri"/>
          <w:sz w:val="22"/>
          <w:szCs w:val="22"/>
        </w:rPr>
        <w:t>o</w:t>
      </w:r>
      <w:r w:rsidRPr="00776407">
        <w:rPr>
          <w:rFonts w:eastAsia="Calibri"/>
          <w:sz w:val="22"/>
          <w:szCs w:val="22"/>
        </w:rPr>
        <w:t xml:space="preserve"> levotiroksino</w:t>
      </w:r>
      <w:r w:rsidR="002C37B0" w:rsidRPr="00776407">
        <w:rPr>
          <w:rFonts w:eastAsia="Calibri"/>
          <w:sz w:val="22"/>
          <w:szCs w:val="22"/>
        </w:rPr>
        <w:t>;</w:t>
      </w:r>
    </w:p>
    <w:p w14:paraId="278C6D5E" w14:textId="77777777" w:rsidR="00BD21E4" w:rsidRPr="00776407" w:rsidRDefault="00D50475" w:rsidP="00D50475">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jums kada nors buvo diagnozuota hepatito B infekcija arba šiuo metu galite būti užsikrėtę šiuo virusu. Tai būtina, nes Imatinib Actavis gali vėl suaktyvinti hepatito B virusą, o kai kuriais atvejais tai gali būti mirtina. Prieš pradedant gydymą, gydytojas atidžiai patikrins, ar pacientas neturi šios infekcijos požymių</w:t>
      </w:r>
      <w:r w:rsidR="00BD21E4" w:rsidRPr="00776407">
        <w:rPr>
          <w:rFonts w:eastAsia="Calibri"/>
          <w:sz w:val="22"/>
          <w:szCs w:val="22"/>
        </w:rPr>
        <w:t>;</w:t>
      </w:r>
    </w:p>
    <w:p w14:paraId="514C6459" w14:textId="77777777" w:rsidR="00D50475" w:rsidRPr="00776407" w:rsidRDefault="00BD21E4" w:rsidP="00BD21E4">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r>
      <w:r w:rsidRPr="00776407">
        <w:rPr>
          <w:color w:val="000000"/>
          <w:spacing w:val="-2"/>
          <w:sz w:val="22"/>
          <w:szCs w:val="22"/>
        </w:rPr>
        <w:t>jeigu Jums vartojant Imatinib Actavis susidaro kraujosruvų, pasireiškia kraujavimas, karščiavimas, nuovargis ir sumišimas, kreipkitės į gydytoją. Tai gali būti kraujagyslių pažaidos, vadinamos trombine mikroangiopatija (TMA), požymis</w:t>
      </w:r>
      <w:r w:rsidR="00D50475" w:rsidRPr="00776407">
        <w:rPr>
          <w:rFonts w:eastAsia="Calibri"/>
          <w:sz w:val="22"/>
          <w:szCs w:val="22"/>
        </w:rPr>
        <w:t xml:space="preserve">. </w:t>
      </w:r>
    </w:p>
    <w:p w14:paraId="7AB282D2" w14:textId="77777777" w:rsidR="00447E0D" w:rsidRPr="00776407" w:rsidRDefault="00447E0D" w:rsidP="00447E0D">
      <w:pPr>
        <w:autoSpaceDE w:val="0"/>
        <w:autoSpaceDN w:val="0"/>
        <w:adjustRightInd w:val="0"/>
        <w:rPr>
          <w:rFonts w:eastAsia="Calibri"/>
          <w:sz w:val="22"/>
          <w:szCs w:val="22"/>
        </w:rPr>
      </w:pPr>
    </w:p>
    <w:p w14:paraId="3EB85593" w14:textId="77777777" w:rsidR="00532218" w:rsidRPr="00776407" w:rsidRDefault="00532218" w:rsidP="00532218">
      <w:pPr>
        <w:rPr>
          <w:color w:val="000000"/>
          <w:sz w:val="22"/>
          <w:szCs w:val="22"/>
        </w:rPr>
      </w:pPr>
      <w:r w:rsidRPr="00776407">
        <w:rPr>
          <w:bCs/>
          <w:sz w:val="22"/>
          <w:szCs w:val="22"/>
        </w:rPr>
        <w:t xml:space="preserve">Imatinib Actavis </w:t>
      </w:r>
      <w:r w:rsidRPr="00776407">
        <w:rPr>
          <w:color w:val="000000"/>
          <w:sz w:val="22"/>
          <w:szCs w:val="22"/>
        </w:rPr>
        <w:t>vartojimo metu galite tapti jautresnis saulės poveikiui. Svarbu apsaugoti atviras odos vietas nuo tiesioginių saulės spindulių ir naudoti preparatą nuo saulės nudegimo, kurio aukštas apsaugos faktorius (SPF).</w:t>
      </w:r>
      <w:r w:rsidRPr="00776407">
        <w:rPr>
          <w:rFonts w:ascii="Arial" w:hAnsi="Arial" w:cs="Arial"/>
          <w:color w:val="222222"/>
        </w:rPr>
        <w:t xml:space="preserve"> </w:t>
      </w:r>
      <w:r w:rsidRPr="00776407">
        <w:rPr>
          <w:color w:val="000000"/>
          <w:sz w:val="22"/>
          <w:szCs w:val="22"/>
        </w:rPr>
        <w:t>Šios atsargumo priemonės taip pat turi būti taikomos vaikams.</w:t>
      </w:r>
    </w:p>
    <w:p w14:paraId="2F735D64" w14:textId="77777777" w:rsidR="002D2BD8" w:rsidRPr="00776407" w:rsidRDefault="002D2BD8" w:rsidP="002D2BD8">
      <w:pPr>
        <w:autoSpaceDE w:val="0"/>
        <w:autoSpaceDN w:val="0"/>
        <w:adjustRightInd w:val="0"/>
        <w:rPr>
          <w:rFonts w:eastAsia="Calibri"/>
          <w:sz w:val="22"/>
          <w:szCs w:val="22"/>
        </w:rPr>
      </w:pPr>
    </w:p>
    <w:p w14:paraId="77D28CCE"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Jei bet kuri šių sąlygų Jums tinka, </w:t>
      </w:r>
      <w:r w:rsidRPr="00776407">
        <w:rPr>
          <w:rFonts w:eastAsia="Calibri"/>
          <w:b/>
          <w:bCs/>
          <w:sz w:val="22"/>
          <w:szCs w:val="22"/>
        </w:rPr>
        <w:t>prieš pradėdami vartoti Imatinib Actavis, pasakykite gydytojui</w:t>
      </w:r>
      <w:r w:rsidRPr="00776407">
        <w:rPr>
          <w:rFonts w:eastAsia="Calibri"/>
          <w:sz w:val="22"/>
          <w:szCs w:val="22"/>
        </w:rPr>
        <w:t xml:space="preserve">. </w:t>
      </w:r>
    </w:p>
    <w:p w14:paraId="6370C5FA" w14:textId="77777777" w:rsidR="002D2BD8" w:rsidRPr="00776407" w:rsidRDefault="002D2BD8" w:rsidP="002D2BD8">
      <w:pPr>
        <w:autoSpaceDE w:val="0"/>
        <w:autoSpaceDN w:val="0"/>
        <w:adjustRightInd w:val="0"/>
        <w:rPr>
          <w:rFonts w:eastAsia="Calibri"/>
          <w:b/>
          <w:bCs/>
          <w:sz w:val="22"/>
          <w:szCs w:val="22"/>
        </w:rPr>
      </w:pPr>
    </w:p>
    <w:p w14:paraId="7867ED7F" w14:textId="77777777"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Imatinib Actavis vartojimo metu nedelsdami kreipkitės į gydytoją, </w:t>
      </w:r>
      <w:r w:rsidRPr="00776407">
        <w:rPr>
          <w:rFonts w:eastAsia="Calibri"/>
          <w:sz w:val="22"/>
          <w:szCs w:val="22"/>
        </w:rPr>
        <w:t xml:space="preserve">jeigu Jums labai greitai padidėjo kūno svoris. Dėl Imatinib Actavis poveikio Jūsų kūne gali kauptis skysčių (pasireikšti sunkus skysčių susilaikymas). </w:t>
      </w:r>
    </w:p>
    <w:p w14:paraId="460F0DA2" w14:textId="77777777" w:rsidR="002D2BD8" w:rsidRPr="00776407" w:rsidRDefault="002D2BD8" w:rsidP="002D2BD8">
      <w:pPr>
        <w:autoSpaceDE w:val="0"/>
        <w:autoSpaceDN w:val="0"/>
        <w:adjustRightInd w:val="0"/>
        <w:rPr>
          <w:rFonts w:eastAsia="Calibri"/>
          <w:sz w:val="22"/>
          <w:szCs w:val="22"/>
        </w:rPr>
      </w:pPr>
    </w:p>
    <w:p w14:paraId="4A8ADA4A" w14:textId="4A4019A5"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Jums vartojant Imatinib Actavis, gydytojas reguliariai tikrins, ar vaist</w:t>
      </w:r>
      <w:r w:rsidR="00532218" w:rsidRPr="00776407">
        <w:rPr>
          <w:rFonts w:eastAsia="Calibri"/>
          <w:sz w:val="22"/>
          <w:szCs w:val="22"/>
        </w:rPr>
        <w:t>as</w:t>
      </w:r>
      <w:r w:rsidRPr="00776407">
        <w:rPr>
          <w:rFonts w:eastAsia="Calibri"/>
          <w:sz w:val="22"/>
          <w:szCs w:val="22"/>
        </w:rPr>
        <w:t xml:space="preserve"> veikia. Jums taip pat reguliariai tirs kraują ir kūno svorį. </w:t>
      </w:r>
    </w:p>
    <w:p w14:paraId="4BE52BF0" w14:textId="77777777" w:rsidR="002D2BD8" w:rsidRPr="00776407" w:rsidRDefault="002D2BD8" w:rsidP="002D2BD8">
      <w:pPr>
        <w:autoSpaceDE w:val="0"/>
        <w:autoSpaceDN w:val="0"/>
        <w:adjustRightInd w:val="0"/>
        <w:rPr>
          <w:rFonts w:eastAsia="Calibri"/>
          <w:b/>
          <w:bCs/>
          <w:sz w:val="22"/>
          <w:szCs w:val="22"/>
        </w:rPr>
      </w:pPr>
    </w:p>
    <w:p w14:paraId="31D374F9" w14:textId="77777777"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Vaikams ir paaugliams </w:t>
      </w:r>
    </w:p>
    <w:p w14:paraId="183B45AF" w14:textId="77777777" w:rsidR="00447E0D" w:rsidRPr="00776407" w:rsidRDefault="00447E0D" w:rsidP="00447E0D">
      <w:pPr>
        <w:autoSpaceDE w:val="0"/>
        <w:autoSpaceDN w:val="0"/>
        <w:adjustRightInd w:val="0"/>
        <w:rPr>
          <w:rFonts w:eastAsia="Calibri"/>
          <w:sz w:val="22"/>
          <w:szCs w:val="22"/>
        </w:rPr>
      </w:pPr>
      <w:r w:rsidRPr="00776407">
        <w:rPr>
          <w:rFonts w:eastAsia="Calibri"/>
          <w:sz w:val="22"/>
          <w:szCs w:val="22"/>
        </w:rPr>
        <w:t xml:space="preserve">Imatinib Actavis taip pat gydomi vaikai, sergantys LML. Vartojimo patirties vaikams, jaunesniems kaip 2 metų ir sergantiems LML, nėra. </w:t>
      </w:r>
      <w:r w:rsidRPr="00776407">
        <w:rPr>
          <w:sz w:val="22"/>
          <w:szCs w:val="22"/>
        </w:rPr>
        <w:t>Vartojimo patirties vaikams, sergantiems Ph teigiama ŪLL, yra nedaug, o vartojimo patirties vaikams, sergantiems MDS/MPL, DFSP ir HES/LEL, yra labai nedaug.</w:t>
      </w:r>
    </w:p>
    <w:p w14:paraId="34ECFA28" w14:textId="77777777" w:rsidR="002D2BD8" w:rsidRPr="00776407" w:rsidRDefault="002D2BD8" w:rsidP="002D2BD8">
      <w:pPr>
        <w:autoSpaceDE w:val="0"/>
        <w:autoSpaceDN w:val="0"/>
        <w:adjustRightInd w:val="0"/>
        <w:rPr>
          <w:rFonts w:eastAsia="Calibri"/>
          <w:sz w:val="22"/>
          <w:szCs w:val="22"/>
        </w:rPr>
      </w:pPr>
    </w:p>
    <w:p w14:paraId="02459120"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Kai kurių vaikų ir paauglių, vartojančių Imatinib Actavis, augimas gali būti lėtesnis nei įprasta. Todėl gydytojas tikrins augimą įprastų vizitų metu. </w:t>
      </w:r>
    </w:p>
    <w:p w14:paraId="41DD1BC4" w14:textId="77777777" w:rsidR="002D2BD8" w:rsidRPr="00776407" w:rsidRDefault="002D2BD8" w:rsidP="002D2BD8">
      <w:pPr>
        <w:autoSpaceDE w:val="0"/>
        <w:autoSpaceDN w:val="0"/>
        <w:adjustRightInd w:val="0"/>
        <w:rPr>
          <w:rFonts w:eastAsia="Calibri"/>
          <w:sz w:val="22"/>
          <w:szCs w:val="22"/>
        </w:rPr>
      </w:pPr>
    </w:p>
    <w:p w14:paraId="5A7F0F50" w14:textId="77777777" w:rsidR="002D2BD8" w:rsidRPr="00776407" w:rsidRDefault="002D2BD8" w:rsidP="002D2BD8">
      <w:pPr>
        <w:autoSpaceDE w:val="0"/>
        <w:autoSpaceDN w:val="0"/>
        <w:adjustRightInd w:val="0"/>
        <w:rPr>
          <w:rFonts w:eastAsia="Calibri"/>
          <w:b/>
          <w:sz w:val="22"/>
          <w:szCs w:val="22"/>
        </w:rPr>
      </w:pPr>
      <w:r w:rsidRPr="00776407">
        <w:rPr>
          <w:rFonts w:eastAsia="Calibri"/>
          <w:b/>
          <w:sz w:val="22"/>
          <w:szCs w:val="22"/>
        </w:rPr>
        <w:t>Kiti vaistai ir Imatinib Actavis</w:t>
      </w:r>
    </w:p>
    <w:p w14:paraId="577B4A20" w14:textId="4FF90303"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Jeigu vartojate ar neseniai vartojote kitų vaistų arba dėl to nesate tikri, įskaitant įsigytus be recepto (tokių kaip paracetamolio) ir taip pat </w:t>
      </w:r>
      <w:r w:rsidR="002C37B0" w:rsidRPr="00776407">
        <w:rPr>
          <w:rFonts w:eastAsia="Calibri"/>
          <w:sz w:val="22"/>
          <w:szCs w:val="22"/>
        </w:rPr>
        <w:t>vaistažolių</w:t>
      </w:r>
      <w:r w:rsidRPr="00776407">
        <w:rPr>
          <w:rFonts w:eastAsia="Calibri"/>
          <w:sz w:val="22"/>
          <w:szCs w:val="22"/>
        </w:rPr>
        <w:t xml:space="preserve"> (tokių kaip jonažolės preparatų), apie tai pasakykite gydytojui arba vaistininkui. Kai kurie vaist</w:t>
      </w:r>
      <w:r w:rsidR="00532218" w:rsidRPr="00776407">
        <w:rPr>
          <w:rFonts w:eastAsia="Calibri"/>
          <w:sz w:val="22"/>
          <w:szCs w:val="22"/>
        </w:rPr>
        <w:t>ai</w:t>
      </w:r>
      <w:r w:rsidRPr="00776407">
        <w:rPr>
          <w:rFonts w:eastAsia="Calibri"/>
          <w:sz w:val="22"/>
          <w:szCs w:val="22"/>
        </w:rPr>
        <w:t xml:space="preserve"> vartojami kartu gali sąveikauti su Imatinib Actavis. Jie gali padidinti arba sumažinti Imatinib Actavis poveikį, arba padidindami nepageidaujamų reiškinių pasireiškimo dažnį, arba mažindami Imatinib Actavis veiksmingumą. Imatinib Actavis gali panašiai veikti kai kuriuos kitus vaist</w:t>
      </w:r>
      <w:r w:rsidR="00532218" w:rsidRPr="00776407">
        <w:rPr>
          <w:rFonts w:eastAsia="Calibri"/>
          <w:sz w:val="22"/>
          <w:szCs w:val="22"/>
        </w:rPr>
        <w:t>us</w:t>
      </w:r>
      <w:r w:rsidRPr="00776407">
        <w:rPr>
          <w:rFonts w:eastAsia="Calibri"/>
          <w:sz w:val="22"/>
          <w:szCs w:val="22"/>
        </w:rPr>
        <w:t xml:space="preserve">. </w:t>
      </w:r>
    </w:p>
    <w:p w14:paraId="2FD79434" w14:textId="77777777" w:rsidR="002D2BD8" w:rsidRPr="00776407" w:rsidRDefault="002D2BD8" w:rsidP="002D2BD8">
      <w:pPr>
        <w:autoSpaceDE w:val="0"/>
        <w:autoSpaceDN w:val="0"/>
        <w:adjustRightInd w:val="0"/>
        <w:rPr>
          <w:rFonts w:eastAsia="Calibri"/>
          <w:sz w:val="22"/>
          <w:szCs w:val="22"/>
        </w:rPr>
      </w:pPr>
    </w:p>
    <w:p w14:paraId="7C5D5BEA" w14:textId="77777777" w:rsidR="002D2BD8" w:rsidRPr="00776407" w:rsidRDefault="002D2BD8" w:rsidP="002D2BD8">
      <w:pPr>
        <w:autoSpaceDE w:val="0"/>
        <w:autoSpaceDN w:val="0"/>
        <w:adjustRightInd w:val="0"/>
        <w:rPr>
          <w:rFonts w:eastAsia="Calibri"/>
          <w:b/>
          <w:sz w:val="22"/>
          <w:szCs w:val="22"/>
        </w:rPr>
      </w:pPr>
      <w:r w:rsidRPr="00776407">
        <w:rPr>
          <w:rFonts w:eastAsia="Calibri"/>
          <w:sz w:val="22"/>
          <w:szCs w:val="22"/>
        </w:rPr>
        <w:t>Pasakykite gydytojui, jei vartojate vaistų, kurie apsaugo nuo kraujo krešulių susidarymo.</w:t>
      </w:r>
    </w:p>
    <w:p w14:paraId="249C15B9" w14:textId="77777777" w:rsidR="002D2BD8" w:rsidRPr="00776407" w:rsidRDefault="002D2BD8" w:rsidP="002D2BD8">
      <w:pPr>
        <w:autoSpaceDE w:val="0"/>
        <w:autoSpaceDN w:val="0"/>
        <w:adjustRightInd w:val="0"/>
        <w:rPr>
          <w:rFonts w:eastAsia="Calibri"/>
          <w:sz w:val="22"/>
          <w:szCs w:val="22"/>
        </w:rPr>
      </w:pPr>
    </w:p>
    <w:p w14:paraId="12FA1B79" w14:textId="77777777"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Nėštumas, žindymo laikotarpis ir vaisingumas </w:t>
      </w:r>
    </w:p>
    <w:p w14:paraId="5473CEE1" w14:textId="77777777" w:rsidR="00532218" w:rsidRPr="00776407" w:rsidRDefault="00532218" w:rsidP="00532218">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Jeigu esate nėščia, žindote kūdikį, manote, kad galbūt esate nėščia arba planuojate pastoti, tai prieš vartodama šį vaistą pasitarkite su gydytoju. </w:t>
      </w:r>
    </w:p>
    <w:p w14:paraId="79D46D32" w14:textId="77777777" w:rsidR="00532218" w:rsidRPr="00776407" w:rsidRDefault="00532218" w:rsidP="00532218">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Imatinib Actavis nerekomenduojama vartoti nėščiosioms, nebent neišvengiama, nes tai gali pakenkti Jūsų kūdikiui. Gydytojas supažindins Jus su galima Imatinib Actavis vartojimo nėštumo laikotarpiu rizika. </w:t>
      </w:r>
    </w:p>
    <w:p w14:paraId="656E00BC" w14:textId="77777777" w:rsidR="00532218" w:rsidRPr="00776407" w:rsidRDefault="00532218" w:rsidP="00532218">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Moterims, galinčioms pastoti, gydantis šiuo vaistu ir 15 dienų po gydymo pabaigos rekomenduojama taikyti efektyvias kontracepcijos priemones.</w:t>
      </w:r>
    </w:p>
    <w:p w14:paraId="481F29F4" w14:textId="1EF55E03" w:rsidR="00532218" w:rsidRPr="00776407" w:rsidRDefault="00532218" w:rsidP="00532218">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Vartodama Imatinib Actavis</w:t>
      </w:r>
      <w:r w:rsidRPr="00776407">
        <w:rPr>
          <w:color w:val="000000"/>
          <w:sz w:val="22"/>
          <w:szCs w:val="22"/>
        </w:rPr>
        <w:t xml:space="preserve"> </w:t>
      </w:r>
      <w:r w:rsidRPr="00776407">
        <w:rPr>
          <w:rFonts w:eastAsia="Calibri"/>
          <w:sz w:val="22"/>
          <w:szCs w:val="22"/>
        </w:rPr>
        <w:t>ir 15 dienų po gydymo pabaigos kūdikio nežindykite, nes tai gali pakenkti Jūsų kūdikiui.</w:t>
      </w:r>
    </w:p>
    <w:p w14:paraId="6E994091" w14:textId="77777777" w:rsidR="00532218" w:rsidRPr="00776407" w:rsidRDefault="00532218" w:rsidP="00532218">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Pacientai Imatinib Actavis vartojimo laikotarpiu dėl savo vaisingumo turi konsultuotis su gydytoju. </w:t>
      </w:r>
    </w:p>
    <w:p w14:paraId="3831AAE8" w14:textId="77777777" w:rsidR="002D2BD8" w:rsidRPr="00776407" w:rsidRDefault="002D2BD8" w:rsidP="002D2BD8">
      <w:pPr>
        <w:autoSpaceDE w:val="0"/>
        <w:autoSpaceDN w:val="0"/>
        <w:adjustRightInd w:val="0"/>
        <w:rPr>
          <w:rFonts w:eastAsia="Calibri"/>
          <w:sz w:val="22"/>
          <w:szCs w:val="22"/>
        </w:rPr>
      </w:pPr>
    </w:p>
    <w:p w14:paraId="6476575A" w14:textId="77777777"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Vairavimas ir mechanizmų valdymas </w:t>
      </w:r>
    </w:p>
    <w:p w14:paraId="2B020611"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Vartodami šio vaisto galite jausti galvos svaigimą ar mieguistumą arba Jums gali pasireikšti neryškus matymas. Jeigu taip atsitiktų, nevairuokite ir nevaldykite bet kokios rūšies mechanizmų, kol vėl nepasijusite gerai. </w:t>
      </w:r>
    </w:p>
    <w:p w14:paraId="07AF8303" w14:textId="77777777" w:rsidR="00BD21E4" w:rsidRPr="00776407" w:rsidRDefault="00BD21E4" w:rsidP="00BD21E4">
      <w:pPr>
        <w:autoSpaceDE w:val="0"/>
        <w:autoSpaceDN w:val="0"/>
        <w:adjustRightInd w:val="0"/>
        <w:rPr>
          <w:rFonts w:eastAsia="Calibri"/>
          <w:sz w:val="22"/>
          <w:szCs w:val="22"/>
        </w:rPr>
      </w:pPr>
    </w:p>
    <w:p w14:paraId="7341AC7B" w14:textId="77777777" w:rsidR="00BD21E4" w:rsidRPr="00776407" w:rsidRDefault="00BD21E4" w:rsidP="00BD21E4">
      <w:pPr>
        <w:autoSpaceDE w:val="0"/>
        <w:autoSpaceDN w:val="0"/>
        <w:adjustRightInd w:val="0"/>
        <w:rPr>
          <w:rFonts w:eastAsia="Calibri"/>
          <w:b/>
          <w:sz w:val="22"/>
          <w:szCs w:val="22"/>
        </w:rPr>
      </w:pPr>
      <w:r w:rsidRPr="00776407">
        <w:rPr>
          <w:rFonts w:eastAsia="Calibri"/>
          <w:b/>
          <w:sz w:val="22"/>
          <w:szCs w:val="22"/>
        </w:rPr>
        <w:t>Imatinib Actavis sudėtyje yra natrio</w:t>
      </w:r>
    </w:p>
    <w:p w14:paraId="3982D2D6" w14:textId="77777777" w:rsidR="00BD21E4" w:rsidRPr="00776407" w:rsidRDefault="00BD21E4" w:rsidP="00BD21E4">
      <w:pPr>
        <w:autoSpaceDE w:val="0"/>
        <w:autoSpaceDN w:val="0"/>
        <w:adjustRightInd w:val="0"/>
        <w:rPr>
          <w:rFonts w:eastAsia="Calibri"/>
          <w:sz w:val="22"/>
          <w:szCs w:val="22"/>
        </w:rPr>
      </w:pPr>
      <w:r w:rsidRPr="00776407">
        <w:rPr>
          <w:rFonts w:eastAsia="Calibri"/>
          <w:sz w:val="22"/>
          <w:szCs w:val="22"/>
        </w:rPr>
        <w:t>Šio vaisto kietojoje kapsulėje yra mažiau kaip 1 mmol (23 mg) natrio, t.y. jis beveik neturi reikšmės.</w:t>
      </w:r>
    </w:p>
    <w:p w14:paraId="6ADF21CC" w14:textId="77777777" w:rsidR="002D2BD8" w:rsidRPr="00776407" w:rsidRDefault="002D2BD8" w:rsidP="002D2BD8">
      <w:pPr>
        <w:autoSpaceDE w:val="0"/>
        <w:autoSpaceDN w:val="0"/>
        <w:adjustRightInd w:val="0"/>
        <w:rPr>
          <w:rFonts w:eastAsia="Calibri"/>
          <w:sz w:val="22"/>
          <w:szCs w:val="22"/>
        </w:rPr>
      </w:pPr>
    </w:p>
    <w:p w14:paraId="0D2088F2" w14:textId="77777777" w:rsidR="002D2BD8" w:rsidRPr="00776407" w:rsidRDefault="002D2BD8" w:rsidP="002D2BD8">
      <w:pPr>
        <w:autoSpaceDE w:val="0"/>
        <w:autoSpaceDN w:val="0"/>
        <w:adjustRightInd w:val="0"/>
        <w:rPr>
          <w:rFonts w:eastAsia="Calibri"/>
          <w:sz w:val="22"/>
          <w:szCs w:val="22"/>
        </w:rPr>
      </w:pPr>
    </w:p>
    <w:p w14:paraId="34326CE1" w14:textId="77777777" w:rsidR="002D2BD8" w:rsidRPr="00776407" w:rsidRDefault="002D2BD8" w:rsidP="00684498">
      <w:pPr>
        <w:keepNext/>
        <w:rPr>
          <w:rFonts w:eastAsia="Calibri"/>
          <w:b/>
          <w:sz w:val="22"/>
          <w:szCs w:val="22"/>
        </w:rPr>
      </w:pPr>
      <w:r w:rsidRPr="00776407">
        <w:rPr>
          <w:rFonts w:eastAsia="Calibri"/>
          <w:b/>
          <w:sz w:val="22"/>
          <w:szCs w:val="22"/>
        </w:rPr>
        <w:t>3.</w:t>
      </w:r>
      <w:r w:rsidRPr="00776407">
        <w:rPr>
          <w:rFonts w:eastAsia="Calibri"/>
          <w:b/>
          <w:sz w:val="22"/>
          <w:szCs w:val="22"/>
        </w:rPr>
        <w:tab/>
        <w:t xml:space="preserve">Kaip vartoti Imatinib Actavis </w:t>
      </w:r>
    </w:p>
    <w:p w14:paraId="0D87B9BA" w14:textId="77777777" w:rsidR="002D2BD8" w:rsidRPr="00776407" w:rsidRDefault="002D2BD8" w:rsidP="00684498">
      <w:pPr>
        <w:keepNext/>
        <w:rPr>
          <w:rFonts w:eastAsia="Calibri"/>
          <w:sz w:val="22"/>
          <w:szCs w:val="22"/>
        </w:rPr>
      </w:pPr>
    </w:p>
    <w:p w14:paraId="2AECBAB6" w14:textId="77777777" w:rsidR="002D2BD8" w:rsidRPr="00776407" w:rsidRDefault="002D2BD8" w:rsidP="002D2BD8">
      <w:pPr>
        <w:rPr>
          <w:rFonts w:eastAsia="Calibri"/>
          <w:sz w:val="22"/>
          <w:szCs w:val="22"/>
        </w:rPr>
      </w:pPr>
      <w:r w:rsidRPr="00776407">
        <w:rPr>
          <w:rFonts w:eastAsia="Calibri"/>
          <w:sz w:val="22"/>
          <w:szCs w:val="22"/>
        </w:rPr>
        <w:t xml:space="preserve">Jūsų gydytojas Jums paskyrė Imatinib Actavis, kadangi sergate sunkia liga. Imatinib Actavis gali Jums padėti kovojant su šia būkle. </w:t>
      </w:r>
    </w:p>
    <w:p w14:paraId="56C39D0D" w14:textId="77777777" w:rsidR="002D2BD8" w:rsidRPr="00776407" w:rsidRDefault="002D2BD8" w:rsidP="002D2BD8">
      <w:pPr>
        <w:autoSpaceDE w:val="0"/>
        <w:autoSpaceDN w:val="0"/>
        <w:adjustRightInd w:val="0"/>
        <w:rPr>
          <w:rFonts w:eastAsia="Calibri"/>
          <w:sz w:val="22"/>
          <w:szCs w:val="22"/>
        </w:rPr>
      </w:pPr>
    </w:p>
    <w:p w14:paraId="296CD9C2"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Tačiau visada vartokite šį vaistą tiksliai kaip nurodė gydytojas arba vaistininkas. Svarbu, kad vaisto vartotumėte tiek laiko, kiek nurodė Jūsų gydytojas arba vaistininkas. Jeigu abejojate, kreipkitės į gydytoją arba vaistininką. </w:t>
      </w:r>
    </w:p>
    <w:p w14:paraId="4FEABFBE" w14:textId="77777777" w:rsidR="002D2BD8" w:rsidRPr="00776407" w:rsidRDefault="002D2BD8" w:rsidP="002D2BD8">
      <w:pPr>
        <w:autoSpaceDE w:val="0"/>
        <w:autoSpaceDN w:val="0"/>
        <w:adjustRightInd w:val="0"/>
        <w:rPr>
          <w:rFonts w:eastAsia="Calibri"/>
          <w:sz w:val="22"/>
          <w:szCs w:val="22"/>
        </w:rPr>
      </w:pPr>
    </w:p>
    <w:p w14:paraId="7BCAB4CF"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Nenustokite vartoti Imatinib Actavis, nebent taip nurodytų Jūsų gydytojas. Nedelsdami kreipkitės į gydytoją, jeigu negalite vartoti vaisto taip, kaip paskyrė gydytojas, arba jaučiate, kad šio vaisto Jums daugiau nereikia. </w:t>
      </w:r>
    </w:p>
    <w:p w14:paraId="2A8772C5" w14:textId="77777777" w:rsidR="002D2BD8" w:rsidRPr="00776407" w:rsidRDefault="002D2BD8" w:rsidP="002D2BD8">
      <w:pPr>
        <w:autoSpaceDE w:val="0"/>
        <w:autoSpaceDN w:val="0"/>
        <w:adjustRightInd w:val="0"/>
        <w:rPr>
          <w:rFonts w:eastAsia="Calibri"/>
          <w:b/>
          <w:bCs/>
          <w:sz w:val="22"/>
          <w:szCs w:val="22"/>
        </w:rPr>
      </w:pPr>
    </w:p>
    <w:p w14:paraId="294AB5ED" w14:textId="77777777" w:rsidR="002D2BD8" w:rsidRPr="00776407" w:rsidRDefault="002D2BD8" w:rsidP="002D2BD8">
      <w:pPr>
        <w:keepNext/>
        <w:autoSpaceDE w:val="0"/>
        <w:autoSpaceDN w:val="0"/>
        <w:adjustRightInd w:val="0"/>
        <w:rPr>
          <w:rFonts w:eastAsia="Calibri"/>
          <w:sz w:val="22"/>
          <w:szCs w:val="22"/>
        </w:rPr>
      </w:pPr>
    </w:p>
    <w:p w14:paraId="32320E14" w14:textId="77777777" w:rsidR="002D2BD8" w:rsidRPr="00776407" w:rsidRDefault="002D2BD8" w:rsidP="002D2BD8">
      <w:pPr>
        <w:keepNext/>
        <w:autoSpaceDE w:val="0"/>
        <w:autoSpaceDN w:val="0"/>
        <w:adjustRightInd w:val="0"/>
        <w:rPr>
          <w:rFonts w:eastAsia="Calibri"/>
          <w:b/>
          <w:bCs/>
          <w:sz w:val="22"/>
          <w:szCs w:val="22"/>
        </w:rPr>
      </w:pPr>
      <w:r w:rsidRPr="00776407">
        <w:rPr>
          <w:rFonts w:eastAsia="Calibri"/>
          <w:b/>
          <w:bCs/>
          <w:sz w:val="22"/>
          <w:szCs w:val="22"/>
        </w:rPr>
        <w:t>Kiek Imatinib Actavis vartoti</w:t>
      </w:r>
    </w:p>
    <w:p w14:paraId="4552EBF5" w14:textId="77777777" w:rsidR="002D2BD8" w:rsidRPr="00776407" w:rsidRDefault="002D2BD8" w:rsidP="002D2BD8">
      <w:pPr>
        <w:keepNext/>
        <w:autoSpaceDE w:val="0"/>
        <w:autoSpaceDN w:val="0"/>
        <w:adjustRightInd w:val="0"/>
        <w:rPr>
          <w:rFonts w:eastAsia="Calibri"/>
          <w:bCs/>
          <w:sz w:val="22"/>
          <w:szCs w:val="22"/>
        </w:rPr>
      </w:pPr>
    </w:p>
    <w:p w14:paraId="1932F5EA" w14:textId="77777777"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Vartojimas suaugusiesiems </w:t>
      </w:r>
    </w:p>
    <w:p w14:paraId="5310D8AA"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Gydytojas Jums tiksliai nurodys, kiek Imatinib Actavis kapsulių gerti. </w:t>
      </w:r>
    </w:p>
    <w:p w14:paraId="4854D69C" w14:textId="77777777" w:rsidR="002D2BD8" w:rsidRPr="00776407" w:rsidRDefault="002D2BD8" w:rsidP="002D2BD8">
      <w:pPr>
        <w:autoSpaceDE w:val="0"/>
        <w:autoSpaceDN w:val="0"/>
        <w:adjustRightInd w:val="0"/>
        <w:rPr>
          <w:rFonts w:eastAsia="Calibri"/>
          <w:sz w:val="22"/>
          <w:szCs w:val="22"/>
        </w:rPr>
      </w:pPr>
    </w:p>
    <w:p w14:paraId="79BA0B3D" w14:textId="77777777" w:rsidR="002D2BD8" w:rsidRPr="00776407" w:rsidRDefault="002D2BD8" w:rsidP="002D2BD8">
      <w:pPr>
        <w:autoSpaceDE w:val="0"/>
        <w:autoSpaceDN w:val="0"/>
        <w:adjustRightInd w:val="0"/>
        <w:ind w:left="567" w:hanging="567"/>
        <w:rPr>
          <w:rFonts w:eastAsia="Calibri"/>
          <w:color w:val="000000"/>
          <w:sz w:val="22"/>
          <w:szCs w:val="22"/>
        </w:rPr>
      </w:pPr>
      <w:r w:rsidRPr="00776407">
        <w:rPr>
          <w:rFonts w:ascii="Symbol" w:eastAsia="Calibri" w:hAnsi="Symbol" w:cs="Symbol"/>
          <w:color w:val="000000"/>
          <w:sz w:val="22"/>
          <w:szCs w:val="22"/>
        </w:rPr>
        <w:t></w:t>
      </w:r>
      <w:r w:rsidRPr="00776407">
        <w:rPr>
          <w:rFonts w:ascii="Symbol" w:eastAsia="Calibri" w:hAnsi="Symbol" w:cs="Symbol"/>
          <w:color w:val="000000"/>
          <w:sz w:val="22"/>
          <w:szCs w:val="22"/>
        </w:rPr>
        <w:t></w:t>
      </w:r>
      <w:r w:rsidRPr="00776407">
        <w:rPr>
          <w:rFonts w:ascii="Symbol" w:eastAsia="Calibri" w:hAnsi="Symbol" w:cs="Symbol"/>
          <w:color w:val="000000"/>
          <w:sz w:val="22"/>
          <w:szCs w:val="22"/>
        </w:rPr>
        <w:tab/>
      </w:r>
      <w:r w:rsidRPr="00776407">
        <w:rPr>
          <w:rFonts w:eastAsia="Calibri"/>
          <w:b/>
          <w:bCs/>
          <w:color w:val="000000"/>
          <w:sz w:val="22"/>
          <w:szCs w:val="22"/>
        </w:rPr>
        <w:t xml:space="preserve">Jei gydoma LML: </w:t>
      </w:r>
    </w:p>
    <w:p w14:paraId="714E2AED" w14:textId="77777777" w:rsidR="002D2BD8" w:rsidRPr="00776407" w:rsidRDefault="002D2BD8" w:rsidP="002D2BD8">
      <w:pPr>
        <w:autoSpaceDE w:val="0"/>
        <w:autoSpaceDN w:val="0"/>
        <w:adjustRightInd w:val="0"/>
        <w:ind w:left="567"/>
        <w:rPr>
          <w:rFonts w:eastAsia="Calibri"/>
          <w:color w:val="000000"/>
          <w:sz w:val="22"/>
          <w:szCs w:val="22"/>
          <w:lang w:eastAsia="is-IS"/>
        </w:rPr>
      </w:pPr>
      <w:r w:rsidRPr="00776407">
        <w:rPr>
          <w:rFonts w:eastAsia="Calibri"/>
          <w:color w:val="000000"/>
          <w:sz w:val="22"/>
          <w:szCs w:val="22"/>
          <w:lang w:eastAsia="is-IS"/>
        </w:rPr>
        <w:t xml:space="preserve">Rekomenduojama pradinė dozė yra 600 mg, vartojant vieną 400 mg kapsulę plius dvi 100 mg kapsules </w:t>
      </w:r>
      <w:r w:rsidRPr="00776407">
        <w:rPr>
          <w:rFonts w:eastAsia="Calibri"/>
          <w:b/>
          <w:color w:val="000000"/>
          <w:sz w:val="22"/>
          <w:szCs w:val="22"/>
          <w:lang w:eastAsia="is-IS"/>
        </w:rPr>
        <w:t xml:space="preserve">vieną kartą per parą. </w:t>
      </w:r>
    </w:p>
    <w:p w14:paraId="5ED1CB65" w14:textId="77777777" w:rsidR="002D2BD8" w:rsidRPr="00776407" w:rsidRDefault="002D2BD8" w:rsidP="002D2BD8">
      <w:pPr>
        <w:autoSpaceDE w:val="0"/>
        <w:autoSpaceDN w:val="0"/>
        <w:adjustRightInd w:val="0"/>
        <w:rPr>
          <w:rFonts w:eastAsia="Calibri"/>
          <w:sz w:val="22"/>
          <w:szCs w:val="22"/>
        </w:rPr>
      </w:pPr>
    </w:p>
    <w:p w14:paraId="3174C0ED"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Jūsų gydytojas gali Jums skirti didesnę ar mažesnę dozę priklausomai nuo Jūsų atsako į gydymą. Jei Jūsų paros dozė yra 800 mg (2 kapsulės), vartokite po 1 kapsulę ryte ir 1 kapsulę vakare. </w:t>
      </w:r>
    </w:p>
    <w:p w14:paraId="671A18C4" w14:textId="77777777" w:rsidR="002D2BD8" w:rsidRPr="00776407" w:rsidRDefault="002D2BD8" w:rsidP="002D2BD8">
      <w:pPr>
        <w:autoSpaceDE w:val="0"/>
        <w:autoSpaceDN w:val="0"/>
        <w:adjustRightInd w:val="0"/>
        <w:rPr>
          <w:rFonts w:ascii="Symbol" w:eastAsia="Calibri" w:hAnsi="Symbol" w:cs="Symbol"/>
          <w:color w:val="000000"/>
        </w:rPr>
      </w:pPr>
    </w:p>
    <w:p w14:paraId="6F34FAC8" w14:textId="77777777" w:rsidR="002D2BD8" w:rsidRPr="00776407" w:rsidRDefault="002D2BD8" w:rsidP="002D2BD8">
      <w:pPr>
        <w:autoSpaceDE w:val="0"/>
        <w:autoSpaceDN w:val="0"/>
        <w:adjustRightInd w:val="0"/>
        <w:ind w:left="567" w:hanging="567"/>
        <w:rPr>
          <w:rFonts w:eastAsia="Calibri"/>
          <w:color w:val="000000"/>
          <w:sz w:val="22"/>
          <w:szCs w:val="22"/>
        </w:rPr>
      </w:pPr>
      <w:r w:rsidRPr="00776407">
        <w:rPr>
          <w:rFonts w:ascii="Symbol" w:eastAsia="Calibri" w:hAnsi="Symbol" w:cs="Symbol"/>
          <w:color w:val="000000"/>
          <w:sz w:val="22"/>
          <w:szCs w:val="22"/>
        </w:rPr>
        <w:t></w:t>
      </w:r>
      <w:r w:rsidRPr="00776407">
        <w:rPr>
          <w:rFonts w:ascii="Symbol" w:eastAsia="Calibri" w:hAnsi="Symbol" w:cs="Symbol"/>
          <w:color w:val="000000"/>
          <w:sz w:val="22"/>
          <w:szCs w:val="22"/>
        </w:rPr>
        <w:t></w:t>
      </w:r>
      <w:r w:rsidRPr="00776407">
        <w:rPr>
          <w:rFonts w:ascii="Symbol" w:eastAsia="Calibri" w:hAnsi="Symbol" w:cs="Symbol"/>
          <w:color w:val="000000"/>
          <w:sz w:val="22"/>
          <w:szCs w:val="22"/>
        </w:rPr>
        <w:tab/>
      </w:r>
      <w:r w:rsidRPr="00776407">
        <w:rPr>
          <w:rFonts w:eastAsia="Calibri"/>
          <w:b/>
          <w:bCs/>
          <w:color w:val="000000"/>
          <w:sz w:val="22"/>
          <w:szCs w:val="22"/>
        </w:rPr>
        <w:t xml:space="preserve">Jeigu gydoma Ph teigiama ŪLL: </w:t>
      </w:r>
    </w:p>
    <w:p w14:paraId="5E85B3DB" w14:textId="77777777" w:rsidR="002D2BD8" w:rsidRPr="00776407" w:rsidRDefault="002D2BD8" w:rsidP="002D2BD8">
      <w:pPr>
        <w:autoSpaceDE w:val="0"/>
        <w:autoSpaceDN w:val="0"/>
        <w:adjustRightInd w:val="0"/>
        <w:ind w:left="567"/>
        <w:rPr>
          <w:rFonts w:eastAsia="Calibri"/>
          <w:color w:val="000000"/>
          <w:sz w:val="22"/>
          <w:szCs w:val="22"/>
          <w:lang w:eastAsia="is-IS"/>
        </w:rPr>
      </w:pPr>
      <w:r w:rsidRPr="00776407">
        <w:rPr>
          <w:rFonts w:eastAsia="Calibri"/>
          <w:color w:val="000000"/>
          <w:sz w:val="22"/>
          <w:szCs w:val="22"/>
        </w:rPr>
        <w:t xml:space="preserve">Pradinė dozė yra 600 mg, </w:t>
      </w:r>
      <w:r w:rsidRPr="00776407">
        <w:rPr>
          <w:rFonts w:eastAsia="Calibri"/>
          <w:color w:val="000000"/>
          <w:sz w:val="22"/>
          <w:szCs w:val="22"/>
          <w:lang w:eastAsia="is-IS"/>
        </w:rPr>
        <w:t xml:space="preserve">vartojant vieną 400 mg kapsulę plius dvi 100 mg kapsules </w:t>
      </w:r>
      <w:r w:rsidRPr="00776407">
        <w:rPr>
          <w:rFonts w:eastAsia="Calibri"/>
          <w:b/>
          <w:color w:val="000000"/>
          <w:sz w:val="22"/>
          <w:szCs w:val="22"/>
          <w:lang w:eastAsia="is-IS"/>
        </w:rPr>
        <w:t xml:space="preserve">vieną kartą per parą. </w:t>
      </w:r>
    </w:p>
    <w:p w14:paraId="4A51B34C" w14:textId="77777777" w:rsidR="002D2BD8" w:rsidRPr="00776407" w:rsidRDefault="002D2BD8" w:rsidP="002D2BD8">
      <w:pPr>
        <w:autoSpaceDE w:val="0"/>
        <w:autoSpaceDN w:val="0"/>
        <w:adjustRightInd w:val="0"/>
        <w:rPr>
          <w:rFonts w:ascii="Symbol" w:eastAsia="Calibri" w:hAnsi="Symbol" w:cs="Symbol"/>
          <w:color w:val="000000"/>
        </w:rPr>
      </w:pPr>
    </w:p>
    <w:p w14:paraId="3B58432D" w14:textId="77777777" w:rsidR="002D2BD8" w:rsidRPr="00776407" w:rsidRDefault="002D2BD8" w:rsidP="002D2BD8">
      <w:pPr>
        <w:autoSpaceDE w:val="0"/>
        <w:autoSpaceDN w:val="0"/>
        <w:adjustRightInd w:val="0"/>
        <w:rPr>
          <w:rFonts w:eastAsia="Calibri"/>
          <w:color w:val="000000"/>
          <w:sz w:val="22"/>
          <w:szCs w:val="22"/>
        </w:rPr>
      </w:pPr>
      <w:r w:rsidRPr="00776407">
        <w:rPr>
          <w:rFonts w:ascii="Symbol" w:eastAsia="Calibri" w:hAnsi="Symbol" w:cs="Symbol"/>
          <w:color w:val="000000"/>
          <w:sz w:val="22"/>
          <w:szCs w:val="22"/>
        </w:rPr>
        <w:t></w:t>
      </w:r>
      <w:r w:rsidRPr="00776407">
        <w:rPr>
          <w:rFonts w:ascii="Symbol" w:eastAsia="Calibri" w:hAnsi="Symbol" w:cs="Symbol"/>
          <w:color w:val="000000"/>
          <w:sz w:val="22"/>
          <w:szCs w:val="22"/>
        </w:rPr>
        <w:t></w:t>
      </w:r>
      <w:r w:rsidRPr="00776407">
        <w:rPr>
          <w:rFonts w:ascii="Symbol" w:eastAsia="Calibri" w:hAnsi="Symbol" w:cs="Symbol"/>
          <w:color w:val="000000"/>
          <w:sz w:val="22"/>
          <w:szCs w:val="22"/>
        </w:rPr>
        <w:tab/>
      </w:r>
      <w:r w:rsidRPr="00776407">
        <w:rPr>
          <w:rFonts w:eastAsia="Calibri"/>
          <w:b/>
          <w:bCs/>
          <w:color w:val="000000"/>
          <w:sz w:val="22"/>
          <w:szCs w:val="22"/>
        </w:rPr>
        <w:t xml:space="preserve">Jeigu gydoma MDS/MPL: </w:t>
      </w:r>
    </w:p>
    <w:p w14:paraId="4415E3A6" w14:textId="77777777" w:rsidR="002D2BD8" w:rsidRPr="00776407" w:rsidRDefault="002D2BD8" w:rsidP="002D2BD8">
      <w:pPr>
        <w:autoSpaceDE w:val="0"/>
        <w:autoSpaceDN w:val="0"/>
        <w:adjustRightInd w:val="0"/>
        <w:ind w:firstLine="720"/>
        <w:rPr>
          <w:rFonts w:eastAsia="Calibri"/>
          <w:color w:val="000000"/>
          <w:sz w:val="22"/>
          <w:szCs w:val="22"/>
        </w:rPr>
      </w:pPr>
      <w:r w:rsidRPr="00776407">
        <w:rPr>
          <w:rFonts w:eastAsia="Calibri"/>
          <w:color w:val="000000"/>
          <w:sz w:val="22"/>
          <w:szCs w:val="22"/>
        </w:rPr>
        <w:t xml:space="preserve">Pradinė dozė yra 400 mg, vartojant po 1 kapsulę </w:t>
      </w:r>
      <w:r w:rsidRPr="00776407">
        <w:rPr>
          <w:rFonts w:eastAsia="Calibri"/>
          <w:b/>
          <w:bCs/>
          <w:color w:val="000000"/>
          <w:sz w:val="22"/>
          <w:szCs w:val="22"/>
        </w:rPr>
        <w:t xml:space="preserve">kartą </w:t>
      </w:r>
      <w:r w:rsidRPr="00776407">
        <w:rPr>
          <w:rFonts w:eastAsia="Calibri"/>
          <w:color w:val="000000"/>
          <w:sz w:val="22"/>
          <w:szCs w:val="22"/>
        </w:rPr>
        <w:t xml:space="preserve">per parą. </w:t>
      </w:r>
    </w:p>
    <w:p w14:paraId="16CB2A07" w14:textId="77777777" w:rsidR="002D2BD8" w:rsidRPr="00776407" w:rsidRDefault="002D2BD8" w:rsidP="002D2BD8">
      <w:pPr>
        <w:autoSpaceDE w:val="0"/>
        <w:autoSpaceDN w:val="0"/>
        <w:adjustRightInd w:val="0"/>
        <w:rPr>
          <w:rFonts w:eastAsia="Calibri"/>
          <w:color w:val="000000"/>
          <w:sz w:val="22"/>
          <w:szCs w:val="22"/>
        </w:rPr>
      </w:pPr>
    </w:p>
    <w:p w14:paraId="0B181667" w14:textId="77777777" w:rsidR="002D2BD8" w:rsidRPr="00776407" w:rsidRDefault="002D2BD8" w:rsidP="00864BE6">
      <w:pPr>
        <w:numPr>
          <w:ilvl w:val="0"/>
          <w:numId w:val="1"/>
        </w:numPr>
        <w:autoSpaceDE w:val="0"/>
        <w:autoSpaceDN w:val="0"/>
        <w:adjustRightInd w:val="0"/>
        <w:spacing w:after="200" w:line="276" w:lineRule="auto"/>
        <w:ind w:hanging="720"/>
        <w:rPr>
          <w:rFonts w:eastAsia="Calibri"/>
          <w:color w:val="000000"/>
          <w:sz w:val="22"/>
          <w:szCs w:val="22"/>
        </w:rPr>
      </w:pPr>
      <w:r w:rsidRPr="00776407">
        <w:rPr>
          <w:rFonts w:eastAsia="Calibri"/>
          <w:b/>
          <w:bCs/>
          <w:color w:val="000000"/>
          <w:sz w:val="22"/>
          <w:szCs w:val="22"/>
        </w:rPr>
        <w:t xml:space="preserve">Jeigu gydoma HES/LEL: </w:t>
      </w:r>
    </w:p>
    <w:p w14:paraId="36202850" w14:textId="77777777" w:rsidR="002D2BD8" w:rsidRPr="00776407" w:rsidRDefault="002D2BD8" w:rsidP="002D2BD8">
      <w:pPr>
        <w:autoSpaceDE w:val="0"/>
        <w:autoSpaceDN w:val="0"/>
        <w:adjustRightInd w:val="0"/>
        <w:ind w:left="720"/>
        <w:rPr>
          <w:rFonts w:eastAsia="Calibri"/>
          <w:color w:val="000000"/>
          <w:sz w:val="22"/>
          <w:szCs w:val="22"/>
        </w:rPr>
      </w:pPr>
      <w:r w:rsidRPr="00776407">
        <w:rPr>
          <w:rFonts w:eastAsia="Calibri"/>
          <w:color w:val="000000"/>
          <w:sz w:val="22"/>
          <w:szCs w:val="22"/>
        </w:rPr>
        <w:t xml:space="preserve">Pradinė dozė yra 100 mg, vartojant po vieną 100 mg kapsulę </w:t>
      </w:r>
      <w:r w:rsidRPr="00776407">
        <w:rPr>
          <w:rFonts w:eastAsia="Calibri"/>
          <w:b/>
          <w:bCs/>
          <w:color w:val="000000"/>
          <w:sz w:val="22"/>
          <w:szCs w:val="22"/>
        </w:rPr>
        <w:t xml:space="preserve">kartą </w:t>
      </w:r>
      <w:r w:rsidRPr="00776407">
        <w:rPr>
          <w:rFonts w:eastAsia="Calibri"/>
          <w:color w:val="000000"/>
          <w:sz w:val="22"/>
          <w:szCs w:val="22"/>
        </w:rPr>
        <w:t xml:space="preserve">per parą. Priklausomai nuo Jūsų atsako į gydymą, Jūsų gydytojas gali nuspręsti padidinti dozę iki 400 mg, vartojant po vieną 400 mg  kapsulę </w:t>
      </w:r>
      <w:r w:rsidRPr="00776407">
        <w:rPr>
          <w:rFonts w:eastAsia="Calibri"/>
          <w:b/>
          <w:bCs/>
          <w:color w:val="000000"/>
          <w:sz w:val="22"/>
          <w:szCs w:val="22"/>
        </w:rPr>
        <w:t xml:space="preserve">kartą </w:t>
      </w:r>
      <w:r w:rsidRPr="00776407">
        <w:rPr>
          <w:rFonts w:eastAsia="Calibri"/>
          <w:color w:val="000000"/>
          <w:sz w:val="22"/>
          <w:szCs w:val="22"/>
        </w:rPr>
        <w:t xml:space="preserve">per parą. </w:t>
      </w:r>
    </w:p>
    <w:p w14:paraId="0AB75610" w14:textId="77777777" w:rsidR="002D2BD8" w:rsidRPr="00776407" w:rsidRDefault="002D2BD8" w:rsidP="002D2BD8">
      <w:pPr>
        <w:autoSpaceDE w:val="0"/>
        <w:autoSpaceDN w:val="0"/>
        <w:adjustRightInd w:val="0"/>
        <w:ind w:left="720"/>
        <w:rPr>
          <w:rFonts w:eastAsia="Calibri"/>
          <w:color w:val="000000"/>
          <w:sz w:val="22"/>
          <w:szCs w:val="22"/>
        </w:rPr>
      </w:pPr>
    </w:p>
    <w:p w14:paraId="366D64DA" w14:textId="77777777" w:rsidR="002D2BD8" w:rsidRPr="00776407" w:rsidRDefault="002D2BD8" w:rsidP="00864BE6">
      <w:pPr>
        <w:numPr>
          <w:ilvl w:val="0"/>
          <w:numId w:val="1"/>
        </w:numPr>
        <w:autoSpaceDE w:val="0"/>
        <w:autoSpaceDN w:val="0"/>
        <w:adjustRightInd w:val="0"/>
        <w:spacing w:after="200" w:line="276" w:lineRule="auto"/>
        <w:ind w:hanging="720"/>
        <w:rPr>
          <w:rFonts w:eastAsia="Calibri"/>
          <w:color w:val="000000"/>
          <w:sz w:val="22"/>
          <w:szCs w:val="22"/>
        </w:rPr>
      </w:pPr>
      <w:r w:rsidRPr="00776407">
        <w:rPr>
          <w:rFonts w:eastAsia="Calibri"/>
          <w:b/>
          <w:bCs/>
          <w:color w:val="000000"/>
          <w:sz w:val="22"/>
          <w:szCs w:val="22"/>
        </w:rPr>
        <w:t xml:space="preserve">Jeigu gydoma DFSP: </w:t>
      </w:r>
    </w:p>
    <w:p w14:paraId="1DC2CC26" w14:textId="77777777" w:rsidR="002D2BD8" w:rsidRPr="00776407" w:rsidRDefault="002D2BD8" w:rsidP="002D2BD8">
      <w:pPr>
        <w:autoSpaceDE w:val="0"/>
        <w:autoSpaceDN w:val="0"/>
        <w:adjustRightInd w:val="0"/>
        <w:ind w:firstLine="720"/>
        <w:rPr>
          <w:rFonts w:eastAsia="Calibri"/>
          <w:color w:val="000000"/>
          <w:sz w:val="22"/>
          <w:szCs w:val="22"/>
        </w:rPr>
      </w:pPr>
      <w:r w:rsidRPr="00776407">
        <w:rPr>
          <w:rFonts w:eastAsia="Calibri"/>
          <w:color w:val="000000"/>
          <w:sz w:val="22"/>
          <w:szCs w:val="22"/>
        </w:rPr>
        <w:t>Dozė yra 800 mg per parą (2 kapsulės), vartojant po 1 kapsulę ryte ir 1 kapsulę vakare.</w:t>
      </w:r>
    </w:p>
    <w:p w14:paraId="551E962F" w14:textId="77777777" w:rsidR="002D2BD8" w:rsidRPr="00776407" w:rsidRDefault="002D2BD8" w:rsidP="002D2BD8">
      <w:pPr>
        <w:autoSpaceDE w:val="0"/>
        <w:autoSpaceDN w:val="0"/>
        <w:adjustRightInd w:val="0"/>
        <w:ind w:firstLine="720"/>
        <w:rPr>
          <w:rFonts w:eastAsia="Calibri"/>
          <w:sz w:val="22"/>
          <w:szCs w:val="22"/>
        </w:rPr>
      </w:pPr>
    </w:p>
    <w:p w14:paraId="117474C0" w14:textId="77777777"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Vartojimas vaikams ir paaugliams </w:t>
      </w:r>
    </w:p>
    <w:p w14:paraId="3BAF9DE7"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Gydytojas nurodys, kiek Imatinib Actavis kapsulių reikia duoti gerti vaikui. Imatinib Actavis dozė priklausys nuo vaiko būklės, kūno masės ir ūgio. </w:t>
      </w:r>
    </w:p>
    <w:p w14:paraId="5B496A94" w14:textId="77777777" w:rsidR="002D2BD8" w:rsidRPr="00776407" w:rsidRDefault="00D36AFF" w:rsidP="002D2BD8">
      <w:pPr>
        <w:autoSpaceDE w:val="0"/>
        <w:autoSpaceDN w:val="0"/>
        <w:adjustRightInd w:val="0"/>
        <w:rPr>
          <w:rFonts w:eastAsia="Calibri"/>
          <w:sz w:val="22"/>
          <w:szCs w:val="22"/>
        </w:rPr>
      </w:pPr>
      <w:r w:rsidRPr="00776407">
        <w:rPr>
          <w:rFonts w:eastAsia="Calibri"/>
          <w:sz w:val="22"/>
          <w:szCs w:val="22"/>
        </w:rPr>
        <w:t xml:space="preserve">Bendroji nuo LML gydomų vaikų paros dozė neturi būti didesnė kaip 800 mg ir 600 mg, sergančių Ph+ ŪLL. Vaistą galima vartoti vieną kartą per parą arba paros dozę padalyti į dvi dalis (pusę dozės vartoti ryte ir kitą pusę – vakare). </w:t>
      </w:r>
      <w:r w:rsidR="002D2BD8" w:rsidRPr="00776407">
        <w:rPr>
          <w:rFonts w:eastAsia="Calibri"/>
          <w:sz w:val="22"/>
          <w:szCs w:val="22"/>
        </w:rPr>
        <w:t xml:space="preserve"> </w:t>
      </w:r>
    </w:p>
    <w:p w14:paraId="2A8A8A6E" w14:textId="77777777" w:rsidR="002D2BD8" w:rsidRPr="00776407" w:rsidRDefault="002D2BD8" w:rsidP="002D2BD8">
      <w:pPr>
        <w:autoSpaceDE w:val="0"/>
        <w:autoSpaceDN w:val="0"/>
        <w:adjustRightInd w:val="0"/>
        <w:rPr>
          <w:rFonts w:eastAsia="Calibri"/>
          <w:sz w:val="22"/>
          <w:szCs w:val="22"/>
        </w:rPr>
      </w:pPr>
    </w:p>
    <w:p w14:paraId="1FED6F8F" w14:textId="77777777"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Kada ir kaip vartoti Imatinib Actavis </w:t>
      </w:r>
    </w:p>
    <w:p w14:paraId="72DD935E" w14:textId="77777777" w:rsidR="002D2BD8" w:rsidRPr="00776407" w:rsidRDefault="002D2BD8" w:rsidP="002D2BD8">
      <w:pPr>
        <w:autoSpaceDE w:val="0"/>
        <w:autoSpaceDN w:val="0"/>
        <w:adjustRightInd w:val="0"/>
        <w:spacing w:after="21"/>
        <w:ind w:left="720" w:hanging="720"/>
        <w:rPr>
          <w:rFonts w:eastAsia="Calibri"/>
          <w:sz w:val="22"/>
          <w:szCs w:val="22"/>
        </w:rPr>
      </w:pPr>
      <w:r w:rsidRPr="00776407">
        <w:rPr>
          <w:rFonts w:eastAsia="Calibri"/>
          <w:sz w:val="22"/>
          <w:szCs w:val="22"/>
        </w:rPr>
        <w:t>-</w:t>
      </w:r>
      <w:r w:rsidRPr="00776407">
        <w:rPr>
          <w:rFonts w:eastAsia="Calibri"/>
          <w:sz w:val="22"/>
          <w:szCs w:val="22"/>
        </w:rPr>
        <w:tab/>
      </w:r>
      <w:r w:rsidRPr="00776407">
        <w:rPr>
          <w:rFonts w:eastAsia="Calibri"/>
          <w:b/>
          <w:bCs/>
          <w:sz w:val="22"/>
          <w:szCs w:val="22"/>
        </w:rPr>
        <w:t xml:space="preserve">Imatinib Actavis gerkite valgio metu. </w:t>
      </w:r>
      <w:r w:rsidRPr="00776407">
        <w:rPr>
          <w:rFonts w:eastAsia="Calibri"/>
          <w:sz w:val="22"/>
          <w:szCs w:val="22"/>
        </w:rPr>
        <w:t xml:space="preserve">Tai padės išvengti skrandžio sutrikimų Imatinib Actavis vartojimo metu. </w:t>
      </w:r>
    </w:p>
    <w:p w14:paraId="396B75DC" w14:textId="77777777" w:rsidR="002D2BD8" w:rsidRPr="00776407" w:rsidRDefault="002D2BD8" w:rsidP="002D2BD8">
      <w:pPr>
        <w:autoSpaceDE w:val="0"/>
        <w:autoSpaceDN w:val="0"/>
        <w:adjustRightInd w:val="0"/>
        <w:spacing w:after="21"/>
        <w:ind w:left="720" w:hanging="720"/>
        <w:rPr>
          <w:rFonts w:eastAsia="Calibri"/>
          <w:sz w:val="22"/>
          <w:szCs w:val="22"/>
        </w:rPr>
      </w:pPr>
      <w:r w:rsidRPr="00776407">
        <w:rPr>
          <w:rFonts w:eastAsia="Calibri"/>
          <w:sz w:val="22"/>
          <w:szCs w:val="22"/>
        </w:rPr>
        <w:t>-</w:t>
      </w:r>
      <w:r w:rsidRPr="00776407">
        <w:rPr>
          <w:rFonts w:eastAsia="Calibri"/>
          <w:sz w:val="22"/>
          <w:szCs w:val="22"/>
        </w:rPr>
        <w:tab/>
      </w:r>
      <w:r w:rsidRPr="00776407">
        <w:rPr>
          <w:rFonts w:eastAsia="Calibri"/>
          <w:b/>
          <w:bCs/>
          <w:sz w:val="22"/>
          <w:szCs w:val="22"/>
        </w:rPr>
        <w:t xml:space="preserve">Nurykite visą kapsulę užgerdami didele stikline vandens. </w:t>
      </w:r>
      <w:r w:rsidRPr="00776407">
        <w:rPr>
          <w:rFonts w:eastAsia="Calibri"/>
          <w:sz w:val="22"/>
          <w:szCs w:val="22"/>
        </w:rPr>
        <w:t xml:space="preserve">Kapsulių negalima atidaryti ir laužyti, nebent jas sunku nuryti (pvz., vaikams). </w:t>
      </w:r>
    </w:p>
    <w:p w14:paraId="6A95445F" w14:textId="77777777" w:rsidR="002D2BD8" w:rsidRPr="00776407" w:rsidRDefault="002D2BD8" w:rsidP="002D2BD8">
      <w:pPr>
        <w:autoSpaceDE w:val="0"/>
        <w:autoSpaceDN w:val="0"/>
        <w:adjustRightInd w:val="0"/>
        <w:spacing w:after="21"/>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Jeigu negalite nuryti kapsulės, galite ją atidaryti ir miltelius ištirpinti stiklinėje negazuoto vandens ar obuolių sulčių. </w:t>
      </w:r>
    </w:p>
    <w:p w14:paraId="7B6CED57" w14:textId="77777777" w:rsidR="002D2BD8" w:rsidRPr="00776407" w:rsidRDefault="002D2BD8" w:rsidP="002D2BD8">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Jei esate ar galite būti nėščia ir ketinate atidaryti kapsulę, su jos turiniu turite elgtis labai atsargiai, kad vaisto nepatektų ant odos, į akis ir kad jo neįkvėptumėte. Atidarę kapsulę, nedelsdami nusiplaukite rankas. </w:t>
      </w:r>
    </w:p>
    <w:p w14:paraId="1CDA13F9" w14:textId="77777777" w:rsidR="002D2BD8" w:rsidRPr="00776407" w:rsidRDefault="002D2BD8" w:rsidP="002D2BD8">
      <w:pPr>
        <w:autoSpaceDE w:val="0"/>
        <w:autoSpaceDN w:val="0"/>
        <w:adjustRightInd w:val="0"/>
        <w:rPr>
          <w:rFonts w:eastAsia="Calibri"/>
          <w:sz w:val="22"/>
          <w:szCs w:val="22"/>
        </w:rPr>
      </w:pPr>
    </w:p>
    <w:p w14:paraId="753D0A8D" w14:textId="77777777"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Kaip ilgai vartoti Imatinib Actavis </w:t>
      </w:r>
    </w:p>
    <w:p w14:paraId="41CAADEC"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Imatinib Actavis vartokite kasdien, tiek laiko, kiek nurodė Jūsų gydytojas. </w:t>
      </w:r>
    </w:p>
    <w:p w14:paraId="177F0364" w14:textId="77777777" w:rsidR="002D2BD8" w:rsidRPr="00776407" w:rsidRDefault="002D2BD8" w:rsidP="002D2BD8">
      <w:pPr>
        <w:autoSpaceDE w:val="0"/>
        <w:autoSpaceDN w:val="0"/>
        <w:adjustRightInd w:val="0"/>
        <w:rPr>
          <w:rFonts w:eastAsia="Calibri"/>
          <w:sz w:val="22"/>
          <w:szCs w:val="22"/>
        </w:rPr>
      </w:pPr>
    </w:p>
    <w:p w14:paraId="7EB1BFD5" w14:textId="77777777"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Ką daryti pavartojus per didelę Imatinib Actavis dozę? </w:t>
      </w:r>
    </w:p>
    <w:p w14:paraId="04194A8A"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Jei atsitiktinai išgėrėte per daug kapsulių, </w:t>
      </w:r>
      <w:r w:rsidRPr="00776407">
        <w:rPr>
          <w:rFonts w:eastAsia="Calibri"/>
          <w:b/>
          <w:bCs/>
          <w:sz w:val="22"/>
          <w:szCs w:val="22"/>
        </w:rPr>
        <w:t xml:space="preserve">iš karto </w:t>
      </w:r>
      <w:r w:rsidRPr="00776407">
        <w:rPr>
          <w:rFonts w:eastAsia="Calibri"/>
          <w:sz w:val="22"/>
          <w:szCs w:val="22"/>
        </w:rPr>
        <w:t xml:space="preserve">kreipkitės į gydytoją. Jums gali prireikti medicininės pagalbos. Pasiimkite su savimi vaisto pakuotę. </w:t>
      </w:r>
    </w:p>
    <w:p w14:paraId="594D42DC" w14:textId="77777777" w:rsidR="002D2BD8" w:rsidRPr="00776407" w:rsidRDefault="002D2BD8" w:rsidP="002D2BD8">
      <w:pPr>
        <w:autoSpaceDE w:val="0"/>
        <w:autoSpaceDN w:val="0"/>
        <w:adjustRightInd w:val="0"/>
        <w:rPr>
          <w:rFonts w:eastAsia="Calibri"/>
          <w:b/>
          <w:bCs/>
          <w:sz w:val="22"/>
          <w:szCs w:val="22"/>
        </w:rPr>
      </w:pPr>
    </w:p>
    <w:p w14:paraId="040ACAA4" w14:textId="77777777"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Pamiršus pavartoti Imatinib Actavis </w:t>
      </w:r>
    </w:p>
    <w:p w14:paraId="2D0CAB74" w14:textId="77777777" w:rsidR="002D2BD8" w:rsidRPr="00776407" w:rsidRDefault="002D2BD8" w:rsidP="002D2BD8">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Pamiršus pavartoti vaisto dozę, ją išgerkite kai tik prisiminėte. Tačiau jei jau beveik laikas gerti kitą dozę, praleistos dozės nevartokite. </w:t>
      </w:r>
    </w:p>
    <w:p w14:paraId="5A1A4B9E" w14:textId="77777777" w:rsidR="002D2BD8" w:rsidRPr="00776407" w:rsidRDefault="002D2BD8" w:rsidP="002D2BD8">
      <w:pPr>
        <w:autoSpaceDE w:val="0"/>
        <w:autoSpaceDN w:val="0"/>
        <w:adjustRightInd w:val="0"/>
        <w:spacing w:after="23"/>
        <w:rPr>
          <w:rFonts w:eastAsia="Calibri"/>
          <w:sz w:val="22"/>
          <w:szCs w:val="22"/>
        </w:rPr>
      </w:pPr>
      <w:r w:rsidRPr="00776407">
        <w:rPr>
          <w:rFonts w:eastAsia="Calibri"/>
          <w:sz w:val="22"/>
          <w:szCs w:val="22"/>
        </w:rPr>
        <w:t>-</w:t>
      </w:r>
      <w:r w:rsidRPr="00776407">
        <w:rPr>
          <w:rFonts w:eastAsia="Calibri"/>
          <w:sz w:val="22"/>
          <w:szCs w:val="22"/>
        </w:rPr>
        <w:tab/>
        <w:t xml:space="preserve">Vėliau tęskite vaisto vartojimą įprastu režimu. </w:t>
      </w:r>
    </w:p>
    <w:p w14:paraId="3DD3DB5E"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t xml:space="preserve">Negalima vartoti dvigubos dozės norint kompensuoti praleistą dozę. </w:t>
      </w:r>
    </w:p>
    <w:p w14:paraId="03937F5E" w14:textId="77777777" w:rsidR="002D2BD8" w:rsidRPr="00776407" w:rsidRDefault="002D2BD8" w:rsidP="002D2BD8">
      <w:pPr>
        <w:autoSpaceDE w:val="0"/>
        <w:autoSpaceDN w:val="0"/>
        <w:adjustRightInd w:val="0"/>
        <w:rPr>
          <w:rFonts w:eastAsia="Calibri"/>
          <w:sz w:val="22"/>
          <w:szCs w:val="22"/>
        </w:rPr>
      </w:pPr>
    </w:p>
    <w:p w14:paraId="4C89E0EF"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Jeigu kiltų daugiau klausimų dėl šio vaisto vartojimo, kreipkitės į gydytoją, vaistininką arba slaugytoją. </w:t>
      </w:r>
    </w:p>
    <w:p w14:paraId="60871BF8" w14:textId="77777777" w:rsidR="002D2BD8" w:rsidRPr="00776407" w:rsidRDefault="002D2BD8" w:rsidP="002D2BD8">
      <w:pPr>
        <w:autoSpaceDE w:val="0"/>
        <w:autoSpaceDN w:val="0"/>
        <w:adjustRightInd w:val="0"/>
        <w:rPr>
          <w:rFonts w:eastAsia="Calibri"/>
          <w:sz w:val="22"/>
          <w:szCs w:val="22"/>
        </w:rPr>
      </w:pPr>
    </w:p>
    <w:p w14:paraId="3A48EF8E" w14:textId="77777777" w:rsidR="002D2BD8" w:rsidRPr="00776407" w:rsidRDefault="002D2BD8" w:rsidP="002D2BD8">
      <w:pPr>
        <w:autoSpaceDE w:val="0"/>
        <w:autoSpaceDN w:val="0"/>
        <w:adjustRightInd w:val="0"/>
        <w:rPr>
          <w:rFonts w:eastAsia="Calibri"/>
          <w:sz w:val="22"/>
          <w:szCs w:val="22"/>
        </w:rPr>
      </w:pPr>
    </w:p>
    <w:p w14:paraId="1B1AFB19" w14:textId="77777777" w:rsidR="002D2BD8" w:rsidRPr="00776407" w:rsidRDefault="002D2BD8" w:rsidP="002D2BD8">
      <w:pPr>
        <w:keepNext/>
        <w:autoSpaceDE w:val="0"/>
        <w:autoSpaceDN w:val="0"/>
        <w:adjustRightInd w:val="0"/>
        <w:rPr>
          <w:rFonts w:eastAsia="Calibri"/>
          <w:b/>
          <w:bCs/>
          <w:sz w:val="22"/>
          <w:szCs w:val="22"/>
        </w:rPr>
      </w:pPr>
      <w:r w:rsidRPr="00776407">
        <w:rPr>
          <w:rFonts w:eastAsia="Calibri"/>
          <w:b/>
          <w:bCs/>
          <w:sz w:val="22"/>
          <w:szCs w:val="22"/>
        </w:rPr>
        <w:t>4.</w:t>
      </w:r>
      <w:r w:rsidRPr="00776407">
        <w:rPr>
          <w:rFonts w:eastAsia="Calibri"/>
          <w:b/>
          <w:bCs/>
          <w:sz w:val="22"/>
          <w:szCs w:val="22"/>
        </w:rPr>
        <w:tab/>
        <w:t>Galimas šalutinis poveikis</w:t>
      </w:r>
    </w:p>
    <w:p w14:paraId="751F9FC2" w14:textId="77777777" w:rsidR="002D2BD8" w:rsidRPr="00776407" w:rsidRDefault="002D2BD8" w:rsidP="002D2BD8">
      <w:pPr>
        <w:autoSpaceDE w:val="0"/>
        <w:autoSpaceDN w:val="0"/>
        <w:adjustRightInd w:val="0"/>
        <w:rPr>
          <w:rFonts w:eastAsia="Calibri"/>
          <w:sz w:val="22"/>
          <w:szCs w:val="22"/>
        </w:rPr>
      </w:pPr>
    </w:p>
    <w:p w14:paraId="5940BFB9"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Šis vaistas, kaip ir visi kiti, gali sukelti šalutinį poveikį, nors jis pasireiškia ne visiems žmonėms. Paprastai jis būna nesunkus ar vidutinio sunkumo. </w:t>
      </w:r>
    </w:p>
    <w:p w14:paraId="24080BED" w14:textId="77777777" w:rsidR="002D2BD8" w:rsidRPr="00776407" w:rsidRDefault="002D2BD8" w:rsidP="002D2BD8">
      <w:pPr>
        <w:autoSpaceDE w:val="0"/>
        <w:autoSpaceDN w:val="0"/>
        <w:adjustRightInd w:val="0"/>
        <w:rPr>
          <w:rFonts w:eastAsia="Calibri"/>
          <w:sz w:val="22"/>
          <w:szCs w:val="22"/>
        </w:rPr>
      </w:pPr>
    </w:p>
    <w:p w14:paraId="63BE5644" w14:textId="77777777"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Kai kurie šalutiniai </w:t>
      </w:r>
      <w:r w:rsidR="002C37B0" w:rsidRPr="00776407">
        <w:rPr>
          <w:rFonts w:eastAsia="Calibri"/>
          <w:b/>
          <w:bCs/>
          <w:sz w:val="22"/>
          <w:szCs w:val="22"/>
        </w:rPr>
        <w:t>poveikiai</w:t>
      </w:r>
      <w:r w:rsidRPr="00776407">
        <w:rPr>
          <w:rFonts w:eastAsia="Calibri"/>
          <w:b/>
          <w:bCs/>
          <w:sz w:val="22"/>
          <w:szCs w:val="22"/>
        </w:rPr>
        <w:t xml:space="preserve"> gali būti sunkūs. Nedelsiant pasakykite gydytojui, jeigu Jums pasireikštų kuris nors iš toliau išvardytų </w:t>
      </w:r>
      <w:r w:rsidR="002C37B0" w:rsidRPr="00776407">
        <w:rPr>
          <w:rFonts w:eastAsia="Calibri"/>
          <w:b/>
          <w:bCs/>
          <w:sz w:val="22"/>
          <w:szCs w:val="22"/>
        </w:rPr>
        <w:t>poveikių</w:t>
      </w:r>
      <w:r w:rsidRPr="00776407">
        <w:rPr>
          <w:rFonts w:eastAsia="Calibri"/>
          <w:b/>
          <w:bCs/>
          <w:sz w:val="22"/>
          <w:szCs w:val="22"/>
        </w:rPr>
        <w:t xml:space="preserve">. </w:t>
      </w:r>
    </w:p>
    <w:p w14:paraId="1800605F" w14:textId="77777777" w:rsidR="002D2BD8" w:rsidRPr="00776407" w:rsidRDefault="002D2BD8" w:rsidP="002D2BD8">
      <w:pPr>
        <w:autoSpaceDE w:val="0"/>
        <w:autoSpaceDN w:val="0"/>
        <w:adjustRightInd w:val="0"/>
        <w:rPr>
          <w:rFonts w:eastAsia="Calibri"/>
          <w:b/>
          <w:bCs/>
          <w:sz w:val="22"/>
          <w:szCs w:val="22"/>
        </w:rPr>
      </w:pPr>
    </w:p>
    <w:p w14:paraId="617DE50A" w14:textId="77777777" w:rsidR="005A679E" w:rsidRPr="00776407" w:rsidRDefault="005A679E" w:rsidP="005A679E">
      <w:pPr>
        <w:autoSpaceDE w:val="0"/>
        <w:autoSpaceDN w:val="0"/>
        <w:adjustRightInd w:val="0"/>
        <w:rPr>
          <w:rFonts w:eastAsia="Calibri"/>
          <w:sz w:val="22"/>
          <w:szCs w:val="22"/>
        </w:rPr>
      </w:pPr>
      <w:r w:rsidRPr="00776407">
        <w:rPr>
          <w:rFonts w:eastAsia="Calibri"/>
          <w:b/>
          <w:bCs/>
          <w:sz w:val="22"/>
          <w:szCs w:val="22"/>
        </w:rPr>
        <w:t xml:space="preserve">Labai dažni </w:t>
      </w:r>
      <w:r w:rsidRPr="00776407">
        <w:rPr>
          <w:rFonts w:eastAsia="Calibri"/>
          <w:bCs/>
          <w:sz w:val="22"/>
          <w:szCs w:val="22"/>
        </w:rPr>
        <w:t>(gali pasireikšti daugiau nei 1 žmogui iš 10):</w:t>
      </w:r>
      <w:r w:rsidRPr="00776407">
        <w:rPr>
          <w:rFonts w:eastAsia="Calibri"/>
          <w:b/>
          <w:bCs/>
          <w:sz w:val="22"/>
          <w:szCs w:val="22"/>
        </w:rPr>
        <w:t xml:space="preserve"> </w:t>
      </w:r>
    </w:p>
    <w:p w14:paraId="35C8AA3E" w14:textId="1697AE94"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Greitai padidėjęs kūno svoris. Vartojant Imatinib Actavis organizme gali pradėti kauptis skystis (t.</w:t>
      </w:r>
      <w:r w:rsidR="00532218" w:rsidRPr="00776407">
        <w:rPr>
          <w:rFonts w:eastAsia="Calibri"/>
        </w:rPr>
        <w:t> </w:t>
      </w:r>
      <w:r w:rsidRPr="00776407">
        <w:rPr>
          <w:rFonts w:eastAsia="Calibri"/>
          <w:sz w:val="22"/>
          <w:szCs w:val="22"/>
        </w:rPr>
        <w:t xml:space="preserve">y. pasireikšti sunkus skysčių susilaikymas). </w:t>
      </w:r>
    </w:p>
    <w:p w14:paraId="6E37DECB"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Infekcijos požymiai – pavyzdžiui, karščiavimas, stiprus šaltkrėtis, gerklės skausmas ar burnos išopėjimas. Imatinib Actavis gali sumažinti baltųjų kraujo kūnelių skaičių, todėl galite greičiau užsikrėsti infekcinėmis ligomis. </w:t>
      </w:r>
    </w:p>
    <w:p w14:paraId="706AFC84" w14:textId="77777777" w:rsidR="002D2BD8" w:rsidRPr="00776407" w:rsidRDefault="002D2BD8" w:rsidP="00864BE6">
      <w:pPr>
        <w:numPr>
          <w:ilvl w:val="0"/>
          <w:numId w:val="1"/>
        </w:numPr>
        <w:autoSpaceDE w:val="0"/>
        <w:autoSpaceDN w:val="0"/>
        <w:adjustRightInd w:val="0"/>
        <w:spacing w:after="200" w:line="276" w:lineRule="auto"/>
        <w:ind w:left="567" w:hanging="567"/>
        <w:contextualSpacing/>
        <w:rPr>
          <w:rFonts w:eastAsia="Calibri"/>
          <w:sz w:val="22"/>
          <w:szCs w:val="22"/>
        </w:rPr>
      </w:pPr>
      <w:r w:rsidRPr="00776407">
        <w:rPr>
          <w:rFonts w:eastAsia="Calibri"/>
          <w:sz w:val="22"/>
          <w:szCs w:val="22"/>
        </w:rPr>
        <w:t xml:space="preserve">Netikėtas kraujavimas ar mėlynių susidarymas (be jokio sužalojimo). </w:t>
      </w:r>
    </w:p>
    <w:p w14:paraId="53664E03" w14:textId="77777777" w:rsidR="002D2BD8" w:rsidRPr="00776407" w:rsidRDefault="002D2BD8" w:rsidP="002D2BD8">
      <w:pPr>
        <w:autoSpaceDE w:val="0"/>
        <w:autoSpaceDN w:val="0"/>
        <w:adjustRightInd w:val="0"/>
        <w:contextualSpacing/>
        <w:rPr>
          <w:rFonts w:eastAsia="Calibri"/>
          <w:sz w:val="22"/>
          <w:szCs w:val="22"/>
        </w:rPr>
      </w:pPr>
    </w:p>
    <w:p w14:paraId="16CB9EE3" w14:textId="77777777" w:rsidR="002D2BD8" w:rsidRPr="00776407" w:rsidRDefault="002D2BD8" w:rsidP="002D2BD8">
      <w:pPr>
        <w:autoSpaceDE w:val="0"/>
        <w:autoSpaceDN w:val="0"/>
        <w:adjustRightInd w:val="0"/>
        <w:spacing w:after="200" w:line="276" w:lineRule="auto"/>
        <w:rPr>
          <w:rFonts w:eastAsia="Calibri"/>
          <w:sz w:val="22"/>
          <w:szCs w:val="22"/>
        </w:rPr>
      </w:pPr>
      <w:r w:rsidRPr="00776407">
        <w:rPr>
          <w:rFonts w:eastAsia="Calibri"/>
          <w:b/>
          <w:bCs/>
          <w:sz w:val="22"/>
          <w:szCs w:val="22"/>
        </w:rPr>
        <w:t xml:space="preserve">Nedažni </w:t>
      </w:r>
      <w:r w:rsidRPr="00776407">
        <w:rPr>
          <w:rFonts w:eastAsia="Calibri"/>
          <w:bCs/>
          <w:sz w:val="22"/>
          <w:szCs w:val="22"/>
        </w:rPr>
        <w:t>(gali pasireikšti iki 1 žmogaus iš 100)</w:t>
      </w:r>
      <w:r w:rsidRPr="00776407">
        <w:rPr>
          <w:rFonts w:eastAsia="Calibri"/>
          <w:b/>
          <w:bCs/>
          <w:sz w:val="22"/>
          <w:szCs w:val="22"/>
        </w:rPr>
        <w:t xml:space="preserve"> ir reti </w:t>
      </w:r>
      <w:r w:rsidRPr="00776407">
        <w:rPr>
          <w:rFonts w:eastAsia="Calibri"/>
          <w:bCs/>
          <w:sz w:val="22"/>
          <w:szCs w:val="22"/>
        </w:rPr>
        <w:t>(gali pasireikšti iki 1 žmogaus iš 1 000):</w:t>
      </w:r>
      <w:r w:rsidRPr="00776407">
        <w:rPr>
          <w:rFonts w:eastAsia="Calibri"/>
          <w:b/>
          <w:bCs/>
          <w:sz w:val="22"/>
          <w:szCs w:val="22"/>
        </w:rPr>
        <w:t xml:space="preserve"> </w:t>
      </w:r>
    </w:p>
    <w:p w14:paraId="1C9B1D1E"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Skausmas krūtinėje, nereguliarus širdies ritmas (širdies sutrikimų požymiai). </w:t>
      </w:r>
    </w:p>
    <w:p w14:paraId="05B8D9A6"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Kosulys, pasunkėjęs kvėpavimas arba skausmingas kvėpavimas (plaučių sutrikimų požymiai). </w:t>
      </w:r>
    </w:p>
    <w:p w14:paraId="1F826F4D"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Apsvaigimas, galvos svaigimas ar alpimas (žemo kraujospūdžio požymiai). </w:t>
      </w:r>
    </w:p>
    <w:p w14:paraId="69F4A713"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Šleikštulys (pykinimas), taip pat apetito trūkumas, tamsus šlapimas, pageltusi oda ar akių baltymai (kepenų sutrikimų požymiai). </w:t>
      </w:r>
    </w:p>
    <w:p w14:paraId="69BA7664" w14:textId="77777777" w:rsidR="002D2BD8" w:rsidRPr="00776407" w:rsidRDefault="002C37B0"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Išb</w:t>
      </w:r>
      <w:r w:rsidR="002D2BD8" w:rsidRPr="00776407">
        <w:rPr>
          <w:rFonts w:eastAsia="Calibri"/>
          <w:sz w:val="22"/>
          <w:szCs w:val="22"/>
        </w:rPr>
        <w:t>ėrimas, odos paraudimas, taip pat pūslių atsiradimas ant lūpų, akių, odos arba burnos gleivinės, odos pleiskanojimas, karščiavimas, pakilę raudoni arba purpuriniai odos lopai, niež</w:t>
      </w:r>
      <w:r w:rsidRPr="00776407">
        <w:rPr>
          <w:rFonts w:eastAsia="Calibri"/>
          <w:sz w:val="22"/>
          <w:szCs w:val="22"/>
        </w:rPr>
        <w:t>ėjimas</w:t>
      </w:r>
      <w:r w:rsidR="002D2BD8" w:rsidRPr="00776407">
        <w:rPr>
          <w:rFonts w:eastAsia="Calibri"/>
          <w:sz w:val="22"/>
          <w:szCs w:val="22"/>
        </w:rPr>
        <w:t xml:space="preserve">, deginimo pojūtis, pūslinis </w:t>
      </w:r>
      <w:r w:rsidRPr="00776407">
        <w:rPr>
          <w:rFonts w:eastAsia="Calibri"/>
          <w:sz w:val="22"/>
          <w:szCs w:val="22"/>
        </w:rPr>
        <w:t>iš</w:t>
      </w:r>
      <w:r w:rsidR="002D2BD8" w:rsidRPr="00776407">
        <w:rPr>
          <w:rFonts w:eastAsia="Calibri"/>
          <w:sz w:val="22"/>
          <w:szCs w:val="22"/>
        </w:rPr>
        <w:t xml:space="preserve">bėrimas (odos sutrikimų požymiai). </w:t>
      </w:r>
    </w:p>
    <w:p w14:paraId="315CC926"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Stiprus pilvo skausmas, vėmimas, tuštinimasis ar šlapinimasis su kraujo priemaiša, juodos spalvos išmatos (virškinimo trakto sutrikimų požymiai). </w:t>
      </w:r>
    </w:p>
    <w:p w14:paraId="4F9D8315"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Labai sumažėjęs šlapimo kiekis, troškulys (inkstų sutrikimų požymiai). </w:t>
      </w:r>
    </w:p>
    <w:p w14:paraId="68BA9305"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Šleikštulys (pykinimas) kartu su viduriavimu ir vėmimu, pilvo skausmas arba karščiavimas (žarnų sutrikimų požymiai). </w:t>
      </w:r>
    </w:p>
    <w:p w14:paraId="58A71137"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Stiprus galvos skausmas, silpnumas arba galūnių ar veido paralyžius, pasunkėjusi kalba, staigus sąmonės praradimas (nervų sistemos sutrikimų, pavyzdžiui, kraujavimo kaukolės ertmėje ar galvos smegenų patinimo, požymiai). </w:t>
      </w:r>
    </w:p>
    <w:p w14:paraId="1C4C4220" w14:textId="77777777" w:rsidR="002D2BD8" w:rsidRPr="00776407" w:rsidRDefault="002D2BD8" w:rsidP="00864BE6">
      <w:pPr>
        <w:numPr>
          <w:ilvl w:val="0"/>
          <w:numId w:val="1"/>
        </w:numPr>
        <w:autoSpaceDE w:val="0"/>
        <w:autoSpaceDN w:val="0"/>
        <w:adjustRightInd w:val="0"/>
        <w:spacing w:after="200" w:line="276" w:lineRule="auto"/>
        <w:ind w:left="567" w:hanging="567"/>
        <w:contextualSpacing/>
        <w:rPr>
          <w:rFonts w:eastAsia="Calibri"/>
          <w:sz w:val="22"/>
          <w:szCs w:val="22"/>
        </w:rPr>
      </w:pPr>
      <w:r w:rsidRPr="00776407">
        <w:rPr>
          <w:rFonts w:eastAsia="Calibri"/>
          <w:sz w:val="22"/>
          <w:szCs w:val="22"/>
        </w:rPr>
        <w:t xml:space="preserve">Išblyškusi oda, nuovargis ir dusulys, tamsus šlapimas (sumažėjusio raudonųjų kraujo ląstelių skaičiaus požymiai). </w:t>
      </w:r>
    </w:p>
    <w:p w14:paraId="3491829E"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Akies skausmas ar pablogėjusi rega, kraujavimas į akies vidų. </w:t>
      </w:r>
    </w:p>
    <w:p w14:paraId="4D4CBBB1"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Skausmas klubo sąnariuose ar pasunkėjęs vaikščiojimas. </w:t>
      </w:r>
    </w:p>
    <w:p w14:paraId="13C95C68"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Kojų ir rankų pirštų nutirpimas ar šalimas (Raynaud‘s sindromo požymiai). </w:t>
      </w:r>
    </w:p>
    <w:p w14:paraId="2EEAB2DC"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Staigus odos patinimas ir paraudimas (odos infekcijos, vadinamos celiulitu, požymiai). </w:t>
      </w:r>
    </w:p>
    <w:p w14:paraId="7CDC7AC9"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Sutrikusi klausa. </w:t>
      </w:r>
    </w:p>
    <w:p w14:paraId="315F5B32"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Raumenų silpnumas ir spazmas kartu su sutrikusiu širdies ritmu (požymiai, rodantys, kad pakito kalio kiekis Jūsų kraujyje). </w:t>
      </w:r>
    </w:p>
    <w:p w14:paraId="323A4F7A"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Mėlynės. </w:t>
      </w:r>
    </w:p>
    <w:p w14:paraId="0207CBA6"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Skrandžio skausmas kartu su šleikštuliu (pykinimu). </w:t>
      </w:r>
    </w:p>
    <w:p w14:paraId="001C47FF"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Raumenų spazmai ir kartu pasireiškiantis karščiavimas, raudonai rudos spalvos šlapimas, raumenų skausmas ar silpnumas (raumenų sutrikimų požymiai). </w:t>
      </w:r>
    </w:p>
    <w:p w14:paraId="5802A6F4"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Dubens srities skausmas, kartais kartu su pykinimu ir vėmimu, kartu su netikėtu kraujavimu iš makšties, galvos svaigimu ar alpimu dėl sumažėjusio kraujospūdžio (kiaušidžių ar gimdos sutrikimų požymiai). </w:t>
      </w:r>
    </w:p>
    <w:p w14:paraId="78CBBAA5" w14:textId="77777777" w:rsidR="002D2BD8" w:rsidRPr="00776407" w:rsidRDefault="002D2BD8" w:rsidP="00864BE6">
      <w:pPr>
        <w:numPr>
          <w:ilvl w:val="0"/>
          <w:numId w:val="1"/>
        </w:numPr>
        <w:autoSpaceDE w:val="0"/>
        <w:autoSpaceDN w:val="0"/>
        <w:adjustRightInd w:val="0"/>
        <w:spacing w:after="200" w:line="276" w:lineRule="auto"/>
        <w:ind w:left="567" w:hanging="567"/>
        <w:contextualSpacing/>
        <w:rPr>
          <w:rFonts w:eastAsia="Calibri"/>
          <w:sz w:val="22"/>
          <w:szCs w:val="22"/>
        </w:rPr>
      </w:pPr>
      <w:r w:rsidRPr="00776407">
        <w:rPr>
          <w:rFonts w:eastAsia="Calibri"/>
          <w:sz w:val="22"/>
          <w:szCs w:val="22"/>
        </w:rPr>
        <w:t>Pykinimas, oro trūkumas, nereguliarus širdies ritmas, drumstas šlapimas, nuovargis ir</w:t>
      </w:r>
      <w:r w:rsidR="002C37B0" w:rsidRPr="00776407">
        <w:rPr>
          <w:rFonts w:eastAsia="Calibri"/>
          <w:sz w:val="22"/>
          <w:szCs w:val="22"/>
        </w:rPr>
        <w:t xml:space="preserve"> (</w:t>
      </w:r>
      <w:r w:rsidRPr="00776407">
        <w:rPr>
          <w:rFonts w:eastAsia="Calibri"/>
          <w:sz w:val="22"/>
          <w:szCs w:val="22"/>
        </w:rPr>
        <w:t>arba</w:t>
      </w:r>
      <w:r w:rsidR="002C37B0" w:rsidRPr="00776407">
        <w:rPr>
          <w:rFonts w:eastAsia="Calibri"/>
          <w:sz w:val="22"/>
          <w:szCs w:val="22"/>
        </w:rPr>
        <w:t>)</w:t>
      </w:r>
      <w:r w:rsidRPr="00776407">
        <w:rPr>
          <w:rFonts w:eastAsia="Calibri"/>
          <w:sz w:val="22"/>
          <w:szCs w:val="22"/>
        </w:rPr>
        <w:t xml:space="preserve"> sąnarių diskomfortas susijęs su anomaliais laboratorinių tyrimų rezultatais (pvz., didelis kalio, šlapimo rūgšties ir fosforo kiekis, ir mažas kalcio kiekis kraujyje). </w:t>
      </w:r>
      <w:bookmarkStart w:id="3" w:name="_Hlk10640619"/>
    </w:p>
    <w:p w14:paraId="3AC43DFC" w14:textId="77777777" w:rsidR="00BD21E4" w:rsidRPr="00776407" w:rsidRDefault="00BD21E4" w:rsidP="00BD21E4">
      <w:pPr>
        <w:numPr>
          <w:ilvl w:val="0"/>
          <w:numId w:val="1"/>
        </w:numPr>
        <w:autoSpaceDE w:val="0"/>
        <w:autoSpaceDN w:val="0"/>
        <w:adjustRightInd w:val="0"/>
        <w:spacing w:after="200" w:line="276" w:lineRule="auto"/>
        <w:ind w:left="567" w:hanging="567"/>
        <w:contextualSpacing/>
        <w:rPr>
          <w:rFonts w:eastAsia="Calibri"/>
          <w:sz w:val="22"/>
          <w:szCs w:val="22"/>
        </w:rPr>
      </w:pPr>
      <w:r w:rsidRPr="00776407">
        <w:rPr>
          <w:rFonts w:eastAsia="Calibri"/>
          <w:sz w:val="22"/>
          <w:szCs w:val="22"/>
        </w:rPr>
        <w:t>Kraujo krešulių susidarymas smulkiose kraujagyslėse (trombinė mikroangiopatija).</w:t>
      </w:r>
      <w:bookmarkEnd w:id="3"/>
    </w:p>
    <w:p w14:paraId="158AB1B5" w14:textId="77777777" w:rsidR="002D2BD8" w:rsidRPr="00776407" w:rsidRDefault="002D2BD8" w:rsidP="00C73DBE">
      <w:pPr>
        <w:autoSpaceDE w:val="0"/>
        <w:autoSpaceDN w:val="0"/>
        <w:adjustRightInd w:val="0"/>
        <w:contextualSpacing/>
        <w:rPr>
          <w:rFonts w:eastAsia="Calibri"/>
          <w:sz w:val="22"/>
          <w:szCs w:val="22"/>
        </w:rPr>
      </w:pPr>
    </w:p>
    <w:p w14:paraId="04D03956" w14:textId="77777777" w:rsidR="00C73DBE" w:rsidRPr="00776407" w:rsidRDefault="00C73DBE" w:rsidP="00C73DBE">
      <w:pPr>
        <w:pStyle w:val="Listenabsatz"/>
        <w:autoSpaceDE w:val="0"/>
        <w:autoSpaceDN w:val="0"/>
        <w:adjustRightInd w:val="0"/>
        <w:ind w:left="0"/>
        <w:rPr>
          <w:rFonts w:eastAsia="Calibri"/>
          <w:sz w:val="22"/>
          <w:szCs w:val="22"/>
        </w:rPr>
      </w:pPr>
      <w:r w:rsidRPr="00776407">
        <w:rPr>
          <w:rFonts w:eastAsia="Calibri"/>
          <w:b/>
          <w:sz w:val="22"/>
          <w:szCs w:val="22"/>
        </w:rPr>
        <w:t xml:space="preserve">Dažnis nežinomas </w:t>
      </w:r>
      <w:r w:rsidRPr="00776407">
        <w:rPr>
          <w:rFonts w:eastAsia="Calibri"/>
          <w:sz w:val="22"/>
          <w:szCs w:val="22"/>
        </w:rPr>
        <w:t>(negali būti apskaičiuotas pagal turimus duomenis):</w:t>
      </w:r>
    </w:p>
    <w:p w14:paraId="43343DC8" w14:textId="77777777" w:rsidR="00C73DBE" w:rsidRPr="00776407" w:rsidRDefault="00C73DBE"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Plačiai išplitęs stiprus odos išbėrimas kartu su pykinimu, karščiavimu, kai kurių baltųjų kraujo kūnelių skaičiaus padidėjimu arba odos ir akių pageltimu (geltos požymiai), lydimas dusulio, krūtinės skausmo/diskomforto, labai sumažėjusio šlapimo išsiskyrimo bei troškulio ir t.t. (alerginės reakcijos požymiai susiję su gydymu).</w:t>
      </w:r>
    </w:p>
    <w:p w14:paraId="4632FB92" w14:textId="77777777" w:rsidR="00C73DBE" w:rsidRPr="00776407" w:rsidRDefault="00C73DBE"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Lėtinis inkstų nepakankamumas.</w:t>
      </w:r>
    </w:p>
    <w:p w14:paraId="2CE9E8AE" w14:textId="77777777" w:rsidR="00C73DBE" w:rsidRPr="00776407" w:rsidRDefault="00C73DBE"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Hepatito B infekcijos atsinaujinimas (reaktyvacija), jeigu praeityje jums buvo diagnozuotas hepatitas B (kepenų infekcija).</w:t>
      </w:r>
    </w:p>
    <w:p w14:paraId="2490307B" w14:textId="77777777" w:rsidR="002D2BD8" w:rsidRPr="00776407" w:rsidRDefault="002D2BD8" w:rsidP="002D2BD8">
      <w:pPr>
        <w:autoSpaceDE w:val="0"/>
        <w:autoSpaceDN w:val="0"/>
        <w:adjustRightInd w:val="0"/>
        <w:ind w:left="567" w:hanging="567"/>
        <w:rPr>
          <w:rFonts w:eastAsia="Calibri"/>
          <w:sz w:val="22"/>
          <w:szCs w:val="22"/>
        </w:rPr>
      </w:pPr>
    </w:p>
    <w:p w14:paraId="4AA0AD48" w14:textId="77777777" w:rsidR="002D2BD8" w:rsidRPr="00776407" w:rsidRDefault="002D2BD8" w:rsidP="002D2BD8">
      <w:pPr>
        <w:rPr>
          <w:rFonts w:eastAsia="Calibri"/>
          <w:sz w:val="22"/>
          <w:szCs w:val="22"/>
        </w:rPr>
      </w:pPr>
      <w:r w:rsidRPr="00776407">
        <w:rPr>
          <w:rFonts w:eastAsia="Calibri"/>
          <w:sz w:val="22"/>
          <w:szCs w:val="22"/>
        </w:rPr>
        <w:t xml:space="preserve">Jeigu Jums pasireikštų bet kuris iš anksčiau nurodytų </w:t>
      </w:r>
      <w:r w:rsidR="002C37B0" w:rsidRPr="00776407">
        <w:rPr>
          <w:rFonts w:eastAsia="Calibri"/>
          <w:sz w:val="22"/>
          <w:szCs w:val="22"/>
        </w:rPr>
        <w:t>poveikių</w:t>
      </w:r>
      <w:r w:rsidRPr="00776407">
        <w:rPr>
          <w:rFonts w:eastAsia="Calibri"/>
          <w:sz w:val="22"/>
          <w:szCs w:val="22"/>
        </w:rPr>
        <w:t xml:space="preserve">, </w:t>
      </w:r>
      <w:r w:rsidRPr="00776407">
        <w:rPr>
          <w:rFonts w:eastAsia="Calibri"/>
          <w:b/>
          <w:bCs/>
          <w:sz w:val="22"/>
          <w:szCs w:val="22"/>
        </w:rPr>
        <w:t xml:space="preserve">nedelsiant pasakykite gydytojui. </w:t>
      </w:r>
    </w:p>
    <w:p w14:paraId="112491C1" w14:textId="77777777" w:rsidR="002D2BD8" w:rsidRPr="00776407" w:rsidRDefault="002D2BD8" w:rsidP="002D2BD8">
      <w:pPr>
        <w:rPr>
          <w:rFonts w:eastAsia="Calibri"/>
          <w:sz w:val="22"/>
          <w:szCs w:val="22"/>
        </w:rPr>
      </w:pPr>
    </w:p>
    <w:p w14:paraId="42F8507C" w14:textId="77777777"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Taip pat gali pasireikšti kiti šalutiniai </w:t>
      </w:r>
      <w:r w:rsidR="002C37B0" w:rsidRPr="00776407">
        <w:rPr>
          <w:rFonts w:eastAsia="Calibri"/>
          <w:b/>
          <w:bCs/>
          <w:sz w:val="22"/>
          <w:szCs w:val="22"/>
        </w:rPr>
        <w:t>poveikiai</w:t>
      </w:r>
      <w:r w:rsidRPr="00776407">
        <w:rPr>
          <w:rFonts w:eastAsia="Calibri"/>
          <w:b/>
          <w:bCs/>
          <w:sz w:val="22"/>
          <w:szCs w:val="22"/>
        </w:rPr>
        <w:t xml:space="preserve">: </w:t>
      </w:r>
    </w:p>
    <w:p w14:paraId="4B3487CD" w14:textId="77777777" w:rsidR="002D2BD8" w:rsidRPr="00776407" w:rsidRDefault="002D2BD8" w:rsidP="002D2BD8">
      <w:pPr>
        <w:autoSpaceDE w:val="0"/>
        <w:autoSpaceDN w:val="0"/>
        <w:adjustRightInd w:val="0"/>
        <w:rPr>
          <w:rFonts w:eastAsia="Calibri"/>
          <w:b/>
          <w:bCs/>
          <w:sz w:val="22"/>
          <w:szCs w:val="22"/>
        </w:rPr>
      </w:pPr>
    </w:p>
    <w:p w14:paraId="394AACBF" w14:textId="77777777" w:rsidR="00C73DBE" w:rsidRPr="00776407" w:rsidRDefault="00C73DBE" w:rsidP="00C73DBE">
      <w:pPr>
        <w:autoSpaceDE w:val="0"/>
        <w:autoSpaceDN w:val="0"/>
        <w:adjustRightInd w:val="0"/>
        <w:rPr>
          <w:rFonts w:eastAsia="Calibri"/>
          <w:sz w:val="22"/>
          <w:szCs w:val="22"/>
        </w:rPr>
      </w:pPr>
      <w:r w:rsidRPr="00776407">
        <w:rPr>
          <w:rFonts w:eastAsia="Calibri"/>
          <w:b/>
          <w:bCs/>
          <w:sz w:val="22"/>
          <w:szCs w:val="22"/>
        </w:rPr>
        <w:t xml:space="preserve">Labai dažni </w:t>
      </w:r>
      <w:r w:rsidRPr="00776407">
        <w:rPr>
          <w:rFonts w:eastAsia="Calibri"/>
          <w:bCs/>
          <w:sz w:val="22"/>
          <w:szCs w:val="22"/>
        </w:rPr>
        <w:t>(gali pasireikšti daugiau nei 1 žmogui iš 10):</w:t>
      </w:r>
      <w:r w:rsidRPr="00776407">
        <w:rPr>
          <w:rFonts w:eastAsia="Calibri"/>
          <w:b/>
          <w:bCs/>
          <w:sz w:val="22"/>
          <w:szCs w:val="22"/>
        </w:rPr>
        <w:t xml:space="preserve"> </w:t>
      </w:r>
    </w:p>
    <w:p w14:paraId="00D1FD19"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Galvos skausmas ar nuovargis. </w:t>
      </w:r>
    </w:p>
    <w:p w14:paraId="12E7562A"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Šleikštulys (pykinimas), vėmimas, viduriavimas ar nevirškinimas. </w:t>
      </w:r>
    </w:p>
    <w:p w14:paraId="4FE157EF" w14:textId="77777777" w:rsidR="002D2BD8" w:rsidRPr="00776407" w:rsidRDefault="002C37B0"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Išb</w:t>
      </w:r>
      <w:r w:rsidR="002D2BD8" w:rsidRPr="00776407">
        <w:rPr>
          <w:rFonts w:eastAsia="Calibri"/>
          <w:sz w:val="22"/>
          <w:szCs w:val="22"/>
        </w:rPr>
        <w:t xml:space="preserve">ėrimas. </w:t>
      </w:r>
    </w:p>
    <w:p w14:paraId="12F74687"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Raumenų mėšlungis arba sąnarių, raumenų ir kaulų skausmas</w:t>
      </w:r>
      <w:r w:rsidR="009050B3" w:rsidRPr="00776407">
        <w:rPr>
          <w:rFonts w:eastAsia="Calibri"/>
          <w:sz w:val="22"/>
          <w:szCs w:val="22"/>
        </w:rPr>
        <w:t xml:space="preserve"> </w:t>
      </w:r>
      <w:r w:rsidR="006D099C" w:rsidRPr="00776407">
        <w:rPr>
          <w:rFonts w:eastAsia="Calibri"/>
          <w:sz w:val="22"/>
          <w:szCs w:val="22"/>
        </w:rPr>
        <w:t>imatinibo vartojimo metu arba nutraukus imatinibo vartojimą</w:t>
      </w:r>
      <w:r w:rsidRPr="00776407">
        <w:rPr>
          <w:rFonts w:eastAsia="Calibri"/>
          <w:sz w:val="22"/>
          <w:szCs w:val="22"/>
        </w:rPr>
        <w:t xml:space="preserve">. </w:t>
      </w:r>
    </w:p>
    <w:p w14:paraId="33596AFB"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Tinimas, pavyzdžiui, patinusios kulkšnys ar paburkę akių vokai. </w:t>
      </w:r>
    </w:p>
    <w:p w14:paraId="0869F308" w14:textId="77777777" w:rsidR="002D2BD8" w:rsidRPr="00776407" w:rsidRDefault="002D2BD8" w:rsidP="00864BE6">
      <w:pPr>
        <w:numPr>
          <w:ilvl w:val="0"/>
          <w:numId w:val="1"/>
        </w:numPr>
        <w:autoSpaceDE w:val="0"/>
        <w:autoSpaceDN w:val="0"/>
        <w:adjustRightInd w:val="0"/>
        <w:spacing w:after="200" w:line="276" w:lineRule="auto"/>
        <w:ind w:left="567" w:hanging="567"/>
        <w:contextualSpacing/>
        <w:rPr>
          <w:rFonts w:eastAsia="Calibri"/>
          <w:sz w:val="22"/>
          <w:szCs w:val="22"/>
        </w:rPr>
      </w:pPr>
      <w:r w:rsidRPr="00776407">
        <w:rPr>
          <w:rFonts w:eastAsia="Calibri"/>
          <w:sz w:val="22"/>
          <w:szCs w:val="22"/>
        </w:rPr>
        <w:t xml:space="preserve">Padidėjęs kūno svoris. </w:t>
      </w:r>
    </w:p>
    <w:p w14:paraId="639D3732" w14:textId="77777777" w:rsidR="002D2BD8" w:rsidRPr="00776407" w:rsidRDefault="002D2BD8" w:rsidP="002D2BD8">
      <w:pPr>
        <w:autoSpaceDE w:val="0"/>
        <w:autoSpaceDN w:val="0"/>
        <w:adjustRightInd w:val="0"/>
        <w:rPr>
          <w:rFonts w:eastAsia="Calibri"/>
          <w:sz w:val="22"/>
          <w:szCs w:val="22"/>
        </w:rPr>
      </w:pPr>
    </w:p>
    <w:p w14:paraId="215B6955"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Jei bet kuris iš šių reiškinių tampa sunkiu, </w:t>
      </w:r>
      <w:r w:rsidRPr="00776407">
        <w:rPr>
          <w:rFonts w:eastAsia="Calibri"/>
          <w:b/>
          <w:bCs/>
          <w:sz w:val="22"/>
          <w:szCs w:val="22"/>
        </w:rPr>
        <w:t>pasakykite gydytojui</w:t>
      </w:r>
      <w:r w:rsidRPr="00776407">
        <w:rPr>
          <w:rFonts w:eastAsia="Calibri"/>
          <w:b/>
          <w:sz w:val="22"/>
          <w:szCs w:val="22"/>
        </w:rPr>
        <w:t>.</w:t>
      </w:r>
      <w:r w:rsidRPr="00776407">
        <w:rPr>
          <w:rFonts w:eastAsia="Calibri"/>
          <w:sz w:val="22"/>
          <w:szCs w:val="22"/>
        </w:rPr>
        <w:t xml:space="preserve"> </w:t>
      </w:r>
    </w:p>
    <w:p w14:paraId="4AE4B87F" w14:textId="77777777" w:rsidR="002D2BD8" w:rsidRPr="00776407" w:rsidRDefault="002D2BD8" w:rsidP="002D2BD8">
      <w:pPr>
        <w:autoSpaceDE w:val="0"/>
        <w:autoSpaceDN w:val="0"/>
        <w:adjustRightInd w:val="0"/>
        <w:rPr>
          <w:rFonts w:eastAsia="Calibri"/>
          <w:b/>
          <w:bCs/>
          <w:sz w:val="22"/>
          <w:szCs w:val="22"/>
        </w:rPr>
      </w:pPr>
    </w:p>
    <w:p w14:paraId="4386B914" w14:textId="77777777" w:rsidR="00C73DBE" w:rsidRPr="00776407" w:rsidRDefault="00C73DBE" w:rsidP="00C73DBE">
      <w:pPr>
        <w:autoSpaceDE w:val="0"/>
        <w:autoSpaceDN w:val="0"/>
        <w:adjustRightInd w:val="0"/>
        <w:rPr>
          <w:rFonts w:eastAsia="Calibri"/>
          <w:sz w:val="22"/>
          <w:szCs w:val="22"/>
        </w:rPr>
      </w:pPr>
      <w:r w:rsidRPr="00776407">
        <w:rPr>
          <w:rFonts w:eastAsia="Calibri"/>
          <w:b/>
          <w:bCs/>
          <w:sz w:val="22"/>
          <w:szCs w:val="22"/>
        </w:rPr>
        <w:t xml:space="preserve">Dažni </w:t>
      </w:r>
      <w:r w:rsidRPr="00776407">
        <w:rPr>
          <w:rFonts w:eastAsia="Calibri"/>
          <w:bCs/>
          <w:sz w:val="22"/>
          <w:szCs w:val="22"/>
        </w:rPr>
        <w:t>(gali pasireikšti iki 1 iš 10 žmonių):</w:t>
      </w:r>
      <w:r w:rsidRPr="00776407">
        <w:rPr>
          <w:rFonts w:eastAsia="Calibri"/>
          <w:b/>
          <w:bCs/>
          <w:sz w:val="22"/>
          <w:szCs w:val="22"/>
        </w:rPr>
        <w:t xml:space="preserve"> </w:t>
      </w:r>
    </w:p>
    <w:p w14:paraId="2276FF0C"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Anoreksija, sumažėjęs kūno svoris, sutrikęs skonio jutimas. </w:t>
      </w:r>
    </w:p>
    <w:p w14:paraId="4A232D7A"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Galvos svaigimas, silpnumas. </w:t>
      </w:r>
    </w:p>
    <w:p w14:paraId="42946B0D"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Sunkumas užmigti (nemiga). </w:t>
      </w:r>
    </w:p>
    <w:p w14:paraId="52DBA15F"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Išskyros iš akies kartu su niežuliu, paraudimu ir patinimu (konjunktyvitas), ašarojimas, neryškus matymas. </w:t>
      </w:r>
    </w:p>
    <w:p w14:paraId="4ECA9692"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Kraujavimas iš nosies. </w:t>
      </w:r>
    </w:p>
    <w:p w14:paraId="4CFF4FCE"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Pilvo skausmas ar patinimas, vidurių pūtimas, rėmuo, vidurių užkietėjimas. </w:t>
      </w:r>
    </w:p>
    <w:p w14:paraId="79A579D5"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Niež</w:t>
      </w:r>
      <w:r w:rsidR="002C37B0" w:rsidRPr="00776407">
        <w:rPr>
          <w:rFonts w:eastAsia="Calibri"/>
          <w:sz w:val="22"/>
          <w:szCs w:val="22"/>
        </w:rPr>
        <w:t>ėjimas</w:t>
      </w:r>
      <w:r w:rsidRPr="00776407">
        <w:rPr>
          <w:rFonts w:eastAsia="Calibri"/>
          <w:sz w:val="22"/>
          <w:szCs w:val="22"/>
        </w:rPr>
        <w:t xml:space="preserve">. </w:t>
      </w:r>
    </w:p>
    <w:p w14:paraId="5C3FE513"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Neįprastas plaukų slinkimas ar plonėjimas. </w:t>
      </w:r>
    </w:p>
    <w:p w14:paraId="1A43FE1E"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Plaštakų ar pėdų tirpimas. </w:t>
      </w:r>
    </w:p>
    <w:p w14:paraId="3D78942C"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Burnos išopėjimas. </w:t>
      </w:r>
    </w:p>
    <w:p w14:paraId="55D93C91"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Sąnarių skausmas ir patinimas. </w:t>
      </w:r>
    </w:p>
    <w:p w14:paraId="09F565B0"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Burnos, odos ar akių džiūvimas. </w:t>
      </w:r>
    </w:p>
    <w:p w14:paraId="264AD0B4" w14:textId="77777777" w:rsidR="002D2BD8" w:rsidRPr="00776407" w:rsidRDefault="002D2BD8" w:rsidP="00864BE6">
      <w:pPr>
        <w:numPr>
          <w:ilvl w:val="0"/>
          <w:numId w:val="1"/>
        </w:numPr>
        <w:autoSpaceDE w:val="0"/>
        <w:autoSpaceDN w:val="0"/>
        <w:adjustRightInd w:val="0"/>
        <w:spacing w:after="38" w:line="276" w:lineRule="auto"/>
        <w:ind w:left="567" w:hanging="567"/>
        <w:contextualSpacing/>
        <w:rPr>
          <w:rFonts w:eastAsia="Calibri"/>
          <w:sz w:val="22"/>
          <w:szCs w:val="22"/>
        </w:rPr>
      </w:pPr>
      <w:r w:rsidRPr="00776407">
        <w:rPr>
          <w:rFonts w:eastAsia="Calibri"/>
          <w:sz w:val="22"/>
          <w:szCs w:val="22"/>
        </w:rPr>
        <w:t xml:space="preserve">Sumažėjęs arba padidėjęs odos jautrumas. </w:t>
      </w:r>
    </w:p>
    <w:p w14:paraId="1F3552F9" w14:textId="77777777" w:rsidR="002D2BD8" w:rsidRPr="00776407" w:rsidRDefault="002D2BD8" w:rsidP="00864BE6">
      <w:pPr>
        <w:numPr>
          <w:ilvl w:val="0"/>
          <w:numId w:val="1"/>
        </w:numPr>
        <w:autoSpaceDE w:val="0"/>
        <w:autoSpaceDN w:val="0"/>
        <w:adjustRightInd w:val="0"/>
        <w:spacing w:after="200" w:line="276" w:lineRule="auto"/>
        <w:ind w:left="567" w:hanging="567"/>
        <w:contextualSpacing/>
        <w:rPr>
          <w:rFonts w:eastAsia="Calibri"/>
          <w:sz w:val="22"/>
          <w:szCs w:val="22"/>
        </w:rPr>
      </w:pPr>
      <w:r w:rsidRPr="00776407">
        <w:rPr>
          <w:rFonts w:eastAsia="Calibri"/>
          <w:sz w:val="22"/>
          <w:szCs w:val="22"/>
        </w:rPr>
        <w:t xml:space="preserve">Karščio pylimai, drebulys, naktinis prakaitavimas. </w:t>
      </w:r>
    </w:p>
    <w:p w14:paraId="5BBCDC2B" w14:textId="77777777" w:rsidR="002D2BD8" w:rsidRPr="00776407" w:rsidRDefault="002D2BD8" w:rsidP="002D2BD8">
      <w:pPr>
        <w:rPr>
          <w:rFonts w:ascii="Calibri" w:eastAsia="Calibri" w:hAnsi="Calibri"/>
          <w:sz w:val="22"/>
          <w:szCs w:val="22"/>
        </w:rPr>
      </w:pPr>
    </w:p>
    <w:p w14:paraId="775742EC" w14:textId="77777777" w:rsidR="002D2BD8" w:rsidRPr="00776407" w:rsidRDefault="002D2BD8" w:rsidP="002D2BD8">
      <w:pPr>
        <w:rPr>
          <w:rFonts w:eastAsia="Calibri"/>
          <w:sz w:val="16"/>
          <w:szCs w:val="16"/>
        </w:rPr>
      </w:pPr>
      <w:r w:rsidRPr="00776407">
        <w:rPr>
          <w:rFonts w:eastAsia="Calibri"/>
          <w:sz w:val="22"/>
          <w:szCs w:val="22"/>
        </w:rPr>
        <w:t xml:space="preserve">Jei bet kuris iš šių </w:t>
      </w:r>
      <w:r w:rsidR="002C37B0" w:rsidRPr="00776407">
        <w:rPr>
          <w:rFonts w:eastAsia="Calibri"/>
          <w:sz w:val="22"/>
          <w:szCs w:val="22"/>
        </w:rPr>
        <w:t>poveikių</w:t>
      </w:r>
      <w:r w:rsidRPr="00776407">
        <w:rPr>
          <w:rFonts w:eastAsia="Calibri"/>
          <w:sz w:val="22"/>
          <w:szCs w:val="22"/>
        </w:rPr>
        <w:t xml:space="preserve"> tampa sunkiu, </w:t>
      </w:r>
      <w:r w:rsidRPr="00776407">
        <w:rPr>
          <w:rFonts w:eastAsia="Calibri"/>
          <w:b/>
          <w:bCs/>
          <w:sz w:val="22"/>
          <w:szCs w:val="22"/>
        </w:rPr>
        <w:t>pasakykite gydytojui</w:t>
      </w:r>
      <w:r w:rsidRPr="00776407">
        <w:rPr>
          <w:rFonts w:eastAsia="Calibri"/>
          <w:b/>
          <w:sz w:val="22"/>
          <w:szCs w:val="22"/>
        </w:rPr>
        <w:t>.</w:t>
      </w:r>
    </w:p>
    <w:p w14:paraId="69AF47C0" w14:textId="77777777" w:rsidR="002C37B0" w:rsidRPr="00776407" w:rsidRDefault="002C37B0" w:rsidP="002D2BD8">
      <w:pPr>
        <w:rPr>
          <w:rFonts w:eastAsia="Calibri"/>
          <w:b/>
          <w:bCs/>
          <w:sz w:val="22"/>
          <w:szCs w:val="22"/>
        </w:rPr>
      </w:pPr>
    </w:p>
    <w:p w14:paraId="04607FDF" w14:textId="77777777" w:rsidR="00C73DBE" w:rsidRPr="00776407" w:rsidRDefault="00C73DBE" w:rsidP="00C73DBE">
      <w:pPr>
        <w:autoSpaceDE w:val="0"/>
        <w:autoSpaceDN w:val="0"/>
        <w:adjustRightInd w:val="0"/>
        <w:rPr>
          <w:rFonts w:eastAsia="Calibri"/>
          <w:sz w:val="22"/>
          <w:szCs w:val="22"/>
        </w:rPr>
      </w:pPr>
      <w:r w:rsidRPr="00776407">
        <w:rPr>
          <w:rFonts w:eastAsia="Calibri"/>
          <w:b/>
          <w:bCs/>
          <w:sz w:val="22"/>
          <w:szCs w:val="22"/>
        </w:rPr>
        <w:t xml:space="preserve">Šalutiniai poveikiai, kurių dažnis nežinomas </w:t>
      </w:r>
      <w:r w:rsidRPr="00776407">
        <w:rPr>
          <w:rFonts w:eastAsia="Calibri"/>
          <w:bCs/>
          <w:sz w:val="22"/>
          <w:szCs w:val="22"/>
        </w:rPr>
        <w:t>(negali būti apskaičiuotas pagal turimus duomenis):</w:t>
      </w:r>
      <w:r w:rsidRPr="00776407">
        <w:rPr>
          <w:rFonts w:eastAsia="Calibri"/>
          <w:b/>
          <w:bCs/>
          <w:sz w:val="22"/>
          <w:szCs w:val="22"/>
        </w:rPr>
        <w:t xml:space="preserve"> </w:t>
      </w:r>
    </w:p>
    <w:p w14:paraId="05164FCD" w14:textId="77777777" w:rsidR="00C73DBE" w:rsidRPr="00776407" w:rsidRDefault="00C73DBE" w:rsidP="00864BE6">
      <w:pPr>
        <w:pStyle w:val="Listenabsatz"/>
        <w:numPr>
          <w:ilvl w:val="0"/>
          <w:numId w:val="1"/>
        </w:numPr>
        <w:autoSpaceDE w:val="0"/>
        <w:autoSpaceDN w:val="0"/>
        <w:adjustRightInd w:val="0"/>
        <w:spacing w:after="35"/>
        <w:ind w:hanging="720"/>
        <w:rPr>
          <w:rFonts w:eastAsia="Calibri"/>
          <w:sz w:val="22"/>
          <w:szCs w:val="22"/>
        </w:rPr>
      </w:pPr>
      <w:r w:rsidRPr="00776407">
        <w:rPr>
          <w:rFonts w:eastAsia="Calibri"/>
          <w:sz w:val="22"/>
          <w:szCs w:val="22"/>
        </w:rPr>
        <w:t xml:space="preserve">Delnų ir padų paraudimas ir (arba) patinimas, kurie gali pasireikšti kartu su dilgčiojimo pojūčiu ir deginančiu skausmu. </w:t>
      </w:r>
    </w:p>
    <w:p w14:paraId="44003161" w14:textId="77777777" w:rsidR="00C73DBE" w:rsidRPr="00776407" w:rsidRDefault="00D36AFF" w:rsidP="00864BE6">
      <w:pPr>
        <w:pStyle w:val="Listenabsatz"/>
        <w:numPr>
          <w:ilvl w:val="0"/>
          <w:numId w:val="1"/>
        </w:numPr>
        <w:autoSpaceDE w:val="0"/>
        <w:autoSpaceDN w:val="0"/>
        <w:adjustRightInd w:val="0"/>
        <w:spacing w:after="35"/>
        <w:ind w:hanging="720"/>
        <w:rPr>
          <w:rFonts w:eastAsia="Calibri"/>
          <w:sz w:val="22"/>
          <w:szCs w:val="22"/>
        </w:rPr>
      </w:pPr>
      <w:r w:rsidRPr="00776407">
        <w:rPr>
          <w:rFonts w:eastAsia="Calibri"/>
          <w:sz w:val="22"/>
          <w:szCs w:val="22"/>
        </w:rPr>
        <w:t>Skausmingi ir (arba) pūsliniai odos pažeidimai</w:t>
      </w:r>
      <w:r w:rsidR="00C73DBE" w:rsidRPr="00776407">
        <w:rPr>
          <w:rFonts w:eastAsia="Calibri"/>
          <w:sz w:val="22"/>
          <w:szCs w:val="22"/>
        </w:rPr>
        <w:t>.</w:t>
      </w:r>
    </w:p>
    <w:p w14:paraId="56734222" w14:textId="77777777" w:rsidR="00C73DBE" w:rsidRPr="00776407" w:rsidRDefault="00C73DBE"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 xml:space="preserve">Sulėtėjęs vaikų ir paauglių augimas. </w:t>
      </w:r>
    </w:p>
    <w:p w14:paraId="1EBD01C6" w14:textId="77777777" w:rsidR="00BA6158" w:rsidRPr="00776407" w:rsidRDefault="00BA6158" w:rsidP="00864BE6">
      <w:pPr>
        <w:numPr>
          <w:ilvl w:val="0"/>
          <w:numId w:val="1"/>
        </w:numPr>
        <w:autoSpaceDE w:val="0"/>
        <w:autoSpaceDN w:val="0"/>
        <w:adjustRightInd w:val="0"/>
        <w:ind w:hanging="720"/>
        <w:rPr>
          <w:rFonts w:eastAsia="Calibri"/>
          <w:sz w:val="22"/>
          <w:szCs w:val="22"/>
        </w:rPr>
      </w:pPr>
      <w:r w:rsidRPr="00776407">
        <w:rPr>
          <w:rFonts w:eastAsia="Calibri"/>
          <w:sz w:val="22"/>
          <w:szCs w:val="22"/>
        </w:rPr>
        <w:t xml:space="preserve">Jei bet kuris iš šių poveikių tampa sunkiu, </w:t>
      </w:r>
      <w:r w:rsidRPr="00776407">
        <w:rPr>
          <w:rFonts w:eastAsia="Calibri"/>
          <w:b/>
          <w:bCs/>
          <w:sz w:val="22"/>
          <w:szCs w:val="22"/>
        </w:rPr>
        <w:t>pasakykite gydytojui</w:t>
      </w:r>
      <w:r w:rsidRPr="00776407">
        <w:rPr>
          <w:rFonts w:eastAsia="Calibri"/>
          <w:b/>
          <w:sz w:val="22"/>
          <w:szCs w:val="22"/>
        </w:rPr>
        <w:t>.</w:t>
      </w:r>
      <w:r w:rsidRPr="00776407">
        <w:rPr>
          <w:rFonts w:eastAsia="Calibri"/>
          <w:sz w:val="22"/>
          <w:szCs w:val="22"/>
        </w:rPr>
        <w:t xml:space="preserve"> </w:t>
      </w:r>
    </w:p>
    <w:p w14:paraId="53F9C03A" w14:textId="77777777" w:rsidR="002D2BD8" w:rsidRPr="00776407" w:rsidRDefault="002D2BD8" w:rsidP="00BA6158">
      <w:pPr>
        <w:autoSpaceDE w:val="0"/>
        <w:autoSpaceDN w:val="0"/>
        <w:adjustRightInd w:val="0"/>
        <w:ind w:left="360"/>
        <w:rPr>
          <w:rFonts w:eastAsia="Calibri"/>
          <w:b/>
          <w:bCs/>
          <w:sz w:val="22"/>
          <w:szCs w:val="22"/>
        </w:rPr>
      </w:pPr>
    </w:p>
    <w:p w14:paraId="2F504CDC" w14:textId="77777777" w:rsidR="002D2BD8" w:rsidRPr="00776407" w:rsidRDefault="002D2BD8" w:rsidP="002D2BD8">
      <w:pPr>
        <w:rPr>
          <w:b/>
          <w:sz w:val="22"/>
          <w:szCs w:val="22"/>
        </w:rPr>
      </w:pPr>
      <w:r w:rsidRPr="00776407">
        <w:rPr>
          <w:b/>
          <w:sz w:val="22"/>
          <w:szCs w:val="22"/>
        </w:rPr>
        <w:t>Pranešimas apie šalutinį poveikį</w:t>
      </w:r>
    </w:p>
    <w:p w14:paraId="36A15AF4" w14:textId="77777777" w:rsidR="002D2BD8" w:rsidRPr="00776407" w:rsidRDefault="002D2BD8" w:rsidP="002D2BD8">
      <w:pPr>
        <w:autoSpaceDE w:val="0"/>
        <w:autoSpaceDN w:val="0"/>
        <w:adjustRightInd w:val="0"/>
        <w:rPr>
          <w:rFonts w:eastAsia="Calibri"/>
          <w:b/>
          <w:bCs/>
          <w:sz w:val="22"/>
          <w:szCs w:val="22"/>
        </w:rPr>
      </w:pPr>
      <w:r w:rsidRPr="00776407">
        <w:rPr>
          <w:sz w:val="22"/>
          <w:szCs w:val="22"/>
        </w:rPr>
        <w:t xml:space="preserve">Jeigu pasireiškė šalutinis poveikis, įskaitant šiame lapelyje nenurodytą, pasakykite gydytojui, vaistininkui arba slaugytojai. Apie šalutinį poveikį taip pat galite pranešti tiesiogiai naudodamiesi </w:t>
      </w:r>
      <w:hyperlink r:id="rId20" w:history="1">
        <w:r w:rsidR="00192A97" w:rsidRPr="00776407">
          <w:rPr>
            <w:rFonts w:eastAsia="Calibri"/>
            <w:color w:val="0000FF"/>
            <w:sz w:val="22"/>
            <w:szCs w:val="22"/>
            <w:highlight w:val="lightGray"/>
            <w:u w:val="single"/>
          </w:rPr>
          <w:t>V priede</w:t>
        </w:r>
      </w:hyperlink>
      <w:r w:rsidRPr="00776407">
        <w:rPr>
          <w:sz w:val="22"/>
          <w:szCs w:val="22"/>
          <w:highlight w:val="lightGray"/>
        </w:rPr>
        <w:t xml:space="preserve"> nurodyta nacionaline pranešimo sistema</w:t>
      </w:r>
      <w:r w:rsidRPr="00776407">
        <w:rPr>
          <w:sz w:val="22"/>
          <w:szCs w:val="22"/>
        </w:rPr>
        <w:t>. Pranešdami apie šalutinį poveikį galite mums padėti gauti daugiau informacijos apie šio vaisto saugumą.</w:t>
      </w:r>
    </w:p>
    <w:p w14:paraId="672B23F8" w14:textId="77777777" w:rsidR="002D2BD8" w:rsidRPr="00776407" w:rsidRDefault="002D2BD8" w:rsidP="002D2BD8">
      <w:pPr>
        <w:autoSpaceDE w:val="0"/>
        <w:autoSpaceDN w:val="0"/>
        <w:adjustRightInd w:val="0"/>
        <w:rPr>
          <w:rFonts w:eastAsia="Calibri"/>
          <w:sz w:val="22"/>
          <w:szCs w:val="22"/>
        </w:rPr>
      </w:pPr>
    </w:p>
    <w:p w14:paraId="7D0FDF6B" w14:textId="77777777" w:rsidR="002D2BD8" w:rsidRPr="00776407" w:rsidRDefault="002D2BD8" w:rsidP="002D2BD8">
      <w:pPr>
        <w:autoSpaceDE w:val="0"/>
        <w:autoSpaceDN w:val="0"/>
        <w:adjustRightInd w:val="0"/>
        <w:rPr>
          <w:rFonts w:eastAsia="Calibri"/>
          <w:sz w:val="22"/>
          <w:szCs w:val="22"/>
        </w:rPr>
      </w:pPr>
    </w:p>
    <w:p w14:paraId="64FB1583" w14:textId="77777777" w:rsidR="002D2BD8" w:rsidRPr="00776407" w:rsidRDefault="002D2BD8" w:rsidP="002D2BD8">
      <w:pPr>
        <w:autoSpaceDE w:val="0"/>
        <w:autoSpaceDN w:val="0"/>
        <w:adjustRightInd w:val="0"/>
        <w:contextualSpacing/>
        <w:rPr>
          <w:rFonts w:eastAsia="Calibri"/>
          <w:b/>
          <w:sz w:val="22"/>
          <w:szCs w:val="22"/>
        </w:rPr>
      </w:pPr>
      <w:r w:rsidRPr="00776407">
        <w:rPr>
          <w:b/>
          <w:bCs/>
        </w:rPr>
        <w:t>5.</w:t>
      </w:r>
      <w:r w:rsidRPr="00776407">
        <w:rPr>
          <w:b/>
          <w:bCs/>
        </w:rPr>
        <w:tab/>
      </w:r>
      <w:r w:rsidRPr="00776407">
        <w:rPr>
          <w:rFonts w:eastAsia="Calibri"/>
          <w:b/>
          <w:bCs/>
          <w:sz w:val="22"/>
          <w:szCs w:val="22"/>
        </w:rPr>
        <w:t xml:space="preserve">Kaip laikyti Imatinib Actavis </w:t>
      </w:r>
    </w:p>
    <w:p w14:paraId="0F75365B" w14:textId="77777777" w:rsidR="002D2BD8" w:rsidRPr="00776407" w:rsidRDefault="002D2BD8" w:rsidP="002D2BD8">
      <w:pPr>
        <w:autoSpaceDE w:val="0"/>
        <w:autoSpaceDN w:val="0"/>
        <w:adjustRightInd w:val="0"/>
        <w:spacing w:after="38"/>
        <w:rPr>
          <w:rFonts w:eastAsia="Calibri"/>
          <w:sz w:val="22"/>
          <w:szCs w:val="22"/>
        </w:rPr>
      </w:pPr>
    </w:p>
    <w:p w14:paraId="1EB30CE3" w14:textId="77777777" w:rsidR="002D2BD8" w:rsidRPr="00776407" w:rsidRDefault="002D2BD8" w:rsidP="002D2BD8">
      <w:pPr>
        <w:autoSpaceDE w:val="0"/>
        <w:autoSpaceDN w:val="0"/>
        <w:adjustRightInd w:val="0"/>
        <w:spacing w:after="38"/>
        <w:rPr>
          <w:rFonts w:eastAsia="Calibri"/>
          <w:sz w:val="22"/>
          <w:szCs w:val="22"/>
        </w:rPr>
      </w:pPr>
      <w:r w:rsidRPr="00776407">
        <w:rPr>
          <w:rFonts w:eastAsia="Calibri"/>
          <w:sz w:val="22"/>
          <w:szCs w:val="22"/>
        </w:rPr>
        <w:t xml:space="preserve">Šį vaistą laikykite vaikams nepastebimoje ir nepasiekiamoje vietoje. </w:t>
      </w:r>
    </w:p>
    <w:p w14:paraId="56023369" w14:textId="77777777" w:rsidR="00C73DBE" w:rsidRPr="00776407" w:rsidRDefault="00C73DBE" w:rsidP="00C73DBE">
      <w:pPr>
        <w:rPr>
          <w:sz w:val="22"/>
          <w:szCs w:val="22"/>
        </w:rPr>
      </w:pPr>
      <w:r w:rsidRPr="00776407">
        <w:rPr>
          <w:rFonts w:eastAsia="Calibri"/>
          <w:sz w:val="22"/>
          <w:szCs w:val="22"/>
        </w:rPr>
        <w:t xml:space="preserve">Ant dėžutės ir lizdinės plokštelės po „EXP“ nurodytam tinkamumo laikui pasibaigus, šio vaisto vartoti negalima. </w:t>
      </w:r>
      <w:r w:rsidRPr="00776407">
        <w:rPr>
          <w:sz w:val="22"/>
          <w:szCs w:val="22"/>
        </w:rPr>
        <w:t>Vaistas tinkamas vartoti iki paskutinės nurodyto mėnesio dienos.</w:t>
      </w:r>
    </w:p>
    <w:p w14:paraId="2D7B1FE8" w14:textId="77777777" w:rsidR="002D2BD8" w:rsidRPr="00776407" w:rsidRDefault="002D2BD8" w:rsidP="002D2BD8">
      <w:pPr>
        <w:autoSpaceDE w:val="0"/>
        <w:autoSpaceDN w:val="0"/>
        <w:adjustRightInd w:val="0"/>
        <w:spacing w:after="38"/>
        <w:rPr>
          <w:rFonts w:eastAsia="Calibri"/>
          <w:sz w:val="22"/>
          <w:szCs w:val="22"/>
        </w:rPr>
      </w:pPr>
      <w:r w:rsidRPr="00776407">
        <w:rPr>
          <w:rFonts w:eastAsia="Calibri"/>
          <w:sz w:val="22"/>
          <w:szCs w:val="22"/>
        </w:rPr>
        <w:t xml:space="preserve">Laikyti ne aukštesnėje kaip </w:t>
      </w:r>
      <w:r w:rsidRPr="00776407">
        <w:rPr>
          <w:sz w:val="22"/>
          <w:szCs w:val="22"/>
        </w:rPr>
        <w:t>25</w:t>
      </w:r>
      <w:r w:rsidR="00121DA9" w:rsidRPr="00776407">
        <w:rPr>
          <w:sz w:val="22"/>
          <w:szCs w:val="22"/>
        </w:rPr>
        <w:t> </w:t>
      </w:r>
      <w:r w:rsidRPr="00776407">
        <w:rPr>
          <w:sz w:val="22"/>
          <w:szCs w:val="22"/>
        </w:rPr>
        <w:t>°C</w:t>
      </w:r>
      <w:r w:rsidRPr="00776407">
        <w:rPr>
          <w:rFonts w:eastAsia="Calibri"/>
          <w:sz w:val="22"/>
          <w:szCs w:val="22"/>
        </w:rPr>
        <w:t xml:space="preserve"> temperatūroje. </w:t>
      </w:r>
    </w:p>
    <w:p w14:paraId="6783DC2C" w14:textId="77777777" w:rsidR="002D2BD8" w:rsidRPr="00776407" w:rsidRDefault="002D2BD8" w:rsidP="002D2BD8">
      <w:pPr>
        <w:autoSpaceDE w:val="0"/>
        <w:autoSpaceDN w:val="0"/>
        <w:adjustRightInd w:val="0"/>
        <w:spacing w:after="38"/>
        <w:rPr>
          <w:rFonts w:eastAsia="Calibri"/>
          <w:sz w:val="22"/>
          <w:szCs w:val="22"/>
        </w:rPr>
      </w:pPr>
      <w:r w:rsidRPr="00776407">
        <w:rPr>
          <w:rFonts w:eastAsia="Calibri"/>
          <w:sz w:val="22"/>
          <w:szCs w:val="22"/>
        </w:rPr>
        <w:t xml:space="preserve">Laikyti gamintojo pakuotėje, kad preparatas būtų apsaugotas nuo drėgmės. </w:t>
      </w:r>
    </w:p>
    <w:p w14:paraId="48A27C78"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Negalima vartoti vaisto iš pakuotės, kuri yra pažeista ar yra sugedimo požymių. </w:t>
      </w:r>
    </w:p>
    <w:p w14:paraId="1C8DE46F" w14:textId="77777777" w:rsidR="002D2BD8" w:rsidRPr="00776407" w:rsidRDefault="002D2BD8" w:rsidP="002D2BD8">
      <w:pPr>
        <w:autoSpaceDE w:val="0"/>
        <w:autoSpaceDN w:val="0"/>
        <w:adjustRightInd w:val="0"/>
        <w:rPr>
          <w:sz w:val="22"/>
          <w:szCs w:val="22"/>
        </w:rPr>
      </w:pPr>
      <w:r w:rsidRPr="00776407">
        <w:rPr>
          <w:sz w:val="22"/>
          <w:szCs w:val="22"/>
        </w:rPr>
        <w:t>Vaistų negalima išmesti į kanalizaciją arba su buitinėmis atliekomis. Kaip išmesti nereikalingus vaistus, klauskite vaistininko. Šios priemonės padės apsaugoti aplinką.</w:t>
      </w:r>
    </w:p>
    <w:p w14:paraId="0A812BD4" w14:textId="77777777" w:rsidR="002D2BD8" w:rsidRPr="00776407" w:rsidRDefault="002D2BD8" w:rsidP="002D2BD8">
      <w:pPr>
        <w:autoSpaceDE w:val="0"/>
        <w:autoSpaceDN w:val="0"/>
        <w:adjustRightInd w:val="0"/>
        <w:rPr>
          <w:sz w:val="22"/>
          <w:szCs w:val="22"/>
        </w:rPr>
      </w:pPr>
    </w:p>
    <w:p w14:paraId="187B0BA8" w14:textId="77777777" w:rsidR="002D2BD8" w:rsidRPr="00776407" w:rsidRDefault="002D2BD8" w:rsidP="002D2BD8">
      <w:pPr>
        <w:autoSpaceDE w:val="0"/>
        <w:autoSpaceDN w:val="0"/>
        <w:adjustRightInd w:val="0"/>
        <w:rPr>
          <w:rFonts w:eastAsia="Calibri"/>
          <w:sz w:val="22"/>
          <w:szCs w:val="22"/>
        </w:rPr>
      </w:pPr>
    </w:p>
    <w:p w14:paraId="437AE2E1" w14:textId="77777777" w:rsidR="002D2BD8" w:rsidRPr="00776407" w:rsidRDefault="002D2BD8" w:rsidP="002D2BD8">
      <w:pPr>
        <w:autoSpaceDE w:val="0"/>
        <w:autoSpaceDN w:val="0"/>
        <w:adjustRightInd w:val="0"/>
        <w:contextualSpacing/>
        <w:rPr>
          <w:rFonts w:eastAsia="Calibri"/>
          <w:sz w:val="22"/>
          <w:szCs w:val="22"/>
        </w:rPr>
      </w:pPr>
      <w:r w:rsidRPr="00776407">
        <w:rPr>
          <w:b/>
          <w:bCs/>
        </w:rPr>
        <w:t>6.</w:t>
      </w:r>
      <w:r w:rsidRPr="00776407">
        <w:rPr>
          <w:b/>
          <w:bCs/>
        </w:rPr>
        <w:tab/>
      </w:r>
      <w:r w:rsidRPr="00776407">
        <w:rPr>
          <w:rFonts w:eastAsia="Calibri"/>
          <w:b/>
          <w:bCs/>
          <w:sz w:val="22"/>
          <w:szCs w:val="22"/>
        </w:rPr>
        <w:t xml:space="preserve">Pakuotės turinys ir kita informacija </w:t>
      </w:r>
    </w:p>
    <w:p w14:paraId="5C5EAA14" w14:textId="77777777" w:rsidR="002D2BD8" w:rsidRPr="00776407" w:rsidRDefault="002D2BD8" w:rsidP="002D2BD8">
      <w:pPr>
        <w:autoSpaceDE w:val="0"/>
        <w:autoSpaceDN w:val="0"/>
        <w:adjustRightInd w:val="0"/>
        <w:rPr>
          <w:rFonts w:eastAsia="Calibri"/>
          <w:sz w:val="22"/>
          <w:szCs w:val="22"/>
        </w:rPr>
      </w:pPr>
    </w:p>
    <w:p w14:paraId="36AFA106" w14:textId="77777777" w:rsidR="002D2BD8" w:rsidRPr="00776407" w:rsidRDefault="002D2BD8" w:rsidP="002D2BD8">
      <w:pPr>
        <w:autoSpaceDE w:val="0"/>
        <w:autoSpaceDN w:val="0"/>
        <w:adjustRightInd w:val="0"/>
        <w:rPr>
          <w:rFonts w:eastAsia="Calibri"/>
          <w:b/>
          <w:bCs/>
          <w:sz w:val="22"/>
          <w:szCs w:val="22"/>
        </w:rPr>
      </w:pPr>
      <w:r w:rsidRPr="00776407">
        <w:rPr>
          <w:rFonts w:eastAsia="Calibri"/>
          <w:b/>
          <w:bCs/>
          <w:sz w:val="22"/>
          <w:szCs w:val="22"/>
        </w:rPr>
        <w:t xml:space="preserve">Imatinib Actavis sudėtis </w:t>
      </w:r>
    </w:p>
    <w:p w14:paraId="0AC14244" w14:textId="77777777" w:rsidR="002D2BD8" w:rsidRPr="00776407" w:rsidRDefault="002D2BD8" w:rsidP="002D2BD8">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Veiklioji medžiaga yra imatinibo mesilatas. Kiekvienoje kapsulėje yra 400 mg imatinibo (mesilato</w:t>
      </w:r>
      <w:r w:rsidR="005D54ED" w:rsidRPr="00776407">
        <w:rPr>
          <w:rFonts w:eastAsia="Calibri"/>
          <w:sz w:val="22"/>
          <w:szCs w:val="22"/>
        </w:rPr>
        <w:t xml:space="preserve"> pavidalu</w:t>
      </w:r>
      <w:r w:rsidRPr="00776407">
        <w:rPr>
          <w:rFonts w:eastAsia="Calibri"/>
          <w:sz w:val="22"/>
          <w:szCs w:val="22"/>
        </w:rPr>
        <w:t xml:space="preserve">). </w:t>
      </w:r>
    </w:p>
    <w:p w14:paraId="3317F170" w14:textId="77777777" w:rsidR="002D2BD8" w:rsidRPr="00776407" w:rsidRDefault="002D2BD8" w:rsidP="002D2BD8">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Pagalbinės medžiagos yra: </w:t>
      </w:r>
    </w:p>
    <w:p w14:paraId="38961B26" w14:textId="77777777" w:rsidR="002D2BD8" w:rsidRPr="00776407" w:rsidRDefault="002D2BD8" w:rsidP="002D2BD8">
      <w:pPr>
        <w:autoSpaceDE w:val="0"/>
        <w:autoSpaceDN w:val="0"/>
        <w:adjustRightInd w:val="0"/>
        <w:ind w:left="720" w:hanging="11"/>
        <w:rPr>
          <w:rFonts w:eastAsia="Calibri"/>
          <w:color w:val="000000"/>
          <w:sz w:val="22"/>
          <w:szCs w:val="22"/>
        </w:rPr>
      </w:pPr>
      <w:r w:rsidRPr="00776407">
        <w:rPr>
          <w:rFonts w:eastAsia="Calibri"/>
          <w:color w:val="000000"/>
          <w:sz w:val="22"/>
          <w:szCs w:val="22"/>
        </w:rPr>
        <w:t xml:space="preserve">Kapsulės turinys: mikrokristalinė celiuliozė, kopovidonas, krospovidonas, natrio stearilfumaratas, koloidinis hidrofobinis silicio dioksidas, koloidinis bevandenis silicio dioksidas. </w:t>
      </w:r>
    </w:p>
    <w:p w14:paraId="719C42E4" w14:textId="77777777" w:rsidR="002D2BD8" w:rsidRPr="00776407" w:rsidRDefault="002D2BD8" w:rsidP="002D2BD8">
      <w:pPr>
        <w:autoSpaceDE w:val="0"/>
        <w:autoSpaceDN w:val="0"/>
        <w:adjustRightInd w:val="0"/>
        <w:ind w:left="720" w:hanging="11"/>
        <w:rPr>
          <w:rFonts w:eastAsia="Calibri"/>
          <w:color w:val="000000"/>
          <w:sz w:val="22"/>
          <w:szCs w:val="22"/>
        </w:rPr>
      </w:pPr>
      <w:r w:rsidRPr="00776407">
        <w:rPr>
          <w:rFonts w:eastAsia="Calibri"/>
          <w:color w:val="000000"/>
          <w:sz w:val="22"/>
          <w:szCs w:val="22"/>
        </w:rPr>
        <w:t>Kapsulės korpusas: hipromeliozė, titano oksidas (E171), geltonasis geležies oksidas (E172), raudonasis geležies oksidas (E172), juodasis geležies oksidas (A172).</w:t>
      </w:r>
    </w:p>
    <w:p w14:paraId="12BF069D" w14:textId="77777777" w:rsidR="002D2BD8" w:rsidRPr="00776407" w:rsidRDefault="002D2BD8" w:rsidP="002D2BD8">
      <w:pPr>
        <w:autoSpaceDE w:val="0"/>
        <w:autoSpaceDN w:val="0"/>
        <w:adjustRightInd w:val="0"/>
        <w:ind w:left="720" w:hanging="11"/>
        <w:rPr>
          <w:rFonts w:eastAsia="Calibri"/>
          <w:b/>
          <w:bCs/>
          <w:sz w:val="22"/>
          <w:szCs w:val="22"/>
        </w:rPr>
      </w:pPr>
      <w:r w:rsidRPr="00776407">
        <w:rPr>
          <w:rFonts w:eastAsia="Calibri"/>
          <w:color w:val="000000"/>
          <w:sz w:val="22"/>
          <w:szCs w:val="22"/>
        </w:rPr>
        <w:t xml:space="preserve">Rašalas: šelakas 45%, juodasis geležies oksidas (E172), propilenglikolis, amoniako tirpalas (28%).  </w:t>
      </w:r>
    </w:p>
    <w:p w14:paraId="456D6A29" w14:textId="77777777" w:rsidR="002D2BD8" w:rsidRPr="00776407" w:rsidRDefault="002D2BD8" w:rsidP="002D2BD8">
      <w:pPr>
        <w:keepNext/>
        <w:autoSpaceDE w:val="0"/>
        <w:autoSpaceDN w:val="0"/>
        <w:adjustRightInd w:val="0"/>
        <w:rPr>
          <w:rFonts w:eastAsia="Calibri"/>
          <w:b/>
          <w:bCs/>
          <w:sz w:val="22"/>
          <w:szCs w:val="22"/>
        </w:rPr>
      </w:pPr>
    </w:p>
    <w:p w14:paraId="118E786B" w14:textId="77777777" w:rsidR="002D2BD8" w:rsidRPr="00776407" w:rsidRDefault="002D2BD8" w:rsidP="002D2BD8">
      <w:pPr>
        <w:autoSpaceDE w:val="0"/>
        <w:autoSpaceDN w:val="0"/>
        <w:adjustRightInd w:val="0"/>
        <w:rPr>
          <w:rFonts w:eastAsia="Calibri"/>
          <w:sz w:val="22"/>
          <w:szCs w:val="22"/>
        </w:rPr>
      </w:pPr>
      <w:r w:rsidRPr="00776407">
        <w:rPr>
          <w:rFonts w:eastAsia="Calibri"/>
          <w:b/>
          <w:bCs/>
          <w:sz w:val="22"/>
          <w:szCs w:val="22"/>
        </w:rPr>
        <w:t xml:space="preserve">Imatinib Actavis išvaizda ir kiekis pakuotėje </w:t>
      </w:r>
    </w:p>
    <w:p w14:paraId="21AE6C53" w14:textId="77777777" w:rsidR="002D2BD8" w:rsidRPr="00776407" w:rsidRDefault="002D2BD8" w:rsidP="002D2BD8">
      <w:pPr>
        <w:autoSpaceDE w:val="0"/>
        <w:autoSpaceDN w:val="0"/>
        <w:adjustRightInd w:val="0"/>
        <w:rPr>
          <w:rFonts w:eastAsia="Calibri"/>
          <w:sz w:val="22"/>
          <w:szCs w:val="22"/>
        </w:rPr>
      </w:pPr>
    </w:p>
    <w:p w14:paraId="3B7E829F"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 xml:space="preserve">Kietoji kapsulė su oranžiniu neperšviečiamu dangteliu ir korpusu su užrašu juodu rašalu “400 mg”. </w:t>
      </w:r>
    </w:p>
    <w:p w14:paraId="7F65D8C3"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Kapsulėje yra šviesiai geltoni milteliai.</w:t>
      </w:r>
    </w:p>
    <w:p w14:paraId="0139AA3A" w14:textId="77777777" w:rsidR="002D2BD8" w:rsidRPr="00776407" w:rsidRDefault="002D2BD8" w:rsidP="002D2BD8">
      <w:pPr>
        <w:autoSpaceDE w:val="0"/>
        <w:autoSpaceDN w:val="0"/>
        <w:adjustRightInd w:val="0"/>
        <w:rPr>
          <w:rFonts w:eastAsia="Calibri"/>
          <w:sz w:val="22"/>
          <w:szCs w:val="22"/>
        </w:rPr>
      </w:pPr>
    </w:p>
    <w:p w14:paraId="1C443070" w14:textId="77777777" w:rsidR="002D2BD8" w:rsidRPr="00776407" w:rsidRDefault="002D2BD8" w:rsidP="002D2BD8">
      <w:pPr>
        <w:keepNext/>
        <w:autoSpaceDE w:val="0"/>
        <w:autoSpaceDN w:val="0"/>
        <w:adjustRightInd w:val="0"/>
        <w:rPr>
          <w:rFonts w:eastAsia="Calibri"/>
          <w:bCs/>
          <w:i/>
          <w:sz w:val="22"/>
          <w:szCs w:val="22"/>
        </w:rPr>
      </w:pPr>
      <w:r w:rsidRPr="00776407">
        <w:rPr>
          <w:rFonts w:eastAsia="Calibri"/>
          <w:bCs/>
          <w:i/>
          <w:sz w:val="22"/>
          <w:szCs w:val="22"/>
        </w:rPr>
        <w:t>Pakuočių dydžiai:</w:t>
      </w:r>
    </w:p>
    <w:p w14:paraId="7F030975" w14:textId="77777777" w:rsidR="002D2BD8" w:rsidRPr="00776407" w:rsidRDefault="002D2BD8" w:rsidP="002D2BD8">
      <w:pPr>
        <w:rPr>
          <w:rFonts w:eastAsia="Calibri"/>
          <w:sz w:val="22"/>
          <w:szCs w:val="22"/>
        </w:rPr>
      </w:pPr>
      <w:r w:rsidRPr="00776407">
        <w:rPr>
          <w:rFonts w:eastAsia="Calibri"/>
          <w:sz w:val="22"/>
          <w:szCs w:val="22"/>
        </w:rPr>
        <w:t>Kapsulės tiekiamos aliuminio lizdinėmis plokštelėmis. Pakuotėje yra 10, 30, 60 ar 90 kapsulių.</w:t>
      </w:r>
    </w:p>
    <w:p w14:paraId="328ED1DE" w14:textId="77777777" w:rsidR="002D2BD8" w:rsidRPr="00776407" w:rsidRDefault="002D2BD8" w:rsidP="002D2BD8">
      <w:pPr>
        <w:autoSpaceDE w:val="0"/>
        <w:autoSpaceDN w:val="0"/>
        <w:adjustRightInd w:val="0"/>
        <w:rPr>
          <w:rFonts w:eastAsia="Calibri"/>
          <w:sz w:val="22"/>
          <w:szCs w:val="22"/>
          <w:highlight w:val="yellow"/>
        </w:rPr>
      </w:pPr>
    </w:p>
    <w:p w14:paraId="2C15F35D"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Gali būti tiekiamos ne visų dydžių pakuotės.</w:t>
      </w:r>
    </w:p>
    <w:p w14:paraId="6125F5B9" w14:textId="77777777" w:rsidR="002D2BD8" w:rsidRPr="00776407" w:rsidRDefault="002D2BD8" w:rsidP="002D2BD8">
      <w:pPr>
        <w:autoSpaceDE w:val="0"/>
        <w:autoSpaceDN w:val="0"/>
        <w:adjustRightInd w:val="0"/>
        <w:rPr>
          <w:rFonts w:eastAsia="Calibri"/>
          <w:sz w:val="22"/>
          <w:szCs w:val="22"/>
        </w:rPr>
      </w:pPr>
    </w:p>
    <w:p w14:paraId="0850AA3B" w14:textId="77777777" w:rsidR="002D2BD8" w:rsidRPr="00776407" w:rsidRDefault="00944055" w:rsidP="002D2BD8">
      <w:pPr>
        <w:autoSpaceDE w:val="0"/>
        <w:autoSpaceDN w:val="0"/>
        <w:adjustRightInd w:val="0"/>
        <w:rPr>
          <w:rFonts w:eastAsia="Calibri"/>
          <w:b/>
          <w:bCs/>
          <w:sz w:val="22"/>
          <w:szCs w:val="22"/>
        </w:rPr>
      </w:pPr>
      <w:r w:rsidRPr="00776407">
        <w:rPr>
          <w:rFonts w:eastAsia="Calibri"/>
          <w:b/>
          <w:bCs/>
          <w:sz w:val="22"/>
          <w:szCs w:val="22"/>
        </w:rPr>
        <w:t>Registruotojas</w:t>
      </w:r>
    </w:p>
    <w:p w14:paraId="199F3BC1"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Actavis Group PTC ehf.</w:t>
      </w:r>
    </w:p>
    <w:p w14:paraId="0CC415EF"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Reykjavíkurvegur 76-78,</w:t>
      </w:r>
    </w:p>
    <w:p w14:paraId="598A3BDA"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Hafnarfjörður</w:t>
      </w:r>
    </w:p>
    <w:p w14:paraId="272705B8" w14:textId="77777777" w:rsidR="002D2BD8" w:rsidRPr="00776407" w:rsidRDefault="002D2BD8" w:rsidP="002D2BD8">
      <w:pPr>
        <w:autoSpaceDE w:val="0"/>
        <w:autoSpaceDN w:val="0"/>
        <w:adjustRightInd w:val="0"/>
        <w:rPr>
          <w:rFonts w:eastAsia="Calibri"/>
          <w:sz w:val="22"/>
          <w:szCs w:val="22"/>
        </w:rPr>
      </w:pPr>
      <w:r w:rsidRPr="00776407">
        <w:rPr>
          <w:rFonts w:eastAsia="Calibri"/>
          <w:sz w:val="22"/>
          <w:szCs w:val="22"/>
        </w:rPr>
        <w:t>Islandija</w:t>
      </w:r>
    </w:p>
    <w:p w14:paraId="1F13306C" w14:textId="77777777" w:rsidR="002D2BD8" w:rsidRPr="00776407" w:rsidRDefault="002D2BD8" w:rsidP="002D2BD8">
      <w:pPr>
        <w:autoSpaceDE w:val="0"/>
        <w:autoSpaceDN w:val="0"/>
        <w:adjustRightInd w:val="0"/>
        <w:rPr>
          <w:rFonts w:eastAsia="Calibri"/>
          <w:sz w:val="22"/>
          <w:szCs w:val="22"/>
        </w:rPr>
      </w:pPr>
    </w:p>
    <w:p w14:paraId="3E356B23" w14:textId="77777777" w:rsidR="002D2BD8" w:rsidRPr="00776407" w:rsidRDefault="002D2BD8" w:rsidP="002D2BD8">
      <w:pPr>
        <w:autoSpaceDE w:val="0"/>
        <w:autoSpaceDN w:val="0"/>
        <w:adjustRightInd w:val="0"/>
        <w:rPr>
          <w:rFonts w:eastAsia="Calibri"/>
          <w:b/>
          <w:bCs/>
          <w:sz w:val="22"/>
          <w:szCs w:val="22"/>
        </w:rPr>
      </w:pPr>
      <w:r w:rsidRPr="00776407">
        <w:rPr>
          <w:rFonts w:eastAsia="Calibri"/>
          <w:b/>
          <w:bCs/>
          <w:sz w:val="22"/>
          <w:szCs w:val="22"/>
        </w:rPr>
        <w:t>Gamintojas</w:t>
      </w:r>
    </w:p>
    <w:p w14:paraId="225BF7A2" w14:textId="77777777" w:rsidR="002D2BD8" w:rsidRPr="00776407" w:rsidRDefault="002D2BD8" w:rsidP="002D2BD8">
      <w:pPr>
        <w:rPr>
          <w:rFonts w:eastAsia="Calibri"/>
          <w:sz w:val="22"/>
          <w:szCs w:val="22"/>
        </w:rPr>
      </w:pPr>
      <w:r w:rsidRPr="00776407">
        <w:rPr>
          <w:rFonts w:eastAsia="Calibri"/>
          <w:sz w:val="22"/>
          <w:szCs w:val="22"/>
        </w:rPr>
        <w:t>S.C. Sindan</w:t>
      </w:r>
      <w:r w:rsidRPr="00776407">
        <w:rPr>
          <w:rFonts w:eastAsia="Calibri"/>
          <w:sz w:val="22"/>
          <w:szCs w:val="22"/>
        </w:rPr>
        <w:noBreakHyphen/>
        <w:t>Pharma S.R.L.</w:t>
      </w:r>
    </w:p>
    <w:p w14:paraId="3D37B421" w14:textId="77777777" w:rsidR="002D2BD8" w:rsidRPr="00776407" w:rsidRDefault="002D2BD8" w:rsidP="002D2BD8">
      <w:pPr>
        <w:rPr>
          <w:rFonts w:eastAsia="Calibri"/>
          <w:sz w:val="22"/>
          <w:szCs w:val="22"/>
        </w:rPr>
      </w:pPr>
      <w:r w:rsidRPr="00776407">
        <w:rPr>
          <w:rFonts w:eastAsia="Calibri"/>
          <w:sz w:val="22"/>
          <w:szCs w:val="22"/>
        </w:rPr>
        <w:t>11 Ion Mihalache Blvd</w:t>
      </w:r>
    </w:p>
    <w:p w14:paraId="1D062B42" w14:textId="77777777" w:rsidR="002D2BD8" w:rsidRPr="00776407" w:rsidRDefault="002D2BD8" w:rsidP="002D2BD8">
      <w:pPr>
        <w:rPr>
          <w:rFonts w:eastAsia="Calibri"/>
          <w:sz w:val="22"/>
          <w:szCs w:val="22"/>
        </w:rPr>
      </w:pPr>
      <w:r w:rsidRPr="00776407">
        <w:rPr>
          <w:rFonts w:eastAsia="Calibri"/>
          <w:sz w:val="22"/>
          <w:szCs w:val="22"/>
        </w:rPr>
        <w:t>Bucharest</w:t>
      </w:r>
    </w:p>
    <w:p w14:paraId="10B65194" w14:textId="77777777" w:rsidR="002D2BD8" w:rsidRPr="00776407" w:rsidRDefault="002D2BD8" w:rsidP="002D2BD8">
      <w:pPr>
        <w:rPr>
          <w:rFonts w:eastAsia="Calibri"/>
          <w:sz w:val="22"/>
          <w:szCs w:val="22"/>
        </w:rPr>
      </w:pPr>
      <w:r w:rsidRPr="00776407">
        <w:rPr>
          <w:rFonts w:eastAsia="Calibri"/>
          <w:sz w:val="22"/>
          <w:szCs w:val="22"/>
        </w:rPr>
        <w:t>Rumunija</w:t>
      </w:r>
    </w:p>
    <w:p w14:paraId="3D6462FF" w14:textId="77777777" w:rsidR="002D2BD8" w:rsidRPr="00776407" w:rsidRDefault="002D2BD8" w:rsidP="002D2BD8">
      <w:pPr>
        <w:autoSpaceDE w:val="0"/>
        <w:autoSpaceDN w:val="0"/>
        <w:adjustRightInd w:val="0"/>
        <w:rPr>
          <w:rFonts w:eastAsia="Calibri"/>
          <w:sz w:val="22"/>
          <w:szCs w:val="22"/>
        </w:rPr>
      </w:pPr>
    </w:p>
    <w:p w14:paraId="4F36AE5F" w14:textId="77777777" w:rsidR="002D2BD8" w:rsidRPr="00776407" w:rsidRDefault="002D2BD8" w:rsidP="002D2BD8">
      <w:pPr>
        <w:numPr>
          <w:ilvl w:val="12"/>
          <w:numId w:val="0"/>
        </w:numPr>
        <w:ind w:right="-2"/>
        <w:rPr>
          <w:sz w:val="22"/>
          <w:szCs w:val="22"/>
        </w:rPr>
      </w:pPr>
      <w:r w:rsidRPr="00776407">
        <w:rPr>
          <w:sz w:val="22"/>
          <w:szCs w:val="22"/>
        </w:rPr>
        <w:t xml:space="preserve">Jeigu apie šį vaistą norite sužinoti daugiau, kreipkitės į vietinį </w:t>
      </w:r>
      <w:r w:rsidR="00216706" w:rsidRPr="00776407">
        <w:rPr>
          <w:sz w:val="22"/>
          <w:szCs w:val="22"/>
        </w:rPr>
        <w:t xml:space="preserve">registruotojo </w:t>
      </w:r>
      <w:r w:rsidRPr="00776407">
        <w:rPr>
          <w:sz w:val="22"/>
          <w:szCs w:val="22"/>
        </w:rPr>
        <w:t>atstovą.</w:t>
      </w:r>
    </w:p>
    <w:p w14:paraId="4CA92E85" w14:textId="77777777" w:rsidR="004D72CE" w:rsidRPr="00881EFD" w:rsidRDefault="004D72CE" w:rsidP="004D72CE">
      <w:pPr>
        <w:autoSpaceDE w:val="0"/>
        <w:autoSpaceDN w:val="0"/>
        <w:adjustRightInd w:val="0"/>
        <w:rPr>
          <w:color w:val="000000" w:themeColor="text1"/>
          <w:sz w:val="22"/>
          <w:szCs w:val="22"/>
        </w:rPr>
      </w:pPr>
    </w:p>
    <w:tbl>
      <w:tblPr>
        <w:tblW w:w="9360" w:type="dxa"/>
        <w:tblInd w:w="-34" w:type="dxa"/>
        <w:tblLayout w:type="fixed"/>
        <w:tblLook w:val="04A0" w:firstRow="1" w:lastRow="0" w:firstColumn="1" w:lastColumn="0" w:noHBand="0" w:noVBand="1"/>
      </w:tblPr>
      <w:tblGrid>
        <w:gridCol w:w="34"/>
        <w:gridCol w:w="4646"/>
        <w:gridCol w:w="4680"/>
      </w:tblGrid>
      <w:tr w:rsidR="004D72CE" w:rsidRPr="00776407" w14:paraId="54CE1316" w14:textId="77777777" w:rsidTr="00876969">
        <w:trPr>
          <w:gridBefore w:val="1"/>
          <w:wBefore w:w="34" w:type="dxa"/>
          <w:cantSplit/>
        </w:trPr>
        <w:tc>
          <w:tcPr>
            <w:tcW w:w="4644" w:type="dxa"/>
          </w:tcPr>
          <w:p w14:paraId="116A855A"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België/Belgique/Belgien</w:t>
            </w:r>
          </w:p>
          <w:p w14:paraId="3E8A89CA"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63D4D7C8"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IJsland/Islande/Island</w:t>
            </w:r>
          </w:p>
          <w:p w14:paraId="776705D8"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Tél/Tel: +354 5503300</w:t>
            </w:r>
          </w:p>
          <w:p w14:paraId="465828C7" w14:textId="77777777" w:rsidR="004D72CE" w:rsidRPr="00776407" w:rsidRDefault="004D72CE" w:rsidP="00876969">
            <w:pPr>
              <w:pStyle w:val="KeinLeerraum"/>
              <w:rPr>
                <w:color w:val="000000" w:themeColor="text1"/>
                <w:sz w:val="22"/>
                <w:szCs w:val="22"/>
              </w:rPr>
            </w:pPr>
          </w:p>
        </w:tc>
        <w:tc>
          <w:tcPr>
            <w:tcW w:w="4678" w:type="dxa"/>
          </w:tcPr>
          <w:p w14:paraId="3F213721"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Lietuva</w:t>
            </w:r>
          </w:p>
          <w:p w14:paraId="784CC8D9" w14:textId="46245D59" w:rsidR="004D72CE" w:rsidRPr="00776407" w:rsidRDefault="004D72CE" w:rsidP="00876969">
            <w:pPr>
              <w:ind w:right="567"/>
              <w:rPr>
                <w:noProof/>
                <w:color w:val="000000" w:themeColor="text1"/>
                <w:sz w:val="22"/>
                <w:szCs w:val="22"/>
              </w:rPr>
            </w:pPr>
            <w:r w:rsidRPr="00776407">
              <w:rPr>
                <w:noProof/>
                <w:color w:val="000000" w:themeColor="text1"/>
                <w:sz w:val="22"/>
                <w:szCs w:val="22"/>
              </w:rPr>
              <w:t>UAB Teva Baltics</w:t>
            </w:r>
          </w:p>
          <w:p w14:paraId="34C22132"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+370 5</w:t>
            </w:r>
            <w:r w:rsidRPr="00776407">
              <w:rPr>
                <w:noProof/>
                <w:color w:val="000000" w:themeColor="text1"/>
                <w:sz w:val="22"/>
                <w:szCs w:val="22"/>
              </w:rPr>
              <w:t>2660203</w:t>
            </w:r>
          </w:p>
          <w:p w14:paraId="16805874" w14:textId="77777777" w:rsidR="004D72CE" w:rsidRPr="00776407" w:rsidRDefault="004D72CE" w:rsidP="00876969">
            <w:pPr>
              <w:pStyle w:val="KeinLeerraum"/>
              <w:rPr>
                <w:color w:val="000000" w:themeColor="text1"/>
                <w:sz w:val="22"/>
                <w:szCs w:val="22"/>
              </w:rPr>
            </w:pPr>
          </w:p>
        </w:tc>
      </w:tr>
      <w:tr w:rsidR="004D72CE" w:rsidRPr="00776407" w14:paraId="00EF13BA" w14:textId="77777777" w:rsidTr="00876969">
        <w:trPr>
          <w:gridBefore w:val="1"/>
          <w:wBefore w:w="34" w:type="dxa"/>
          <w:cantSplit/>
        </w:trPr>
        <w:tc>
          <w:tcPr>
            <w:tcW w:w="4644" w:type="dxa"/>
          </w:tcPr>
          <w:p w14:paraId="00BF0EA2" w14:textId="77777777" w:rsidR="004D72CE" w:rsidRPr="00776407" w:rsidRDefault="004D72CE" w:rsidP="00876969">
            <w:pPr>
              <w:pStyle w:val="KeinLeerraum"/>
              <w:rPr>
                <w:b/>
                <w:bCs/>
                <w:color w:val="000000" w:themeColor="text1"/>
                <w:sz w:val="22"/>
                <w:szCs w:val="22"/>
              </w:rPr>
            </w:pPr>
            <w:r w:rsidRPr="00776407">
              <w:rPr>
                <w:b/>
                <w:bCs/>
                <w:color w:val="000000" w:themeColor="text1"/>
                <w:sz w:val="22"/>
                <w:szCs w:val="22"/>
              </w:rPr>
              <w:t>България</w:t>
            </w:r>
          </w:p>
          <w:p w14:paraId="3CA115F3"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Актавис ЕАД</w:t>
            </w:r>
          </w:p>
          <w:p w14:paraId="0AD3CE7E"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Teл: +359 24899585</w:t>
            </w:r>
          </w:p>
          <w:p w14:paraId="7AA57416" w14:textId="77777777" w:rsidR="004D72CE" w:rsidRPr="00776407" w:rsidRDefault="004D72CE" w:rsidP="00876969">
            <w:pPr>
              <w:pStyle w:val="KeinLeerraum"/>
              <w:rPr>
                <w:color w:val="000000" w:themeColor="text1"/>
                <w:sz w:val="22"/>
                <w:szCs w:val="22"/>
              </w:rPr>
            </w:pPr>
          </w:p>
        </w:tc>
        <w:tc>
          <w:tcPr>
            <w:tcW w:w="4678" w:type="dxa"/>
          </w:tcPr>
          <w:p w14:paraId="386378AA"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Luxembourg/Luxemburg</w:t>
            </w:r>
          </w:p>
          <w:p w14:paraId="5B18D139"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621F4BC6"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Islande/Island</w:t>
            </w:r>
          </w:p>
          <w:p w14:paraId="65AAE37D"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Tél/Tel: +354 5503300</w:t>
            </w:r>
          </w:p>
          <w:p w14:paraId="67E61636" w14:textId="77777777" w:rsidR="004D72CE" w:rsidRPr="00776407" w:rsidRDefault="004D72CE" w:rsidP="00876969">
            <w:pPr>
              <w:pStyle w:val="KeinLeerraum"/>
              <w:rPr>
                <w:color w:val="000000" w:themeColor="text1"/>
                <w:sz w:val="22"/>
                <w:szCs w:val="22"/>
              </w:rPr>
            </w:pPr>
          </w:p>
        </w:tc>
      </w:tr>
      <w:tr w:rsidR="004D72CE" w:rsidRPr="00776407" w14:paraId="4AB32689" w14:textId="77777777" w:rsidTr="00876969">
        <w:trPr>
          <w:gridBefore w:val="1"/>
          <w:wBefore w:w="34" w:type="dxa"/>
          <w:cantSplit/>
          <w:trHeight w:val="751"/>
        </w:trPr>
        <w:tc>
          <w:tcPr>
            <w:tcW w:w="4644" w:type="dxa"/>
          </w:tcPr>
          <w:p w14:paraId="6ED46E94"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Česká republika</w:t>
            </w:r>
          </w:p>
          <w:p w14:paraId="66A323D1" w14:textId="77777777" w:rsidR="004D72CE" w:rsidRPr="00776407" w:rsidRDefault="004D72CE" w:rsidP="00876969">
            <w:pPr>
              <w:tabs>
                <w:tab w:val="left" w:pos="-720"/>
              </w:tabs>
              <w:suppressAutoHyphens/>
              <w:ind w:right="567"/>
              <w:rPr>
                <w:noProof/>
                <w:color w:val="000000" w:themeColor="text1"/>
                <w:sz w:val="22"/>
                <w:szCs w:val="22"/>
              </w:rPr>
            </w:pPr>
            <w:r w:rsidRPr="00776407">
              <w:rPr>
                <w:noProof/>
                <w:color w:val="000000" w:themeColor="text1"/>
                <w:sz w:val="22"/>
                <w:szCs w:val="22"/>
              </w:rPr>
              <w:t>Teva Pharmaceuticals CR, s.r.o.</w:t>
            </w:r>
          </w:p>
          <w:p w14:paraId="1BA1FE7E"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+420 251007111</w:t>
            </w:r>
          </w:p>
          <w:p w14:paraId="30ACDB07" w14:textId="77777777" w:rsidR="004D72CE" w:rsidRPr="00776407" w:rsidRDefault="004D72CE" w:rsidP="00876969">
            <w:pPr>
              <w:pStyle w:val="KeinLeerraum"/>
              <w:rPr>
                <w:color w:val="000000" w:themeColor="text1"/>
                <w:sz w:val="22"/>
                <w:szCs w:val="22"/>
              </w:rPr>
            </w:pPr>
          </w:p>
        </w:tc>
        <w:tc>
          <w:tcPr>
            <w:tcW w:w="4678" w:type="dxa"/>
          </w:tcPr>
          <w:p w14:paraId="725B584F"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Magyarország</w:t>
            </w:r>
          </w:p>
          <w:p w14:paraId="3557B474"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Teva Gyógyszergyár Zrt.</w:t>
            </w:r>
          </w:p>
          <w:p w14:paraId="00B2933F"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+36 1</w:t>
            </w:r>
            <w:r w:rsidRPr="00776407">
              <w:rPr>
                <w:noProof/>
                <w:color w:val="000000" w:themeColor="text1"/>
                <w:sz w:val="22"/>
                <w:szCs w:val="22"/>
              </w:rPr>
              <w:t>2886400</w:t>
            </w:r>
          </w:p>
          <w:p w14:paraId="5DC787D7" w14:textId="77777777" w:rsidR="004D72CE" w:rsidRPr="00776407" w:rsidRDefault="004D72CE" w:rsidP="00876969">
            <w:pPr>
              <w:pStyle w:val="KeinLeerraum"/>
              <w:rPr>
                <w:color w:val="000000" w:themeColor="text1"/>
                <w:sz w:val="22"/>
                <w:szCs w:val="22"/>
              </w:rPr>
            </w:pPr>
          </w:p>
        </w:tc>
      </w:tr>
      <w:tr w:rsidR="004D72CE" w:rsidRPr="00776407" w14:paraId="5414BAC2" w14:textId="77777777" w:rsidTr="00876969">
        <w:trPr>
          <w:gridBefore w:val="1"/>
          <w:wBefore w:w="34" w:type="dxa"/>
          <w:cantSplit/>
        </w:trPr>
        <w:tc>
          <w:tcPr>
            <w:tcW w:w="4644" w:type="dxa"/>
          </w:tcPr>
          <w:p w14:paraId="55DA3C7F"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Danmark</w:t>
            </w:r>
          </w:p>
          <w:p w14:paraId="304FAF1A"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Denmark A/S</w:t>
            </w:r>
          </w:p>
          <w:p w14:paraId="7BFD3F8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Tlf: +45 44985511</w:t>
            </w:r>
          </w:p>
          <w:p w14:paraId="3D7BEC86" w14:textId="77777777" w:rsidR="004D72CE" w:rsidRPr="00776407" w:rsidRDefault="004D72CE" w:rsidP="00876969">
            <w:pPr>
              <w:pStyle w:val="KeinLeerraum"/>
              <w:rPr>
                <w:color w:val="000000" w:themeColor="text1"/>
                <w:sz w:val="22"/>
                <w:szCs w:val="22"/>
              </w:rPr>
            </w:pPr>
          </w:p>
        </w:tc>
        <w:tc>
          <w:tcPr>
            <w:tcW w:w="4678" w:type="dxa"/>
          </w:tcPr>
          <w:p w14:paraId="562DA486"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Malta</w:t>
            </w:r>
          </w:p>
          <w:p w14:paraId="300D8C56"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Ltd.</w:t>
            </w:r>
          </w:p>
          <w:p w14:paraId="12CD890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+356 21693533</w:t>
            </w:r>
          </w:p>
          <w:p w14:paraId="720F67F9" w14:textId="77777777" w:rsidR="004D72CE" w:rsidRPr="00776407" w:rsidRDefault="004D72CE" w:rsidP="00876969">
            <w:pPr>
              <w:pStyle w:val="KeinLeerraum"/>
              <w:rPr>
                <w:color w:val="000000" w:themeColor="text1"/>
                <w:sz w:val="22"/>
                <w:szCs w:val="22"/>
              </w:rPr>
            </w:pPr>
          </w:p>
        </w:tc>
      </w:tr>
      <w:tr w:rsidR="004D72CE" w:rsidRPr="00776407" w14:paraId="4D1EF611" w14:textId="77777777" w:rsidTr="00876969">
        <w:trPr>
          <w:gridBefore w:val="1"/>
          <w:wBefore w:w="34" w:type="dxa"/>
          <w:cantSplit/>
        </w:trPr>
        <w:tc>
          <w:tcPr>
            <w:tcW w:w="4644" w:type="dxa"/>
          </w:tcPr>
          <w:p w14:paraId="3A4D95B2"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Deutschland</w:t>
            </w:r>
          </w:p>
          <w:p w14:paraId="4D7492BF" w14:textId="77777777" w:rsidR="004D72CE" w:rsidRPr="00776407" w:rsidRDefault="004D72CE" w:rsidP="00876969">
            <w:pPr>
              <w:rPr>
                <w:color w:val="000000" w:themeColor="text1"/>
                <w:sz w:val="22"/>
                <w:szCs w:val="22"/>
              </w:rPr>
            </w:pPr>
            <w:r w:rsidRPr="00776407">
              <w:rPr>
                <w:color w:val="000000" w:themeColor="text1"/>
                <w:sz w:val="22"/>
                <w:szCs w:val="22"/>
              </w:rPr>
              <w:t>Actavis Group PTC ehf.</w:t>
            </w:r>
          </w:p>
          <w:p w14:paraId="0C2E955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w:t>
            </w:r>
          </w:p>
          <w:p w14:paraId="7224BA71"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+354 5503300</w:t>
            </w:r>
          </w:p>
          <w:p w14:paraId="061180F5" w14:textId="77777777" w:rsidR="004D72CE" w:rsidRPr="00776407" w:rsidRDefault="004D72CE" w:rsidP="00876969">
            <w:pPr>
              <w:pStyle w:val="KeinLeerraum"/>
              <w:rPr>
                <w:color w:val="000000" w:themeColor="text1"/>
                <w:sz w:val="22"/>
                <w:szCs w:val="22"/>
              </w:rPr>
            </w:pPr>
          </w:p>
        </w:tc>
        <w:tc>
          <w:tcPr>
            <w:tcW w:w="4678" w:type="dxa"/>
          </w:tcPr>
          <w:p w14:paraId="688CECE0"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Nederland</w:t>
            </w:r>
          </w:p>
          <w:p w14:paraId="01683E39"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Actavis Group PTC ehf.</w:t>
            </w:r>
          </w:p>
          <w:p w14:paraId="1727B2F4"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IJsland</w:t>
            </w:r>
          </w:p>
          <w:p w14:paraId="6908EE7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+354 5503300</w:t>
            </w:r>
          </w:p>
          <w:p w14:paraId="16B2316E" w14:textId="77777777" w:rsidR="004D72CE" w:rsidRPr="00776407" w:rsidRDefault="004D72CE" w:rsidP="00876969">
            <w:pPr>
              <w:pStyle w:val="KeinLeerraum"/>
              <w:rPr>
                <w:color w:val="000000" w:themeColor="text1"/>
                <w:sz w:val="22"/>
                <w:szCs w:val="22"/>
              </w:rPr>
            </w:pPr>
          </w:p>
        </w:tc>
      </w:tr>
      <w:tr w:rsidR="004D72CE" w:rsidRPr="00776407" w14:paraId="70F732F3" w14:textId="77777777" w:rsidTr="00876969">
        <w:trPr>
          <w:gridBefore w:val="1"/>
          <w:wBefore w:w="34" w:type="dxa"/>
          <w:cantSplit/>
        </w:trPr>
        <w:tc>
          <w:tcPr>
            <w:tcW w:w="4644" w:type="dxa"/>
          </w:tcPr>
          <w:p w14:paraId="37D2D15A" w14:textId="77777777" w:rsidR="004D72CE" w:rsidRPr="00776407" w:rsidRDefault="004D72CE" w:rsidP="00876969">
            <w:pPr>
              <w:pStyle w:val="KeinLeerraum"/>
              <w:rPr>
                <w:b/>
                <w:bCs/>
                <w:color w:val="000000" w:themeColor="text1"/>
                <w:sz w:val="22"/>
                <w:szCs w:val="22"/>
              </w:rPr>
            </w:pPr>
            <w:r w:rsidRPr="00776407">
              <w:rPr>
                <w:b/>
                <w:bCs/>
                <w:color w:val="000000" w:themeColor="text1"/>
                <w:sz w:val="22"/>
                <w:szCs w:val="22"/>
              </w:rPr>
              <w:t>Eesti</w:t>
            </w:r>
          </w:p>
          <w:p w14:paraId="2DB6481B" w14:textId="27A75F3B" w:rsidR="004D72CE" w:rsidRPr="00776407" w:rsidRDefault="004D72CE" w:rsidP="00876969">
            <w:pPr>
              <w:pStyle w:val="KeinLeerraum"/>
              <w:rPr>
                <w:color w:val="000000" w:themeColor="text1"/>
                <w:sz w:val="22"/>
                <w:szCs w:val="22"/>
              </w:rPr>
            </w:pPr>
            <w:r w:rsidRPr="00776407">
              <w:rPr>
                <w:color w:val="000000" w:themeColor="text1"/>
                <w:sz w:val="22"/>
                <w:szCs w:val="22"/>
              </w:rPr>
              <w:t>UAB Teva Baltics</w:t>
            </w:r>
            <w:r w:rsidRPr="00776407">
              <w:rPr>
                <w:noProof/>
                <w:color w:val="000000" w:themeColor="text1"/>
                <w:sz w:val="22"/>
                <w:szCs w:val="22"/>
              </w:rPr>
              <w:t xml:space="preserve"> Eesti filiaal</w:t>
            </w:r>
          </w:p>
          <w:p w14:paraId="44F9088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 xml:space="preserve">Tel: +372 </w:t>
            </w:r>
            <w:r w:rsidRPr="00776407">
              <w:rPr>
                <w:noProof/>
                <w:color w:val="000000" w:themeColor="text1"/>
                <w:sz w:val="22"/>
                <w:szCs w:val="22"/>
              </w:rPr>
              <w:t>6610801</w:t>
            </w:r>
          </w:p>
          <w:p w14:paraId="20C9F3C6" w14:textId="77777777" w:rsidR="004D72CE" w:rsidRPr="00776407" w:rsidRDefault="004D72CE" w:rsidP="00876969">
            <w:pPr>
              <w:pStyle w:val="KeinLeerraum"/>
              <w:rPr>
                <w:color w:val="000000" w:themeColor="text1"/>
                <w:sz w:val="22"/>
                <w:szCs w:val="22"/>
              </w:rPr>
            </w:pPr>
          </w:p>
        </w:tc>
        <w:tc>
          <w:tcPr>
            <w:tcW w:w="4678" w:type="dxa"/>
          </w:tcPr>
          <w:p w14:paraId="7E99B1A4"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Norge</w:t>
            </w:r>
          </w:p>
          <w:p w14:paraId="6940E20D"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Teva Norway AS</w:t>
            </w:r>
          </w:p>
          <w:p w14:paraId="792D0820"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Tlf: +47 66775590</w:t>
            </w:r>
          </w:p>
          <w:p w14:paraId="4F9DBA0C" w14:textId="77777777" w:rsidR="004D72CE" w:rsidRPr="00776407" w:rsidRDefault="004D72CE" w:rsidP="00876969">
            <w:pPr>
              <w:pStyle w:val="KeinLeerraum"/>
              <w:rPr>
                <w:color w:val="000000" w:themeColor="text1"/>
                <w:sz w:val="22"/>
                <w:szCs w:val="22"/>
              </w:rPr>
            </w:pPr>
          </w:p>
        </w:tc>
      </w:tr>
      <w:tr w:rsidR="004D72CE" w:rsidRPr="00776407" w14:paraId="442AFBAB" w14:textId="77777777" w:rsidTr="00876969">
        <w:trPr>
          <w:gridBefore w:val="1"/>
          <w:wBefore w:w="34" w:type="dxa"/>
          <w:cantSplit/>
        </w:trPr>
        <w:tc>
          <w:tcPr>
            <w:tcW w:w="4644" w:type="dxa"/>
          </w:tcPr>
          <w:p w14:paraId="566A9740"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Ελλάδα</w:t>
            </w:r>
          </w:p>
          <w:p w14:paraId="52395F92" w14:textId="77777777" w:rsidR="004D72CE" w:rsidRPr="00776407" w:rsidRDefault="004D72CE" w:rsidP="00876969">
            <w:pPr>
              <w:pStyle w:val="NormalParagraphStyle"/>
              <w:spacing w:line="240" w:lineRule="auto"/>
              <w:rPr>
                <w:rFonts w:ascii="Times New Roman" w:hAnsi="Times New Roman"/>
                <w:color w:val="000000" w:themeColor="text1"/>
                <w:sz w:val="22"/>
                <w:szCs w:val="22"/>
                <w:lang w:val="lt-LT"/>
              </w:rPr>
            </w:pPr>
            <w:r w:rsidRPr="00881EFD">
              <w:rPr>
                <w:rFonts w:ascii="Times New Roman" w:hAnsi="Times New Roman"/>
                <w:color w:val="000000" w:themeColor="text1"/>
                <w:sz w:val="22"/>
                <w:szCs w:val="22"/>
                <w:lang w:val="lt-LT"/>
              </w:rPr>
              <w:t>Specifar A.B.E.E</w:t>
            </w:r>
            <w:r w:rsidRPr="00776407">
              <w:rPr>
                <w:rFonts w:ascii="Times New Roman" w:hAnsi="Times New Roman"/>
                <w:color w:val="000000" w:themeColor="text1"/>
                <w:sz w:val="22"/>
                <w:szCs w:val="22"/>
                <w:lang w:val="lt-LT"/>
              </w:rPr>
              <w:t>.</w:t>
            </w:r>
          </w:p>
          <w:p w14:paraId="7E143E66" w14:textId="5AFD2FED" w:rsidR="004D72CE" w:rsidRPr="00776407" w:rsidRDefault="004D72CE" w:rsidP="00876969">
            <w:pPr>
              <w:pStyle w:val="KeinLeerraum"/>
              <w:rPr>
                <w:color w:val="000000" w:themeColor="text1"/>
                <w:sz w:val="22"/>
                <w:szCs w:val="22"/>
              </w:rPr>
            </w:pPr>
            <w:r w:rsidRPr="00776407">
              <w:rPr>
                <w:color w:val="000000" w:themeColor="text1"/>
                <w:sz w:val="22"/>
                <w:szCs w:val="22"/>
              </w:rPr>
              <w:t>Τηλ: +30 2118805000</w:t>
            </w:r>
          </w:p>
          <w:p w14:paraId="69AAD181" w14:textId="77777777" w:rsidR="004D72CE" w:rsidRPr="00776407" w:rsidRDefault="004D72CE" w:rsidP="00876969">
            <w:pPr>
              <w:pStyle w:val="KeinLeerraum"/>
              <w:rPr>
                <w:color w:val="000000" w:themeColor="text1"/>
                <w:sz w:val="22"/>
                <w:szCs w:val="22"/>
              </w:rPr>
            </w:pPr>
          </w:p>
        </w:tc>
        <w:tc>
          <w:tcPr>
            <w:tcW w:w="4678" w:type="dxa"/>
          </w:tcPr>
          <w:p w14:paraId="593424D8"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Österreich</w:t>
            </w:r>
          </w:p>
          <w:p w14:paraId="40764A49" w14:textId="77777777" w:rsidR="004D72CE" w:rsidRPr="00776407" w:rsidRDefault="004D72CE" w:rsidP="00876969">
            <w:pPr>
              <w:rPr>
                <w:rFonts w:eastAsia="Adobe Fangsong Std R"/>
                <w:color w:val="000000" w:themeColor="text1"/>
                <w:sz w:val="22"/>
                <w:szCs w:val="22"/>
              </w:rPr>
            </w:pPr>
            <w:r w:rsidRPr="00776407">
              <w:rPr>
                <w:rFonts w:eastAsia="Adobe Fangsong Std R"/>
                <w:color w:val="000000" w:themeColor="text1"/>
                <w:sz w:val="22"/>
                <w:szCs w:val="22"/>
              </w:rPr>
              <w:t>ratiopharm Arzneimittel Vertriebs-GmbH</w:t>
            </w:r>
          </w:p>
          <w:p w14:paraId="150CA7DE" w14:textId="77777777" w:rsidR="004D72CE" w:rsidRPr="00776407" w:rsidRDefault="004D72CE" w:rsidP="00876969">
            <w:pPr>
              <w:rPr>
                <w:rFonts w:eastAsia="Adobe Fangsong Std R"/>
                <w:color w:val="000000" w:themeColor="text1"/>
                <w:sz w:val="22"/>
                <w:szCs w:val="22"/>
              </w:rPr>
            </w:pPr>
            <w:r w:rsidRPr="00776407">
              <w:rPr>
                <w:rFonts w:eastAsia="Adobe Fangsong Std R"/>
                <w:color w:val="000000" w:themeColor="text1"/>
                <w:sz w:val="22"/>
                <w:szCs w:val="22"/>
              </w:rPr>
              <w:t>Tel: +43 1970070</w:t>
            </w:r>
          </w:p>
          <w:p w14:paraId="21909EDB" w14:textId="77777777" w:rsidR="004D72CE" w:rsidRPr="00776407" w:rsidRDefault="004D72CE" w:rsidP="00876969">
            <w:pPr>
              <w:pStyle w:val="KeinLeerraum"/>
              <w:rPr>
                <w:color w:val="000000" w:themeColor="text1"/>
                <w:sz w:val="22"/>
                <w:szCs w:val="22"/>
              </w:rPr>
            </w:pPr>
          </w:p>
        </w:tc>
      </w:tr>
      <w:tr w:rsidR="004D72CE" w:rsidRPr="00776407" w14:paraId="0A366BE5" w14:textId="77777777" w:rsidTr="00876969">
        <w:trPr>
          <w:cantSplit/>
        </w:trPr>
        <w:tc>
          <w:tcPr>
            <w:tcW w:w="4678" w:type="dxa"/>
            <w:gridSpan w:val="2"/>
          </w:tcPr>
          <w:p w14:paraId="4005AD3B"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España</w:t>
            </w:r>
          </w:p>
          <w:p w14:paraId="34D38FAB"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Actavis Group PTC ehf.</w:t>
            </w:r>
          </w:p>
          <w:p w14:paraId="333B67CB"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Islandia</w:t>
            </w:r>
          </w:p>
          <w:p w14:paraId="090993F7"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+354 5503300</w:t>
            </w:r>
          </w:p>
          <w:p w14:paraId="4F7E2D91" w14:textId="77777777" w:rsidR="004D72CE" w:rsidRPr="00776407" w:rsidRDefault="004D72CE" w:rsidP="00876969">
            <w:pPr>
              <w:pStyle w:val="KeinLeerraum"/>
              <w:rPr>
                <w:color w:val="000000" w:themeColor="text1"/>
                <w:sz w:val="22"/>
                <w:szCs w:val="22"/>
              </w:rPr>
            </w:pPr>
          </w:p>
        </w:tc>
        <w:tc>
          <w:tcPr>
            <w:tcW w:w="4678" w:type="dxa"/>
          </w:tcPr>
          <w:p w14:paraId="36A6EE6A" w14:textId="77777777" w:rsidR="004D72CE" w:rsidRPr="00776407" w:rsidRDefault="004D72CE" w:rsidP="00876969">
            <w:pPr>
              <w:pStyle w:val="KeinLeerraum"/>
              <w:rPr>
                <w:b/>
                <w:bCs/>
                <w:i/>
                <w:iCs/>
                <w:color w:val="000000" w:themeColor="text1"/>
                <w:sz w:val="22"/>
                <w:szCs w:val="22"/>
              </w:rPr>
            </w:pPr>
            <w:r w:rsidRPr="00776407">
              <w:rPr>
                <w:b/>
                <w:color w:val="000000" w:themeColor="text1"/>
                <w:sz w:val="22"/>
                <w:szCs w:val="22"/>
              </w:rPr>
              <w:t>Polska</w:t>
            </w:r>
          </w:p>
          <w:p w14:paraId="3D153113" w14:textId="77777777" w:rsidR="004D72CE" w:rsidRPr="00776407" w:rsidRDefault="004D72CE" w:rsidP="00876969">
            <w:pPr>
              <w:rPr>
                <w:color w:val="000000" w:themeColor="text1"/>
                <w:sz w:val="22"/>
                <w:szCs w:val="22"/>
              </w:rPr>
            </w:pPr>
            <w:r w:rsidRPr="00776407">
              <w:rPr>
                <w:color w:val="000000" w:themeColor="text1"/>
                <w:sz w:val="22"/>
                <w:szCs w:val="22"/>
              </w:rPr>
              <w:t>Teva Pharmaceuticals Polska Sp. z o.o.</w:t>
            </w:r>
          </w:p>
          <w:p w14:paraId="71087433" w14:textId="77777777" w:rsidR="004D72CE" w:rsidRPr="00776407" w:rsidRDefault="004D72CE" w:rsidP="00876969">
            <w:pPr>
              <w:numPr>
                <w:ilvl w:val="12"/>
                <w:numId w:val="0"/>
              </w:numPr>
              <w:rPr>
                <w:color w:val="000000" w:themeColor="text1"/>
                <w:sz w:val="22"/>
                <w:szCs w:val="22"/>
                <w:lang w:eastAsia="is-IS"/>
              </w:rPr>
            </w:pPr>
            <w:r w:rsidRPr="00776407">
              <w:rPr>
                <w:color w:val="000000" w:themeColor="text1"/>
                <w:sz w:val="22"/>
                <w:szCs w:val="22"/>
              </w:rPr>
              <w:t>Tel: +48 223459300</w:t>
            </w:r>
          </w:p>
          <w:p w14:paraId="6C5EC19C" w14:textId="77777777" w:rsidR="004D72CE" w:rsidRPr="00776407" w:rsidRDefault="004D72CE" w:rsidP="00876969">
            <w:pPr>
              <w:pStyle w:val="KeinLeerraum"/>
              <w:rPr>
                <w:color w:val="000000" w:themeColor="text1"/>
                <w:sz w:val="22"/>
                <w:szCs w:val="22"/>
              </w:rPr>
            </w:pPr>
          </w:p>
        </w:tc>
      </w:tr>
      <w:tr w:rsidR="004D72CE" w:rsidRPr="00776407" w14:paraId="4BC045E1" w14:textId="77777777" w:rsidTr="00876969">
        <w:trPr>
          <w:cantSplit/>
        </w:trPr>
        <w:tc>
          <w:tcPr>
            <w:tcW w:w="4678" w:type="dxa"/>
            <w:gridSpan w:val="2"/>
          </w:tcPr>
          <w:p w14:paraId="64D5EB28"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France</w:t>
            </w:r>
          </w:p>
          <w:p w14:paraId="7DAB5BDB"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31EFEA34"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Islande</w:t>
            </w:r>
          </w:p>
          <w:p w14:paraId="5BF89A4A" w14:textId="77777777" w:rsidR="004D72CE" w:rsidRPr="00776407" w:rsidRDefault="004D72CE" w:rsidP="00876969">
            <w:pPr>
              <w:pStyle w:val="KeinLeerraum"/>
              <w:rPr>
                <w:color w:val="000000" w:themeColor="text1"/>
                <w:sz w:val="22"/>
                <w:szCs w:val="22"/>
              </w:rPr>
            </w:pPr>
            <w:r w:rsidRPr="00776407">
              <w:rPr>
                <w:color w:val="000000" w:themeColor="text1"/>
                <w:sz w:val="22"/>
                <w:szCs w:val="22"/>
                <w:lang w:eastAsia="en-GB"/>
              </w:rPr>
              <w:t>Tél</w:t>
            </w:r>
            <w:r w:rsidRPr="00776407">
              <w:rPr>
                <w:noProof/>
                <w:color w:val="000000" w:themeColor="text1"/>
                <w:sz w:val="22"/>
                <w:szCs w:val="22"/>
              </w:rPr>
              <w:t>:</w:t>
            </w:r>
            <w:r w:rsidRPr="00776407">
              <w:rPr>
                <w:color w:val="000000" w:themeColor="text1"/>
                <w:sz w:val="22"/>
                <w:szCs w:val="22"/>
              </w:rPr>
              <w:t xml:space="preserve"> +354 5503300</w:t>
            </w:r>
          </w:p>
          <w:p w14:paraId="6B43FB12" w14:textId="77777777" w:rsidR="004D72CE" w:rsidRPr="00776407" w:rsidRDefault="004D72CE" w:rsidP="00876969">
            <w:pPr>
              <w:pStyle w:val="KeinLeerraum"/>
              <w:rPr>
                <w:b/>
                <w:color w:val="000000" w:themeColor="text1"/>
                <w:sz w:val="22"/>
                <w:szCs w:val="22"/>
              </w:rPr>
            </w:pPr>
          </w:p>
        </w:tc>
        <w:tc>
          <w:tcPr>
            <w:tcW w:w="4678" w:type="dxa"/>
          </w:tcPr>
          <w:p w14:paraId="2A03DADA"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Portugal</w:t>
            </w:r>
          </w:p>
          <w:p w14:paraId="70EF93AA"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Actavis Group PTC ehf.</w:t>
            </w:r>
          </w:p>
          <w:p w14:paraId="3200E2FC"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Islândia</w:t>
            </w:r>
          </w:p>
          <w:p w14:paraId="6710AB8C"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Tel: +354 5503300</w:t>
            </w:r>
          </w:p>
          <w:p w14:paraId="0591F713" w14:textId="77777777" w:rsidR="004D72CE" w:rsidRPr="00776407" w:rsidRDefault="004D72CE" w:rsidP="00876969">
            <w:pPr>
              <w:pStyle w:val="KeinLeerraum"/>
              <w:rPr>
                <w:color w:val="000000" w:themeColor="text1"/>
                <w:sz w:val="22"/>
                <w:szCs w:val="22"/>
              </w:rPr>
            </w:pPr>
          </w:p>
        </w:tc>
      </w:tr>
      <w:tr w:rsidR="004D72CE" w:rsidRPr="00776407" w14:paraId="3B21CD88" w14:textId="77777777" w:rsidTr="00876969">
        <w:trPr>
          <w:cantSplit/>
        </w:trPr>
        <w:tc>
          <w:tcPr>
            <w:tcW w:w="4678" w:type="dxa"/>
            <w:gridSpan w:val="2"/>
          </w:tcPr>
          <w:p w14:paraId="2A45A880" w14:textId="77777777" w:rsidR="004D72CE" w:rsidRPr="00776407" w:rsidRDefault="004D72CE" w:rsidP="00876969">
            <w:pPr>
              <w:tabs>
                <w:tab w:val="left" w:pos="-720"/>
                <w:tab w:val="left" w:pos="4536"/>
              </w:tabs>
              <w:suppressAutoHyphens/>
              <w:ind w:right="567"/>
              <w:rPr>
                <w:b/>
                <w:noProof/>
                <w:color w:val="000000" w:themeColor="text1"/>
                <w:sz w:val="22"/>
                <w:szCs w:val="22"/>
              </w:rPr>
            </w:pPr>
            <w:r w:rsidRPr="00776407">
              <w:rPr>
                <w:color w:val="000000" w:themeColor="text1"/>
                <w:sz w:val="22"/>
                <w:szCs w:val="22"/>
              </w:rPr>
              <w:br w:type="page"/>
            </w:r>
            <w:r w:rsidRPr="00776407">
              <w:rPr>
                <w:b/>
                <w:noProof/>
                <w:color w:val="000000" w:themeColor="text1"/>
                <w:sz w:val="22"/>
                <w:szCs w:val="22"/>
              </w:rPr>
              <w:t>Hrvatska</w:t>
            </w:r>
          </w:p>
          <w:p w14:paraId="4D5DEF38" w14:textId="77777777" w:rsidR="004D72CE" w:rsidRPr="00776407" w:rsidRDefault="004D72CE" w:rsidP="00876969">
            <w:pPr>
              <w:tabs>
                <w:tab w:val="left" w:pos="-720"/>
                <w:tab w:val="left" w:pos="4536"/>
              </w:tabs>
              <w:suppressAutoHyphens/>
              <w:ind w:right="567"/>
              <w:rPr>
                <w:color w:val="000000" w:themeColor="text1"/>
                <w:sz w:val="22"/>
                <w:szCs w:val="22"/>
              </w:rPr>
            </w:pPr>
            <w:r w:rsidRPr="00776407">
              <w:rPr>
                <w:color w:val="000000" w:themeColor="text1"/>
                <w:sz w:val="22"/>
                <w:szCs w:val="22"/>
              </w:rPr>
              <w:t>Pliva Hrvatska d.o.o.</w:t>
            </w:r>
          </w:p>
          <w:p w14:paraId="27AF2471"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+385 13720000</w:t>
            </w:r>
          </w:p>
          <w:p w14:paraId="0515C883" w14:textId="77777777" w:rsidR="004D72CE" w:rsidRPr="00776407" w:rsidRDefault="004D72CE" w:rsidP="00876969">
            <w:pPr>
              <w:pStyle w:val="KeinLeerraum"/>
              <w:rPr>
                <w:color w:val="000000" w:themeColor="text1"/>
                <w:sz w:val="22"/>
                <w:szCs w:val="22"/>
              </w:rPr>
            </w:pPr>
          </w:p>
        </w:tc>
        <w:tc>
          <w:tcPr>
            <w:tcW w:w="4678" w:type="dxa"/>
          </w:tcPr>
          <w:p w14:paraId="2FBA0BAE"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România</w:t>
            </w:r>
          </w:p>
          <w:p w14:paraId="0F5ECDA2"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Pharmaceuticals S.R.L.</w:t>
            </w:r>
          </w:p>
          <w:p w14:paraId="430374E7"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w:t>
            </w:r>
            <w:r w:rsidRPr="00776407">
              <w:rPr>
                <w:noProof/>
                <w:color w:val="000000" w:themeColor="text1"/>
                <w:sz w:val="22"/>
                <w:szCs w:val="22"/>
              </w:rPr>
              <w:t>40 212306524</w:t>
            </w:r>
          </w:p>
          <w:p w14:paraId="76A88C78" w14:textId="77777777" w:rsidR="004D72CE" w:rsidRPr="00776407" w:rsidRDefault="004D72CE" w:rsidP="00876969">
            <w:pPr>
              <w:pStyle w:val="KeinLeerraum"/>
              <w:rPr>
                <w:color w:val="000000" w:themeColor="text1"/>
                <w:sz w:val="22"/>
                <w:szCs w:val="22"/>
              </w:rPr>
            </w:pPr>
          </w:p>
        </w:tc>
      </w:tr>
      <w:tr w:rsidR="004D72CE" w:rsidRPr="00776407" w14:paraId="0335B65C" w14:textId="77777777" w:rsidTr="00876969">
        <w:trPr>
          <w:cantSplit/>
        </w:trPr>
        <w:tc>
          <w:tcPr>
            <w:tcW w:w="4678" w:type="dxa"/>
            <w:gridSpan w:val="2"/>
          </w:tcPr>
          <w:p w14:paraId="1AD6B080"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Ireland</w:t>
            </w:r>
          </w:p>
          <w:p w14:paraId="393DED07"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Pharmaceuticals Ireland</w:t>
            </w:r>
          </w:p>
          <w:p w14:paraId="17BAE6CF" w14:textId="1880482E" w:rsidR="004D72CE" w:rsidRPr="00776407" w:rsidRDefault="004D72CE" w:rsidP="00876969">
            <w:pPr>
              <w:pStyle w:val="KeinLeerraum"/>
              <w:rPr>
                <w:color w:val="000000" w:themeColor="text1"/>
                <w:sz w:val="22"/>
                <w:szCs w:val="22"/>
              </w:rPr>
            </w:pPr>
            <w:r w:rsidRPr="00776407">
              <w:rPr>
                <w:color w:val="000000" w:themeColor="text1"/>
                <w:sz w:val="22"/>
                <w:szCs w:val="22"/>
              </w:rPr>
              <w:t>Tel: +353 19127700</w:t>
            </w:r>
          </w:p>
          <w:p w14:paraId="78354EB0" w14:textId="77777777" w:rsidR="004D72CE" w:rsidRPr="00776407" w:rsidRDefault="004D72CE" w:rsidP="00876969">
            <w:pPr>
              <w:pStyle w:val="KeinLeerraum"/>
              <w:rPr>
                <w:color w:val="000000" w:themeColor="text1"/>
                <w:sz w:val="22"/>
                <w:szCs w:val="22"/>
              </w:rPr>
            </w:pPr>
          </w:p>
        </w:tc>
        <w:tc>
          <w:tcPr>
            <w:tcW w:w="4678" w:type="dxa"/>
          </w:tcPr>
          <w:p w14:paraId="3018BEAF"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Slovenija</w:t>
            </w:r>
          </w:p>
          <w:p w14:paraId="40580615"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Pliva Ljubljana d.o.o.</w:t>
            </w:r>
          </w:p>
          <w:p w14:paraId="0BEE2A8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+386 15890390</w:t>
            </w:r>
          </w:p>
          <w:p w14:paraId="4AE30B4F" w14:textId="77777777" w:rsidR="004D72CE" w:rsidRPr="00776407" w:rsidRDefault="004D72CE" w:rsidP="00876969">
            <w:pPr>
              <w:pStyle w:val="KeinLeerraum"/>
              <w:rPr>
                <w:b/>
                <w:color w:val="000000" w:themeColor="text1"/>
                <w:sz w:val="22"/>
                <w:szCs w:val="22"/>
              </w:rPr>
            </w:pPr>
          </w:p>
        </w:tc>
      </w:tr>
      <w:tr w:rsidR="004D72CE" w:rsidRPr="00776407" w14:paraId="650119BD" w14:textId="77777777" w:rsidTr="00876969">
        <w:trPr>
          <w:cantSplit/>
        </w:trPr>
        <w:tc>
          <w:tcPr>
            <w:tcW w:w="4678" w:type="dxa"/>
            <w:gridSpan w:val="2"/>
          </w:tcPr>
          <w:p w14:paraId="3EA1A709"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Ísland</w:t>
            </w:r>
          </w:p>
          <w:p w14:paraId="5A91E647"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2A3C12C0"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Sími: +354 5503300</w:t>
            </w:r>
          </w:p>
          <w:p w14:paraId="5DA82B3C" w14:textId="77777777" w:rsidR="004D72CE" w:rsidRPr="00776407" w:rsidRDefault="004D72CE" w:rsidP="00876969">
            <w:pPr>
              <w:pStyle w:val="KeinLeerraum"/>
              <w:rPr>
                <w:b/>
                <w:color w:val="000000" w:themeColor="text1"/>
                <w:sz w:val="22"/>
                <w:szCs w:val="22"/>
              </w:rPr>
            </w:pPr>
          </w:p>
        </w:tc>
        <w:tc>
          <w:tcPr>
            <w:tcW w:w="4678" w:type="dxa"/>
          </w:tcPr>
          <w:p w14:paraId="178F94AF"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Slovenská republika</w:t>
            </w:r>
          </w:p>
          <w:p w14:paraId="7A47C906"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TEVA Pharmaceuticals Slovakia s.r.o.</w:t>
            </w:r>
          </w:p>
          <w:p w14:paraId="2EF7E803"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+421 2</w:t>
            </w:r>
            <w:r w:rsidRPr="00776407">
              <w:rPr>
                <w:noProof/>
                <w:color w:val="000000" w:themeColor="text1"/>
                <w:sz w:val="22"/>
                <w:szCs w:val="22"/>
              </w:rPr>
              <w:t>57267911</w:t>
            </w:r>
          </w:p>
          <w:p w14:paraId="778C8617" w14:textId="77777777" w:rsidR="004D72CE" w:rsidRPr="00776407" w:rsidRDefault="004D72CE" w:rsidP="00876969">
            <w:pPr>
              <w:pStyle w:val="KeinLeerraum"/>
              <w:rPr>
                <w:color w:val="000000" w:themeColor="text1"/>
                <w:sz w:val="22"/>
                <w:szCs w:val="22"/>
              </w:rPr>
            </w:pPr>
          </w:p>
        </w:tc>
      </w:tr>
      <w:tr w:rsidR="004D72CE" w:rsidRPr="00776407" w14:paraId="014C762C" w14:textId="77777777" w:rsidTr="00876969">
        <w:trPr>
          <w:cantSplit/>
        </w:trPr>
        <w:tc>
          <w:tcPr>
            <w:tcW w:w="4678" w:type="dxa"/>
            <w:gridSpan w:val="2"/>
          </w:tcPr>
          <w:p w14:paraId="76454B63"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Italia</w:t>
            </w:r>
          </w:p>
          <w:p w14:paraId="5B6A0C19"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0E5F13F2"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Islanda</w:t>
            </w:r>
          </w:p>
          <w:p w14:paraId="708CDDDD"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Tel: +354 5503300</w:t>
            </w:r>
          </w:p>
          <w:p w14:paraId="672854E7" w14:textId="77777777" w:rsidR="004D72CE" w:rsidRPr="00776407" w:rsidRDefault="004D72CE" w:rsidP="00876969">
            <w:pPr>
              <w:pStyle w:val="KeinLeerraum"/>
              <w:rPr>
                <w:b/>
                <w:color w:val="000000" w:themeColor="text1"/>
                <w:sz w:val="22"/>
                <w:szCs w:val="22"/>
              </w:rPr>
            </w:pPr>
          </w:p>
        </w:tc>
        <w:tc>
          <w:tcPr>
            <w:tcW w:w="4678" w:type="dxa"/>
          </w:tcPr>
          <w:p w14:paraId="114E183C"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Suomi/Finland</w:t>
            </w:r>
          </w:p>
          <w:p w14:paraId="7C046200" w14:textId="0C5DC536" w:rsidR="004D72CE" w:rsidRPr="00776407" w:rsidRDefault="004D72CE" w:rsidP="00876969">
            <w:pPr>
              <w:pStyle w:val="KeinLeerraum"/>
              <w:rPr>
                <w:color w:val="000000" w:themeColor="text1"/>
                <w:sz w:val="22"/>
                <w:szCs w:val="22"/>
              </w:rPr>
            </w:pPr>
            <w:r w:rsidRPr="00776407">
              <w:rPr>
                <w:color w:val="000000" w:themeColor="text1"/>
                <w:sz w:val="22"/>
                <w:szCs w:val="22"/>
              </w:rPr>
              <w:t>Teva Finland Oy</w:t>
            </w:r>
          </w:p>
          <w:p w14:paraId="4F30A0A5"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Puh/Tel: +358 201805900</w:t>
            </w:r>
          </w:p>
          <w:p w14:paraId="178FC385" w14:textId="77777777" w:rsidR="004D72CE" w:rsidRPr="00776407" w:rsidRDefault="004D72CE" w:rsidP="00876969">
            <w:pPr>
              <w:pStyle w:val="KeinLeerraum"/>
              <w:rPr>
                <w:b/>
                <w:color w:val="000000" w:themeColor="text1"/>
                <w:sz w:val="22"/>
                <w:szCs w:val="22"/>
              </w:rPr>
            </w:pPr>
          </w:p>
        </w:tc>
      </w:tr>
      <w:tr w:rsidR="004D72CE" w:rsidRPr="00776407" w14:paraId="1C9A620B" w14:textId="77777777" w:rsidTr="00876969">
        <w:trPr>
          <w:cantSplit/>
        </w:trPr>
        <w:tc>
          <w:tcPr>
            <w:tcW w:w="4678" w:type="dxa"/>
            <w:gridSpan w:val="2"/>
          </w:tcPr>
          <w:p w14:paraId="6D5E39F1"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Κύπρος</w:t>
            </w:r>
          </w:p>
          <w:p w14:paraId="52E1C916"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Specifar A.B.E.E.</w:t>
            </w:r>
          </w:p>
          <w:p w14:paraId="3AEC4402"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Ελλάδα</w:t>
            </w:r>
          </w:p>
          <w:p w14:paraId="14F9D39A" w14:textId="04635A73" w:rsidR="004D72CE" w:rsidRPr="00776407" w:rsidRDefault="004D72CE" w:rsidP="00876969">
            <w:pPr>
              <w:pStyle w:val="KeinLeerraum"/>
              <w:rPr>
                <w:color w:val="000000" w:themeColor="text1"/>
                <w:sz w:val="22"/>
                <w:szCs w:val="22"/>
              </w:rPr>
            </w:pPr>
            <w:r w:rsidRPr="00776407">
              <w:rPr>
                <w:color w:val="000000" w:themeColor="text1"/>
                <w:sz w:val="22"/>
                <w:szCs w:val="22"/>
              </w:rPr>
              <w:t>Τηλ: +30 2118805000</w:t>
            </w:r>
          </w:p>
          <w:p w14:paraId="4F376A60" w14:textId="77777777" w:rsidR="004D72CE" w:rsidRPr="00776407" w:rsidRDefault="004D72CE" w:rsidP="00876969">
            <w:pPr>
              <w:pStyle w:val="KeinLeerraum"/>
              <w:rPr>
                <w:color w:val="000000" w:themeColor="text1"/>
                <w:sz w:val="22"/>
                <w:szCs w:val="22"/>
              </w:rPr>
            </w:pPr>
          </w:p>
        </w:tc>
        <w:tc>
          <w:tcPr>
            <w:tcW w:w="4678" w:type="dxa"/>
          </w:tcPr>
          <w:p w14:paraId="1BF8BDE4"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Sverige</w:t>
            </w:r>
          </w:p>
          <w:p w14:paraId="3099A593"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Sweden AB</w:t>
            </w:r>
          </w:p>
          <w:p w14:paraId="1171D8C3"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+46 42121100</w:t>
            </w:r>
          </w:p>
          <w:p w14:paraId="57957AF1" w14:textId="77777777" w:rsidR="004D72CE" w:rsidRPr="00776407" w:rsidRDefault="004D72CE" w:rsidP="00876969">
            <w:pPr>
              <w:pStyle w:val="KeinLeerraum"/>
              <w:rPr>
                <w:color w:val="000000" w:themeColor="text1"/>
                <w:sz w:val="22"/>
                <w:szCs w:val="22"/>
              </w:rPr>
            </w:pPr>
          </w:p>
        </w:tc>
      </w:tr>
      <w:tr w:rsidR="004D72CE" w:rsidRPr="00776407" w14:paraId="4CCD52EA" w14:textId="77777777" w:rsidTr="00876969">
        <w:trPr>
          <w:cantSplit/>
        </w:trPr>
        <w:tc>
          <w:tcPr>
            <w:tcW w:w="4678" w:type="dxa"/>
            <w:gridSpan w:val="2"/>
          </w:tcPr>
          <w:p w14:paraId="69B00873" w14:textId="77777777" w:rsidR="004D72CE" w:rsidRPr="00776407" w:rsidRDefault="004D72CE" w:rsidP="00876969">
            <w:pPr>
              <w:pStyle w:val="KeinLeerraum"/>
              <w:rPr>
                <w:b/>
                <w:bCs/>
                <w:color w:val="000000" w:themeColor="text1"/>
                <w:sz w:val="22"/>
                <w:szCs w:val="22"/>
                <w:lang w:eastAsia="en-GB"/>
              </w:rPr>
            </w:pPr>
            <w:r w:rsidRPr="00776407">
              <w:rPr>
                <w:b/>
                <w:bCs/>
                <w:color w:val="000000" w:themeColor="text1"/>
                <w:sz w:val="22"/>
                <w:szCs w:val="22"/>
                <w:lang w:eastAsia="en-GB"/>
              </w:rPr>
              <w:t>Latvija</w:t>
            </w:r>
          </w:p>
          <w:p w14:paraId="2141166B" w14:textId="7291993C" w:rsidR="004D72CE" w:rsidRPr="00776407" w:rsidRDefault="004D72CE" w:rsidP="00876969">
            <w:pPr>
              <w:rPr>
                <w:color w:val="000000" w:themeColor="text1"/>
                <w:sz w:val="22"/>
                <w:szCs w:val="22"/>
                <w:lang w:eastAsia="en-GB"/>
              </w:rPr>
            </w:pPr>
            <w:r w:rsidRPr="00776407">
              <w:rPr>
                <w:color w:val="000000" w:themeColor="text1"/>
                <w:sz w:val="22"/>
                <w:szCs w:val="22"/>
                <w:lang w:eastAsia="en-GB"/>
              </w:rPr>
              <w:t>UAB Teva Baltics filiāle Latvijā</w:t>
            </w:r>
          </w:p>
          <w:p w14:paraId="5905DD43" w14:textId="77777777" w:rsidR="004D72CE" w:rsidRPr="00776407" w:rsidRDefault="004D72CE" w:rsidP="00876969">
            <w:pPr>
              <w:pStyle w:val="KeinLeerraum"/>
              <w:rPr>
                <w:color w:val="000000" w:themeColor="text1"/>
                <w:sz w:val="22"/>
                <w:szCs w:val="22"/>
                <w:lang w:eastAsia="en-GB"/>
              </w:rPr>
            </w:pPr>
            <w:r w:rsidRPr="00776407">
              <w:rPr>
                <w:color w:val="000000" w:themeColor="text1"/>
                <w:sz w:val="22"/>
                <w:szCs w:val="22"/>
                <w:lang w:eastAsia="en-GB"/>
              </w:rPr>
              <w:t>Tel: +371 67323666</w:t>
            </w:r>
          </w:p>
          <w:p w14:paraId="51063DBD" w14:textId="77777777" w:rsidR="004D72CE" w:rsidRPr="00776407" w:rsidRDefault="004D72CE" w:rsidP="00876969">
            <w:pPr>
              <w:pStyle w:val="KeinLeerraum"/>
              <w:rPr>
                <w:color w:val="000000" w:themeColor="text1"/>
                <w:sz w:val="22"/>
                <w:szCs w:val="22"/>
              </w:rPr>
            </w:pPr>
          </w:p>
        </w:tc>
        <w:tc>
          <w:tcPr>
            <w:tcW w:w="4678" w:type="dxa"/>
          </w:tcPr>
          <w:p w14:paraId="777B52CC"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United Kingdom</w:t>
            </w:r>
          </w:p>
          <w:p w14:paraId="512465D4"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UK Limited</w:t>
            </w:r>
          </w:p>
          <w:p w14:paraId="7C634A4E"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+44 1271385257</w:t>
            </w:r>
          </w:p>
          <w:p w14:paraId="08269FCE" w14:textId="77777777" w:rsidR="004D72CE" w:rsidRPr="00776407" w:rsidRDefault="004D72CE" w:rsidP="00876969">
            <w:pPr>
              <w:pStyle w:val="KeinLeerraum"/>
              <w:rPr>
                <w:color w:val="000000" w:themeColor="text1"/>
                <w:sz w:val="22"/>
                <w:szCs w:val="22"/>
              </w:rPr>
            </w:pPr>
          </w:p>
        </w:tc>
      </w:tr>
    </w:tbl>
    <w:p w14:paraId="7BF2B3DF" w14:textId="77777777" w:rsidR="004D72CE" w:rsidRPr="00776407" w:rsidRDefault="004D72CE" w:rsidP="004D72CE">
      <w:pPr>
        <w:rPr>
          <w:color w:val="000000" w:themeColor="text1"/>
          <w:sz w:val="22"/>
          <w:szCs w:val="22"/>
        </w:rPr>
      </w:pPr>
    </w:p>
    <w:p w14:paraId="384E810F" w14:textId="77777777" w:rsidR="002D2BD8" w:rsidRPr="00776407" w:rsidRDefault="002D2BD8" w:rsidP="002D2BD8">
      <w:pPr>
        <w:autoSpaceDE w:val="0"/>
        <w:autoSpaceDN w:val="0"/>
        <w:adjustRightInd w:val="0"/>
        <w:contextualSpacing/>
        <w:rPr>
          <w:rFonts w:eastAsia="Calibri"/>
          <w:b/>
          <w:bCs/>
          <w:sz w:val="22"/>
          <w:szCs w:val="22"/>
        </w:rPr>
      </w:pPr>
      <w:r w:rsidRPr="00776407">
        <w:rPr>
          <w:rFonts w:eastAsia="Calibri"/>
          <w:b/>
          <w:bCs/>
          <w:sz w:val="22"/>
          <w:szCs w:val="22"/>
        </w:rPr>
        <w:t>Šis pakuotės lapelis paskutinį kartą peržiūrėtas</w:t>
      </w:r>
    </w:p>
    <w:p w14:paraId="36B9DE2A" w14:textId="77777777" w:rsidR="002D2BD8" w:rsidRPr="00776407" w:rsidRDefault="002D2BD8" w:rsidP="002D2BD8">
      <w:pPr>
        <w:autoSpaceDE w:val="0"/>
        <w:autoSpaceDN w:val="0"/>
        <w:adjustRightInd w:val="0"/>
        <w:contextualSpacing/>
        <w:rPr>
          <w:rFonts w:eastAsia="Calibri"/>
          <w:bCs/>
          <w:sz w:val="22"/>
          <w:szCs w:val="22"/>
        </w:rPr>
      </w:pPr>
    </w:p>
    <w:p w14:paraId="138CB033" w14:textId="77777777" w:rsidR="002D2BD8" w:rsidRPr="00776407" w:rsidRDefault="002D2BD8" w:rsidP="002D2BD8">
      <w:pPr>
        <w:autoSpaceDE w:val="0"/>
        <w:autoSpaceDN w:val="0"/>
        <w:adjustRightInd w:val="0"/>
        <w:rPr>
          <w:rFonts w:eastAsia="Calibri"/>
          <w:color w:val="000000"/>
          <w:sz w:val="22"/>
          <w:szCs w:val="22"/>
        </w:rPr>
      </w:pPr>
      <w:r w:rsidRPr="00776407">
        <w:rPr>
          <w:rFonts w:eastAsia="Calibri"/>
          <w:b/>
          <w:bCs/>
          <w:color w:val="000000"/>
          <w:sz w:val="22"/>
          <w:szCs w:val="22"/>
        </w:rPr>
        <w:t xml:space="preserve">Kiti informacijos šaltiniai </w:t>
      </w:r>
    </w:p>
    <w:p w14:paraId="17505E2F" w14:textId="77777777" w:rsidR="002D2BD8" w:rsidRPr="00776407" w:rsidRDefault="002D2BD8" w:rsidP="002D2BD8">
      <w:pPr>
        <w:autoSpaceDE w:val="0"/>
        <w:autoSpaceDN w:val="0"/>
        <w:adjustRightInd w:val="0"/>
        <w:contextualSpacing/>
        <w:rPr>
          <w:rFonts w:eastAsia="Calibri"/>
          <w:sz w:val="22"/>
          <w:szCs w:val="22"/>
        </w:rPr>
      </w:pPr>
      <w:r w:rsidRPr="00776407">
        <w:rPr>
          <w:rFonts w:eastAsia="Calibri"/>
          <w:color w:val="000000"/>
          <w:sz w:val="22"/>
          <w:szCs w:val="22"/>
        </w:rPr>
        <w:t xml:space="preserve">Išsami informacija apie šį vaistą pateikiama Europos vaistų agentūros tinklalapyje </w:t>
      </w:r>
      <w:hyperlink r:id="rId21" w:history="1">
        <w:r w:rsidRPr="00776407">
          <w:rPr>
            <w:rFonts w:eastAsia="Calibri"/>
            <w:color w:val="0000FF"/>
            <w:sz w:val="22"/>
            <w:szCs w:val="22"/>
            <w:u w:val="single"/>
          </w:rPr>
          <w:t>http://www.ema.europa.eu</w:t>
        </w:r>
      </w:hyperlink>
      <w:r w:rsidR="005D54ED" w:rsidRPr="00776407">
        <w:rPr>
          <w:rFonts w:eastAsia="Calibri"/>
          <w:sz w:val="22"/>
          <w:szCs w:val="22"/>
        </w:rPr>
        <w:t>.</w:t>
      </w:r>
    </w:p>
    <w:p w14:paraId="0139F9C2" w14:textId="77777777" w:rsidR="00BE3C08" w:rsidRPr="00776407" w:rsidRDefault="002D2BD8" w:rsidP="00AA4A43">
      <w:pPr>
        <w:jc w:val="center"/>
        <w:rPr>
          <w:b/>
          <w:sz w:val="22"/>
          <w:szCs w:val="22"/>
        </w:rPr>
      </w:pPr>
      <w:r w:rsidRPr="00776407">
        <w:rPr>
          <w:rFonts w:eastAsia="Calibri"/>
          <w:sz w:val="22"/>
          <w:szCs w:val="22"/>
        </w:rPr>
        <w:br w:type="page"/>
      </w:r>
      <w:r w:rsidR="00BE3C08" w:rsidRPr="00776407">
        <w:rPr>
          <w:b/>
          <w:bCs/>
          <w:sz w:val="22"/>
          <w:szCs w:val="22"/>
        </w:rPr>
        <w:t>Pakuotės lapelis: informacija vartotojui</w:t>
      </w:r>
    </w:p>
    <w:p w14:paraId="282F424C" w14:textId="77777777" w:rsidR="00BE3C08" w:rsidRPr="00776407" w:rsidRDefault="00BE3C08" w:rsidP="00BE3C08">
      <w:pPr>
        <w:pStyle w:val="Default"/>
        <w:jc w:val="center"/>
        <w:rPr>
          <w:rFonts w:ascii="Times New Roman" w:hAnsi="Times New Roman" w:cs="Times New Roman"/>
          <w:sz w:val="22"/>
          <w:szCs w:val="22"/>
          <w:lang w:val="lt-LT"/>
        </w:rPr>
      </w:pPr>
    </w:p>
    <w:p w14:paraId="380F27A4" w14:textId="77777777" w:rsidR="00BE3C08" w:rsidRPr="00776407" w:rsidRDefault="00BE3C08" w:rsidP="00BE3C08">
      <w:pPr>
        <w:widowControl w:val="0"/>
        <w:tabs>
          <w:tab w:val="left" w:pos="9356"/>
        </w:tabs>
        <w:autoSpaceDE w:val="0"/>
        <w:autoSpaceDN w:val="0"/>
        <w:adjustRightInd w:val="0"/>
        <w:ind w:right="50"/>
        <w:jc w:val="center"/>
        <w:rPr>
          <w:sz w:val="22"/>
          <w:szCs w:val="22"/>
        </w:rPr>
      </w:pPr>
      <w:r w:rsidRPr="00776407">
        <w:rPr>
          <w:b/>
          <w:bCs/>
          <w:spacing w:val="-1"/>
          <w:sz w:val="22"/>
          <w:szCs w:val="22"/>
        </w:rPr>
        <w:t>Imatinib Actavis</w:t>
      </w:r>
      <w:r w:rsidRPr="00776407">
        <w:rPr>
          <w:b/>
          <w:bCs/>
          <w:spacing w:val="1"/>
          <w:sz w:val="22"/>
          <w:szCs w:val="22"/>
        </w:rPr>
        <w:t xml:space="preserve"> 100</w:t>
      </w:r>
      <w:r w:rsidRPr="00776407">
        <w:rPr>
          <w:b/>
          <w:bCs/>
          <w:sz w:val="22"/>
          <w:szCs w:val="22"/>
        </w:rPr>
        <w:t> </w:t>
      </w:r>
      <w:r w:rsidRPr="00776407">
        <w:rPr>
          <w:b/>
          <w:bCs/>
          <w:spacing w:val="1"/>
          <w:sz w:val="22"/>
          <w:szCs w:val="22"/>
        </w:rPr>
        <w:t>m</w:t>
      </w:r>
      <w:r w:rsidRPr="00776407">
        <w:rPr>
          <w:b/>
          <w:bCs/>
          <w:sz w:val="22"/>
          <w:szCs w:val="22"/>
        </w:rPr>
        <w:t>g plėvele dengtos tabletės</w:t>
      </w:r>
    </w:p>
    <w:p w14:paraId="38708F3D" w14:textId="4B49E3AF" w:rsidR="00BE3C08" w:rsidRPr="00776407" w:rsidRDefault="00532218" w:rsidP="00BE3C08">
      <w:pPr>
        <w:autoSpaceDE w:val="0"/>
        <w:autoSpaceDN w:val="0"/>
        <w:adjustRightInd w:val="0"/>
        <w:jc w:val="center"/>
        <w:rPr>
          <w:rFonts w:eastAsia="Calibri"/>
          <w:color w:val="000000"/>
          <w:sz w:val="22"/>
          <w:szCs w:val="22"/>
        </w:rPr>
      </w:pPr>
      <w:r w:rsidRPr="00776407">
        <w:rPr>
          <w:rFonts w:eastAsia="Calibri"/>
          <w:color w:val="000000"/>
          <w:sz w:val="22"/>
          <w:szCs w:val="22"/>
        </w:rPr>
        <w:t>i</w:t>
      </w:r>
      <w:r w:rsidR="00BE3C08" w:rsidRPr="00776407">
        <w:rPr>
          <w:rFonts w:eastAsia="Calibri"/>
          <w:color w:val="000000"/>
          <w:sz w:val="22"/>
          <w:szCs w:val="22"/>
        </w:rPr>
        <w:t>matinibas</w:t>
      </w:r>
      <w:r w:rsidR="00EA6C95" w:rsidRPr="00776407">
        <w:rPr>
          <w:rFonts w:eastAsia="Calibri"/>
          <w:color w:val="000000"/>
          <w:sz w:val="22"/>
          <w:szCs w:val="22"/>
        </w:rPr>
        <w:t xml:space="preserve"> </w:t>
      </w:r>
      <w:r w:rsidR="00EA6C95" w:rsidRPr="00776407">
        <w:rPr>
          <w:rFonts w:eastAsia="Calibri"/>
          <w:i/>
          <w:color w:val="000000"/>
          <w:sz w:val="22"/>
          <w:szCs w:val="22"/>
        </w:rPr>
        <w:t>(</w:t>
      </w:r>
      <w:r w:rsidRPr="00776407">
        <w:rPr>
          <w:rFonts w:eastAsia="Calibri"/>
          <w:i/>
          <w:color w:val="000000"/>
          <w:sz w:val="22"/>
          <w:szCs w:val="22"/>
        </w:rPr>
        <w:t>i</w:t>
      </w:r>
      <w:r w:rsidR="00EA6C95" w:rsidRPr="00776407">
        <w:rPr>
          <w:rFonts w:eastAsia="Calibri"/>
          <w:i/>
          <w:color w:val="000000"/>
          <w:sz w:val="22"/>
          <w:szCs w:val="22"/>
        </w:rPr>
        <w:t>matinibum)</w:t>
      </w:r>
    </w:p>
    <w:p w14:paraId="5133F26C" w14:textId="77777777" w:rsidR="00BE3C08" w:rsidRPr="00776407" w:rsidRDefault="00BE3C08" w:rsidP="00BE3C08">
      <w:pPr>
        <w:autoSpaceDE w:val="0"/>
        <w:autoSpaceDN w:val="0"/>
        <w:adjustRightInd w:val="0"/>
        <w:jc w:val="center"/>
        <w:rPr>
          <w:rFonts w:eastAsia="Calibri"/>
          <w:color w:val="000000"/>
          <w:sz w:val="22"/>
          <w:szCs w:val="22"/>
        </w:rPr>
      </w:pPr>
    </w:p>
    <w:p w14:paraId="50E7FC37" w14:textId="77777777" w:rsidR="00BE3C08" w:rsidRPr="00776407" w:rsidRDefault="00BE3C08" w:rsidP="00BE3C08">
      <w:pPr>
        <w:autoSpaceDE w:val="0"/>
        <w:autoSpaceDN w:val="0"/>
        <w:adjustRightInd w:val="0"/>
        <w:rPr>
          <w:rFonts w:eastAsia="Calibri"/>
          <w:color w:val="000000"/>
          <w:sz w:val="22"/>
          <w:szCs w:val="22"/>
        </w:rPr>
      </w:pPr>
      <w:r w:rsidRPr="00776407">
        <w:rPr>
          <w:rFonts w:eastAsia="Calibri"/>
          <w:b/>
          <w:bCs/>
          <w:color w:val="000000"/>
          <w:sz w:val="22"/>
          <w:szCs w:val="22"/>
        </w:rPr>
        <w:t xml:space="preserve">Atidžiai perskaitykite visą šį lapelį, prieš pradėdami vartoti vaistą, nes jame pateikiama Jums svarbi informacija. </w:t>
      </w:r>
    </w:p>
    <w:p w14:paraId="6EC3A1CB" w14:textId="77777777" w:rsidR="00BE3C08" w:rsidRPr="00776407" w:rsidRDefault="00BE3C08" w:rsidP="00BE3C08">
      <w:pPr>
        <w:autoSpaceDE w:val="0"/>
        <w:autoSpaceDN w:val="0"/>
        <w:adjustRightInd w:val="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Neišmeskite šio lapelio, nes vėl gali prireikti jį perskaityti. </w:t>
      </w:r>
    </w:p>
    <w:p w14:paraId="6222E473" w14:textId="77777777" w:rsidR="00BE3C08" w:rsidRPr="00776407" w:rsidRDefault="00BE3C08" w:rsidP="00BE3C08">
      <w:pPr>
        <w:autoSpaceDE w:val="0"/>
        <w:autoSpaceDN w:val="0"/>
        <w:adjustRightInd w:val="0"/>
        <w:spacing w:after="23"/>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Jeigu kiltų daugiau klausimų, kreipkitės į gydytoją, vaistininką arba slaugytoją. </w:t>
      </w:r>
    </w:p>
    <w:p w14:paraId="6FA30BC8" w14:textId="77777777" w:rsidR="00BE3C08" w:rsidRPr="00776407" w:rsidRDefault="00BE3C08" w:rsidP="00BE3C08">
      <w:pPr>
        <w:autoSpaceDE w:val="0"/>
        <w:autoSpaceDN w:val="0"/>
        <w:adjustRightInd w:val="0"/>
        <w:spacing w:after="23"/>
        <w:ind w:left="720" w:hanging="72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Šis vaistas skirtas tik Jums, todėl kitiems žmonėms jo duoti negalima. Vaistas gali jiems pakenkti (net tiems, kurių ligos požymiai yra tokie patys kaip Jūsų). </w:t>
      </w:r>
    </w:p>
    <w:p w14:paraId="5D07E919" w14:textId="77777777" w:rsidR="00BE3C08" w:rsidRPr="00776407" w:rsidRDefault="00BE3C08" w:rsidP="00BE3C08">
      <w:pPr>
        <w:autoSpaceDE w:val="0"/>
        <w:autoSpaceDN w:val="0"/>
        <w:adjustRightInd w:val="0"/>
        <w:ind w:left="720" w:hanging="72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Jeigu pasireiškė šalutinis poveikis (net jeigu jis šiame lapelyje nenurodytas), kreipkitės į gydytoją, vaistininką arba slaugytoją. </w:t>
      </w:r>
    </w:p>
    <w:p w14:paraId="13863E39" w14:textId="77777777" w:rsidR="00FC4878" w:rsidRPr="00776407" w:rsidRDefault="00FC4878" w:rsidP="00BE3C08">
      <w:pPr>
        <w:autoSpaceDE w:val="0"/>
        <w:autoSpaceDN w:val="0"/>
        <w:adjustRightInd w:val="0"/>
        <w:rPr>
          <w:rFonts w:eastAsia="Calibri"/>
          <w:color w:val="000000"/>
          <w:sz w:val="22"/>
          <w:szCs w:val="22"/>
        </w:rPr>
      </w:pPr>
    </w:p>
    <w:p w14:paraId="200DD7E4" w14:textId="77777777" w:rsidR="00BE3C08" w:rsidRPr="00776407" w:rsidRDefault="00BE3C08" w:rsidP="00BE3C08">
      <w:pPr>
        <w:autoSpaceDE w:val="0"/>
        <w:autoSpaceDN w:val="0"/>
        <w:adjustRightInd w:val="0"/>
        <w:rPr>
          <w:rFonts w:eastAsia="Calibri"/>
          <w:b/>
          <w:bCs/>
          <w:color w:val="000000"/>
          <w:sz w:val="22"/>
          <w:szCs w:val="22"/>
        </w:rPr>
      </w:pPr>
      <w:r w:rsidRPr="00776407">
        <w:rPr>
          <w:rFonts w:eastAsia="Calibri"/>
          <w:b/>
          <w:bCs/>
          <w:color w:val="000000"/>
          <w:sz w:val="22"/>
          <w:szCs w:val="22"/>
        </w:rPr>
        <w:t xml:space="preserve">Apie ką rašoma šiame lapelyje? </w:t>
      </w:r>
    </w:p>
    <w:p w14:paraId="4E200EBC" w14:textId="77777777" w:rsidR="00BE3C08" w:rsidRPr="00776407" w:rsidRDefault="00BE3C08" w:rsidP="00BE3C08">
      <w:pPr>
        <w:autoSpaceDE w:val="0"/>
        <w:autoSpaceDN w:val="0"/>
        <w:adjustRightInd w:val="0"/>
        <w:rPr>
          <w:rFonts w:eastAsia="Calibri"/>
          <w:color w:val="000000"/>
          <w:sz w:val="22"/>
          <w:szCs w:val="22"/>
        </w:rPr>
      </w:pPr>
    </w:p>
    <w:p w14:paraId="3EE21205" w14:textId="77777777" w:rsidR="00BE3C08" w:rsidRPr="00776407" w:rsidRDefault="00BE3C08" w:rsidP="00BE3C08">
      <w:pPr>
        <w:autoSpaceDE w:val="0"/>
        <w:autoSpaceDN w:val="0"/>
        <w:adjustRightInd w:val="0"/>
        <w:rPr>
          <w:rFonts w:eastAsia="Calibri"/>
          <w:color w:val="000000"/>
          <w:sz w:val="22"/>
          <w:szCs w:val="22"/>
        </w:rPr>
      </w:pPr>
      <w:r w:rsidRPr="00776407">
        <w:rPr>
          <w:rFonts w:eastAsia="Calibri"/>
          <w:color w:val="000000"/>
          <w:sz w:val="22"/>
          <w:szCs w:val="22"/>
        </w:rPr>
        <w:t xml:space="preserve">1. Kas yra Imatinib Actavis ir kam jis vartojamas </w:t>
      </w:r>
    </w:p>
    <w:p w14:paraId="01DA2DDA" w14:textId="77777777" w:rsidR="00BE3C08" w:rsidRPr="00776407" w:rsidRDefault="00BE3C08" w:rsidP="00BE3C08">
      <w:pPr>
        <w:autoSpaceDE w:val="0"/>
        <w:autoSpaceDN w:val="0"/>
        <w:adjustRightInd w:val="0"/>
        <w:rPr>
          <w:rFonts w:eastAsia="Calibri"/>
          <w:color w:val="000000"/>
          <w:sz w:val="22"/>
          <w:szCs w:val="22"/>
        </w:rPr>
      </w:pPr>
      <w:r w:rsidRPr="00776407">
        <w:rPr>
          <w:rFonts w:eastAsia="Calibri"/>
          <w:color w:val="000000"/>
          <w:sz w:val="22"/>
          <w:szCs w:val="22"/>
        </w:rPr>
        <w:t xml:space="preserve">2. Kas žinotina prieš vartojant Imatinib Actavis </w:t>
      </w:r>
    </w:p>
    <w:p w14:paraId="2A1DA41E" w14:textId="77777777" w:rsidR="00BE3C08" w:rsidRPr="00776407" w:rsidRDefault="00BE3C08" w:rsidP="00BE3C08">
      <w:pPr>
        <w:autoSpaceDE w:val="0"/>
        <w:autoSpaceDN w:val="0"/>
        <w:adjustRightInd w:val="0"/>
        <w:rPr>
          <w:rFonts w:eastAsia="Calibri"/>
          <w:color w:val="000000"/>
          <w:sz w:val="22"/>
          <w:szCs w:val="22"/>
        </w:rPr>
      </w:pPr>
      <w:r w:rsidRPr="00776407">
        <w:rPr>
          <w:rFonts w:eastAsia="Calibri"/>
          <w:color w:val="000000"/>
          <w:sz w:val="22"/>
          <w:szCs w:val="22"/>
        </w:rPr>
        <w:t xml:space="preserve">3. Kaip vartoti Imatinib Actavis </w:t>
      </w:r>
    </w:p>
    <w:p w14:paraId="4E2DD4E9" w14:textId="77777777" w:rsidR="00BE3C08" w:rsidRPr="00776407" w:rsidRDefault="00BE3C08" w:rsidP="00BE3C08">
      <w:pPr>
        <w:autoSpaceDE w:val="0"/>
        <w:autoSpaceDN w:val="0"/>
        <w:adjustRightInd w:val="0"/>
        <w:rPr>
          <w:rFonts w:eastAsia="Calibri"/>
          <w:color w:val="000000"/>
          <w:sz w:val="22"/>
          <w:szCs w:val="22"/>
        </w:rPr>
      </w:pPr>
      <w:r w:rsidRPr="00776407">
        <w:rPr>
          <w:rFonts w:eastAsia="Calibri"/>
          <w:color w:val="000000"/>
          <w:sz w:val="22"/>
          <w:szCs w:val="22"/>
        </w:rPr>
        <w:t xml:space="preserve">4. Galimas šalutinis poveikis </w:t>
      </w:r>
    </w:p>
    <w:p w14:paraId="4F4DE076" w14:textId="77777777" w:rsidR="00BE3C08" w:rsidRPr="00776407" w:rsidRDefault="00BE3C08" w:rsidP="00BE3C08">
      <w:pPr>
        <w:autoSpaceDE w:val="0"/>
        <w:autoSpaceDN w:val="0"/>
        <w:adjustRightInd w:val="0"/>
        <w:rPr>
          <w:rFonts w:eastAsia="Calibri"/>
          <w:color w:val="000000"/>
          <w:sz w:val="22"/>
          <w:szCs w:val="22"/>
        </w:rPr>
      </w:pPr>
      <w:r w:rsidRPr="00776407">
        <w:rPr>
          <w:rFonts w:eastAsia="Calibri"/>
          <w:color w:val="000000"/>
          <w:sz w:val="22"/>
          <w:szCs w:val="22"/>
        </w:rPr>
        <w:t>5. Kaip laikyti Imatinib Actavis</w:t>
      </w:r>
    </w:p>
    <w:p w14:paraId="79A8E555" w14:textId="77777777" w:rsidR="00BE3C08" w:rsidRPr="00776407" w:rsidRDefault="00BE3C08" w:rsidP="00BE3C08">
      <w:pPr>
        <w:autoSpaceDE w:val="0"/>
        <w:autoSpaceDN w:val="0"/>
        <w:adjustRightInd w:val="0"/>
        <w:rPr>
          <w:rFonts w:eastAsia="Calibri"/>
          <w:color w:val="000000"/>
          <w:sz w:val="22"/>
          <w:szCs w:val="22"/>
        </w:rPr>
      </w:pPr>
      <w:r w:rsidRPr="00776407">
        <w:rPr>
          <w:rFonts w:eastAsia="Calibri"/>
          <w:color w:val="000000"/>
          <w:sz w:val="22"/>
          <w:szCs w:val="22"/>
        </w:rPr>
        <w:t xml:space="preserve">6. Pakuotės turinys ir kita informacija </w:t>
      </w:r>
    </w:p>
    <w:p w14:paraId="5F72DF3E" w14:textId="77777777" w:rsidR="00BE3C08" w:rsidRPr="00776407" w:rsidRDefault="00BE3C08" w:rsidP="00BE3C08">
      <w:pPr>
        <w:autoSpaceDE w:val="0"/>
        <w:autoSpaceDN w:val="0"/>
        <w:adjustRightInd w:val="0"/>
        <w:rPr>
          <w:rFonts w:eastAsia="Calibri"/>
          <w:color w:val="000000"/>
          <w:sz w:val="22"/>
          <w:szCs w:val="22"/>
        </w:rPr>
      </w:pPr>
    </w:p>
    <w:p w14:paraId="54EB46FB" w14:textId="77777777" w:rsidR="00BE3C08" w:rsidRPr="00776407" w:rsidRDefault="00BE3C08" w:rsidP="00BE3C08">
      <w:pPr>
        <w:autoSpaceDE w:val="0"/>
        <w:autoSpaceDN w:val="0"/>
        <w:adjustRightInd w:val="0"/>
        <w:rPr>
          <w:rFonts w:eastAsia="Calibri"/>
          <w:color w:val="000000"/>
          <w:sz w:val="22"/>
          <w:szCs w:val="22"/>
        </w:rPr>
      </w:pPr>
    </w:p>
    <w:p w14:paraId="610EF5E1" w14:textId="77777777" w:rsidR="00BE3C08" w:rsidRPr="00776407" w:rsidRDefault="00BE3C08" w:rsidP="00864BE6">
      <w:pPr>
        <w:pStyle w:val="Listenabsatz"/>
        <w:numPr>
          <w:ilvl w:val="0"/>
          <w:numId w:val="7"/>
        </w:numPr>
        <w:autoSpaceDE w:val="0"/>
        <w:autoSpaceDN w:val="0"/>
        <w:adjustRightInd w:val="0"/>
        <w:ind w:hanging="720"/>
        <w:rPr>
          <w:rFonts w:eastAsia="Calibri"/>
          <w:b/>
          <w:bCs/>
          <w:color w:val="000000"/>
          <w:sz w:val="22"/>
          <w:szCs w:val="22"/>
        </w:rPr>
      </w:pPr>
      <w:r w:rsidRPr="00776407">
        <w:rPr>
          <w:rFonts w:eastAsia="Calibri"/>
          <w:b/>
          <w:bCs/>
          <w:color w:val="000000"/>
          <w:sz w:val="22"/>
          <w:szCs w:val="22"/>
        </w:rPr>
        <w:t xml:space="preserve">Kas yra Imatinib Actavis ir kam jis vartojamas </w:t>
      </w:r>
    </w:p>
    <w:p w14:paraId="15FBABC2" w14:textId="77777777" w:rsidR="00BE3C08" w:rsidRPr="00776407" w:rsidRDefault="00BE3C08" w:rsidP="00BE3C08">
      <w:pPr>
        <w:autoSpaceDE w:val="0"/>
        <w:autoSpaceDN w:val="0"/>
        <w:adjustRightInd w:val="0"/>
        <w:rPr>
          <w:rFonts w:eastAsia="Calibri"/>
          <w:color w:val="000000"/>
          <w:sz w:val="22"/>
          <w:szCs w:val="22"/>
        </w:rPr>
      </w:pPr>
    </w:p>
    <w:p w14:paraId="72F8DDFB" w14:textId="77777777" w:rsidR="00BE3C08" w:rsidRPr="00776407" w:rsidRDefault="00BE3C08" w:rsidP="00BE3C08">
      <w:pPr>
        <w:autoSpaceDE w:val="0"/>
        <w:autoSpaceDN w:val="0"/>
        <w:adjustRightInd w:val="0"/>
        <w:rPr>
          <w:rFonts w:eastAsia="Calibri"/>
          <w:color w:val="000000"/>
          <w:sz w:val="22"/>
          <w:szCs w:val="22"/>
        </w:rPr>
      </w:pPr>
      <w:r w:rsidRPr="00776407">
        <w:rPr>
          <w:rFonts w:eastAsia="Calibri"/>
          <w:color w:val="000000"/>
          <w:sz w:val="22"/>
          <w:szCs w:val="22"/>
        </w:rPr>
        <w:t xml:space="preserve">Imatinib Actavis yra </w:t>
      </w:r>
      <w:r w:rsidR="0093512A" w:rsidRPr="00776407">
        <w:rPr>
          <w:rFonts w:eastAsia="Calibri"/>
          <w:color w:val="000000"/>
          <w:sz w:val="22"/>
          <w:szCs w:val="22"/>
        </w:rPr>
        <w:t>vaistas</w:t>
      </w:r>
      <w:r w:rsidRPr="00776407">
        <w:rPr>
          <w:rFonts w:eastAsia="Calibri"/>
          <w:color w:val="000000"/>
          <w:sz w:val="22"/>
          <w:szCs w:val="22"/>
        </w:rPr>
        <w:t xml:space="preserve">, kurio sudėtyje yra veikliosios medžiagos imatinibo. Šis </w:t>
      </w:r>
      <w:r w:rsidR="0093512A" w:rsidRPr="00776407">
        <w:rPr>
          <w:rFonts w:eastAsia="Calibri"/>
          <w:color w:val="000000"/>
          <w:sz w:val="22"/>
          <w:szCs w:val="22"/>
        </w:rPr>
        <w:t>vaistas</w:t>
      </w:r>
      <w:r w:rsidRPr="00776407">
        <w:rPr>
          <w:rFonts w:eastAsia="Calibri"/>
          <w:color w:val="000000"/>
          <w:sz w:val="22"/>
          <w:szCs w:val="22"/>
        </w:rPr>
        <w:t xml:space="preserve"> veikia slopindamas nenormalių ląstelių augimą, serga</w:t>
      </w:r>
      <w:r w:rsidR="0093512A" w:rsidRPr="00776407">
        <w:rPr>
          <w:rFonts w:eastAsia="Calibri"/>
          <w:color w:val="000000"/>
          <w:sz w:val="22"/>
          <w:szCs w:val="22"/>
        </w:rPr>
        <w:t>nt</w:t>
      </w:r>
      <w:r w:rsidRPr="00776407">
        <w:rPr>
          <w:rFonts w:eastAsia="Calibri"/>
          <w:color w:val="000000"/>
          <w:sz w:val="22"/>
          <w:szCs w:val="22"/>
        </w:rPr>
        <w:t xml:space="preserve"> </w:t>
      </w:r>
      <w:r w:rsidR="00ED3181" w:rsidRPr="00776407">
        <w:rPr>
          <w:sz w:val="22"/>
          <w:szCs w:val="22"/>
        </w:rPr>
        <w:t xml:space="preserve">toliau išvardytomis ligomis. Jos apima ir kai kurių tipų vėžinius susirgimus. </w:t>
      </w:r>
    </w:p>
    <w:p w14:paraId="5068E257" w14:textId="77777777" w:rsidR="00BE3C08" w:rsidRPr="00776407" w:rsidRDefault="00BE3C08" w:rsidP="00BE3C08">
      <w:pPr>
        <w:autoSpaceDE w:val="0"/>
        <w:autoSpaceDN w:val="0"/>
        <w:adjustRightInd w:val="0"/>
        <w:rPr>
          <w:rFonts w:eastAsia="Calibri"/>
          <w:color w:val="000000"/>
          <w:sz w:val="22"/>
          <w:szCs w:val="22"/>
        </w:rPr>
      </w:pPr>
    </w:p>
    <w:p w14:paraId="62BFFCB2" w14:textId="77777777" w:rsidR="00C73DBE" w:rsidRPr="00776407" w:rsidRDefault="00C73DBE" w:rsidP="00C73DBE">
      <w:pPr>
        <w:autoSpaceDE w:val="0"/>
        <w:autoSpaceDN w:val="0"/>
        <w:adjustRightInd w:val="0"/>
        <w:rPr>
          <w:rFonts w:eastAsia="Calibri"/>
          <w:b/>
          <w:bCs/>
          <w:sz w:val="22"/>
          <w:szCs w:val="22"/>
        </w:rPr>
      </w:pPr>
      <w:r w:rsidRPr="00776407">
        <w:rPr>
          <w:rFonts w:eastAsia="Calibri"/>
          <w:b/>
          <w:bCs/>
          <w:sz w:val="22"/>
          <w:szCs w:val="22"/>
        </w:rPr>
        <w:t>Imatinib Actavis vartojamas gydyti</w:t>
      </w:r>
      <w:r w:rsidR="00D36AFF" w:rsidRPr="00776407">
        <w:rPr>
          <w:rFonts w:eastAsia="Calibri"/>
          <w:b/>
          <w:bCs/>
          <w:sz w:val="22"/>
          <w:szCs w:val="22"/>
        </w:rPr>
        <w:t xml:space="preserve"> </w:t>
      </w:r>
      <w:r w:rsidRPr="00776407">
        <w:rPr>
          <w:rFonts w:eastAsia="Calibri"/>
          <w:b/>
          <w:bCs/>
          <w:sz w:val="22"/>
          <w:szCs w:val="22"/>
        </w:rPr>
        <w:t>:</w:t>
      </w:r>
    </w:p>
    <w:p w14:paraId="7A4E1160" w14:textId="77777777" w:rsidR="00C73DBE" w:rsidRPr="00776407" w:rsidRDefault="00C73DBE" w:rsidP="00C73DBE">
      <w:pPr>
        <w:autoSpaceDE w:val="0"/>
        <w:autoSpaceDN w:val="0"/>
        <w:adjustRightInd w:val="0"/>
        <w:rPr>
          <w:rFonts w:eastAsia="Calibri"/>
          <w:b/>
          <w:bCs/>
          <w:sz w:val="22"/>
          <w:szCs w:val="22"/>
        </w:rPr>
      </w:pPr>
    </w:p>
    <w:p w14:paraId="1FFD927A" w14:textId="77777777" w:rsidR="00C73DBE" w:rsidRPr="00776407" w:rsidRDefault="00C73DBE" w:rsidP="00C73DBE">
      <w:pPr>
        <w:autoSpaceDE w:val="0"/>
        <w:autoSpaceDN w:val="0"/>
        <w:adjustRightInd w:val="0"/>
        <w:ind w:left="720" w:hanging="720"/>
        <w:rPr>
          <w:rFonts w:eastAsia="Calibri"/>
          <w:color w:val="000000"/>
          <w:sz w:val="22"/>
          <w:szCs w:val="22"/>
        </w:rPr>
      </w:pPr>
      <w:r w:rsidRPr="00776407">
        <w:rPr>
          <w:rFonts w:eastAsia="Calibri"/>
          <w:b/>
          <w:bCs/>
          <w:sz w:val="22"/>
          <w:szCs w:val="22"/>
        </w:rPr>
        <w:tab/>
        <w:t xml:space="preserve">Lėtinę mieloleukemiją (LML). </w:t>
      </w:r>
      <w:r w:rsidRPr="00776407">
        <w:rPr>
          <w:rFonts w:eastAsia="Calibri"/>
          <w:sz w:val="22"/>
          <w:szCs w:val="22"/>
        </w:rPr>
        <w:t>Leukemija – tai baltųjų kraujo</w:t>
      </w:r>
      <w:r w:rsidRPr="00776407">
        <w:rPr>
          <w:rFonts w:eastAsia="Calibri"/>
          <w:color w:val="000000"/>
          <w:sz w:val="22"/>
          <w:szCs w:val="22"/>
        </w:rPr>
        <w:t xml:space="preserve"> kūnelių vėžys. Paprastai šios baltosios ląstelės padeda organizmui kovoti su infekcija. Lėtinė mieloleukemija yra tokia leukemijos forma, kai dažniausiai nenormalios ląstelės (vadinamos mieloidinėmis ląstelėmis), pradeda nekontroliuojamai augti. </w:t>
      </w:r>
    </w:p>
    <w:p w14:paraId="5DE91CDF" w14:textId="77777777" w:rsidR="00C73DBE" w:rsidRPr="00776407" w:rsidRDefault="00C73DBE" w:rsidP="00C73DBE">
      <w:pPr>
        <w:keepNext/>
        <w:autoSpaceDE w:val="0"/>
        <w:autoSpaceDN w:val="0"/>
        <w:adjustRightInd w:val="0"/>
        <w:rPr>
          <w:rFonts w:eastAsia="Calibri"/>
          <w:sz w:val="22"/>
          <w:szCs w:val="22"/>
        </w:rPr>
      </w:pPr>
    </w:p>
    <w:p w14:paraId="53058CF3" w14:textId="77777777" w:rsidR="00C73DBE" w:rsidRPr="00776407" w:rsidRDefault="00C73DBE" w:rsidP="00C73DBE">
      <w:pPr>
        <w:autoSpaceDE w:val="0"/>
        <w:autoSpaceDN w:val="0"/>
        <w:adjustRightInd w:val="0"/>
        <w:rPr>
          <w:rFonts w:eastAsia="Calibri"/>
          <w:color w:val="000000"/>
          <w:sz w:val="22"/>
          <w:szCs w:val="22"/>
        </w:rPr>
      </w:pPr>
      <w:r w:rsidRPr="00776407">
        <w:rPr>
          <w:rFonts w:eastAsia="Calibri"/>
          <w:color w:val="000000"/>
          <w:sz w:val="22"/>
          <w:szCs w:val="22"/>
        </w:rPr>
        <w:t>Suaugusiesiems Imatinib Actavis naudojamas toliausiai pažengusiai ligos fazei (blastinei krizei) gydyti. Vaikams ir paaugliams Imatinib Actavis gali būti vartojamas įvairioms ligos stadijoms gydyti (chroniškai, ūminei ir blastinei krizei).</w:t>
      </w:r>
    </w:p>
    <w:p w14:paraId="16FD1C5F" w14:textId="77777777" w:rsidR="00C73DBE" w:rsidRPr="00776407" w:rsidRDefault="00C73DBE" w:rsidP="00C73DBE">
      <w:pPr>
        <w:autoSpaceDE w:val="0"/>
        <w:autoSpaceDN w:val="0"/>
        <w:adjustRightInd w:val="0"/>
        <w:rPr>
          <w:rFonts w:eastAsia="Calibri"/>
          <w:color w:val="000000"/>
          <w:sz w:val="22"/>
          <w:szCs w:val="22"/>
          <w:lang w:eastAsia="is-IS"/>
        </w:rPr>
      </w:pPr>
    </w:p>
    <w:p w14:paraId="0736370A" w14:textId="77777777" w:rsidR="00C73DBE" w:rsidRPr="00776407" w:rsidRDefault="00C73DBE" w:rsidP="00864BE6">
      <w:pPr>
        <w:numPr>
          <w:ilvl w:val="0"/>
          <w:numId w:val="1"/>
        </w:numPr>
        <w:autoSpaceDE w:val="0"/>
        <w:autoSpaceDN w:val="0"/>
        <w:adjustRightInd w:val="0"/>
        <w:ind w:hanging="720"/>
        <w:rPr>
          <w:rFonts w:eastAsia="Calibri"/>
          <w:color w:val="000000"/>
          <w:sz w:val="22"/>
          <w:szCs w:val="22"/>
        </w:rPr>
      </w:pPr>
      <w:r w:rsidRPr="00776407">
        <w:rPr>
          <w:rFonts w:eastAsia="Calibri"/>
          <w:b/>
          <w:bCs/>
          <w:i/>
          <w:iCs/>
          <w:color w:val="000000"/>
          <w:sz w:val="22"/>
          <w:szCs w:val="22"/>
        </w:rPr>
        <w:t xml:space="preserve">Philadelphia </w:t>
      </w:r>
      <w:r w:rsidRPr="00776407">
        <w:rPr>
          <w:rFonts w:eastAsia="Calibri"/>
          <w:b/>
          <w:bCs/>
          <w:color w:val="000000"/>
          <w:sz w:val="22"/>
          <w:szCs w:val="22"/>
        </w:rPr>
        <w:t xml:space="preserve">chromosomai teigiamai ūminei limfoleukemijai (Ph teigiama ŪLL) gydyti. </w:t>
      </w:r>
      <w:r w:rsidRPr="00776407">
        <w:rPr>
          <w:rFonts w:eastAsia="Calibri"/>
          <w:color w:val="000000"/>
          <w:sz w:val="22"/>
          <w:szCs w:val="22"/>
        </w:rPr>
        <w:t>Leukemija – tai baltųjų kraujo kūnelių vėžys. Paprastai šios baltosios ląstelės padeda organizmui kovoti su infekcija. Ūminė limfoleukemija yra tokia leukemijos forma, kai tam tikros nenormalios ląstelės (vadinamos limfoblastais) pradeda nekontroliuojamai augti. Imatinib Actavis slopina šių ląstelių augimą.</w:t>
      </w:r>
    </w:p>
    <w:p w14:paraId="45EA3BE5" w14:textId="77777777" w:rsidR="00C73DBE" w:rsidRPr="00776407" w:rsidRDefault="00C73DBE" w:rsidP="00C73DBE">
      <w:pPr>
        <w:autoSpaceDE w:val="0"/>
        <w:autoSpaceDN w:val="0"/>
        <w:adjustRightInd w:val="0"/>
        <w:rPr>
          <w:rFonts w:eastAsia="Calibri"/>
          <w:color w:val="000000"/>
          <w:sz w:val="22"/>
          <w:szCs w:val="22"/>
        </w:rPr>
      </w:pPr>
    </w:p>
    <w:p w14:paraId="4608A20C" w14:textId="77777777" w:rsidR="00C73DBE" w:rsidRPr="00776407" w:rsidRDefault="00D36AFF" w:rsidP="00C73DBE">
      <w:pPr>
        <w:keepNext/>
        <w:keepLines/>
        <w:autoSpaceDE w:val="0"/>
        <w:autoSpaceDN w:val="0"/>
        <w:adjustRightInd w:val="0"/>
        <w:rPr>
          <w:rFonts w:eastAsia="Calibri"/>
          <w:b/>
          <w:bCs/>
          <w:sz w:val="22"/>
          <w:szCs w:val="22"/>
        </w:rPr>
      </w:pPr>
      <w:r w:rsidRPr="00776407">
        <w:rPr>
          <w:rFonts w:eastAsia="Calibri"/>
          <w:b/>
          <w:bCs/>
          <w:sz w:val="22"/>
          <w:szCs w:val="22"/>
        </w:rPr>
        <w:t>Imatinib Actavis taip pat vartojama gydyti suaugusiųjų:</w:t>
      </w:r>
    </w:p>
    <w:p w14:paraId="543D88BD" w14:textId="77777777" w:rsidR="00C73DBE" w:rsidRPr="00776407" w:rsidRDefault="00C73DBE" w:rsidP="00C73DBE">
      <w:pPr>
        <w:autoSpaceDE w:val="0"/>
        <w:autoSpaceDN w:val="0"/>
        <w:adjustRightInd w:val="0"/>
        <w:rPr>
          <w:rFonts w:eastAsia="Calibri"/>
          <w:color w:val="000000"/>
          <w:sz w:val="22"/>
          <w:szCs w:val="22"/>
        </w:rPr>
      </w:pPr>
    </w:p>
    <w:p w14:paraId="57B3A774" w14:textId="77777777" w:rsidR="00ED3181" w:rsidRPr="00776407" w:rsidRDefault="00ED3181"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Mielodisplazinėms ar mieloproliferacinėms ligoms (MDS/MPL) gydyti. </w:t>
      </w:r>
      <w:r w:rsidRPr="00776407">
        <w:rPr>
          <w:rFonts w:eastAsia="Calibri"/>
          <w:color w:val="000000"/>
          <w:sz w:val="22"/>
          <w:szCs w:val="22"/>
        </w:rPr>
        <w:t xml:space="preserve">Tai kraujo ligos, kurių metu kai kurios kraujo ląstelės pradeda daugintis nekontroliuojamos. Imatinib Actavis slopina šių ląstelių augimą, sergant tam tikrais šių ligų potipiais. </w:t>
      </w:r>
    </w:p>
    <w:p w14:paraId="222C0374" w14:textId="77777777" w:rsidR="00ED3181" w:rsidRPr="00776407" w:rsidRDefault="00ED3181"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Hipereozinofilijos sindromui (HES) ir (arba) lėtinei eozinofilinei leukemijai (LEL) gydyti. </w:t>
      </w:r>
      <w:r w:rsidRPr="00776407">
        <w:rPr>
          <w:rFonts w:eastAsia="Calibri"/>
          <w:color w:val="000000"/>
          <w:sz w:val="22"/>
          <w:szCs w:val="22"/>
        </w:rPr>
        <w:t xml:space="preserve">Tai yra kraujo ligos, kurių metu kai kurios kraujo ląstelės (vadinamos eozinofilais) pradeda daugintis nekontroliuojamos. Imatinib Actavis slopina šių ląstelių augimą, sergant tam tikrais šių ligų potipiais. </w:t>
      </w:r>
    </w:p>
    <w:p w14:paraId="0D8D4BB7" w14:textId="77777777" w:rsidR="00ED3181" w:rsidRPr="00776407" w:rsidRDefault="00ED3181"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Iškiliajai dermatofibrosarkomai </w:t>
      </w:r>
      <w:r w:rsidRPr="00776407">
        <w:rPr>
          <w:rFonts w:eastAsia="Calibri"/>
          <w:i/>
          <w:iCs/>
          <w:color w:val="000000"/>
          <w:sz w:val="22"/>
          <w:szCs w:val="22"/>
        </w:rPr>
        <w:t xml:space="preserve">(dermatofibrosarcoma protuberans </w:t>
      </w:r>
      <w:r w:rsidRPr="00776407">
        <w:rPr>
          <w:rFonts w:eastAsia="Calibri"/>
          <w:color w:val="000000"/>
          <w:sz w:val="22"/>
          <w:szCs w:val="22"/>
        </w:rPr>
        <w:t xml:space="preserve">- </w:t>
      </w:r>
      <w:r w:rsidRPr="00776407">
        <w:rPr>
          <w:rFonts w:eastAsia="Calibri"/>
          <w:b/>
          <w:bCs/>
          <w:color w:val="000000"/>
          <w:sz w:val="22"/>
          <w:szCs w:val="22"/>
        </w:rPr>
        <w:t>DFSP</w:t>
      </w:r>
      <w:r w:rsidRPr="00776407">
        <w:rPr>
          <w:rFonts w:eastAsia="Calibri"/>
          <w:color w:val="000000"/>
          <w:sz w:val="22"/>
          <w:szCs w:val="22"/>
        </w:rPr>
        <w:t xml:space="preserve">) gydyti. DFSP - tai po oda esančio audinio vėžys, kurio metu kai kurios ląstelės pradeda nekontroliuojamai augti. Imatinib Actavis slopina šių ląstelių augimą. </w:t>
      </w:r>
    </w:p>
    <w:p w14:paraId="009E6567" w14:textId="77777777" w:rsidR="00C73DBE" w:rsidRPr="00776407" w:rsidRDefault="00C73DBE" w:rsidP="00C73DBE">
      <w:pPr>
        <w:autoSpaceDE w:val="0"/>
        <w:autoSpaceDN w:val="0"/>
        <w:adjustRightInd w:val="0"/>
        <w:rPr>
          <w:rFonts w:eastAsia="Calibri"/>
          <w:color w:val="000000"/>
          <w:sz w:val="22"/>
          <w:szCs w:val="22"/>
        </w:rPr>
      </w:pPr>
    </w:p>
    <w:p w14:paraId="57A4E38D" w14:textId="77777777" w:rsidR="00ED3181" w:rsidRPr="00776407" w:rsidRDefault="00ED3181" w:rsidP="00ED3181">
      <w:pPr>
        <w:autoSpaceDE w:val="0"/>
        <w:autoSpaceDN w:val="0"/>
        <w:adjustRightInd w:val="0"/>
        <w:rPr>
          <w:sz w:val="22"/>
          <w:szCs w:val="22"/>
        </w:rPr>
      </w:pPr>
      <w:r w:rsidRPr="00776407">
        <w:rPr>
          <w:sz w:val="22"/>
          <w:szCs w:val="22"/>
        </w:rPr>
        <w:t>Toliau šiame lapelyje apibūdinant minėtas ligas bus naudojamos nurodytos santrumpos.</w:t>
      </w:r>
    </w:p>
    <w:p w14:paraId="6BBA8ED5" w14:textId="77777777" w:rsidR="00BE3C08" w:rsidRPr="00776407" w:rsidRDefault="00BE3C08" w:rsidP="00BE3C08">
      <w:pPr>
        <w:autoSpaceDE w:val="0"/>
        <w:autoSpaceDN w:val="0"/>
        <w:adjustRightInd w:val="0"/>
        <w:rPr>
          <w:rFonts w:eastAsia="Calibri"/>
          <w:color w:val="000000"/>
          <w:sz w:val="22"/>
          <w:szCs w:val="22"/>
        </w:rPr>
      </w:pPr>
    </w:p>
    <w:p w14:paraId="6F067B49"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Jei Jums kiltų kokių nors klausimų apie Imatinib Actavis veikimą arba kodėl Jums jį paskyrė, klauskite gydytojo. </w:t>
      </w:r>
    </w:p>
    <w:p w14:paraId="66B48DBD" w14:textId="77777777" w:rsidR="00BE3C08" w:rsidRPr="00776407" w:rsidRDefault="00BE3C08" w:rsidP="00BE3C08">
      <w:pPr>
        <w:autoSpaceDE w:val="0"/>
        <w:autoSpaceDN w:val="0"/>
        <w:adjustRightInd w:val="0"/>
        <w:rPr>
          <w:rFonts w:eastAsia="Calibri"/>
          <w:sz w:val="22"/>
          <w:szCs w:val="22"/>
        </w:rPr>
      </w:pPr>
    </w:p>
    <w:p w14:paraId="37AE6CFE" w14:textId="77777777" w:rsidR="00FC4878" w:rsidRPr="00776407" w:rsidRDefault="00FC4878" w:rsidP="00BE3C08">
      <w:pPr>
        <w:autoSpaceDE w:val="0"/>
        <w:autoSpaceDN w:val="0"/>
        <w:adjustRightInd w:val="0"/>
        <w:rPr>
          <w:rFonts w:eastAsia="Calibri"/>
          <w:sz w:val="22"/>
          <w:szCs w:val="22"/>
        </w:rPr>
      </w:pPr>
    </w:p>
    <w:p w14:paraId="3998243D" w14:textId="77777777" w:rsidR="00BE3C08" w:rsidRPr="00776407" w:rsidRDefault="00BE3C08" w:rsidP="00864BE6">
      <w:pPr>
        <w:pStyle w:val="Listenabsatz"/>
        <w:numPr>
          <w:ilvl w:val="0"/>
          <w:numId w:val="7"/>
        </w:numPr>
        <w:autoSpaceDE w:val="0"/>
        <w:autoSpaceDN w:val="0"/>
        <w:adjustRightInd w:val="0"/>
        <w:ind w:hanging="720"/>
        <w:rPr>
          <w:rFonts w:eastAsia="Calibri"/>
          <w:b/>
          <w:sz w:val="22"/>
          <w:szCs w:val="22"/>
        </w:rPr>
      </w:pPr>
      <w:r w:rsidRPr="00776407">
        <w:rPr>
          <w:rFonts w:eastAsia="Calibri"/>
          <w:b/>
          <w:bCs/>
          <w:sz w:val="22"/>
          <w:szCs w:val="22"/>
        </w:rPr>
        <w:t xml:space="preserve">Kas žinotina prieš vartojant Imatinib Actavis </w:t>
      </w:r>
    </w:p>
    <w:p w14:paraId="1CB31B71" w14:textId="77777777" w:rsidR="00BE3C08" w:rsidRPr="00776407" w:rsidRDefault="00BE3C08" w:rsidP="00BE3C08">
      <w:pPr>
        <w:autoSpaceDE w:val="0"/>
        <w:autoSpaceDN w:val="0"/>
        <w:adjustRightInd w:val="0"/>
        <w:rPr>
          <w:rFonts w:eastAsia="Calibri"/>
          <w:sz w:val="22"/>
          <w:szCs w:val="22"/>
        </w:rPr>
      </w:pPr>
    </w:p>
    <w:p w14:paraId="1E308B61"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Imatinib Actavis Jums paskirs tik gydytojas, turintis kraujo vėžių arba solidinių navikų gydymo vaistais patirties. </w:t>
      </w:r>
    </w:p>
    <w:p w14:paraId="475FCD19" w14:textId="77777777" w:rsidR="00BE3C08" w:rsidRPr="00776407" w:rsidRDefault="00BE3C08" w:rsidP="00BE3C08">
      <w:pPr>
        <w:autoSpaceDE w:val="0"/>
        <w:autoSpaceDN w:val="0"/>
        <w:adjustRightInd w:val="0"/>
        <w:rPr>
          <w:rFonts w:eastAsia="Calibri"/>
          <w:sz w:val="22"/>
          <w:szCs w:val="22"/>
        </w:rPr>
      </w:pPr>
    </w:p>
    <w:p w14:paraId="414C0F26"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Tiksliai laikykitės visų gydytojo nurodymų, net jei jie skiriasi nuo bendrosios šiame lapelyje esančios informacijos. </w:t>
      </w:r>
    </w:p>
    <w:p w14:paraId="1DEE0132" w14:textId="77777777" w:rsidR="00BE3C08" w:rsidRPr="00776407" w:rsidRDefault="00BE3C08" w:rsidP="00BE3C08">
      <w:pPr>
        <w:autoSpaceDE w:val="0"/>
        <w:autoSpaceDN w:val="0"/>
        <w:adjustRightInd w:val="0"/>
        <w:rPr>
          <w:rFonts w:eastAsia="Calibri"/>
          <w:b/>
          <w:bCs/>
          <w:sz w:val="22"/>
          <w:szCs w:val="22"/>
        </w:rPr>
      </w:pPr>
    </w:p>
    <w:p w14:paraId="4EB08D37" w14:textId="6CB0840B"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Imatinib Actavis vartoti negalima </w:t>
      </w:r>
    </w:p>
    <w:p w14:paraId="66265DB5" w14:textId="77777777" w:rsidR="00BE3C08" w:rsidRPr="00776407" w:rsidRDefault="00BE3C08"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 xml:space="preserve">jeigu yra alergija imatinibui arba bet kuriai pagalbinei šio vaisto medžiagai (jos išvardytos </w:t>
      </w:r>
      <w:r w:rsidR="00ED3181" w:rsidRPr="00776407">
        <w:rPr>
          <w:rFonts w:eastAsia="Calibri"/>
          <w:sz w:val="22"/>
          <w:szCs w:val="22"/>
        </w:rPr>
        <w:t>6 </w:t>
      </w:r>
      <w:r w:rsidRPr="00776407">
        <w:rPr>
          <w:rFonts w:eastAsia="Calibri"/>
          <w:sz w:val="22"/>
          <w:szCs w:val="22"/>
        </w:rPr>
        <w:t xml:space="preserve">skyriuje). </w:t>
      </w:r>
    </w:p>
    <w:p w14:paraId="68E5C3B7" w14:textId="77777777" w:rsidR="00BE3C08" w:rsidRPr="00776407" w:rsidRDefault="00BE3C08" w:rsidP="00BE3C08">
      <w:pPr>
        <w:autoSpaceDE w:val="0"/>
        <w:autoSpaceDN w:val="0"/>
        <w:adjustRightInd w:val="0"/>
        <w:rPr>
          <w:rFonts w:eastAsia="Calibri"/>
          <w:sz w:val="22"/>
          <w:szCs w:val="22"/>
        </w:rPr>
      </w:pPr>
    </w:p>
    <w:p w14:paraId="519230F3"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Jei ši sąlyga Jums tinka, </w:t>
      </w:r>
      <w:r w:rsidRPr="00776407">
        <w:rPr>
          <w:rFonts w:eastAsia="Calibri"/>
          <w:b/>
          <w:bCs/>
          <w:sz w:val="22"/>
          <w:szCs w:val="22"/>
        </w:rPr>
        <w:t xml:space="preserve">nevartokite Imatinib Actavis ir apie tai pasakykite gydytojui. </w:t>
      </w:r>
    </w:p>
    <w:p w14:paraId="706CC293" w14:textId="77777777" w:rsidR="00BE3C08" w:rsidRPr="00776407" w:rsidRDefault="00BE3C08" w:rsidP="00BE3C08">
      <w:pPr>
        <w:autoSpaceDE w:val="0"/>
        <w:autoSpaceDN w:val="0"/>
        <w:adjustRightInd w:val="0"/>
        <w:rPr>
          <w:rFonts w:eastAsia="Calibri"/>
          <w:sz w:val="22"/>
          <w:szCs w:val="22"/>
        </w:rPr>
      </w:pPr>
    </w:p>
    <w:p w14:paraId="17717B9D"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Jeigu manote, kad galite būti alergiškas, bet nesate tikras, kreipkitės patarimo į gydytoją. </w:t>
      </w:r>
    </w:p>
    <w:p w14:paraId="779FF366" w14:textId="77777777" w:rsidR="00BE3C08" w:rsidRPr="00776407" w:rsidRDefault="00BE3C08" w:rsidP="00BE3C08">
      <w:pPr>
        <w:autoSpaceDE w:val="0"/>
        <w:autoSpaceDN w:val="0"/>
        <w:adjustRightInd w:val="0"/>
        <w:rPr>
          <w:rFonts w:eastAsia="Calibri"/>
          <w:b/>
          <w:bCs/>
          <w:sz w:val="22"/>
          <w:szCs w:val="22"/>
        </w:rPr>
      </w:pPr>
    </w:p>
    <w:p w14:paraId="4E498731"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Įspėjimai ir atsargumo priemonės </w:t>
      </w:r>
    </w:p>
    <w:p w14:paraId="75D43572"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Pasitarkite su gydytoju, prieš pradėdami vartoti Imatinib Actavis: </w:t>
      </w:r>
    </w:p>
    <w:p w14:paraId="69133DAA"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t>jeigu Jums yra ar kada nors yra buvę kepenų, inkstų ar širdies sutrikimų</w:t>
      </w:r>
      <w:r w:rsidR="005D54ED" w:rsidRPr="00776407">
        <w:rPr>
          <w:rFonts w:eastAsia="Calibri"/>
          <w:sz w:val="22"/>
          <w:szCs w:val="22"/>
        </w:rPr>
        <w:t>;</w:t>
      </w:r>
    </w:p>
    <w:p w14:paraId="2231884A" w14:textId="4AC6812C"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t>jeigu dėl pašalintos skydliaukės vartojate vaist</w:t>
      </w:r>
      <w:r w:rsidR="00532218" w:rsidRPr="00776407">
        <w:rPr>
          <w:rFonts w:eastAsia="Calibri"/>
          <w:sz w:val="22"/>
          <w:szCs w:val="22"/>
        </w:rPr>
        <w:t>o</w:t>
      </w:r>
      <w:r w:rsidRPr="00776407">
        <w:rPr>
          <w:rFonts w:eastAsia="Calibri"/>
          <w:sz w:val="22"/>
          <w:szCs w:val="22"/>
        </w:rPr>
        <w:t xml:space="preserve"> levotiroksino</w:t>
      </w:r>
      <w:r w:rsidR="005D54ED" w:rsidRPr="00776407">
        <w:rPr>
          <w:rFonts w:eastAsia="Calibri"/>
          <w:sz w:val="22"/>
          <w:szCs w:val="22"/>
        </w:rPr>
        <w:t>;</w:t>
      </w:r>
    </w:p>
    <w:p w14:paraId="61463714" w14:textId="77777777" w:rsidR="00D67F3C" w:rsidRPr="00776407" w:rsidRDefault="00D50475" w:rsidP="00D67F3C">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jums kada nors buvo diagnozuota hepatito B infekcija arba šiuo metu galite būti užsikrėtę šiuo virusu. Tai būtina, nes Imatinib Actavis gali vėl suaktyvinti hepatito B virusą, o kai kuriais atvejais tai gali būti mirtina. Prieš pradedant gydymą, gydytojas atidžiai patikrins, ar pacientas neturi šios infekcijos požymių</w:t>
      </w:r>
      <w:r w:rsidR="00D67F3C" w:rsidRPr="00776407">
        <w:rPr>
          <w:rFonts w:eastAsia="Calibri"/>
          <w:sz w:val="22"/>
          <w:szCs w:val="22"/>
        </w:rPr>
        <w:t>;</w:t>
      </w:r>
    </w:p>
    <w:p w14:paraId="5DBBDCF2" w14:textId="77777777" w:rsidR="00D50475" w:rsidRPr="00776407" w:rsidRDefault="00D67F3C" w:rsidP="00D67F3C">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r>
      <w:r w:rsidRPr="00776407">
        <w:rPr>
          <w:color w:val="000000"/>
          <w:spacing w:val="-2"/>
          <w:sz w:val="22"/>
          <w:szCs w:val="22"/>
        </w:rPr>
        <w:t>jeigu Jums vartojant Imatinib Actavis susidaro kraujosruvų, pasireiškia kraujavimas, karščiavimas, nuovargis ir sumišimas, kreipkitės į gydytoją. Tai gali būti kraujagyslių pažaidos, vadinamos trombine mikroangiopatija (TMA), požymis</w:t>
      </w:r>
      <w:r w:rsidR="00D50475" w:rsidRPr="00776407">
        <w:rPr>
          <w:rFonts w:eastAsia="Calibri"/>
          <w:sz w:val="22"/>
          <w:szCs w:val="22"/>
        </w:rPr>
        <w:t xml:space="preserve">. </w:t>
      </w:r>
    </w:p>
    <w:p w14:paraId="0B181239" w14:textId="77777777" w:rsidR="00C73DBE" w:rsidRPr="00776407" w:rsidRDefault="00C73DBE" w:rsidP="00C73DBE">
      <w:pPr>
        <w:autoSpaceDE w:val="0"/>
        <w:autoSpaceDN w:val="0"/>
        <w:adjustRightInd w:val="0"/>
        <w:rPr>
          <w:rFonts w:eastAsia="Calibri"/>
          <w:sz w:val="22"/>
          <w:szCs w:val="22"/>
        </w:rPr>
      </w:pPr>
    </w:p>
    <w:p w14:paraId="42368591" w14:textId="77777777" w:rsidR="00532218" w:rsidRPr="00776407" w:rsidRDefault="00532218" w:rsidP="00532218">
      <w:pPr>
        <w:rPr>
          <w:color w:val="000000"/>
          <w:sz w:val="22"/>
          <w:szCs w:val="22"/>
        </w:rPr>
      </w:pPr>
      <w:r w:rsidRPr="00776407">
        <w:rPr>
          <w:bCs/>
          <w:sz w:val="22"/>
          <w:szCs w:val="22"/>
        </w:rPr>
        <w:t xml:space="preserve">Imatinib Actavis </w:t>
      </w:r>
      <w:r w:rsidRPr="00776407">
        <w:rPr>
          <w:color w:val="000000"/>
          <w:sz w:val="22"/>
          <w:szCs w:val="22"/>
        </w:rPr>
        <w:t>vartojimo metu galite tapti jautresnis saulės poveikiui. Svarbu apsaugoti atviras odos vietas nuo tiesioginių saulės spindulių ir naudoti preparatą nuo saulės nudegimo, kurio aukštas apsaugos faktorius (SPF).</w:t>
      </w:r>
      <w:r w:rsidRPr="00776407">
        <w:rPr>
          <w:rFonts w:ascii="Arial" w:hAnsi="Arial" w:cs="Arial"/>
          <w:color w:val="222222"/>
        </w:rPr>
        <w:t xml:space="preserve"> </w:t>
      </w:r>
      <w:r w:rsidRPr="00776407">
        <w:rPr>
          <w:color w:val="000000"/>
          <w:sz w:val="22"/>
          <w:szCs w:val="22"/>
        </w:rPr>
        <w:t>Šios atsargumo priemonės taip pat turi būti taikomos vaikams.</w:t>
      </w:r>
    </w:p>
    <w:p w14:paraId="03FB700F" w14:textId="77777777" w:rsidR="00C73DBE" w:rsidRPr="00776407" w:rsidRDefault="00C73DBE" w:rsidP="00BE3C08">
      <w:pPr>
        <w:autoSpaceDE w:val="0"/>
        <w:autoSpaceDN w:val="0"/>
        <w:adjustRightInd w:val="0"/>
        <w:rPr>
          <w:rFonts w:eastAsia="Calibri"/>
          <w:sz w:val="22"/>
          <w:szCs w:val="22"/>
        </w:rPr>
      </w:pPr>
    </w:p>
    <w:p w14:paraId="60069B48"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Jei bet kuri šių sąlygų Jums tinka, </w:t>
      </w:r>
      <w:r w:rsidRPr="00776407">
        <w:rPr>
          <w:rFonts w:eastAsia="Calibri"/>
          <w:b/>
          <w:bCs/>
          <w:sz w:val="22"/>
          <w:szCs w:val="22"/>
        </w:rPr>
        <w:t>prieš pradėdami vartoti Imatinib Actavis, pasakykite gydytojui</w:t>
      </w:r>
      <w:r w:rsidRPr="00776407">
        <w:rPr>
          <w:rFonts w:eastAsia="Calibri"/>
          <w:sz w:val="22"/>
          <w:szCs w:val="22"/>
        </w:rPr>
        <w:t xml:space="preserve">. </w:t>
      </w:r>
    </w:p>
    <w:p w14:paraId="787FFCF5" w14:textId="77777777" w:rsidR="00BE3C08" w:rsidRPr="00776407" w:rsidRDefault="00BE3C08" w:rsidP="00BE3C08">
      <w:pPr>
        <w:autoSpaceDE w:val="0"/>
        <w:autoSpaceDN w:val="0"/>
        <w:adjustRightInd w:val="0"/>
        <w:rPr>
          <w:rFonts w:eastAsia="Calibri"/>
          <w:b/>
          <w:bCs/>
          <w:sz w:val="22"/>
          <w:szCs w:val="22"/>
        </w:rPr>
      </w:pPr>
    </w:p>
    <w:p w14:paraId="6118411B"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Imatinib Actavis vartojimo metu nedelsdami kreipkitės į gydytoją, </w:t>
      </w:r>
      <w:r w:rsidRPr="00776407">
        <w:rPr>
          <w:rFonts w:eastAsia="Calibri"/>
          <w:sz w:val="22"/>
          <w:szCs w:val="22"/>
        </w:rPr>
        <w:t xml:space="preserve">jeigu Jums labai greitai padidėjo kūno svoris. Dėl Imatinib Actavis poveikio Jūsų kūne gali kauptis skysčių (pasireikšti sunkus skysčių susilaikymas). </w:t>
      </w:r>
    </w:p>
    <w:p w14:paraId="7A869D9E" w14:textId="77777777" w:rsidR="00BE3C08" w:rsidRPr="00776407" w:rsidRDefault="00BE3C08" w:rsidP="00BE3C08">
      <w:pPr>
        <w:autoSpaceDE w:val="0"/>
        <w:autoSpaceDN w:val="0"/>
        <w:adjustRightInd w:val="0"/>
        <w:rPr>
          <w:rFonts w:eastAsia="Calibri"/>
          <w:sz w:val="22"/>
          <w:szCs w:val="22"/>
        </w:rPr>
      </w:pPr>
    </w:p>
    <w:p w14:paraId="1959BD6C" w14:textId="3C565378"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Jums vartojant Imatinib Actavis, gydytojas reguliariai tikrins, ar vaist</w:t>
      </w:r>
      <w:r w:rsidR="00532218" w:rsidRPr="00776407">
        <w:rPr>
          <w:rFonts w:eastAsia="Calibri"/>
          <w:sz w:val="22"/>
          <w:szCs w:val="22"/>
        </w:rPr>
        <w:t>as</w:t>
      </w:r>
      <w:r w:rsidRPr="00776407">
        <w:rPr>
          <w:rFonts w:eastAsia="Calibri"/>
          <w:sz w:val="22"/>
          <w:szCs w:val="22"/>
        </w:rPr>
        <w:t xml:space="preserve"> veikia. Jums taip pat reguliariai tirs kraują ir kūno svorį. </w:t>
      </w:r>
    </w:p>
    <w:p w14:paraId="22C49800" w14:textId="77777777" w:rsidR="00BE3C08" w:rsidRPr="00776407" w:rsidRDefault="00BE3C08" w:rsidP="00BE3C08">
      <w:pPr>
        <w:autoSpaceDE w:val="0"/>
        <w:autoSpaceDN w:val="0"/>
        <w:adjustRightInd w:val="0"/>
        <w:rPr>
          <w:rFonts w:eastAsia="Calibri"/>
          <w:b/>
          <w:bCs/>
          <w:sz w:val="22"/>
          <w:szCs w:val="22"/>
        </w:rPr>
      </w:pPr>
    </w:p>
    <w:p w14:paraId="6B080194"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Vaikams ir paaugliams </w:t>
      </w:r>
    </w:p>
    <w:p w14:paraId="2D3172D8" w14:textId="77777777" w:rsidR="00C73DBE" w:rsidRPr="00776407" w:rsidRDefault="00C73DBE" w:rsidP="00C73DBE">
      <w:pPr>
        <w:autoSpaceDE w:val="0"/>
        <w:autoSpaceDN w:val="0"/>
        <w:adjustRightInd w:val="0"/>
        <w:rPr>
          <w:rFonts w:eastAsia="Calibri"/>
          <w:sz w:val="22"/>
          <w:szCs w:val="22"/>
        </w:rPr>
      </w:pPr>
      <w:r w:rsidRPr="00776407">
        <w:rPr>
          <w:rFonts w:eastAsia="Calibri"/>
          <w:sz w:val="22"/>
          <w:szCs w:val="22"/>
        </w:rPr>
        <w:t xml:space="preserve">Imatinib Actavis taip pat gydomi vaikai, sergantys LML. Vartojimo patirties vaikams, jaunesniems kaip 2 metų ir sergantiems LML, nėra. </w:t>
      </w:r>
      <w:r w:rsidRPr="00776407">
        <w:rPr>
          <w:sz w:val="22"/>
          <w:szCs w:val="22"/>
        </w:rPr>
        <w:t>Vartojimo patirties vaikams, sergantiems Ph teigiama ŪLL, yra nedaug, o vartojimo patirties vaikams, sergantiems MDS/MPL, DFSP ir HES/LEL, yra labai nedaug.</w:t>
      </w:r>
    </w:p>
    <w:p w14:paraId="5D0F877B" w14:textId="77777777" w:rsidR="00BE3C08" w:rsidRPr="00776407" w:rsidRDefault="00BE3C08" w:rsidP="00BE3C08">
      <w:pPr>
        <w:autoSpaceDE w:val="0"/>
        <w:autoSpaceDN w:val="0"/>
        <w:adjustRightInd w:val="0"/>
        <w:rPr>
          <w:rFonts w:eastAsia="Calibri"/>
          <w:sz w:val="22"/>
          <w:szCs w:val="22"/>
        </w:rPr>
      </w:pPr>
    </w:p>
    <w:p w14:paraId="37CD70AC"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Kai kurių vaikų ir paauglių, vartojančių Imatinib Actavis, augimas gali būti lėtesnis nei įprasta. Todėl gydytojas tikrins augimą įprastų vizitų metu. </w:t>
      </w:r>
    </w:p>
    <w:p w14:paraId="5F683B0B" w14:textId="77777777" w:rsidR="00BE3C08" w:rsidRPr="00776407" w:rsidRDefault="00BE3C08" w:rsidP="00BE3C08">
      <w:pPr>
        <w:autoSpaceDE w:val="0"/>
        <w:autoSpaceDN w:val="0"/>
        <w:adjustRightInd w:val="0"/>
        <w:rPr>
          <w:rFonts w:eastAsia="Calibri"/>
          <w:b/>
          <w:sz w:val="22"/>
          <w:szCs w:val="22"/>
        </w:rPr>
      </w:pPr>
    </w:p>
    <w:p w14:paraId="3CADF68E" w14:textId="77777777" w:rsidR="00BE3C08" w:rsidRPr="00776407" w:rsidRDefault="00BE3C08" w:rsidP="00BE3C08">
      <w:pPr>
        <w:autoSpaceDE w:val="0"/>
        <w:autoSpaceDN w:val="0"/>
        <w:adjustRightInd w:val="0"/>
        <w:rPr>
          <w:rFonts w:eastAsia="Calibri"/>
          <w:b/>
          <w:sz w:val="22"/>
          <w:szCs w:val="22"/>
        </w:rPr>
      </w:pPr>
      <w:r w:rsidRPr="00776407">
        <w:rPr>
          <w:rFonts w:eastAsia="Calibri"/>
          <w:b/>
          <w:sz w:val="22"/>
          <w:szCs w:val="22"/>
        </w:rPr>
        <w:t>Kiti vaistai ir Imatinib Actavis</w:t>
      </w:r>
    </w:p>
    <w:p w14:paraId="78D86C17" w14:textId="1144DCC4"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Jeigu vartojate ar neseniai vartojote kitų vaistų arba dėl to nesate tikri, įskaitant įsigytus be recepto (tokių kaip paracetamolio) ir taip pat </w:t>
      </w:r>
      <w:r w:rsidR="005D54ED" w:rsidRPr="00776407">
        <w:rPr>
          <w:rFonts w:eastAsia="Calibri"/>
          <w:sz w:val="22"/>
          <w:szCs w:val="22"/>
        </w:rPr>
        <w:t>vaistažolių</w:t>
      </w:r>
      <w:r w:rsidRPr="00776407">
        <w:rPr>
          <w:rFonts w:eastAsia="Calibri"/>
          <w:sz w:val="22"/>
          <w:szCs w:val="22"/>
        </w:rPr>
        <w:t xml:space="preserve"> (tokių kaip jonažolės preparatų), apie tai pasakykite gydytojui arba vaistininkui. Kai kurie vaist</w:t>
      </w:r>
      <w:r w:rsidR="00532218" w:rsidRPr="00776407">
        <w:rPr>
          <w:rFonts w:eastAsia="Calibri"/>
          <w:sz w:val="22"/>
          <w:szCs w:val="22"/>
        </w:rPr>
        <w:t>ai</w:t>
      </w:r>
      <w:r w:rsidRPr="00776407">
        <w:rPr>
          <w:rFonts w:eastAsia="Calibri"/>
          <w:sz w:val="22"/>
          <w:szCs w:val="22"/>
        </w:rPr>
        <w:t xml:space="preserve"> vartojami kartu gali sąveikauti su Imatinib Actavis. Jie gali padidinti arba sumažinti Imatinib Actavis poveikį, arba padidindami nepageidaujamų reiškinių pasireiškimo dažnį, arba mažindami Imatinib Actavis veiksmingumą. Imatinib Actavis gali panašiai veikti kai kuriuos kitus vaist</w:t>
      </w:r>
      <w:r w:rsidR="00532218" w:rsidRPr="00776407">
        <w:rPr>
          <w:rFonts w:eastAsia="Calibri"/>
          <w:sz w:val="22"/>
          <w:szCs w:val="22"/>
        </w:rPr>
        <w:t>us</w:t>
      </w:r>
      <w:r w:rsidRPr="00776407">
        <w:rPr>
          <w:rFonts w:eastAsia="Calibri"/>
          <w:sz w:val="22"/>
          <w:szCs w:val="22"/>
        </w:rPr>
        <w:t xml:space="preserve">. </w:t>
      </w:r>
    </w:p>
    <w:p w14:paraId="21B7ABA3" w14:textId="77777777" w:rsidR="00BE3C08" w:rsidRPr="00776407" w:rsidRDefault="00BE3C08" w:rsidP="00BE3C08">
      <w:pPr>
        <w:autoSpaceDE w:val="0"/>
        <w:autoSpaceDN w:val="0"/>
        <w:adjustRightInd w:val="0"/>
        <w:rPr>
          <w:rFonts w:eastAsia="Calibri"/>
          <w:b/>
          <w:sz w:val="22"/>
          <w:szCs w:val="22"/>
        </w:rPr>
      </w:pPr>
      <w:r w:rsidRPr="00776407">
        <w:rPr>
          <w:rFonts w:eastAsia="Calibri"/>
          <w:sz w:val="22"/>
          <w:szCs w:val="22"/>
        </w:rPr>
        <w:t>Pasakykite gydytojui, jei vartojate vaistų, kurie apsaugo nuo kraujo krešulių susidarymo.</w:t>
      </w:r>
    </w:p>
    <w:p w14:paraId="1E405AAB" w14:textId="77777777" w:rsidR="00BE3C08" w:rsidRPr="00776407" w:rsidRDefault="00BE3C08" w:rsidP="00BE3C08">
      <w:pPr>
        <w:autoSpaceDE w:val="0"/>
        <w:autoSpaceDN w:val="0"/>
        <w:adjustRightInd w:val="0"/>
        <w:rPr>
          <w:rFonts w:eastAsia="Calibri"/>
          <w:sz w:val="22"/>
          <w:szCs w:val="22"/>
        </w:rPr>
      </w:pPr>
    </w:p>
    <w:p w14:paraId="25E30C6B"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Nėštumas, žindymo laikotarpis ir vaisingumas </w:t>
      </w:r>
    </w:p>
    <w:p w14:paraId="3D63DB21" w14:textId="687EE93E" w:rsidR="00532218" w:rsidRPr="00776407" w:rsidRDefault="00532218" w:rsidP="00532218">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Jeigu esate nėščia, žindote kūdikį, manote, kad galbūt esate nėščia arba planuojate pastoti, tai prieš vartodama šį vaistą pasitarkite su gydytoju. </w:t>
      </w:r>
    </w:p>
    <w:p w14:paraId="3ADA4737" w14:textId="77777777" w:rsidR="00532218" w:rsidRPr="00776407" w:rsidRDefault="00532218" w:rsidP="00532218">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Imatinib Actavis nerekomenduojama vartoti nėščiosioms, nebent neišvengiama, nes tai gali pakenkti Jūsų kūdikiui. Gydytojas supažindins Jus su galima Imatinib Actavis vartojimo nėštumo laikotarpiu rizika. </w:t>
      </w:r>
    </w:p>
    <w:p w14:paraId="62EAE285" w14:textId="77777777" w:rsidR="00532218" w:rsidRPr="00776407" w:rsidRDefault="00532218" w:rsidP="00532218">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Moterims, galinčioms pastoti, gydantis šiuo vaistu ir 15 dienų po gydymo pabaigos rekomenduojama taikyti efektyvias kontracepcijos priemones.</w:t>
      </w:r>
    </w:p>
    <w:p w14:paraId="6800E47A" w14:textId="19D60A4C" w:rsidR="00532218" w:rsidRPr="00776407" w:rsidRDefault="00532218" w:rsidP="00532218">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Vartodama Imatinib Actavis</w:t>
      </w:r>
      <w:r w:rsidRPr="00776407">
        <w:rPr>
          <w:color w:val="000000"/>
          <w:sz w:val="22"/>
          <w:szCs w:val="22"/>
        </w:rPr>
        <w:t xml:space="preserve"> </w:t>
      </w:r>
      <w:r w:rsidRPr="00776407">
        <w:rPr>
          <w:rFonts w:eastAsia="Calibri"/>
          <w:sz w:val="22"/>
          <w:szCs w:val="22"/>
        </w:rPr>
        <w:t>ir 15 dienų po gydymo pabaigos kūdikio nežindykite, nes tai gali pakenkti Jūsų kūdikiui.</w:t>
      </w:r>
    </w:p>
    <w:p w14:paraId="054A0633" w14:textId="77777777" w:rsidR="00532218" w:rsidRPr="00776407" w:rsidRDefault="00532218" w:rsidP="00532218">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Pacientai Imatinib Actavis vartojimo laikotarpiu dėl savo vaisingumo turi konsultuotis su gydytoju. </w:t>
      </w:r>
    </w:p>
    <w:p w14:paraId="6868323E" w14:textId="1588D519" w:rsidR="00BE3C08" w:rsidRPr="00776407" w:rsidRDefault="00BE3C08" w:rsidP="00532218">
      <w:pPr>
        <w:autoSpaceDE w:val="0"/>
        <w:autoSpaceDN w:val="0"/>
        <w:adjustRightInd w:val="0"/>
        <w:spacing w:after="23"/>
        <w:ind w:left="720" w:hanging="720"/>
        <w:rPr>
          <w:rFonts w:eastAsia="Calibri"/>
          <w:sz w:val="22"/>
          <w:szCs w:val="22"/>
        </w:rPr>
      </w:pPr>
    </w:p>
    <w:p w14:paraId="005C51F7"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Vairavimas ir mechanizmų valdymas </w:t>
      </w:r>
    </w:p>
    <w:p w14:paraId="70C1113F"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Vartodami šio vaisto galite jausti galvos svaigimą ar mieguistumą arba Jums gali pasireikšti neryškus matymas. Jeigu taip atsitiktų, nevairuokite ir nevaldykite bet kokios rūšies mechanizmų, kol vėl nepasijusite gerai. </w:t>
      </w:r>
    </w:p>
    <w:p w14:paraId="39BF97A6" w14:textId="77777777" w:rsidR="00C6414B" w:rsidRPr="00776407" w:rsidRDefault="00C6414B" w:rsidP="00BE3C08">
      <w:pPr>
        <w:autoSpaceDE w:val="0"/>
        <w:autoSpaceDN w:val="0"/>
        <w:adjustRightInd w:val="0"/>
        <w:rPr>
          <w:rFonts w:eastAsia="Calibri"/>
          <w:sz w:val="22"/>
          <w:szCs w:val="22"/>
        </w:rPr>
      </w:pPr>
    </w:p>
    <w:p w14:paraId="0629839D" w14:textId="77777777" w:rsidR="004F6125" w:rsidRPr="00776407" w:rsidRDefault="004F6125" w:rsidP="004F6125">
      <w:pPr>
        <w:autoSpaceDE w:val="0"/>
        <w:autoSpaceDN w:val="0"/>
        <w:adjustRightInd w:val="0"/>
        <w:rPr>
          <w:b/>
          <w:sz w:val="22"/>
          <w:szCs w:val="22"/>
          <w:lang w:eastAsia="is-IS"/>
        </w:rPr>
      </w:pPr>
      <w:r w:rsidRPr="00776407">
        <w:rPr>
          <w:b/>
          <w:sz w:val="22"/>
          <w:szCs w:val="22"/>
          <w:lang w:eastAsia="is-IS"/>
        </w:rPr>
        <w:t xml:space="preserve">Imatinib Actavis </w:t>
      </w:r>
      <w:r w:rsidR="00C6414B" w:rsidRPr="00776407">
        <w:rPr>
          <w:b/>
          <w:sz w:val="22"/>
          <w:szCs w:val="22"/>
          <w:lang w:eastAsia="is-IS"/>
        </w:rPr>
        <w:t>sudė</w:t>
      </w:r>
      <w:r w:rsidR="00D6149A" w:rsidRPr="00776407">
        <w:rPr>
          <w:b/>
          <w:sz w:val="22"/>
          <w:szCs w:val="22"/>
          <w:lang w:eastAsia="is-IS"/>
        </w:rPr>
        <w:t>tyje yra sojų</w:t>
      </w:r>
      <w:r w:rsidR="00C6414B" w:rsidRPr="00776407">
        <w:rPr>
          <w:b/>
          <w:sz w:val="22"/>
          <w:szCs w:val="22"/>
          <w:lang w:eastAsia="is-IS"/>
        </w:rPr>
        <w:t xml:space="preserve"> lecitino.</w:t>
      </w:r>
    </w:p>
    <w:p w14:paraId="01AADC61" w14:textId="77777777" w:rsidR="004F6125" w:rsidRPr="00776407" w:rsidRDefault="00C6414B" w:rsidP="004F6125">
      <w:pPr>
        <w:autoSpaceDE w:val="0"/>
        <w:autoSpaceDN w:val="0"/>
        <w:adjustRightInd w:val="0"/>
        <w:rPr>
          <w:sz w:val="22"/>
          <w:szCs w:val="22"/>
          <w:lang w:eastAsia="is-IS"/>
        </w:rPr>
      </w:pPr>
      <w:r w:rsidRPr="00776407">
        <w:rPr>
          <w:sz w:val="22"/>
          <w:szCs w:val="22"/>
          <w:lang w:eastAsia="is-IS"/>
        </w:rPr>
        <w:t xml:space="preserve">Jei esate alergiškas žemės riešutams ar sojai, šio vaisto navartokite. </w:t>
      </w:r>
    </w:p>
    <w:p w14:paraId="12D52D83" w14:textId="77777777" w:rsidR="00D67F3C" w:rsidRPr="00776407" w:rsidRDefault="00D67F3C" w:rsidP="00D67F3C">
      <w:pPr>
        <w:autoSpaceDE w:val="0"/>
        <w:autoSpaceDN w:val="0"/>
        <w:adjustRightInd w:val="0"/>
        <w:rPr>
          <w:rFonts w:eastAsia="Calibri"/>
          <w:sz w:val="22"/>
          <w:szCs w:val="22"/>
        </w:rPr>
      </w:pPr>
    </w:p>
    <w:p w14:paraId="173FBDE1" w14:textId="77777777" w:rsidR="00D67F3C" w:rsidRPr="00776407" w:rsidRDefault="00D67F3C" w:rsidP="00D67F3C">
      <w:pPr>
        <w:autoSpaceDE w:val="0"/>
        <w:autoSpaceDN w:val="0"/>
        <w:adjustRightInd w:val="0"/>
        <w:rPr>
          <w:rFonts w:eastAsia="Calibri"/>
          <w:b/>
          <w:sz w:val="22"/>
          <w:szCs w:val="22"/>
        </w:rPr>
      </w:pPr>
      <w:r w:rsidRPr="00776407">
        <w:rPr>
          <w:rFonts w:eastAsia="Calibri"/>
          <w:b/>
          <w:sz w:val="22"/>
          <w:szCs w:val="22"/>
        </w:rPr>
        <w:t>Imatinib Actavis sudėtyje yra natrio</w:t>
      </w:r>
    </w:p>
    <w:p w14:paraId="03642F91" w14:textId="0B4FDB03" w:rsidR="00D67F3C" w:rsidRPr="00776407" w:rsidRDefault="00786515" w:rsidP="00D67F3C">
      <w:pPr>
        <w:autoSpaceDE w:val="0"/>
        <w:autoSpaceDN w:val="0"/>
        <w:adjustRightInd w:val="0"/>
        <w:rPr>
          <w:rFonts w:eastAsia="Calibri"/>
          <w:sz w:val="22"/>
          <w:szCs w:val="22"/>
        </w:rPr>
      </w:pPr>
      <w:r w:rsidRPr="00776407">
        <w:rPr>
          <w:rFonts w:eastAsia="Calibri"/>
          <w:sz w:val="22"/>
          <w:szCs w:val="22"/>
        </w:rPr>
        <w:t>Šio vaisto vienoje plėvele dengtoje tabletėje yra mažiau</w:t>
      </w:r>
      <w:r w:rsidR="00D67F3C" w:rsidRPr="00776407">
        <w:rPr>
          <w:rFonts w:eastAsia="Calibri"/>
          <w:sz w:val="22"/>
          <w:szCs w:val="22"/>
        </w:rPr>
        <w:t xml:space="preserve"> kaip 1 mmol (23 mg) natrio, t.y. jis beveik neturi reikšmės.</w:t>
      </w:r>
    </w:p>
    <w:p w14:paraId="35818473" w14:textId="77777777" w:rsidR="00D67F3C" w:rsidRPr="00776407" w:rsidRDefault="00D67F3C" w:rsidP="00BE3C08">
      <w:pPr>
        <w:autoSpaceDE w:val="0"/>
        <w:autoSpaceDN w:val="0"/>
        <w:adjustRightInd w:val="0"/>
        <w:rPr>
          <w:rFonts w:eastAsia="Calibri"/>
          <w:sz w:val="22"/>
          <w:szCs w:val="22"/>
        </w:rPr>
      </w:pPr>
    </w:p>
    <w:p w14:paraId="44C30126" w14:textId="77777777" w:rsidR="00BE3C08" w:rsidRPr="00776407" w:rsidRDefault="00BE3C08" w:rsidP="00BE3C08">
      <w:pPr>
        <w:autoSpaceDE w:val="0"/>
        <w:autoSpaceDN w:val="0"/>
        <w:adjustRightInd w:val="0"/>
        <w:rPr>
          <w:rFonts w:eastAsia="Calibri"/>
          <w:sz w:val="22"/>
          <w:szCs w:val="22"/>
        </w:rPr>
      </w:pPr>
    </w:p>
    <w:p w14:paraId="080FF2B0" w14:textId="77777777" w:rsidR="00BE3C08" w:rsidRPr="00776407" w:rsidRDefault="00BE3C08" w:rsidP="00684498">
      <w:pPr>
        <w:pStyle w:val="Listenabsatz"/>
        <w:keepNext/>
        <w:numPr>
          <w:ilvl w:val="0"/>
          <w:numId w:val="7"/>
        </w:numPr>
        <w:autoSpaceDE w:val="0"/>
        <w:autoSpaceDN w:val="0"/>
        <w:adjustRightInd w:val="0"/>
        <w:ind w:hanging="720"/>
        <w:rPr>
          <w:rFonts w:eastAsia="Calibri"/>
          <w:b/>
          <w:bCs/>
          <w:sz w:val="22"/>
          <w:szCs w:val="22"/>
        </w:rPr>
      </w:pPr>
      <w:r w:rsidRPr="00776407">
        <w:rPr>
          <w:rFonts w:eastAsia="Calibri"/>
          <w:b/>
          <w:bCs/>
          <w:sz w:val="22"/>
          <w:szCs w:val="22"/>
        </w:rPr>
        <w:t xml:space="preserve">Kaip vartoti Imatinib Actavis </w:t>
      </w:r>
    </w:p>
    <w:p w14:paraId="66DE0248" w14:textId="77777777" w:rsidR="00BE3C08" w:rsidRPr="00776407" w:rsidRDefault="00BE3C08" w:rsidP="00684498">
      <w:pPr>
        <w:keepNext/>
        <w:autoSpaceDE w:val="0"/>
        <w:autoSpaceDN w:val="0"/>
        <w:adjustRightInd w:val="0"/>
        <w:rPr>
          <w:rFonts w:eastAsia="Calibri"/>
          <w:sz w:val="22"/>
          <w:szCs w:val="22"/>
        </w:rPr>
      </w:pPr>
    </w:p>
    <w:p w14:paraId="6E0A74C5"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Jūsų gydytojas Jums paskyrė Imatinib Actavis, kadangi sergate sunkia liga. Imatinib Actavis gali Jums padėti kovojant su šia būkle. </w:t>
      </w:r>
    </w:p>
    <w:p w14:paraId="222EA9FF" w14:textId="77777777" w:rsidR="00BE3C08" w:rsidRPr="00776407" w:rsidRDefault="00BE3C08" w:rsidP="00BE3C08">
      <w:pPr>
        <w:autoSpaceDE w:val="0"/>
        <w:autoSpaceDN w:val="0"/>
        <w:adjustRightInd w:val="0"/>
        <w:rPr>
          <w:rFonts w:eastAsia="Calibri"/>
          <w:sz w:val="22"/>
          <w:szCs w:val="22"/>
        </w:rPr>
      </w:pPr>
    </w:p>
    <w:p w14:paraId="733C5BFF"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Tačiau visada vartokite šį vaistą tiksliai kaip nurodė gydytojas arba vaistininkas. Svarbu, kad vaisto vartotumėte tiek laiko, kiek nurodė Jūsų gydytojas arba vaistininkas. Jeigu abejojate, kreipkitės į gydytoją arba vaistininką. </w:t>
      </w:r>
    </w:p>
    <w:p w14:paraId="6DA246F6" w14:textId="77777777" w:rsidR="00BE3C08" w:rsidRPr="00776407" w:rsidRDefault="00BE3C08" w:rsidP="00BE3C08">
      <w:pPr>
        <w:autoSpaceDE w:val="0"/>
        <w:autoSpaceDN w:val="0"/>
        <w:adjustRightInd w:val="0"/>
        <w:rPr>
          <w:rFonts w:eastAsia="Calibri"/>
          <w:sz w:val="22"/>
          <w:szCs w:val="22"/>
        </w:rPr>
      </w:pPr>
    </w:p>
    <w:p w14:paraId="058938FE"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Nenustokite vartoti Imatinib Actavis, nebent taip nurodytų Jūsų gydytojas. Nedelsdami kreipkitės į gydytoją, jeigu negalite vartoti vaisto taip, kaip paskyrė gydytojas, arba jaučiate, kad šio vaisto Jums daugiau nereikia. </w:t>
      </w:r>
    </w:p>
    <w:p w14:paraId="7C5C11DB" w14:textId="77777777" w:rsidR="00BE3C08" w:rsidRPr="00776407" w:rsidRDefault="00BE3C08" w:rsidP="00BE3C08">
      <w:pPr>
        <w:autoSpaceDE w:val="0"/>
        <w:autoSpaceDN w:val="0"/>
        <w:adjustRightInd w:val="0"/>
        <w:rPr>
          <w:rFonts w:eastAsia="Calibri"/>
          <w:b/>
          <w:bCs/>
          <w:sz w:val="22"/>
          <w:szCs w:val="22"/>
        </w:rPr>
      </w:pPr>
    </w:p>
    <w:p w14:paraId="7325F77D"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Kiek Imatinib Actavis vartoti </w:t>
      </w:r>
    </w:p>
    <w:p w14:paraId="12947D36" w14:textId="77777777" w:rsidR="00BE3C08" w:rsidRPr="00776407" w:rsidRDefault="00BE3C08" w:rsidP="00BE3C08">
      <w:pPr>
        <w:autoSpaceDE w:val="0"/>
        <w:autoSpaceDN w:val="0"/>
        <w:adjustRightInd w:val="0"/>
        <w:rPr>
          <w:rFonts w:eastAsia="Calibri"/>
          <w:b/>
          <w:bCs/>
          <w:sz w:val="22"/>
          <w:szCs w:val="22"/>
        </w:rPr>
      </w:pPr>
    </w:p>
    <w:p w14:paraId="65942B66"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Vartojimas suaugusiesiems </w:t>
      </w:r>
    </w:p>
    <w:p w14:paraId="0051DD66"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Gydytojas Jums tiksliai nurodys, kiek Imatinib Actavis kapsulių gerti. </w:t>
      </w:r>
    </w:p>
    <w:p w14:paraId="5FA73066" w14:textId="77777777" w:rsidR="00ED3181" w:rsidRPr="00776407" w:rsidRDefault="00ED3181" w:rsidP="00ED3181">
      <w:pPr>
        <w:autoSpaceDE w:val="0"/>
        <w:autoSpaceDN w:val="0"/>
        <w:adjustRightInd w:val="0"/>
        <w:rPr>
          <w:rFonts w:eastAsia="Calibri"/>
          <w:sz w:val="22"/>
          <w:szCs w:val="22"/>
        </w:rPr>
      </w:pPr>
    </w:p>
    <w:p w14:paraId="2BF8A88D" w14:textId="77777777" w:rsidR="00ED3181" w:rsidRPr="00776407" w:rsidRDefault="00ED3181" w:rsidP="00ED3181">
      <w:pPr>
        <w:autoSpaceDE w:val="0"/>
        <w:autoSpaceDN w:val="0"/>
        <w:adjustRightInd w:val="0"/>
        <w:ind w:left="567" w:hanging="567"/>
        <w:rPr>
          <w:rFonts w:eastAsia="Calibri"/>
          <w:color w:val="000000"/>
          <w:sz w:val="22"/>
          <w:szCs w:val="22"/>
        </w:rPr>
      </w:pPr>
      <w:r w:rsidRPr="00776407">
        <w:rPr>
          <w:rFonts w:ascii="Symbol" w:eastAsia="Calibri" w:hAnsi="Symbol" w:cs="Symbol"/>
          <w:color w:val="000000"/>
          <w:sz w:val="22"/>
          <w:szCs w:val="22"/>
        </w:rPr>
        <w:t></w:t>
      </w:r>
      <w:r w:rsidRPr="00776407">
        <w:rPr>
          <w:rFonts w:ascii="Symbol" w:eastAsia="Calibri" w:hAnsi="Symbol" w:cs="Symbol"/>
          <w:color w:val="000000"/>
          <w:sz w:val="22"/>
          <w:szCs w:val="22"/>
        </w:rPr>
        <w:t></w:t>
      </w:r>
      <w:r w:rsidRPr="00776407">
        <w:rPr>
          <w:rFonts w:ascii="Symbol" w:eastAsia="Calibri" w:hAnsi="Symbol" w:cs="Symbol"/>
          <w:color w:val="000000"/>
          <w:sz w:val="22"/>
          <w:szCs w:val="22"/>
        </w:rPr>
        <w:tab/>
      </w:r>
      <w:r w:rsidRPr="00776407">
        <w:rPr>
          <w:rFonts w:eastAsia="Calibri"/>
          <w:b/>
          <w:bCs/>
          <w:color w:val="000000"/>
          <w:sz w:val="22"/>
          <w:szCs w:val="22"/>
        </w:rPr>
        <w:t xml:space="preserve">Jei gydoma LML: </w:t>
      </w:r>
    </w:p>
    <w:p w14:paraId="7D66F5DF" w14:textId="77777777" w:rsidR="00BE3C08" w:rsidRPr="00776407" w:rsidRDefault="00BE3C08" w:rsidP="00E93356">
      <w:pPr>
        <w:autoSpaceDE w:val="0"/>
        <w:autoSpaceDN w:val="0"/>
        <w:adjustRightInd w:val="0"/>
        <w:ind w:firstLine="567"/>
        <w:rPr>
          <w:rFonts w:eastAsia="Calibri"/>
          <w:sz w:val="22"/>
          <w:szCs w:val="22"/>
        </w:rPr>
      </w:pPr>
      <w:r w:rsidRPr="00776407">
        <w:rPr>
          <w:rFonts w:eastAsia="Calibri"/>
          <w:sz w:val="22"/>
          <w:szCs w:val="22"/>
        </w:rPr>
        <w:t>Rekomenduojama pradinė dozė yra 600</w:t>
      </w:r>
      <w:r w:rsidRPr="00776407">
        <w:rPr>
          <w:rFonts w:eastAsia="Calibri"/>
        </w:rPr>
        <w:t> </w:t>
      </w:r>
      <w:r w:rsidRPr="00776407">
        <w:rPr>
          <w:rFonts w:eastAsia="Calibri"/>
          <w:sz w:val="22"/>
          <w:szCs w:val="22"/>
        </w:rPr>
        <w:t xml:space="preserve">mg, vartojant po </w:t>
      </w:r>
      <w:r w:rsidR="0093512A" w:rsidRPr="00776407">
        <w:rPr>
          <w:rFonts w:eastAsia="Calibri"/>
          <w:sz w:val="22"/>
          <w:szCs w:val="22"/>
        </w:rPr>
        <w:t>6</w:t>
      </w:r>
      <w:r w:rsidRPr="00776407">
        <w:rPr>
          <w:rFonts w:eastAsia="Calibri"/>
          <w:sz w:val="22"/>
          <w:szCs w:val="22"/>
        </w:rPr>
        <w:t> </w:t>
      </w:r>
      <w:r w:rsidR="0093512A" w:rsidRPr="00776407">
        <w:rPr>
          <w:rFonts w:eastAsia="Calibri"/>
          <w:sz w:val="22"/>
          <w:szCs w:val="22"/>
        </w:rPr>
        <w:t>tabletes</w:t>
      </w:r>
      <w:r w:rsidRPr="00776407">
        <w:rPr>
          <w:rFonts w:eastAsia="Calibri"/>
          <w:sz w:val="22"/>
          <w:szCs w:val="22"/>
        </w:rPr>
        <w:t xml:space="preserve"> </w:t>
      </w:r>
      <w:r w:rsidRPr="00776407">
        <w:rPr>
          <w:rFonts w:eastAsia="Calibri"/>
          <w:b/>
          <w:bCs/>
          <w:sz w:val="22"/>
          <w:szCs w:val="22"/>
        </w:rPr>
        <w:t xml:space="preserve">kartą </w:t>
      </w:r>
      <w:r w:rsidRPr="00776407">
        <w:rPr>
          <w:rFonts w:eastAsia="Calibri"/>
          <w:sz w:val="22"/>
          <w:szCs w:val="22"/>
        </w:rPr>
        <w:t xml:space="preserve">per parą. </w:t>
      </w:r>
    </w:p>
    <w:p w14:paraId="71F3653E" w14:textId="77777777" w:rsidR="00BE3C08" w:rsidRPr="00776407" w:rsidRDefault="00BE3C08" w:rsidP="00BE3C08">
      <w:pPr>
        <w:autoSpaceDE w:val="0"/>
        <w:autoSpaceDN w:val="0"/>
        <w:adjustRightInd w:val="0"/>
        <w:rPr>
          <w:rFonts w:eastAsia="Calibri"/>
          <w:sz w:val="22"/>
          <w:szCs w:val="22"/>
        </w:rPr>
      </w:pPr>
    </w:p>
    <w:p w14:paraId="217FF7D5"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Jūsų gydytojas gali Jums skirti didesnę ar mažesnę dozę priklausomai nuo Jūsų atsako į gydymą.</w:t>
      </w:r>
      <w:r w:rsidR="00ED3181" w:rsidRPr="00776407">
        <w:rPr>
          <w:rFonts w:eastAsia="Calibri"/>
          <w:sz w:val="22"/>
          <w:szCs w:val="22"/>
        </w:rPr>
        <w:t xml:space="preserve"> </w:t>
      </w:r>
      <w:r w:rsidRPr="00776407">
        <w:rPr>
          <w:rFonts w:eastAsia="Calibri"/>
          <w:sz w:val="22"/>
          <w:szCs w:val="22"/>
        </w:rPr>
        <w:t xml:space="preserve">Jei Jūsų paros dozė yra 800 mg </w:t>
      </w:r>
      <w:r w:rsidR="0093512A" w:rsidRPr="00776407">
        <w:rPr>
          <w:rFonts w:eastAsia="Calibri"/>
          <w:sz w:val="22"/>
          <w:szCs w:val="22"/>
        </w:rPr>
        <w:t>(8</w:t>
      </w:r>
      <w:r w:rsidRPr="00776407">
        <w:rPr>
          <w:rFonts w:eastAsia="Calibri"/>
          <w:sz w:val="22"/>
          <w:szCs w:val="22"/>
        </w:rPr>
        <w:t> </w:t>
      </w:r>
      <w:r w:rsidR="0093512A" w:rsidRPr="00776407">
        <w:rPr>
          <w:rFonts w:eastAsia="Calibri"/>
          <w:sz w:val="22"/>
          <w:szCs w:val="22"/>
        </w:rPr>
        <w:t>tabletės</w:t>
      </w:r>
      <w:r w:rsidRPr="00776407">
        <w:rPr>
          <w:rFonts w:eastAsia="Calibri"/>
          <w:sz w:val="22"/>
          <w:szCs w:val="22"/>
        </w:rPr>
        <w:t>), vartokite</w:t>
      </w:r>
      <w:r w:rsidR="0093512A" w:rsidRPr="00776407">
        <w:rPr>
          <w:rFonts w:eastAsia="Calibri"/>
          <w:sz w:val="22"/>
          <w:szCs w:val="22"/>
        </w:rPr>
        <w:t xml:space="preserve"> po 4</w:t>
      </w:r>
      <w:r w:rsidRPr="00776407">
        <w:rPr>
          <w:rFonts w:eastAsia="Calibri"/>
          <w:sz w:val="22"/>
          <w:szCs w:val="22"/>
        </w:rPr>
        <w:t> </w:t>
      </w:r>
      <w:r w:rsidR="00A25165" w:rsidRPr="00776407">
        <w:rPr>
          <w:rFonts w:eastAsia="Calibri"/>
          <w:sz w:val="22"/>
          <w:szCs w:val="22"/>
        </w:rPr>
        <w:t xml:space="preserve">tabletes </w:t>
      </w:r>
      <w:r w:rsidR="0093512A" w:rsidRPr="00776407">
        <w:rPr>
          <w:rFonts w:eastAsia="Calibri"/>
          <w:sz w:val="22"/>
          <w:szCs w:val="22"/>
        </w:rPr>
        <w:t>ryte ir 4</w:t>
      </w:r>
      <w:r w:rsidRPr="00776407">
        <w:rPr>
          <w:rFonts w:eastAsia="Calibri"/>
          <w:sz w:val="22"/>
          <w:szCs w:val="22"/>
        </w:rPr>
        <w:t> </w:t>
      </w:r>
      <w:r w:rsidR="00A25165" w:rsidRPr="00776407">
        <w:rPr>
          <w:rFonts w:eastAsia="Calibri"/>
          <w:sz w:val="22"/>
          <w:szCs w:val="22"/>
        </w:rPr>
        <w:t xml:space="preserve">tabletes </w:t>
      </w:r>
      <w:r w:rsidRPr="00776407">
        <w:rPr>
          <w:rFonts w:eastAsia="Calibri"/>
          <w:sz w:val="22"/>
          <w:szCs w:val="22"/>
        </w:rPr>
        <w:t xml:space="preserve">vakare. </w:t>
      </w:r>
    </w:p>
    <w:p w14:paraId="4553670B" w14:textId="77777777" w:rsidR="00ED3181" w:rsidRPr="00776407" w:rsidRDefault="00ED3181" w:rsidP="00ED3181">
      <w:pPr>
        <w:autoSpaceDE w:val="0"/>
        <w:autoSpaceDN w:val="0"/>
        <w:adjustRightInd w:val="0"/>
        <w:rPr>
          <w:rFonts w:ascii="Symbol" w:eastAsia="Calibri" w:hAnsi="Symbol" w:cs="Symbol"/>
          <w:color w:val="000000"/>
        </w:rPr>
      </w:pPr>
    </w:p>
    <w:p w14:paraId="2BA4E178" w14:textId="77777777" w:rsidR="00ED3181" w:rsidRPr="00776407" w:rsidRDefault="00ED3181" w:rsidP="00ED3181">
      <w:pPr>
        <w:autoSpaceDE w:val="0"/>
        <w:autoSpaceDN w:val="0"/>
        <w:adjustRightInd w:val="0"/>
        <w:ind w:left="567" w:hanging="567"/>
        <w:rPr>
          <w:rFonts w:eastAsia="Calibri"/>
          <w:color w:val="000000"/>
          <w:sz w:val="22"/>
          <w:szCs w:val="22"/>
        </w:rPr>
      </w:pPr>
      <w:r w:rsidRPr="00776407">
        <w:rPr>
          <w:rFonts w:ascii="Symbol" w:eastAsia="Calibri" w:hAnsi="Symbol" w:cs="Symbol"/>
          <w:color w:val="000000"/>
          <w:sz w:val="22"/>
          <w:szCs w:val="22"/>
        </w:rPr>
        <w:t></w:t>
      </w:r>
      <w:r w:rsidRPr="00776407">
        <w:rPr>
          <w:rFonts w:ascii="Symbol" w:eastAsia="Calibri" w:hAnsi="Symbol" w:cs="Symbol"/>
          <w:color w:val="000000"/>
          <w:sz w:val="22"/>
          <w:szCs w:val="22"/>
        </w:rPr>
        <w:t></w:t>
      </w:r>
      <w:r w:rsidRPr="00776407">
        <w:rPr>
          <w:rFonts w:ascii="Symbol" w:eastAsia="Calibri" w:hAnsi="Symbol" w:cs="Symbol"/>
          <w:color w:val="000000"/>
          <w:sz w:val="22"/>
          <w:szCs w:val="22"/>
        </w:rPr>
        <w:tab/>
      </w:r>
      <w:r w:rsidRPr="00776407">
        <w:rPr>
          <w:rFonts w:eastAsia="Calibri"/>
          <w:b/>
          <w:bCs/>
          <w:color w:val="000000"/>
          <w:sz w:val="22"/>
          <w:szCs w:val="22"/>
        </w:rPr>
        <w:t xml:space="preserve">Jeigu gydoma Ph teigiama ŪLL: </w:t>
      </w:r>
    </w:p>
    <w:p w14:paraId="6F6A9594" w14:textId="77777777" w:rsidR="00ED3181" w:rsidRPr="00776407" w:rsidRDefault="00ED3181" w:rsidP="00ED3181">
      <w:pPr>
        <w:autoSpaceDE w:val="0"/>
        <w:autoSpaceDN w:val="0"/>
        <w:adjustRightInd w:val="0"/>
        <w:ind w:left="567"/>
        <w:rPr>
          <w:rFonts w:eastAsia="Calibri"/>
          <w:sz w:val="22"/>
          <w:szCs w:val="22"/>
        </w:rPr>
      </w:pPr>
      <w:r w:rsidRPr="00776407">
        <w:rPr>
          <w:rFonts w:eastAsia="Calibri"/>
          <w:color w:val="000000"/>
          <w:sz w:val="22"/>
          <w:szCs w:val="22"/>
        </w:rPr>
        <w:t>Pradinė dozė yra 600</w:t>
      </w:r>
      <w:r w:rsidR="000C7920" w:rsidRPr="00776407">
        <w:rPr>
          <w:rFonts w:eastAsia="Calibri"/>
          <w:color w:val="000000"/>
          <w:sz w:val="22"/>
          <w:szCs w:val="22"/>
        </w:rPr>
        <w:t> </w:t>
      </w:r>
      <w:r w:rsidRPr="00776407">
        <w:rPr>
          <w:rFonts w:eastAsia="Calibri"/>
          <w:color w:val="000000"/>
          <w:sz w:val="22"/>
          <w:szCs w:val="22"/>
        </w:rPr>
        <w:t>mg, vartojant po 6</w:t>
      </w:r>
      <w:r w:rsidR="000C7920" w:rsidRPr="00776407">
        <w:rPr>
          <w:rFonts w:eastAsia="Calibri"/>
          <w:color w:val="000000"/>
          <w:sz w:val="22"/>
          <w:szCs w:val="22"/>
        </w:rPr>
        <w:t> </w:t>
      </w:r>
      <w:r w:rsidRPr="00776407">
        <w:rPr>
          <w:rFonts w:eastAsia="Calibri"/>
          <w:color w:val="000000"/>
          <w:sz w:val="22"/>
          <w:szCs w:val="22"/>
        </w:rPr>
        <w:t xml:space="preserve">tabletes </w:t>
      </w:r>
      <w:r w:rsidRPr="00776407">
        <w:rPr>
          <w:rFonts w:eastAsia="Calibri"/>
          <w:b/>
          <w:bCs/>
          <w:color w:val="000000"/>
          <w:sz w:val="22"/>
          <w:szCs w:val="22"/>
        </w:rPr>
        <w:t xml:space="preserve">kartą </w:t>
      </w:r>
      <w:r w:rsidRPr="00776407">
        <w:rPr>
          <w:rFonts w:eastAsia="Calibri"/>
          <w:color w:val="000000"/>
          <w:sz w:val="22"/>
          <w:szCs w:val="22"/>
        </w:rPr>
        <w:t>per parą.</w:t>
      </w:r>
    </w:p>
    <w:p w14:paraId="66F93890" w14:textId="77777777" w:rsidR="00ED3181" w:rsidRPr="00776407" w:rsidRDefault="00ED3181" w:rsidP="00ED3181">
      <w:pPr>
        <w:autoSpaceDE w:val="0"/>
        <w:autoSpaceDN w:val="0"/>
        <w:adjustRightInd w:val="0"/>
        <w:rPr>
          <w:rFonts w:ascii="Symbol" w:eastAsia="Calibri" w:hAnsi="Symbol" w:cs="Symbol"/>
          <w:color w:val="000000"/>
        </w:rPr>
      </w:pPr>
    </w:p>
    <w:p w14:paraId="01FBD870" w14:textId="77777777" w:rsidR="00ED3181" w:rsidRPr="00776407" w:rsidRDefault="00ED3181" w:rsidP="00ED3181">
      <w:pPr>
        <w:autoSpaceDE w:val="0"/>
        <w:autoSpaceDN w:val="0"/>
        <w:adjustRightInd w:val="0"/>
        <w:rPr>
          <w:rFonts w:eastAsia="Calibri"/>
          <w:color w:val="000000"/>
          <w:sz w:val="22"/>
          <w:szCs w:val="22"/>
        </w:rPr>
      </w:pPr>
      <w:r w:rsidRPr="00776407">
        <w:rPr>
          <w:rFonts w:ascii="Symbol" w:eastAsia="Calibri" w:hAnsi="Symbol" w:cs="Symbol"/>
          <w:color w:val="000000"/>
          <w:sz w:val="22"/>
          <w:szCs w:val="22"/>
        </w:rPr>
        <w:t></w:t>
      </w:r>
      <w:r w:rsidRPr="00776407">
        <w:rPr>
          <w:rFonts w:ascii="Symbol" w:eastAsia="Calibri" w:hAnsi="Symbol" w:cs="Symbol"/>
          <w:color w:val="000000"/>
          <w:sz w:val="22"/>
          <w:szCs w:val="22"/>
        </w:rPr>
        <w:t></w:t>
      </w:r>
      <w:r w:rsidRPr="00776407">
        <w:rPr>
          <w:rFonts w:ascii="Symbol" w:eastAsia="Calibri" w:hAnsi="Symbol" w:cs="Symbol"/>
          <w:color w:val="000000"/>
          <w:sz w:val="22"/>
          <w:szCs w:val="22"/>
        </w:rPr>
        <w:tab/>
      </w:r>
      <w:r w:rsidRPr="00776407">
        <w:rPr>
          <w:rFonts w:eastAsia="Calibri"/>
          <w:b/>
          <w:bCs/>
          <w:color w:val="000000"/>
          <w:sz w:val="22"/>
          <w:szCs w:val="22"/>
        </w:rPr>
        <w:t xml:space="preserve">Jeigu gydoma MDS/MPL: </w:t>
      </w:r>
    </w:p>
    <w:p w14:paraId="35AAF849" w14:textId="77777777" w:rsidR="00ED3181" w:rsidRPr="00776407" w:rsidRDefault="00ED3181" w:rsidP="00ED3181">
      <w:pPr>
        <w:autoSpaceDE w:val="0"/>
        <w:autoSpaceDN w:val="0"/>
        <w:adjustRightInd w:val="0"/>
        <w:ind w:firstLine="720"/>
        <w:rPr>
          <w:rFonts w:eastAsia="Calibri"/>
          <w:color w:val="000000"/>
          <w:sz w:val="22"/>
          <w:szCs w:val="22"/>
        </w:rPr>
      </w:pPr>
      <w:r w:rsidRPr="00776407">
        <w:rPr>
          <w:rFonts w:eastAsia="Calibri"/>
          <w:color w:val="000000"/>
          <w:sz w:val="22"/>
          <w:szCs w:val="22"/>
        </w:rPr>
        <w:t>Pradinė dozė yra 400</w:t>
      </w:r>
      <w:r w:rsidR="000C7920" w:rsidRPr="00776407">
        <w:rPr>
          <w:rFonts w:eastAsia="Calibri"/>
          <w:color w:val="000000"/>
          <w:sz w:val="22"/>
          <w:szCs w:val="22"/>
        </w:rPr>
        <w:t> </w:t>
      </w:r>
      <w:r w:rsidRPr="00776407">
        <w:rPr>
          <w:rFonts w:eastAsia="Calibri"/>
          <w:color w:val="000000"/>
          <w:sz w:val="22"/>
          <w:szCs w:val="22"/>
        </w:rPr>
        <w:t>mg, vartojant po 4</w:t>
      </w:r>
      <w:r w:rsidR="000C7920" w:rsidRPr="00776407">
        <w:rPr>
          <w:rFonts w:eastAsia="Calibri"/>
          <w:color w:val="000000"/>
          <w:sz w:val="22"/>
          <w:szCs w:val="22"/>
        </w:rPr>
        <w:t> </w:t>
      </w:r>
      <w:r w:rsidRPr="00776407">
        <w:rPr>
          <w:rFonts w:eastAsia="Calibri"/>
          <w:color w:val="000000"/>
          <w:sz w:val="22"/>
          <w:szCs w:val="22"/>
        </w:rPr>
        <w:t xml:space="preserve">tabletes </w:t>
      </w:r>
      <w:r w:rsidRPr="00776407">
        <w:rPr>
          <w:rFonts w:eastAsia="Calibri"/>
          <w:b/>
          <w:bCs/>
          <w:color w:val="000000"/>
          <w:sz w:val="22"/>
          <w:szCs w:val="22"/>
        </w:rPr>
        <w:t xml:space="preserve">kartą </w:t>
      </w:r>
      <w:r w:rsidRPr="00776407">
        <w:rPr>
          <w:rFonts w:eastAsia="Calibri"/>
          <w:color w:val="000000"/>
          <w:sz w:val="22"/>
          <w:szCs w:val="22"/>
        </w:rPr>
        <w:t xml:space="preserve">per parą. </w:t>
      </w:r>
    </w:p>
    <w:p w14:paraId="7B03D9D1" w14:textId="77777777" w:rsidR="00ED3181" w:rsidRPr="00776407" w:rsidRDefault="00ED3181" w:rsidP="00ED3181">
      <w:pPr>
        <w:autoSpaceDE w:val="0"/>
        <w:autoSpaceDN w:val="0"/>
        <w:adjustRightInd w:val="0"/>
        <w:rPr>
          <w:rFonts w:eastAsia="Calibri"/>
          <w:color w:val="000000"/>
          <w:sz w:val="22"/>
          <w:szCs w:val="22"/>
        </w:rPr>
      </w:pPr>
    </w:p>
    <w:p w14:paraId="5DC81AD7" w14:textId="77777777" w:rsidR="00ED3181" w:rsidRPr="00776407" w:rsidRDefault="00ED3181"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Jeigu gydoma HES/LEL: </w:t>
      </w:r>
    </w:p>
    <w:p w14:paraId="60BA83F1" w14:textId="77777777" w:rsidR="00ED3181" w:rsidRPr="00776407" w:rsidRDefault="00ED3181" w:rsidP="00ED3181">
      <w:pPr>
        <w:autoSpaceDE w:val="0"/>
        <w:autoSpaceDN w:val="0"/>
        <w:adjustRightInd w:val="0"/>
        <w:ind w:left="720"/>
        <w:rPr>
          <w:rFonts w:eastAsia="Calibri"/>
          <w:color w:val="000000"/>
          <w:sz w:val="22"/>
          <w:szCs w:val="22"/>
        </w:rPr>
      </w:pPr>
      <w:r w:rsidRPr="00776407">
        <w:rPr>
          <w:rFonts w:eastAsia="Calibri"/>
          <w:color w:val="000000"/>
          <w:sz w:val="22"/>
          <w:szCs w:val="22"/>
        </w:rPr>
        <w:t>Pradinė dozė yra 100</w:t>
      </w:r>
      <w:r w:rsidR="000C7920" w:rsidRPr="00776407">
        <w:rPr>
          <w:rFonts w:eastAsia="Calibri"/>
          <w:color w:val="000000"/>
          <w:sz w:val="22"/>
          <w:szCs w:val="22"/>
        </w:rPr>
        <w:t> </w:t>
      </w:r>
      <w:r w:rsidRPr="00776407">
        <w:rPr>
          <w:rFonts w:eastAsia="Calibri"/>
          <w:color w:val="000000"/>
          <w:sz w:val="22"/>
          <w:szCs w:val="22"/>
        </w:rPr>
        <w:t>mg, vartojant po 1</w:t>
      </w:r>
      <w:r w:rsidR="000C7920" w:rsidRPr="00776407">
        <w:rPr>
          <w:rFonts w:eastAsia="Calibri"/>
          <w:color w:val="000000"/>
          <w:sz w:val="22"/>
          <w:szCs w:val="22"/>
        </w:rPr>
        <w:t> </w:t>
      </w:r>
      <w:r w:rsidRPr="00776407">
        <w:rPr>
          <w:rFonts w:eastAsia="Calibri"/>
          <w:color w:val="000000"/>
          <w:sz w:val="22"/>
          <w:szCs w:val="22"/>
        </w:rPr>
        <w:t xml:space="preserve">tabletę </w:t>
      </w:r>
      <w:r w:rsidRPr="00776407">
        <w:rPr>
          <w:rFonts w:eastAsia="Calibri"/>
          <w:b/>
          <w:bCs/>
          <w:color w:val="000000"/>
          <w:sz w:val="22"/>
          <w:szCs w:val="22"/>
        </w:rPr>
        <w:t xml:space="preserve">kartą </w:t>
      </w:r>
      <w:r w:rsidRPr="00776407">
        <w:rPr>
          <w:rFonts w:eastAsia="Calibri"/>
          <w:color w:val="000000"/>
          <w:sz w:val="22"/>
          <w:szCs w:val="22"/>
        </w:rPr>
        <w:t>per parą. Priklausomai nuo Jūsų atsako į gydymą, Jūsų gydytojas gali nuspręsti padidinti dozę iki 400</w:t>
      </w:r>
      <w:r w:rsidR="000C7920" w:rsidRPr="00776407">
        <w:rPr>
          <w:rFonts w:eastAsia="Calibri"/>
          <w:color w:val="000000"/>
          <w:sz w:val="22"/>
          <w:szCs w:val="22"/>
        </w:rPr>
        <w:t> </w:t>
      </w:r>
      <w:r w:rsidRPr="00776407">
        <w:rPr>
          <w:rFonts w:eastAsia="Calibri"/>
          <w:color w:val="000000"/>
          <w:sz w:val="22"/>
          <w:szCs w:val="22"/>
        </w:rPr>
        <w:t>mg, vartojant po 4</w:t>
      </w:r>
      <w:r w:rsidR="000C7920" w:rsidRPr="00776407">
        <w:rPr>
          <w:rFonts w:eastAsia="Calibri"/>
          <w:color w:val="000000"/>
          <w:sz w:val="22"/>
          <w:szCs w:val="22"/>
        </w:rPr>
        <w:t> </w:t>
      </w:r>
      <w:r w:rsidRPr="00776407">
        <w:rPr>
          <w:rFonts w:eastAsia="Calibri"/>
          <w:color w:val="000000"/>
          <w:sz w:val="22"/>
          <w:szCs w:val="22"/>
        </w:rPr>
        <w:t xml:space="preserve">tabletes </w:t>
      </w:r>
      <w:r w:rsidRPr="00776407">
        <w:rPr>
          <w:rFonts w:eastAsia="Calibri"/>
          <w:b/>
          <w:bCs/>
          <w:color w:val="000000"/>
          <w:sz w:val="22"/>
          <w:szCs w:val="22"/>
        </w:rPr>
        <w:t xml:space="preserve">kartą </w:t>
      </w:r>
      <w:r w:rsidRPr="00776407">
        <w:rPr>
          <w:rFonts w:eastAsia="Calibri"/>
          <w:color w:val="000000"/>
          <w:sz w:val="22"/>
          <w:szCs w:val="22"/>
        </w:rPr>
        <w:t xml:space="preserve">per parą. </w:t>
      </w:r>
    </w:p>
    <w:p w14:paraId="6E64AC95" w14:textId="77777777" w:rsidR="00ED3181" w:rsidRPr="00776407" w:rsidRDefault="00ED3181" w:rsidP="00ED3181">
      <w:pPr>
        <w:autoSpaceDE w:val="0"/>
        <w:autoSpaceDN w:val="0"/>
        <w:adjustRightInd w:val="0"/>
        <w:ind w:left="720"/>
        <w:rPr>
          <w:rFonts w:eastAsia="Calibri"/>
          <w:color w:val="000000"/>
          <w:sz w:val="22"/>
          <w:szCs w:val="22"/>
        </w:rPr>
      </w:pPr>
    </w:p>
    <w:p w14:paraId="273DCFE2" w14:textId="77777777" w:rsidR="00ED3181" w:rsidRPr="00776407" w:rsidRDefault="00ED3181"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Jeigu gydoma DFSP: </w:t>
      </w:r>
    </w:p>
    <w:p w14:paraId="095CDF68" w14:textId="77777777" w:rsidR="00ED3181" w:rsidRPr="00776407" w:rsidRDefault="00ED3181" w:rsidP="00ED3181">
      <w:pPr>
        <w:autoSpaceDE w:val="0"/>
        <w:autoSpaceDN w:val="0"/>
        <w:adjustRightInd w:val="0"/>
        <w:ind w:firstLine="720"/>
        <w:rPr>
          <w:rFonts w:eastAsia="Calibri"/>
          <w:color w:val="000000"/>
          <w:sz w:val="22"/>
          <w:szCs w:val="22"/>
        </w:rPr>
      </w:pPr>
      <w:r w:rsidRPr="00776407">
        <w:rPr>
          <w:rFonts w:eastAsia="Calibri"/>
          <w:color w:val="000000"/>
          <w:sz w:val="22"/>
          <w:szCs w:val="22"/>
        </w:rPr>
        <w:t>Dozė yra 800</w:t>
      </w:r>
      <w:r w:rsidR="000C7920" w:rsidRPr="00776407">
        <w:rPr>
          <w:rFonts w:eastAsia="Calibri"/>
          <w:color w:val="000000"/>
          <w:sz w:val="22"/>
          <w:szCs w:val="22"/>
        </w:rPr>
        <w:t> </w:t>
      </w:r>
      <w:r w:rsidRPr="00776407">
        <w:rPr>
          <w:rFonts w:eastAsia="Calibri"/>
          <w:color w:val="000000"/>
          <w:sz w:val="22"/>
          <w:szCs w:val="22"/>
        </w:rPr>
        <w:t>mg per parą (8</w:t>
      </w:r>
      <w:r w:rsidR="000C7920" w:rsidRPr="00776407">
        <w:rPr>
          <w:rFonts w:eastAsia="Calibri"/>
          <w:color w:val="000000"/>
          <w:sz w:val="22"/>
          <w:szCs w:val="22"/>
        </w:rPr>
        <w:t> </w:t>
      </w:r>
      <w:r w:rsidRPr="00776407">
        <w:rPr>
          <w:rFonts w:eastAsia="Calibri"/>
          <w:color w:val="000000"/>
          <w:sz w:val="22"/>
          <w:szCs w:val="22"/>
        </w:rPr>
        <w:t>tabletės), vartojant po 4</w:t>
      </w:r>
      <w:r w:rsidR="000C7920" w:rsidRPr="00776407">
        <w:rPr>
          <w:rFonts w:eastAsia="Calibri"/>
          <w:color w:val="000000"/>
          <w:sz w:val="22"/>
          <w:szCs w:val="22"/>
        </w:rPr>
        <w:t> </w:t>
      </w:r>
      <w:r w:rsidRPr="00776407">
        <w:rPr>
          <w:rFonts w:eastAsia="Calibri"/>
          <w:color w:val="000000"/>
          <w:sz w:val="22"/>
          <w:szCs w:val="22"/>
        </w:rPr>
        <w:t>tabletes</w:t>
      </w:r>
      <w:r w:rsidR="000C7920" w:rsidRPr="00776407">
        <w:rPr>
          <w:rFonts w:eastAsia="Calibri"/>
          <w:color w:val="000000"/>
          <w:sz w:val="22"/>
          <w:szCs w:val="22"/>
        </w:rPr>
        <w:t xml:space="preserve"> ryte ir 4 </w:t>
      </w:r>
      <w:r w:rsidRPr="00776407">
        <w:rPr>
          <w:rFonts w:eastAsia="Calibri"/>
          <w:color w:val="000000"/>
          <w:sz w:val="22"/>
          <w:szCs w:val="22"/>
        </w:rPr>
        <w:t>tabletes vakare.</w:t>
      </w:r>
    </w:p>
    <w:p w14:paraId="4AF34523" w14:textId="77777777" w:rsidR="00ED3181" w:rsidRPr="00776407" w:rsidRDefault="00ED3181" w:rsidP="00ED3181">
      <w:pPr>
        <w:autoSpaceDE w:val="0"/>
        <w:autoSpaceDN w:val="0"/>
        <w:adjustRightInd w:val="0"/>
        <w:ind w:firstLine="720"/>
        <w:rPr>
          <w:rFonts w:eastAsia="Calibri"/>
          <w:color w:val="000000"/>
          <w:sz w:val="22"/>
          <w:szCs w:val="22"/>
        </w:rPr>
      </w:pPr>
    </w:p>
    <w:p w14:paraId="71B03DEF"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Vartojimas vaikams ir paaugliams </w:t>
      </w:r>
    </w:p>
    <w:p w14:paraId="1144DB16" w14:textId="77777777" w:rsidR="00EA3736"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Gydytojas nurodys, kiek Imatinib Actavis kapsulių reikia duoti gerti vaikui. Imatinib Actavis dozė priklausys nuo vaiko būklės, kūno masės ir ūgio. </w:t>
      </w:r>
    </w:p>
    <w:p w14:paraId="199585C7"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Bendroji </w:t>
      </w:r>
      <w:r w:rsidR="00EA3736" w:rsidRPr="00776407">
        <w:rPr>
          <w:rFonts w:eastAsia="Calibri"/>
          <w:sz w:val="22"/>
          <w:szCs w:val="22"/>
        </w:rPr>
        <w:t xml:space="preserve">nuo LML gydomų </w:t>
      </w:r>
      <w:r w:rsidRPr="00776407">
        <w:rPr>
          <w:rFonts w:eastAsia="Calibri"/>
          <w:sz w:val="22"/>
          <w:szCs w:val="22"/>
        </w:rPr>
        <w:t>vaikų paros dozė neturi būti didesnė kaip 800</w:t>
      </w:r>
      <w:r w:rsidR="0093512A" w:rsidRPr="00776407">
        <w:rPr>
          <w:rFonts w:eastAsia="Calibri"/>
          <w:sz w:val="22"/>
          <w:szCs w:val="22"/>
        </w:rPr>
        <w:t> </w:t>
      </w:r>
      <w:r w:rsidRPr="00776407">
        <w:rPr>
          <w:rFonts w:eastAsia="Calibri"/>
          <w:sz w:val="22"/>
          <w:szCs w:val="22"/>
        </w:rPr>
        <w:t>mg</w:t>
      </w:r>
      <w:r w:rsidR="00C73DBE" w:rsidRPr="00776407">
        <w:rPr>
          <w:rFonts w:eastAsia="Calibri"/>
          <w:sz w:val="22"/>
          <w:szCs w:val="22"/>
        </w:rPr>
        <w:t xml:space="preserve"> </w:t>
      </w:r>
      <w:r w:rsidR="00933B52" w:rsidRPr="00776407">
        <w:rPr>
          <w:rFonts w:eastAsia="Calibri"/>
          <w:sz w:val="22"/>
          <w:szCs w:val="22"/>
        </w:rPr>
        <w:t>ir 600 mg, sergančių Ph+ ŪLL</w:t>
      </w:r>
      <w:r w:rsidRPr="00776407">
        <w:rPr>
          <w:rFonts w:eastAsia="Calibri"/>
          <w:sz w:val="22"/>
          <w:szCs w:val="22"/>
        </w:rPr>
        <w:t xml:space="preserve">. Vaistą galima vartoti vieną kartą per parą arba paros dozę padalyti į dvi dalis (pusę dozės vartoti ryte ir kitą pusę – vakare). </w:t>
      </w:r>
    </w:p>
    <w:p w14:paraId="1839F245" w14:textId="77777777" w:rsidR="00BE3C08" w:rsidRPr="00776407" w:rsidRDefault="00BE3C08" w:rsidP="00BE3C08">
      <w:pPr>
        <w:autoSpaceDE w:val="0"/>
        <w:autoSpaceDN w:val="0"/>
        <w:adjustRightInd w:val="0"/>
        <w:rPr>
          <w:rFonts w:eastAsia="Calibri"/>
          <w:sz w:val="22"/>
          <w:szCs w:val="22"/>
        </w:rPr>
      </w:pPr>
    </w:p>
    <w:p w14:paraId="021005C8"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Kada ir kaip vartoti Imatinib Actavis </w:t>
      </w:r>
    </w:p>
    <w:p w14:paraId="3BBA6C6C" w14:textId="77777777" w:rsidR="00BE3C08" w:rsidRPr="00776407" w:rsidRDefault="00BE3C08" w:rsidP="00BE3C08">
      <w:pPr>
        <w:autoSpaceDE w:val="0"/>
        <w:autoSpaceDN w:val="0"/>
        <w:adjustRightInd w:val="0"/>
        <w:spacing w:after="21"/>
        <w:ind w:left="720" w:hanging="720"/>
        <w:rPr>
          <w:rFonts w:eastAsia="Calibri"/>
          <w:sz w:val="22"/>
          <w:szCs w:val="22"/>
        </w:rPr>
      </w:pPr>
      <w:r w:rsidRPr="00776407">
        <w:rPr>
          <w:rFonts w:eastAsia="Calibri"/>
          <w:sz w:val="22"/>
          <w:szCs w:val="22"/>
        </w:rPr>
        <w:t>-</w:t>
      </w:r>
      <w:r w:rsidRPr="00776407">
        <w:rPr>
          <w:rFonts w:eastAsia="Calibri"/>
          <w:sz w:val="22"/>
          <w:szCs w:val="22"/>
        </w:rPr>
        <w:tab/>
      </w:r>
      <w:r w:rsidRPr="00776407">
        <w:rPr>
          <w:rFonts w:eastAsia="Calibri"/>
          <w:b/>
          <w:bCs/>
          <w:sz w:val="22"/>
          <w:szCs w:val="22"/>
        </w:rPr>
        <w:t xml:space="preserve">Imatinib Actavis gerkite valgio metu. </w:t>
      </w:r>
      <w:r w:rsidRPr="00776407">
        <w:rPr>
          <w:rFonts w:eastAsia="Calibri"/>
          <w:sz w:val="22"/>
          <w:szCs w:val="22"/>
        </w:rPr>
        <w:t xml:space="preserve">Tai padės išvengti skrandžio sutrikimų Imatinib Actavis vartojimo metu. </w:t>
      </w:r>
    </w:p>
    <w:p w14:paraId="79DE4FDD" w14:textId="77777777" w:rsidR="00BE3C08" w:rsidRPr="00776407" w:rsidRDefault="00BE3C08" w:rsidP="0093512A">
      <w:pPr>
        <w:autoSpaceDE w:val="0"/>
        <w:autoSpaceDN w:val="0"/>
        <w:adjustRightInd w:val="0"/>
        <w:spacing w:after="21"/>
        <w:ind w:left="720" w:hanging="720"/>
        <w:rPr>
          <w:rFonts w:eastAsia="Calibri"/>
          <w:sz w:val="22"/>
          <w:szCs w:val="22"/>
        </w:rPr>
      </w:pPr>
      <w:r w:rsidRPr="00776407">
        <w:rPr>
          <w:rFonts w:eastAsia="Calibri"/>
          <w:sz w:val="22"/>
          <w:szCs w:val="22"/>
        </w:rPr>
        <w:t>-</w:t>
      </w:r>
      <w:r w:rsidRPr="00776407">
        <w:rPr>
          <w:rFonts w:eastAsia="Calibri"/>
          <w:sz w:val="22"/>
          <w:szCs w:val="22"/>
        </w:rPr>
        <w:tab/>
      </w:r>
      <w:r w:rsidRPr="00776407">
        <w:rPr>
          <w:rFonts w:eastAsia="Calibri"/>
          <w:b/>
          <w:bCs/>
          <w:sz w:val="22"/>
          <w:szCs w:val="22"/>
        </w:rPr>
        <w:t xml:space="preserve">Nurykite visą </w:t>
      </w:r>
      <w:r w:rsidR="0093512A" w:rsidRPr="00776407">
        <w:rPr>
          <w:rFonts w:eastAsia="Calibri"/>
          <w:b/>
          <w:bCs/>
          <w:sz w:val="22"/>
          <w:szCs w:val="22"/>
        </w:rPr>
        <w:t>tabletę</w:t>
      </w:r>
      <w:r w:rsidRPr="00776407">
        <w:rPr>
          <w:rFonts w:eastAsia="Calibri"/>
          <w:b/>
          <w:bCs/>
          <w:sz w:val="22"/>
          <w:szCs w:val="22"/>
        </w:rPr>
        <w:t xml:space="preserve"> užgerdami didele stikline vandens. </w:t>
      </w:r>
    </w:p>
    <w:p w14:paraId="60AABFF4" w14:textId="77777777" w:rsidR="00BE3C08" w:rsidRPr="00776407" w:rsidRDefault="0093512A" w:rsidP="00BE3C08">
      <w:pPr>
        <w:autoSpaceDE w:val="0"/>
        <w:autoSpaceDN w:val="0"/>
        <w:adjustRightInd w:val="0"/>
        <w:rPr>
          <w:rFonts w:eastAsia="Calibri"/>
          <w:sz w:val="22"/>
          <w:szCs w:val="22"/>
        </w:rPr>
      </w:pPr>
      <w:r w:rsidRPr="00776407">
        <w:rPr>
          <w:rFonts w:eastAsia="Calibri"/>
          <w:sz w:val="22"/>
          <w:szCs w:val="22"/>
        </w:rPr>
        <w:t>Tabletę galima padalinti į lygias dozes.</w:t>
      </w:r>
    </w:p>
    <w:p w14:paraId="1192D86C" w14:textId="77777777" w:rsidR="0093512A" w:rsidRPr="00776407" w:rsidRDefault="0093512A" w:rsidP="00BE3C08">
      <w:pPr>
        <w:autoSpaceDE w:val="0"/>
        <w:autoSpaceDN w:val="0"/>
        <w:adjustRightInd w:val="0"/>
        <w:rPr>
          <w:rFonts w:eastAsia="Calibri"/>
          <w:sz w:val="22"/>
          <w:szCs w:val="22"/>
        </w:rPr>
      </w:pPr>
    </w:p>
    <w:p w14:paraId="49856679" w14:textId="77777777" w:rsidR="000A0EAC" w:rsidRPr="00776407" w:rsidRDefault="000A0EAC" w:rsidP="000A0EAC">
      <w:pPr>
        <w:rPr>
          <w:sz w:val="22"/>
          <w:szCs w:val="22"/>
        </w:rPr>
      </w:pPr>
      <w:r w:rsidRPr="00776407">
        <w:rPr>
          <w:sz w:val="22"/>
          <w:szCs w:val="22"/>
        </w:rPr>
        <w:t xml:space="preserve">Jei negalite nuryti tablečių, jas galima ištirpinti </w:t>
      </w:r>
      <w:r w:rsidR="00BC75A7" w:rsidRPr="00776407">
        <w:rPr>
          <w:sz w:val="22"/>
          <w:szCs w:val="22"/>
        </w:rPr>
        <w:t xml:space="preserve">gazuoto arba </w:t>
      </w:r>
      <w:r w:rsidRPr="00776407">
        <w:rPr>
          <w:sz w:val="22"/>
          <w:szCs w:val="22"/>
        </w:rPr>
        <w:t xml:space="preserve">negazuoto vandens ar obuolių sulčių stiklinėje. </w:t>
      </w:r>
    </w:p>
    <w:p w14:paraId="1DB9157D" w14:textId="77777777" w:rsidR="000A0EAC" w:rsidRPr="00776407" w:rsidRDefault="000A0EAC" w:rsidP="00864BE6">
      <w:pPr>
        <w:pStyle w:val="Listenabsatz"/>
        <w:numPr>
          <w:ilvl w:val="0"/>
          <w:numId w:val="1"/>
        </w:numPr>
        <w:rPr>
          <w:sz w:val="22"/>
          <w:szCs w:val="22"/>
        </w:rPr>
      </w:pPr>
      <w:r w:rsidRPr="00776407">
        <w:rPr>
          <w:sz w:val="22"/>
          <w:szCs w:val="22"/>
        </w:rPr>
        <w:t>Panaudokite apie 50 ml kiekvienai 100 mg tabletei ištirpinti</w:t>
      </w:r>
      <w:r w:rsidR="00EA3736" w:rsidRPr="00776407">
        <w:rPr>
          <w:sz w:val="22"/>
          <w:szCs w:val="22"/>
        </w:rPr>
        <w:t>.</w:t>
      </w:r>
    </w:p>
    <w:p w14:paraId="607A149B" w14:textId="77777777" w:rsidR="000A0EAC" w:rsidRPr="00776407" w:rsidRDefault="000A0EAC" w:rsidP="00864BE6">
      <w:pPr>
        <w:pStyle w:val="Listenabsatz"/>
        <w:numPr>
          <w:ilvl w:val="0"/>
          <w:numId w:val="1"/>
        </w:numPr>
        <w:rPr>
          <w:sz w:val="22"/>
          <w:szCs w:val="22"/>
        </w:rPr>
      </w:pPr>
      <w:r w:rsidRPr="00776407">
        <w:rPr>
          <w:sz w:val="22"/>
          <w:szCs w:val="22"/>
        </w:rPr>
        <w:t>Maišykite šaukštu, kol tabletės visiškai ištirps.</w:t>
      </w:r>
    </w:p>
    <w:p w14:paraId="467560FD" w14:textId="77777777" w:rsidR="000A0EAC" w:rsidRPr="00776407" w:rsidRDefault="000A0EAC" w:rsidP="00864BE6">
      <w:pPr>
        <w:pStyle w:val="Listenabsatz"/>
        <w:numPr>
          <w:ilvl w:val="0"/>
          <w:numId w:val="1"/>
        </w:numPr>
        <w:rPr>
          <w:sz w:val="22"/>
          <w:szCs w:val="22"/>
        </w:rPr>
      </w:pPr>
      <w:r w:rsidRPr="00776407">
        <w:rPr>
          <w:sz w:val="22"/>
          <w:szCs w:val="22"/>
        </w:rPr>
        <w:t>Kai tabletės ištirpsta, nedelsiant išgerkite visą stiklinės turinį. Stiklinės dugne gali likti ištirpusios tabletės pėdsakų.</w:t>
      </w:r>
    </w:p>
    <w:p w14:paraId="2016AC38" w14:textId="77777777" w:rsidR="000A0EAC" w:rsidRPr="00776407" w:rsidRDefault="000A0EAC" w:rsidP="00BE3C08">
      <w:pPr>
        <w:autoSpaceDE w:val="0"/>
        <w:autoSpaceDN w:val="0"/>
        <w:adjustRightInd w:val="0"/>
        <w:rPr>
          <w:rFonts w:eastAsia="Calibri"/>
          <w:sz w:val="22"/>
          <w:szCs w:val="22"/>
        </w:rPr>
      </w:pPr>
    </w:p>
    <w:p w14:paraId="20D99FCF"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Kaip ilgai vartoti Imatinib Actavis </w:t>
      </w:r>
    </w:p>
    <w:p w14:paraId="57D49C45"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Imatinib Actavis vartokite kasdien, tiek laiko, kiek nurodė Jūsų gydytojas. </w:t>
      </w:r>
    </w:p>
    <w:p w14:paraId="127BD544" w14:textId="77777777" w:rsidR="00BE3C08" w:rsidRPr="00776407" w:rsidRDefault="00BE3C08" w:rsidP="00BE3C08">
      <w:pPr>
        <w:autoSpaceDE w:val="0"/>
        <w:autoSpaceDN w:val="0"/>
        <w:adjustRightInd w:val="0"/>
        <w:rPr>
          <w:rFonts w:eastAsia="Calibri"/>
          <w:sz w:val="22"/>
          <w:szCs w:val="22"/>
        </w:rPr>
      </w:pPr>
    </w:p>
    <w:p w14:paraId="33B14F25"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Ką daryti pavartojus per didelę Imatinib Actavis dozę? </w:t>
      </w:r>
    </w:p>
    <w:p w14:paraId="3436162F"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Jei atsitiktinai išgėrėte per daug kapsulių, </w:t>
      </w:r>
      <w:r w:rsidRPr="00776407">
        <w:rPr>
          <w:rFonts w:eastAsia="Calibri"/>
          <w:b/>
          <w:bCs/>
          <w:sz w:val="22"/>
          <w:szCs w:val="22"/>
        </w:rPr>
        <w:t xml:space="preserve">iš karto </w:t>
      </w:r>
      <w:r w:rsidRPr="00776407">
        <w:rPr>
          <w:rFonts w:eastAsia="Calibri"/>
          <w:sz w:val="22"/>
          <w:szCs w:val="22"/>
        </w:rPr>
        <w:t xml:space="preserve">kreipkitės į gydytoją. Jums gali prireikti medicininės pagalbos. Pasiimkite su savimi vaisto pakuotę. </w:t>
      </w:r>
    </w:p>
    <w:p w14:paraId="19FDD774" w14:textId="77777777" w:rsidR="00BE3C08" w:rsidRPr="00776407" w:rsidRDefault="00BE3C08" w:rsidP="00BE3C08">
      <w:pPr>
        <w:autoSpaceDE w:val="0"/>
        <w:autoSpaceDN w:val="0"/>
        <w:adjustRightInd w:val="0"/>
        <w:rPr>
          <w:rFonts w:eastAsia="Calibri"/>
          <w:b/>
          <w:bCs/>
          <w:sz w:val="22"/>
          <w:szCs w:val="22"/>
        </w:rPr>
      </w:pPr>
    </w:p>
    <w:p w14:paraId="3A3F3078"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Pamiršus pavartoti Imatinib Actavis </w:t>
      </w:r>
    </w:p>
    <w:p w14:paraId="25332F55" w14:textId="77777777" w:rsidR="00BE3C08" w:rsidRPr="00776407" w:rsidRDefault="00BE3C08" w:rsidP="00BE3C08">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Pamiršus pavartoti vaisto dozę, ją išgerkite kai tik prisiminėte. Tačiau jei jau beveik laikas gerti kitą dozę, praleistos dozės nevartokite. </w:t>
      </w:r>
    </w:p>
    <w:p w14:paraId="37AB8B26" w14:textId="77777777" w:rsidR="00BE3C08" w:rsidRPr="00776407" w:rsidRDefault="00BE3C08" w:rsidP="00BE3C08">
      <w:pPr>
        <w:autoSpaceDE w:val="0"/>
        <w:autoSpaceDN w:val="0"/>
        <w:adjustRightInd w:val="0"/>
        <w:spacing w:after="23"/>
        <w:rPr>
          <w:rFonts w:eastAsia="Calibri"/>
          <w:sz w:val="22"/>
          <w:szCs w:val="22"/>
        </w:rPr>
      </w:pPr>
      <w:r w:rsidRPr="00776407">
        <w:rPr>
          <w:rFonts w:eastAsia="Calibri"/>
          <w:sz w:val="22"/>
          <w:szCs w:val="22"/>
        </w:rPr>
        <w:t>-</w:t>
      </w:r>
      <w:r w:rsidRPr="00776407">
        <w:rPr>
          <w:rFonts w:eastAsia="Calibri"/>
          <w:sz w:val="22"/>
          <w:szCs w:val="22"/>
        </w:rPr>
        <w:tab/>
        <w:t xml:space="preserve">Vėliau tęskite vaisto vartojimą įprastu režimu. </w:t>
      </w:r>
    </w:p>
    <w:p w14:paraId="4B05FE48"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t xml:space="preserve">Negalima vartoti dvigubos dozės norint kompensuoti praleistą dozę. </w:t>
      </w:r>
    </w:p>
    <w:p w14:paraId="3FF8E2F4" w14:textId="77777777" w:rsidR="00BE3C08" w:rsidRPr="00776407" w:rsidRDefault="00BE3C08" w:rsidP="00BE3C08">
      <w:pPr>
        <w:autoSpaceDE w:val="0"/>
        <w:autoSpaceDN w:val="0"/>
        <w:adjustRightInd w:val="0"/>
        <w:rPr>
          <w:rFonts w:eastAsia="Calibri"/>
          <w:sz w:val="22"/>
          <w:szCs w:val="22"/>
        </w:rPr>
      </w:pPr>
    </w:p>
    <w:p w14:paraId="4A277977"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Jeigu kiltų daugiau klausimų dėl šio vaisto vartojimo, kreipkitės į gydytoją, vaistininką arba slaugytoją. </w:t>
      </w:r>
    </w:p>
    <w:p w14:paraId="676BA75D" w14:textId="77777777" w:rsidR="00BE3C08" w:rsidRPr="00776407" w:rsidRDefault="00BE3C08" w:rsidP="00BE3C08">
      <w:pPr>
        <w:autoSpaceDE w:val="0"/>
        <w:autoSpaceDN w:val="0"/>
        <w:adjustRightInd w:val="0"/>
        <w:rPr>
          <w:rFonts w:eastAsia="Calibri"/>
          <w:sz w:val="22"/>
          <w:szCs w:val="22"/>
        </w:rPr>
      </w:pPr>
    </w:p>
    <w:p w14:paraId="28009286" w14:textId="77777777" w:rsidR="00FC4878" w:rsidRPr="00776407" w:rsidRDefault="00FC4878" w:rsidP="00BE3C08">
      <w:pPr>
        <w:autoSpaceDE w:val="0"/>
        <w:autoSpaceDN w:val="0"/>
        <w:adjustRightInd w:val="0"/>
        <w:rPr>
          <w:rFonts w:eastAsia="Calibri"/>
          <w:sz w:val="22"/>
          <w:szCs w:val="22"/>
        </w:rPr>
      </w:pPr>
    </w:p>
    <w:p w14:paraId="3901DC32" w14:textId="77777777" w:rsidR="00BE3C08" w:rsidRPr="00776407" w:rsidRDefault="00BE3C08" w:rsidP="00864BE6">
      <w:pPr>
        <w:pStyle w:val="Listenabsatz"/>
        <w:numPr>
          <w:ilvl w:val="0"/>
          <w:numId w:val="7"/>
        </w:numPr>
        <w:autoSpaceDE w:val="0"/>
        <w:autoSpaceDN w:val="0"/>
        <w:adjustRightInd w:val="0"/>
        <w:ind w:hanging="720"/>
        <w:rPr>
          <w:rFonts w:eastAsia="Calibri"/>
          <w:b/>
          <w:sz w:val="22"/>
          <w:szCs w:val="22"/>
        </w:rPr>
      </w:pPr>
      <w:r w:rsidRPr="00776407">
        <w:rPr>
          <w:rFonts w:eastAsia="Calibri"/>
          <w:b/>
          <w:sz w:val="22"/>
          <w:szCs w:val="22"/>
        </w:rPr>
        <w:t>Galimas šalutinis poveikis</w:t>
      </w:r>
    </w:p>
    <w:p w14:paraId="176948E0" w14:textId="77777777" w:rsidR="00BE3C08" w:rsidRPr="00776407" w:rsidRDefault="00BE3C08" w:rsidP="00BE3C08">
      <w:pPr>
        <w:autoSpaceDE w:val="0"/>
        <w:autoSpaceDN w:val="0"/>
        <w:adjustRightInd w:val="0"/>
        <w:rPr>
          <w:rFonts w:eastAsia="Calibri"/>
          <w:sz w:val="22"/>
          <w:szCs w:val="22"/>
        </w:rPr>
      </w:pPr>
    </w:p>
    <w:p w14:paraId="3D1D83A1"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Šis vaistas, kaip ir visi kiti, gali sukelti šalutinį poveikį, nors jis pasireiškia ne visiems žmonėms. Paprastai jis būna nesunkus ar vidutinio sunkumo. </w:t>
      </w:r>
    </w:p>
    <w:p w14:paraId="304F918E" w14:textId="77777777" w:rsidR="00BE3C08" w:rsidRPr="00776407" w:rsidRDefault="00BE3C08" w:rsidP="00BE3C08">
      <w:pPr>
        <w:autoSpaceDE w:val="0"/>
        <w:autoSpaceDN w:val="0"/>
        <w:adjustRightInd w:val="0"/>
        <w:rPr>
          <w:rFonts w:eastAsia="Calibri"/>
          <w:sz w:val="22"/>
          <w:szCs w:val="22"/>
        </w:rPr>
      </w:pPr>
    </w:p>
    <w:p w14:paraId="778FB4CC"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Kai kurie šalutiniai </w:t>
      </w:r>
      <w:r w:rsidR="005D54ED" w:rsidRPr="00776407">
        <w:rPr>
          <w:rFonts w:eastAsia="Calibri"/>
          <w:b/>
          <w:bCs/>
          <w:sz w:val="22"/>
          <w:szCs w:val="22"/>
        </w:rPr>
        <w:t>poveikiai</w:t>
      </w:r>
      <w:r w:rsidRPr="00776407">
        <w:rPr>
          <w:rFonts w:eastAsia="Calibri"/>
          <w:b/>
          <w:bCs/>
          <w:sz w:val="22"/>
          <w:szCs w:val="22"/>
        </w:rPr>
        <w:t xml:space="preserve"> gali būti sunkūs. Nedelsiant pasakykite gydytojui, jeigu Jums pasireikštų kuris nors iš toliau išvardytų </w:t>
      </w:r>
      <w:r w:rsidR="005D54ED" w:rsidRPr="00776407">
        <w:rPr>
          <w:rFonts w:eastAsia="Calibri"/>
          <w:b/>
          <w:bCs/>
          <w:sz w:val="22"/>
          <w:szCs w:val="22"/>
        </w:rPr>
        <w:t>poveikių</w:t>
      </w:r>
      <w:r w:rsidRPr="00776407">
        <w:rPr>
          <w:rFonts w:eastAsia="Calibri"/>
          <w:b/>
          <w:bCs/>
          <w:sz w:val="22"/>
          <w:szCs w:val="22"/>
        </w:rPr>
        <w:t xml:space="preserve">. </w:t>
      </w:r>
    </w:p>
    <w:p w14:paraId="5F17E97F" w14:textId="77777777" w:rsidR="00BE3C08" w:rsidRPr="00776407" w:rsidRDefault="00BE3C08" w:rsidP="00BE3C08">
      <w:pPr>
        <w:autoSpaceDE w:val="0"/>
        <w:autoSpaceDN w:val="0"/>
        <w:adjustRightInd w:val="0"/>
        <w:rPr>
          <w:rFonts w:eastAsia="Calibri"/>
          <w:b/>
          <w:bCs/>
          <w:sz w:val="22"/>
          <w:szCs w:val="22"/>
        </w:rPr>
      </w:pPr>
    </w:p>
    <w:p w14:paraId="3365A2DA"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Labai dažni </w:t>
      </w:r>
      <w:r w:rsidR="00EA3736" w:rsidRPr="00776407">
        <w:rPr>
          <w:rFonts w:eastAsia="Calibri"/>
          <w:bCs/>
          <w:sz w:val="22"/>
          <w:szCs w:val="22"/>
        </w:rPr>
        <w:t>(gali pasireikšti daugiau nei 1 žmogui iš 10)</w:t>
      </w:r>
      <w:r w:rsidR="00EA3736" w:rsidRPr="00776407">
        <w:rPr>
          <w:rFonts w:eastAsia="Calibri"/>
          <w:b/>
          <w:bCs/>
          <w:sz w:val="22"/>
          <w:szCs w:val="22"/>
        </w:rPr>
        <w:t xml:space="preserve"> </w:t>
      </w:r>
      <w:r w:rsidRPr="00776407">
        <w:rPr>
          <w:rFonts w:eastAsia="Calibri"/>
          <w:b/>
          <w:bCs/>
          <w:sz w:val="22"/>
          <w:szCs w:val="22"/>
        </w:rPr>
        <w:t xml:space="preserve">ir dažni </w:t>
      </w:r>
      <w:r w:rsidR="00EA3736" w:rsidRPr="00776407">
        <w:rPr>
          <w:rFonts w:eastAsia="Calibri"/>
          <w:bCs/>
          <w:sz w:val="22"/>
          <w:szCs w:val="22"/>
        </w:rPr>
        <w:t xml:space="preserve"> (gali pasireikšti iki 1 žmogaus iš 10)</w:t>
      </w:r>
      <w:r w:rsidR="00EA3736" w:rsidRPr="00776407">
        <w:rPr>
          <w:rFonts w:eastAsia="Calibri"/>
          <w:b/>
          <w:bCs/>
          <w:sz w:val="22"/>
          <w:szCs w:val="22"/>
        </w:rPr>
        <w:t>:</w:t>
      </w:r>
      <w:r w:rsidRPr="00776407">
        <w:rPr>
          <w:rFonts w:eastAsia="Calibri"/>
          <w:b/>
          <w:bCs/>
          <w:sz w:val="22"/>
          <w:szCs w:val="22"/>
        </w:rPr>
        <w:t xml:space="preserve"> </w:t>
      </w:r>
    </w:p>
    <w:p w14:paraId="5D254662" w14:textId="3C169CAB"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Greitai padidėjęs kūno svoris. Vartojant Imatinib Actavis organizme gali pradėti kauptis skystis (t.</w:t>
      </w:r>
      <w:r w:rsidR="00532218" w:rsidRPr="00776407">
        <w:rPr>
          <w:rFonts w:eastAsia="Calibri"/>
          <w:sz w:val="22"/>
          <w:szCs w:val="22"/>
        </w:rPr>
        <w:t> </w:t>
      </w:r>
      <w:r w:rsidRPr="00776407">
        <w:rPr>
          <w:rFonts w:eastAsia="Calibri"/>
          <w:sz w:val="22"/>
          <w:szCs w:val="22"/>
        </w:rPr>
        <w:t xml:space="preserve">y. pasireikšti sunkus skysčių susilaikymas). </w:t>
      </w:r>
    </w:p>
    <w:p w14:paraId="7A09F87D"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Infekcijos požymiai – pavyzdžiui, karščiavimas, stiprus šaltkrėtis, gerklės skausmas ar burnos išopėjimas. Imatinib Actavis gali sumažinti baltųjų kraujo kūnelių skaičių, todėl galite greičiau užsikrėsti infekcinėmis ligomis. </w:t>
      </w:r>
    </w:p>
    <w:p w14:paraId="6B8EB9E9" w14:textId="77777777" w:rsidR="00BE3C08" w:rsidRPr="00776407" w:rsidRDefault="00BE3C08" w:rsidP="00864BE6">
      <w:pPr>
        <w:pStyle w:val="Listenabsatz"/>
        <w:numPr>
          <w:ilvl w:val="0"/>
          <w:numId w:val="1"/>
        </w:numPr>
        <w:autoSpaceDE w:val="0"/>
        <w:autoSpaceDN w:val="0"/>
        <w:adjustRightInd w:val="0"/>
        <w:ind w:left="567" w:hanging="567"/>
        <w:rPr>
          <w:rFonts w:eastAsia="Calibri"/>
          <w:sz w:val="22"/>
          <w:szCs w:val="22"/>
        </w:rPr>
      </w:pPr>
      <w:r w:rsidRPr="00776407">
        <w:rPr>
          <w:rFonts w:eastAsia="Calibri"/>
          <w:sz w:val="22"/>
          <w:szCs w:val="22"/>
        </w:rPr>
        <w:t xml:space="preserve">Netikėtas kraujavimas ar mėlynių susidarymas (be jokio sužalojimo). </w:t>
      </w:r>
    </w:p>
    <w:p w14:paraId="5D7F0C10" w14:textId="77777777" w:rsidR="00BE3C08" w:rsidRPr="00776407" w:rsidRDefault="00BE3C08" w:rsidP="00BE3C08">
      <w:pPr>
        <w:autoSpaceDE w:val="0"/>
        <w:autoSpaceDN w:val="0"/>
        <w:adjustRightInd w:val="0"/>
        <w:rPr>
          <w:rFonts w:eastAsia="Calibri"/>
          <w:sz w:val="22"/>
          <w:szCs w:val="22"/>
        </w:rPr>
      </w:pPr>
    </w:p>
    <w:p w14:paraId="6DFEBBB8"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Nedažni </w:t>
      </w:r>
      <w:r w:rsidRPr="00776407">
        <w:rPr>
          <w:rFonts w:eastAsia="Calibri"/>
          <w:bCs/>
          <w:sz w:val="22"/>
          <w:szCs w:val="22"/>
        </w:rPr>
        <w:t>(gali pasireikšti iki 1 žmogaus iš 100)</w:t>
      </w:r>
      <w:r w:rsidRPr="00776407">
        <w:rPr>
          <w:rFonts w:eastAsia="Calibri"/>
          <w:b/>
          <w:bCs/>
          <w:sz w:val="22"/>
          <w:szCs w:val="22"/>
        </w:rPr>
        <w:t xml:space="preserve"> ir reti </w:t>
      </w:r>
      <w:r w:rsidRPr="00776407">
        <w:rPr>
          <w:rFonts w:eastAsia="Calibri"/>
          <w:bCs/>
          <w:sz w:val="22"/>
          <w:szCs w:val="22"/>
        </w:rPr>
        <w:t>(gali pasireikšti iki 1 žmogaus iš 1 000):</w:t>
      </w:r>
      <w:r w:rsidRPr="00776407">
        <w:rPr>
          <w:rFonts w:eastAsia="Calibri"/>
          <w:b/>
          <w:bCs/>
          <w:sz w:val="22"/>
          <w:szCs w:val="22"/>
        </w:rPr>
        <w:t xml:space="preserve"> </w:t>
      </w:r>
    </w:p>
    <w:p w14:paraId="60746FFD"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Skausmas krūtinėje, nereguliarus širdies ritmas (širdies sutrikimų požymiai). </w:t>
      </w:r>
    </w:p>
    <w:p w14:paraId="6DF91759"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Kosulys, pasunkėjęs kvėpavimas arba skausmingas kvėpavimas (plaučių sutrikimų požymiai). </w:t>
      </w:r>
    </w:p>
    <w:p w14:paraId="08019464"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Apsvaigimas, galvos svaigimas ar alpimas (žemo kraujospūdžio požymiai). </w:t>
      </w:r>
    </w:p>
    <w:p w14:paraId="3FA678E6"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Šleikštulys (pykinimas), taip pat apetito trūkumas, </w:t>
      </w:r>
      <w:r w:rsidR="00B47CFC" w:rsidRPr="00776407">
        <w:rPr>
          <w:rFonts w:eastAsia="Calibri"/>
          <w:sz w:val="22"/>
          <w:szCs w:val="22"/>
        </w:rPr>
        <w:t>tamsus šlapimas</w:t>
      </w:r>
      <w:r w:rsidRPr="00776407">
        <w:rPr>
          <w:rFonts w:eastAsia="Calibri"/>
          <w:sz w:val="22"/>
          <w:szCs w:val="22"/>
        </w:rPr>
        <w:t xml:space="preserve">, pageltusi oda ar akių baltymai (kepenų sutrikimų požymiai). </w:t>
      </w:r>
    </w:p>
    <w:p w14:paraId="7078EEB6" w14:textId="77777777" w:rsidR="00BE3C08" w:rsidRPr="00776407" w:rsidRDefault="005D54ED"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Išb</w:t>
      </w:r>
      <w:r w:rsidR="00BE3C08" w:rsidRPr="00776407">
        <w:rPr>
          <w:rFonts w:eastAsia="Calibri"/>
          <w:sz w:val="22"/>
          <w:szCs w:val="22"/>
        </w:rPr>
        <w:t>ėrimas, odos paraudimas, taip pat pūslių atsiradimas ant lūpų, akių, odos arba burnos gleivinės, odos pleiskanojimas, karščiavimas, pakilę raudoni arba purpuriniai odos lopai, niež</w:t>
      </w:r>
      <w:r w:rsidRPr="00776407">
        <w:rPr>
          <w:rFonts w:eastAsia="Calibri"/>
          <w:sz w:val="22"/>
          <w:szCs w:val="22"/>
        </w:rPr>
        <w:t>ėjimas</w:t>
      </w:r>
      <w:r w:rsidR="00BE3C08" w:rsidRPr="00776407">
        <w:rPr>
          <w:rFonts w:eastAsia="Calibri"/>
          <w:sz w:val="22"/>
          <w:szCs w:val="22"/>
        </w:rPr>
        <w:t xml:space="preserve">, deginimo pojūtis, pūslinis </w:t>
      </w:r>
      <w:r w:rsidRPr="00776407">
        <w:rPr>
          <w:rFonts w:eastAsia="Calibri"/>
          <w:sz w:val="22"/>
          <w:szCs w:val="22"/>
        </w:rPr>
        <w:t>iš</w:t>
      </w:r>
      <w:r w:rsidR="00BE3C08" w:rsidRPr="00776407">
        <w:rPr>
          <w:rFonts w:eastAsia="Calibri"/>
          <w:sz w:val="22"/>
          <w:szCs w:val="22"/>
        </w:rPr>
        <w:t xml:space="preserve">bėrimas (odos sutrikimų požymiai). </w:t>
      </w:r>
    </w:p>
    <w:p w14:paraId="6A6AB02E"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Stiprus pilvo skausmas, vėmimas, tuštinimasis ar šlapinimasis su kraujo priemaiša, juodos spalvos išmatos (virškinimo trakto sutrikimų požymiai). </w:t>
      </w:r>
    </w:p>
    <w:p w14:paraId="19F5BC7D"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Labai sumažėjęs šlapimo kiekis, troškulys (inkstų sutrikimų požymiai). </w:t>
      </w:r>
    </w:p>
    <w:p w14:paraId="034CD0D8"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Šleikštulys (pykinimas) kartu su viduriavimu ir vėmimu, pilvo skausmas arba karščiavimas (žarnų sutrikimų požymiai). </w:t>
      </w:r>
    </w:p>
    <w:p w14:paraId="34F4A23F"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Stiprus galvos skausmas, silpnumas arba galūnių ar veido paralyžius, pasunkėjusi kalba, staigus sąmonės praradimas (nervų sistemos sutrikimų, pavyzdžiui, kraujavimo kaukolės ertmėje ar galvos smegenų patinimo, požymiai). </w:t>
      </w:r>
    </w:p>
    <w:p w14:paraId="28011213" w14:textId="77777777" w:rsidR="00BE3C08" w:rsidRPr="00776407" w:rsidRDefault="00BE3C08"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 xml:space="preserve">Išblyškusi oda, nuovargis ir dusulys, tamsus šlapimas (sumažėjusio raudonųjų kraujo ląstelių skaičiaus požymiai). </w:t>
      </w:r>
    </w:p>
    <w:p w14:paraId="4C1F1C72"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Akies skausmas ar pablogėjusi rega</w:t>
      </w:r>
      <w:r w:rsidR="00ED3181" w:rsidRPr="00776407">
        <w:rPr>
          <w:rFonts w:eastAsia="Calibri"/>
          <w:sz w:val="22"/>
          <w:szCs w:val="22"/>
        </w:rPr>
        <w:t>, kraujavimas į akies vidų</w:t>
      </w:r>
      <w:r w:rsidRPr="00776407">
        <w:rPr>
          <w:rFonts w:eastAsia="Calibri"/>
          <w:sz w:val="22"/>
          <w:szCs w:val="22"/>
        </w:rPr>
        <w:t xml:space="preserve">. </w:t>
      </w:r>
    </w:p>
    <w:p w14:paraId="60932E6F"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Skausmas klubo sąnariuose ar pasunkėjęs vaikščiojimas. </w:t>
      </w:r>
    </w:p>
    <w:p w14:paraId="09693D2E"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Kojų ir rankų pirštų nutirpimas ar šalimas (Raynaud‘s sindromo požymiai). </w:t>
      </w:r>
    </w:p>
    <w:p w14:paraId="255CD3EC"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Staigus odos patinimas ir paraudimas (odos infekcijos, vadinamos celiulitu, požymiai). </w:t>
      </w:r>
    </w:p>
    <w:p w14:paraId="753ABFC6"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Sutrikusi klausa. </w:t>
      </w:r>
    </w:p>
    <w:p w14:paraId="69DC143A"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Raumenų silpnumas ir spazmas kartu su sutrikusiu širdies ritmu (požymiai, rodantys, kad pakito kalio kiekis Jūsų kraujyje). </w:t>
      </w:r>
    </w:p>
    <w:p w14:paraId="3B00D44E"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Mėlynės. </w:t>
      </w:r>
    </w:p>
    <w:p w14:paraId="29DD8902"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Skrandžio skausmas kartu su šleikštuliu (pykinimu). </w:t>
      </w:r>
    </w:p>
    <w:p w14:paraId="32DDCEF2"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Raumenų spazmai ir kartu pasireiškiantis karščiavimas, raudonai rudos spalvos šlapimas, raumenų skausmas ar silpnumas (raumenų sutrikimų požymiai). </w:t>
      </w:r>
    </w:p>
    <w:p w14:paraId="0258DCC1" w14:textId="77777777" w:rsidR="00BE3C08" w:rsidRPr="00776407" w:rsidRDefault="00BE3C08"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Dubens srities skausmas, kartais kartu su pykinimu ir vėmimu, kartu su netikėtu kraujavimu iš makšties, galvos svaigimu ar alpimu dėl sumažėjusio kraujospūdžio (kiaušidžių ar gimdos sutrikimų požymiai). </w:t>
      </w:r>
    </w:p>
    <w:p w14:paraId="26198C7D" w14:textId="77777777" w:rsidR="00D67F3C" w:rsidRPr="00776407" w:rsidRDefault="00BE3C08" w:rsidP="00D67F3C">
      <w:pPr>
        <w:pStyle w:val="Listenabsatz"/>
        <w:numPr>
          <w:ilvl w:val="0"/>
          <w:numId w:val="1"/>
        </w:numPr>
        <w:rPr>
          <w:rFonts w:eastAsia="Calibri"/>
          <w:sz w:val="22"/>
          <w:szCs w:val="22"/>
        </w:rPr>
      </w:pPr>
      <w:r w:rsidRPr="00776407">
        <w:rPr>
          <w:rFonts w:eastAsia="Calibri"/>
          <w:sz w:val="22"/>
          <w:szCs w:val="22"/>
        </w:rPr>
        <w:t>Pykinimas, oro trūkumas, nereguliarus širdies ritmas, drumstas šlapimas, nuovargis ir</w:t>
      </w:r>
      <w:r w:rsidR="005D54ED" w:rsidRPr="00776407">
        <w:rPr>
          <w:rFonts w:eastAsia="Calibri"/>
          <w:sz w:val="22"/>
          <w:szCs w:val="22"/>
        </w:rPr>
        <w:t xml:space="preserve"> (</w:t>
      </w:r>
      <w:r w:rsidRPr="00776407">
        <w:rPr>
          <w:rFonts w:eastAsia="Calibri"/>
          <w:sz w:val="22"/>
          <w:szCs w:val="22"/>
        </w:rPr>
        <w:t>arba</w:t>
      </w:r>
      <w:r w:rsidR="005D54ED" w:rsidRPr="00776407">
        <w:rPr>
          <w:rFonts w:eastAsia="Calibri"/>
          <w:sz w:val="22"/>
          <w:szCs w:val="22"/>
        </w:rPr>
        <w:t>)</w:t>
      </w:r>
      <w:r w:rsidRPr="00776407">
        <w:rPr>
          <w:rFonts w:eastAsia="Calibri"/>
          <w:sz w:val="22"/>
          <w:szCs w:val="22"/>
        </w:rPr>
        <w:t xml:space="preserve"> sąnarių diskomfortas susijęs su anomaliais laboratorinių tyrimų rezultatais (pvz., didelis kalio, šlapimo rūgšties </w:t>
      </w:r>
      <w:r w:rsidR="00EA3736" w:rsidRPr="00776407">
        <w:rPr>
          <w:rFonts w:eastAsia="Calibri"/>
          <w:sz w:val="22"/>
          <w:szCs w:val="22"/>
        </w:rPr>
        <w:t xml:space="preserve">ir kalcio kiekis </w:t>
      </w:r>
      <w:r w:rsidRPr="00776407">
        <w:rPr>
          <w:rFonts w:eastAsia="Calibri"/>
          <w:sz w:val="22"/>
          <w:szCs w:val="22"/>
        </w:rPr>
        <w:t xml:space="preserve">ir </w:t>
      </w:r>
      <w:r w:rsidR="00EA3736" w:rsidRPr="00776407">
        <w:rPr>
          <w:rFonts w:eastAsia="Calibri"/>
          <w:sz w:val="22"/>
          <w:szCs w:val="22"/>
        </w:rPr>
        <w:t xml:space="preserve">mažas </w:t>
      </w:r>
      <w:r w:rsidRPr="00776407">
        <w:rPr>
          <w:rFonts w:eastAsia="Calibri"/>
          <w:sz w:val="22"/>
          <w:szCs w:val="22"/>
        </w:rPr>
        <w:t>fosforo</w:t>
      </w:r>
      <w:r w:rsidR="00EA3736" w:rsidRPr="00776407">
        <w:rPr>
          <w:rFonts w:eastAsia="Calibri"/>
          <w:sz w:val="22"/>
          <w:szCs w:val="22"/>
        </w:rPr>
        <w:t xml:space="preserve"> kiekis</w:t>
      </w:r>
      <w:r w:rsidRPr="00776407">
        <w:rPr>
          <w:rFonts w:eastAsia="Calibri"/>
          <w:sz w:val="22"/>
          <w:szCs w:val="22"/>
        </w:rPr>
        <w:t xml:space="preserve"> kraujyje). </w:t>
      </w:r>
    </w:p>
    <w:p w14:paraId="3D2F6FFA" w14:textId="77777777" w:rsidR="00BE3C08" w:rsidRPr="00776407" w:rsidRDefault="00D67F3C" w:rsidP="00D67F3C">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Kraujo krešulių susidarymas smulkiose kraujagyslėse (trombinė mikroangiopatija).</w:t>
      </w:r>
    </w:p>
    <w:p w14:paraId="5FE7AF1F" w14:textId="77777777" w:rsidR="00EA3736" w:rsidRPr="00776407" w:rsidRDefault="00EA3736" w:rsidP="00EA3736">
      <w:pPr>
        <w:pStyle w:val="Listenabsatz"/>
        <w:autoSpaceDE w:val="0"/>
        <w:autoSpaceDN w:val="0"/>
        <w:adjustRightInd w:val="0"/>
        <w:ind w:left="0"/>
        <w:rPr>
          <w:rFonts w:eastAsia="Calibri"/>
          <w:sz w:val="22"/>
          <w:szCs w:val="22"/>
        </w:rPr>
      </w:pPr>
    </w:p>
    <w:p w14:paraId="56362847" w14:textId="77777777" w:rsidR="00C73DBE" w:rsidRPr="00776407" w:rsidRDefault="00C73DBE" w:rsidP="00C73DBE">
      <w:pPr>
        <w:pStyle w:val="Listenabsatz"/>
        <w:autoSpaceDE w:val="0"/>
        <w:autoSpaceDN w:val="0"/>
        <w:adjustRightInd w:val="0"/>
        <w:ind w:left="0"/>
        <w:rPr>
          <w:rFonts w:eastAsia="Calibri"/>
          <w:sz w:val="22"/>
          <w:szCs w:val="22"/>
        </w:rPr>
      </w:pPr>
      <w:r w:rsidRPr="00776407">
        <w:rPr>
          <w:rFonts w:eastAsia="Calibri"/>
          <w:b/>
          <w:sz w:val="22"/>
          <w:szCs w:val="22"/>
        </w:rPr>
        <w:t xml:space="preserve">Dažnis nežinomas </w:t>
      </w:r>
      <w:r w:rsidRPr="00776407">
        <w:rPr>
          <w:rFonts w:eastAsia="Calibri"/>
          <w:sz w:val="22"/>
          <w:szCs w:val="22"/>
        </w:rPr>
        <w:t>(negali būti apskaičiuotas pagal turimus duomenis):</w:t>
      </w:r>
    </w:p>
    <w:p w14:paraId="76B41AD5" w14:textId="77777777" w:rsidR="00C73DBE" w:rsidRPr="00776407" w:rsidRDefault="00C73DBE"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Plačiai išplitęs stiprus odos išbėrimas kartu su pykinimu, karščiavimu, kai kurių baltųjų kraujo kūnelių skaičiaus padidėjimu arba odos ir akių pageltimu (geltos požymiai), lydimas dusulio, krūtinės skausmo/diskomforto, labai sumažėjusio šlapimo išsiskyrimo bei troškulio ir t.t. (alerginės reakcijos požymiai susiję su gydymu).</w:t>
      </w:r>
    </w:p>
    <w:p w14:paraId="767664EC" w14:textId="77777777" w:rsidR="00C73DBE" w:rsidRPr="00776407" w:rsidRDefault="00C73DBE"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Lėtinis inkstų nepakankamumas.</w:t>
      </w:r>
    </w:p>
    <w:p w14:paraId="370AA234" w14:textId="77777777" w:rsidR="00C73DBE" w:rsidRPr="00776407" w:rsidRDefault="00C73DBE"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Hepatito B infekcijos atsinaujinimas (reaktyvacija), jeigu praeityje jums buvo diagnozuotas hepatitas B (kepenų infekcija).</w:t>
      </w:r>
    </w:p>
    <w:p w14:paraId="2DFD7118" w14:textId="77777777" w:rsidR="00EA3736" w:rsidRPr="00776407" w:rsidRDefault="00EA3736" w:rsidP="00E93356">
      <w:pPr>
        <w:pStyle w:val="Listenabsatz"/>
        <w:autoSpaceDE w:val="0"/>
        <w:autoSpaceDN w:val="0"/>
        <w:adjustRightInd w:val="0"/>
        <w:ind w:left="0"/>
        <w:rPr>
          <w:rFonts w:eastAsia="Calibri"/>
          <w:sz w:val="22"/>
          <w:szCs w:val="22"/>
        </w:rPr>
      </w:pPr>
    </w:p>
    <w:p w14:paraId="6EE87524"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Jeigu Jums pasireikštų bet kuris iš anksčiau nurodytų </w:t>
      </w:r>
      <w:r w:rsidR="005D54ED" w:rsidRPr="00776407">
        <w:rPr>
          <w:rFonts w:eastAsia="Calibri"/>
          <w:sz w:val="22"/>
          <w:szCs w:val="22"/>
        </w:rPr>
        <w:t>poveikių</w:t>
      </w:r>
      <w:r w:rsidRPr="00776407">
        <w:rPr>
          <w:rFonts w:eastAsia="Calibri"/>
          <w:sz w:val="22"/>
          <w:szCs w:val="22"/>
        </w:rPr>
        <w:t xml:space="preserve">, </w:t>
      </w:r>
      <w:r w:rsidRPr="00776407">
        <w:rPr>
          <w:rFonts w:eastAsia="Calibri"/>
          <w:b/>
          <w:bCs/>
          <w:sz w:val="22"/>
          <w:szCs w:val="22"/>
        </w:rPr>
        <w:t xml:space="preserve">nedelsiant pasakykite gydytojui. </w:t>
      </w:r>
    </w:p>
    <w:p w14:paraId="66E2D498" w14:textId="77777777" w:rsidR="00BE3C08" w:rsidRPr="00776407" w:rsidRDefault="00BE3C08" w:rsidP="00BE3C08">
      <w:pPr>
        <w:autoSpaceDE w:val="0"/>
        <w:autoSpaceDN w:val="0"/>
        <w:adjustRightInd w:val="0"/>
        <w:rPr>
          <w:rFonts w:eastAsia="Calibri"/>
          <w:b/>
          <w:bCs/>
          <w:sz w:val="22"/>
          <w:szCs w:val="22"/>
        </w:rPr>
      </w:pPr>
    </w:p>
    <w:p w14:paraId="2702C86D"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Taip pat gali pasireikšti kiti šalutiniai </w:t>
      </w:r>
      <w:r w:rsidR="005D54ED" w:rsidRPr="00776407">
        <w:rPr>
          <w:rFonts w:eastAsia="Calibri"/>
          <w:b/>
          <w:bCs/>
          <w:sz w:val="22"/>
          <w:szCs w:val="22"/>
        </w:rPr>
        <w:t>poveikiai</w:t>
      </w:r>
      <w:r w:rsidRPr="00776407">
        <w:rPr>
          <w:rFonts w:eastAsia="Calibri"/>
          <w:b/>
          <w:bCs/>
          <w:sz w:val="22"/>
          <w:szCs w:val="22"/>
        </w:rPr>
        <w:t xml:space="preserve">: </w:t>
      </w:r>
    </w:p>
    <w:p w14:paraId="30CFC515" w14:textId="77777777" w:rsidR="00BE3C08" w:rsidRPr="00776407" w:rsidRDefault="00BE3C08" w:rsidP="00BE3C08">
      <w:pPr>
        <w:autoSpaceDE w:val="0"/>
        <w:autoSpaceDN w:val="0"/>
        <w:adjustRightInd w:val="0"/>
        <w:rPr>
          <w:rFonts w:eastAsia="Calibri"/>
          <w:b/>
          <w:bCs/>
          <w:sz w:val="22"/>
          <w:szCs w:val="22"/>
        </w:rPr>
      </w:pPr>
    </w:p>
    <w:p w14:paraId="2DC8750C" w14:textId="77777777" w:rsidR="00C73DBE" w:rsidRPr="00776407" w:rsidRDefault="00C73DBE" w:rsidP="00C73DBE">
      <w:pPr>
        <w:autoSpaceDE w:val="0"/>
        <w:autoSpaceDN w:val="0"/>
        <w:adjustRightInd w:val="0"/>
        <w:rPr>
          <w:rFonts w:eastAsia="Calibri"/>
          <w:sz w:val="22"/>
          <w:szCs w:val="22"/>
        </w:rPr>
      </w:pPr>
      <w:r w:rsidRPr="00776407">
        <w:rPr>
          <w:rFonts w:eastAsia="Calibri"/>
          <w:b/>
          <w:bCs/>
          <w:sz w:val="22"/>
          <w:szCs w:val="22"/>
        </w:rPr>
        <w:t xml:space="preserve">Labai dažni </w:t>
      </w:r>
      <w:r w:rsidRPr="00776407">
        <w:rPr>
          <w:rFonts w:eastAsia="Calibri"/>
          <w:bCs/>
          <w:sz w:val="22"/>
          <w:szCs w:val="22"/>
        </w:rPr>
        <w:t>(gali pasireikšti daugiau nei 1 žmogui iš 10):</w:t>
      </w:r>
      <w:r w:rsidRPr="00776407">
        <w:rPr>
          <w:rFonts w:eastAsia="Calibri"/>
          <w:b/>
          <w:bCs/>
          <w:sz w:val="22"/>
          <w:szCs w:val="22"/>
        </w:rPr>
        <w:t xml:space="preserve"> </w:t>
      </w:r>
    </w:p>
    <w:p w14:paraId="7E3F0C98"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Galvos skausmas ar nuovargis. </w:t>
      </w:r>
    </w:p>
    <w:p w14:paraId="53D32F1C"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Šleikštulys (pykinimas), vėmimas, viduriavimas ar nevirškinimas. </w:t>
      </w:r>
    </w:p>
    <w:p w14:paraId="67C323CE" w14:textId="77777777" w:rsidR="00BE3C08" w:rsidRPr="00776407" w:rsidRDefault="005D54ED"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Išb</w:t>
      </w:r>
      <w:r w:rsidR="00BE3C08" w:rsidRPr="00776407">
        <w:rPr>
          <w:rFonts w:eastAsia="Calibri"/>
          <w:sz w:val="22"/>
          <w:szCs w:val="22"/>
        </w:rPr>
        <w:t xml:space="preserve">ėrimas. </w:t>
      </w:r>
    </w:p>
    <w:p w14:paraId="44417F7C"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Raumenų mėšlungis arba sąnarių, raumenų ir kaulų skausmas</w:t>
      </w:r>
      <w:r w:rsidR="00951066" w:rsidRPr="00776407">
        <w:rPr>
          <w:rFonts w:eastAsia="Calibri"/>
          <w:sz w:val="22"/>
          <w:szCs w:val="22"/>
        </w:rPr>
        <w:t xml:space="preserve"> </w:t>
      </w:r>
      <w:r w:rsidR="006D099C" w:rsidRPr="00776407">
        <w:rPr>
          <w:rFonts w:eastAsia="Calibri"/>
          <w:sz w:val="22"/>
          <w:szCs w:val="22"/>
        </w:rPr>
        <w:t>imatinibo vartojimo metu arba nutraukus imatinibo vartojimą</w:t>
      </w:r>
      <w:r w:rsidRPr="00776407">
        <w:rPr>
          <w:rFonts w:eastAsia="Calibri"/>
          <w:sz w:val="22"/>
          <w:szCs w:val="22"/>
        </w:rPr>
        <w:t xml:space="preserve">. </w:t>
      </w:r>
    </w:p>
    <w:p w14:paraId="1FC4963C"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Tinimas, pavyzdžiui, patinusios kulkšnys ar paburkę akių vokai. </w:t>
      </w:r>
    </w:p>
    <w:p w14:paraId="53C43BA3" w14:textId="77777777" w:rsidR="00BE3C08" w:rsidRPr="00776407" w:rsidRDefault="00BE3C08" w:rsidP="00864BE6">
      <w:pPr>
        <w:pStyle w:val="Listenabsatz"/>
        <w:numPr>
          <w:ilvl w:val="0"/>
          <w:numId w:val="1"/>
        </w:numPr>
        <w:autoSpaceDE w:val="0"/>
        <w:autoSpaceDN w:val="0"/>
        <w:adjustRightInd w:val="0"/>
        <w:ind w:left="567" w:hanging="567"/>
        <w:rPr>
          <w:rFonts w:eastAsia="Calibri"/>
          <w:sz w:val="22"/>
          <w:szCs w:val="22"/>
        </w:rPr>
      </w:pPr>
      <w:r w:rsidRPr="00776407">
        <w:rPr>
          <w:rFonts w:eastAsia="Calibri"/>
          <w:sz w:val="22"/>
          <w:szCs w:val="22"/>
        </w:rPr>
        <w:t xml:space="preserve">Padidėjęs kūno svoris. </w:t>
      </w:r>
    </w:p>
    <w:p w14:paraId="2A30ACC4" w14:textId="77777777" w:rsidR="00BE3C08" w:rsidRPr="00776407" w:rsidRDefault="00BE3C08" w:rsidP="00BE3C08">
      <w:pPr>
        <w:autoSpaceDE w:val="0"/>
        <w:autoSpaceDN w:val="0"/>
        <w:adjustRightInd w:val="0"/>
        <w:rPr>
          <w:rFonts w:eastAsia="Calibri"/>
          <w:sz w:val="22"/>
          <w:szCs w:val="22"/>
        </w:rPr>
      </w:pPr>
    </w:p>
    <w:p w14:paraId="286098CC"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Jei bet kuris iš šių reiškinių tampa sunkiu, </w:t>
      </w:r>
      <w:r w:rsidRPr="00776407">
        <w:rPr>
          <w:rFonts w:eastAsia="Calibri"/>
          <w:b/>
          <w:bCs/>
          <w:sz w:val="22"/>
          <w:szCs w:val="22"/>
        </w:rPr>
        <w:t>pasakykite gydytojui</w:t>
      </w:r>
      <w:r w:rsidRPr="00776407">
        <w:rPr>
          <w:rFonts w:eastAsia="Calibri"/>
          <w:b/>
          <w:sz w:val="22"/>
          <w:szCs w:val="22"/>
        </w:rPr>
        <w:t>.</w:t>
      </w:r>
      <w:r w:rsidRPr="00776407">
        <w:rPr>
          <w:rFonts w:eastAsia="Calibri"/>
          <w:sz w:val="22"/>
          <w:szCs w:val="22"/>
        </w:rPr>
        <w:t xml:space="preserve"> </w:t>
      </w:r>
    </w:p>
    <w:p w14:paraId="1CD2896D" w14:textId="77777777" w:rsidR="00BE3C08" w:rsidRPr="00776407" w:rsidRDefault="00BE3C08" w:rsidP="00BE3C08">
      <w:pPr>
        <w:autoSpaceDE w:val="0"/>
        <w:autoSpaceDN w:val="0"/>
        <w:adjustRightInd w:val="0"/>
        <w:rPr>
          <w:rFonts w:eastAsia="Calibri"/>
          <w:b/>
          <w:bCs/>
          <w:sz w:val="22"/>
          <w:szCs w:val="22"/>
        </w:rPr>
      </w:pPr>
    </w:p>
    <w:p w14:paraId="53EEE0BB" w14:textId="77777777" w:rsidR="00C73DBE" w:rsidRPr="00776407" w:rsidRDefault="00C73DBE" w:rsidP="00C73DBE">
      <w:pPr>
        <w:autoSpaceDE w:val="0"/>
        <w:autoSpaceDN w:val="0"/>
        <w:adjustRightInd w:val="0"/>
        <w:rPr>
          <w:rFonts w:eastAsia="Calibri"/>
          <w:sz w:val="22"/>
          <w:szCs w:val="22"/>
        </w:rPr>
      </w:pPr>
      <w:r w:rsidRPr="00776407">
        <w:rPr>
          <w:rFonts w:eastAsia="Calibri"/>
          <w:b/>
          <w:bCs/>
          <w:sz w:val="22"/>
          <w:szCs w:val="22"/>
        </w:rPr>
        <w:t xml:space="preserve">Dažni </w:t>
      </w:r>
      <w:r w:rsidRPr="00776407">
        <w:rPr>
          <w:rFonts w:eastAsia="Calibri"/>
          <w:bCs/>
          <w:sz w:val="22"/>
          <w:szCs w:val="22"/>
        </w:rPr>
        <w:t>(gali pasireikšti iki 1 iš 10 žmonių):</w:t>
      </w:r>
      <w:r w:rsidRPr="00776407">
        <w:rPr>
          <w:rFonts w:eastAsia="Calibri"/>
          <w:b/>
          <w:bCs/>
          <w:sz w:val="22"/>
          <w:szCs w:val="22"/>
        </w:rPr>
        <w:t xml:space="preserve"> </w:t>
      </w:r>
    </w:p>
    <w:p w14:paraId="0E304060"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Anoreksija, sumažėjęs kūno svoris, sutrikęs skonio jutimas. </w:t>
      </w:r>
    </w:p>
    <w:p w14:paraId="6C225F91"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Galvos svaigimas, silpnumas. </w:t>
      </w:r>
    </w:p>
    <w:p w14:paraId="7DB91C75"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Sunkumas užmigti (nemiga). </w:t>
      </w:r>
    </w:p>
    <w:p w14:paraId="4185AC2A"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Išskyros iš akies kartu su niežuliu, paraudimu ir patinimu (konjunktyvitas), ašarojimas, neryškus matymas. </w:t>
      </w:r>
    </w:p>
    <w:p w14:paraId="402AA43E"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Kraujavimas iš nosies. </w:t>
      </w:r>
    </w:p>
    <w:p w14:paraId="3EEBC853"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Pilvo skausmas ar patinimas, vidurių pūtimas, rėmuo, vidurių užkietėjimas. </w:t>
      </w:r>
    </w:p>
    <w:p w14:paraId="7670DDE8"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Niež</w:t>
      </w:r>
      <w:r w:rsidR="005D54ED" w:rsidRPr="00776407">
        <w:rPr>
          <w:rFonts w:eastAsia="Calibri"/>
          <w:sz w:val="22"/>
          <w:szCs w:val="22"/>
        </w:rPr>
        <w:t>ėjimas</w:t>
      </w:r>
      <w:r w:rsidRPr="00776407">
        <w:rPr>
          <w:rFonts w:eastAsia="Calibri"/>
          <w:sz w:val="22"/>
          <w:szCs w:val="22"/>
        </w:rPr>
        <w:t xml:space="preserve">. </w:t>
      </w:r>
    </w:p>
    <w:p w14:paraId="62FE119A"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Neįprastas plaukų slinkimas ar plonėjimas. </w:t>
      </w:r>
    </w:p>
    <w:p w14:paraId="47F638C1"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Plaštakų ar pėdų tirpimas. </w:t>
      </w:r>
    </w:p>
    <w:p w14:paraId="4BEC2EF6"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Burnos išopėjimas. </w:t>
      </w:r>
    </w:p>
    <w:p w14:paraId="3ED26DF5"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Sąnarių skausmas ir patinimas. </w:t>
      </w:r>
    </w:p>
    <w:p w14:paraId="29D11AA2"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Burnos, odos ar akių džiūvimas. </w:t>
      </w:r>
    </w:p>
    <w:p w14:paraId="55F78F65" w14:textId="77777777" w:rsidR="00BE3C08" w:rsidRPr="00776407" w:rsidRDefault="00BE3C08"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Sumažėjęs arba padidėjęs odos jautrumas. </w:t>
      </w:r>
    </w:p>
    <w:p w14:paraId="1544E7AA" w14:textId="77777777" w:rsidR="00BE3C08" w:rsidRPr="00776407" w:rsidRDefault="00BE3C08" w:rsidP="00864BE6">
      <w:pPr>
        <w:pStyle w:val="Listenabsatz"/>
        <w:numPr>
          <w:ilvl w:val="0"/>
          <w:numId w:val="1"/>
        </w:numPr>
        <w:autoSpaceDE w:val="0"/>
        <w:autoSpaceDN w:val="0"/>
        <w:adjustRightInd w:val="0"/>
        <w:ind w:left="567" w:hanging="567"/>
        <w:rPr>
          <w:rFonts w:eastAsia="Calibri"/>
          <w:sz w:val="22"/>
          <w:szCs w:val="22"/>
        </w:rPr>
      </w:pPr>
      <w:r w:rsidRPr="00776407">
        <w:rPr>
          <w:rFonts w:eastAsia="Calibri"/>
          <w:sz w:val="22"/>
          <w:szCs w:val="22"/>
        </w:rPr>
        <w:t xml:space="preserve">Karščio pylimai, drebulys, naktinis prakaitavimas. </w:t>
      </w:r>
    </w:p>
    <w:p w14:paraId="0F7833A9" w14:textId="77777777" w:rsidR="00BE3C08" w:rsidRPr="00776407" w:rsidRDefault="00BE3C08" w:rsidP="00BE3C08">
      <w:pPr>
        <w:autoSpaceDE w:val="0"/>
        <w:autoSpaceDN w:val="0"/>
        <w:adjustRightInd w:val="0"/>
        <w:rPr>
          <w:rFonts w:eastAsia="Calibri"/>
          <w:sz w:val="22"/>
          <w:szCs w:val="22"/>
        </w:rPr>
      </w:pPr>
    </w:p>
    <w:p w14:paraId="11629823"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Jei bet kuris iš šių </w:t>
      </w:r>
      <w:r w:rsidR="005D54ED" w:rsidRPr="00776407">
        <w:rPr>
          <w:rFonts w:eastAsia="Calibri"/>
          <w:sz w:val="22"/>
          <w:szCs w:val="22"/>
        </w:rPr>
        <w:t>poveikių</w:t>
      </w:r>
      <w:r w:rsidRPr="00776407">
        <w:rPr>
          <w:rFonts w:eastAsia="Calibri"/>
          <w:sz w:val="22"/>
          <w:szCs w:val="22"/>
        </w:rPr>
        <w:t xml:space="preserve"> tampa sunkiu, </w:t>
      </w:r>
      <w:r w:rsidRPr="00776407">
        <w:rPr>
          <w:rFonts w:eastAsia="Calibri"/>
          <w:b/>
          <w:bCs/>
          <w:sz w:val="22"/>
          <w:szCs w:val="22"/>
        </w:rPr>
        <w:t>pasakykite gydytojui</w:t>
      </w:r>
      <w:r w:rsidRPr="00776407">
        <w:rPr>
          <w:rFonts w:eastAsia="Calibri"/>
          <w:b/>
          <w:sz w:val="22"/>
          <w:szCs w:val="22"/>
        </w:rPr>
        <w:t>.</w:t>
      </w:r>
    </w:p>
    <w:p w14:paraId="0E7343F8" w14:textId="77777777" w:rsidR="000A0EAC" w:rsidRPr="00776407" w:rsidRDefault="000A0EAC" w:rsidP="00BE3C08">
      <w:pPr>
        <w:autoSpaceDE w:val="0"/>
        <w:autoSpaceDN w:val="0"/>
        <w:adjustRightInd w:val="0"/>
        <w:rPr>
          <w:rFonts w:eastAsia="Calibri"/>
          <w:sz w:val="22"/>
          <w:szCs w:val="22"/>
        </w:rPr>
      </w:pPr>
    </w:p>
    <w:p w14:paraId="77033EFB" w14:textId="77777777" w:rsidR="00BA6158" w:rsidRPr="00776407" w:rsidRDefault="00BA6158" w:rsidP="00BA6158">
      <w:pPr>
        <w:autoSpaceDE w:val="0"/>
        <w:autoSpaceDN w:val="0"/>
        <w:adjustRightInd w:val="0"/>
        <w:rPr>
          <w:rFonts w:eastAsia="Calibri"/>
          <w:sz w:val="22"/>
          <w:szCs w:val="22"/>
        </w:rPr>
      </w:pPr>
      <w:r w:rsidRPr="00776407">
        <w:rPr>
          <w:rFonts w:eastAsia="Calibri"/>
          <w:b/>
          <w:bCs/>
          <w:sz w:val="22"/>
          <w:szCs w:val="22"/>
        </w:rPr>
        <w:t xml:space="preserve">Šalutiniai poveikiai, kurių dažnis nežinomas </w:t>
      </w:r>
      <w:r w:rsidRPr="00776407">
        <w:rPr>
          <w:rFonts w:eastAsia="Calibri"/>
          <w:bCs/>
          <w:sz w:val="22"/>
          <w:szCs w:val="22"/>
        </w:rPr>
        <w:t>(negali būti apskaičiuotas pagal turimus duomenis):</w:t>
      </w:r>
      <w:r w:rsidRPr="00776407">
        <w:rPr>
          <w:rFonts w:eastAsia="Calibri"/>
          <w:b/>
          <w:bCs/>
          <w:sz w:val="22"/>
          <w:szCs w:val="22"/>
        </w:rPr>
        <w:t xml:space="preserve"> </w:t>
      </w:r>
    </w:p>
    <w:p w14:paraId="529424BC" w14:textId="77777777" w:rsidR="00BA6158" w:rsidRPr="00776407" w:rsidRDefault="00BA6158" w:rsidP="00864BE6">
      <w:pPr>
        <w:pStyle w:val="Listenabsatz"/>
        <w:numPr>
          <w:ilvl w:val="0"/>
          <w:numId w:val="1"/>
        </w:numPr>
        <w:autoSpaceDE w:val="0"/>
        <w:autoSpaceDN w:val="0"/>
        <w:adjustRightInd w:val="0"/>
        <w:spacing w:after="35"/>
        <w:ind w:hanging="720"/>
        <w:rPr>
          <w:rFonts w:eastAsia="Calibri"/>
          <w:sz w:val="22"/>
          <w:szCs w:val="22"/>
        </w:rPr>
      </w:pPr>
      <w:r w:rsidRPr="00776407">
        <w:rPr>
          <w:rFonts w:eastAsia="Calibri"/>
          <w:sz w:val="22"/>
          <w:szCs w:val="22"/>
        </w:rPr>
        <w:t xml:space="preserve">Delnų ir padų paraudimas ir (arba) patinimas, kurie gali pasireikšti kartu su dilgčiojimo pojūčiu ir deginančiu skausmu. </w:t>
      </w:r>
    </w:p>
    <w:p w14:paraId="18521C63" w14:textId="77777777" w:rsidR="00BA6158" w:rsidRPr="00776407" w:rsidRDefault="00933B52" w:rsidP="00864BE6">
      <w:pPr>
        <w:pStyle w:val="Listenabsatz"/>
        <w:numPr>
          <w:ilvl w:val="0"/>
          <w:numId w:val="1"/>
        </w:numPr>
        <w:autoSpaceDE w:val="0"/>
        <w:autoSpaceDN w:val="0"/>
        <w:adjustRightInd w:val="0"/>
        <w:spacing w:after="35"/>
        <w:ind w:hanging="720"/>
        <w:rPr>
          <w:rFonts w:eastAsia="Calibri"/>
          <w:sz w:val="22"/>
          <w:szCs w:val="22"/>
        </w:rPr>
      </w:pPr>
      <w:r w:rsidRPr="00776407">
        <w:rPr>
          <w:rFonts w:eastAsia="Calibri"/>
          <w:sz w:val="22"/>
          <w:szCs w:val="22"/>
        </w:rPr>
        <w:t>Skausmingi ir (arba) pūsliniai odos pažeidimai</w:t>
      </w:r>
      <w:r w:rsidR="00BA6158" w:rsidRPr="00776407">
        <w:rPr>
          <w:rFonts w:eastAsia="Calibri"/>
          <w:sz w:val="22"/>
          <w:szCs w:val="22"/>
        </w:rPr>
        <w:t>.</w:t>
      </w:r>
    </w:p>
    <w:p w14:paraId="2117BE82" w14:textId="77777777" w:rsidR="00BA6158" w:rsidRPr="00776407" w:rsidRDefault="00BA6158"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 xml:space="preserve">Sulėtėjęs vaikų ir paauglių augimas. </w:t>
      </w:r>
    </w:p>
    <w:p w14:paraId="26F45213" w14:textId="77777777" w:rsidR="000A0EAC" w:rsidRPr="00776407" w:rsidRDefault="000A0EAC" w:rsidP="00864BE6">
      <w:pPr>
        <w:numPr>
          <w:ilvl w:val="0"/>
          <w:numId w:val="1"/>
        </w:numPr>
        <w:autoSpaceDE w:val="0"/>
        <w:autoSpaceDN w:val="0"/>
        <w:adjustRightInd w:val="0"/>
        <w:ind w:hanging="720"/>
        <w:rPr>
          <w:rFonts w:eastAsia="Calibri"/>
          <w:sz w:val="22"/>
          <w:szCs w:val="22"/>
        </w:rPr>
      </w:pPr>
      <w:r w:rsidRPr="00776407">
        <w:rPr>
          <w:rFonts w:eastAsia="Calibri"/>
          <w:sz w:val="22"/>
          <w:szCs w:val="22"/>
        </w:rPr>
        <w:t xml:space="preserve">Jei bet kuris iš šių </w:t>
      </w:r>
      <w:r w:rsidR="005D54ED" w:rsidRPr="00776407">
        <w:rPr>
          <w:rFonts w:eastAsia="Calibri"/>
          <w:sz w:val="22"/>
          <w:szCs w:val="22"/>
        </w:rPr>
        <w:t>poveikių</w:t>
      </w:r>
      <w:r w:rsidRPr="00776407">
        <w:rPr>
          <w:rFonts w:eastAsia="Calibri"/>
          <w:sz w:val="22"/>
          <w:szCs w:val="22"/>
        </w:rPr>
        <w:t xml:space="preserve"> tampa sunkiu, </w:t>
      </w:r>
      <w:r w:rsidRPr="00776407">
        <w:rPr>
          <w:rFonts w:eastAsia="Calibri"/>
          <w:b/>
          <w:bCs/>
          <w:sz w:val="22"/>
          <w:szCs w:val="22"/>
        </w:rPr>
        <w:t>pasakykite gydytojui</w:t>
      </w:r>
      <w:r w:rsidRPr="00776407">
        <w:rPr>
          <w:rFonts w:eastAsia="Calibri"/>
          <w:b/>
          <w:sz w:val="22"/>
          <w:szCs w:val="22"/>
        </w:rPr>
        <w:t>.</w:t>
      </w:r>
      <w:r w:rsidRPr="00776407">
        <w:rPr>
          <w:rFonts w:eastAsia="Calibri"/>
          <w:sz w:val="22"/>
          <w:szCs w:val="22"/>
        </w:rPr>
        <w:t xml:space="preserve"> </w:t>
      </w:r>
    </w:p>
    <w:p w14:paraId="05FD7C5F" w14:textId="77777777" w:rsidR="00BE3C08" w:rsidRPr="00776407" w:rsidRDefault="00BE3C08" w:rsidP="00BE3C08">
      <w:pPr>
        <w:autoSpaceDE w:val="0"/>
        <w:autoSpaceDN w:val="0"/>
        <w:adjustRightInd w:val="0"/>
        <w:rPr>
          <w:rFonts w:eastAsia="Calibri"/>
        </w:rPr>
      </w:pPr>
    </w:p>
    <w:p w14:paraId="6898F757" w14:textId="77777777" w:rsidR="00BC75A7" w:rsidRPr="00776407" w:rsidRDefault="00BC75A7" w:rsidP="00BC75A7">
      <w:pPr>
        <w:rPr>
          <w:b/>
          <w:sz w:val="22"/>
          <w:szCs w:val="22"/>
        </w:rPr>
      </w:pPr>
      <w:r w:rsidRPr="00776407">
        <w:rPr>
          <w:b/>
          <w:sz w:val="22"/>
          <w:szCs w:val="22"/>
        </w:rPr>
        <w:t>Pranešimas apie šalutinį poveikį</w:t>
      </w:r>
    </w:p>
    <w:p w14:paraId="4F55B299" w14:textId="77777777" w:rsidR="00BC75A7" w:rsidRPr="00776407" w:rsidRDefault="00BC75A7" w:rsidP="00BC75A7">
      <w:pPr>
        <w:autoSpaceDE w:val="0"/>
        <w:autoSpaceDN w:val="0"/>
        <w:adjustRightInd w:val="0"/>
        <w:rPr>
          <w:rFonts w:eastAsia="Calibri"/>
          <w:b/>
          <w:bCs/>
          <w:sz w:val="22"/>
          <w:szCs w:val="22"/>
        </w:rPr>
      </w:pPr>
      <w:r w:rsidRPr="00776407">
        <w:rPr>
          <w:sz w:val="22"/>
          <w:szCs w:val="22"/>
        </w:rPr>
        <w:t xml:space="preserve">Jeigu pasireiškė šalutinis poveikis, įskaitant šiame lapelyje nenurodytą, pasakykite gydytojui, vaistininkui arba slaugytojai. Apie šalutinį poveikį taip pat galite pranešti tiesiogiai naudodamiesi </w:t>
      </w:r>
      <w:hyperlink r:id="rId22" w:history="1">
        <w:r w:rsidR="00192A97" w:rsidRPr="00776407">
          <w:rPr>
            <w:rFonts w:eastAsia="Calibri"/>
            <w:color w:val="0000FF"/>
            <w:sz w:val="22"/>
            <w:szCs w:val="22"/>
            <w:highlight w:val="lightGray"/>
            <w:u w:val="single"/>
          </w:rPr>
          <w:t>V priede</w:t>
        </w:r>
      </w:hyperlink>
      <w:r w:rsidRPr="00776407">
        <w:rPr>
          <w:sz w:val="22"/>
          <w:szCs w:val="22"/>
          <w:highlight w:val="lightGray"/>
        </w:rPr>
        <w:t xml:space="preserve"> nurodyta nacionaline pranešimo sistema</w:t>
      </w:r>
      <w:r w:rsidRPr="00776407">
        <w:rPr>
          <w:sz w:val="22"/>
          <w:szCs w:val="22"/>
        </w:rPr>
        <w:t>. Pranešdami apie šalutinį poveikį galite mums padėti gauti daugiau informacijos apie šio vaisto saugumą.</w:t>
      </w:r>
    </w:p>
    <w:p w14:paraId="25B18A4D" w14:textId="77777777" w:rsidR="00BE3C08" w:rsidRPr="00776407" w:rsidRDefault="00BE3C08" w:rsidP="00BE3C08">
      <w:pPr>
        <w:autoSpaceDE w:val="0"/>
        <w:autoSpaceDN w:val="0"/>
        <w:adjustRightInd w:val="0"/>
        <w:rPr>
          <w:rFonts w:eastAsia="Calibri"/>
          <w:b/>
          <w:bCs/>
          <w:sz w:val="22"/>
          <w:szCs w:val="22"/>
        </w:rPr>
      </w:pPr>
    </w:p>
    <w:p w14:paraId="271362F9" w14:textId="77777777" w:rsidR="00BE3C08" w:rsidRPr="00776407" w:rsidRDefault="00BE3C08" w:rsidP="00BE3C08">
      <w:pPr>
        <w:autoSpaceDE w:val="0"/>
        <w:autoSpaceDN w:val="0"/>
        <w:adjustRightInd w:val="0"/>
        <w:rPr>
          <w:rFonts w:eastAsia="Calibri"/>
          <w:sz w:val="22"/>
          <w:szCs w:val="22"/>
        </w:rPr>
      </w:pPr>
    </w:p>
    <w:p w14:paraId="2DC8AA5F" w14:textId="77777777" w:rsidR="00BE3C08" w:rsidRPr="00776407" w:rsidRDefault="00BE3C08" w:rsidP="00864BE6">
      <w:pPr>
        <w:pStyle w:val="Listenabsatz"/>
        <w:numPr>
          <w:ilvl w:val="0"/>
          <w:numId w:val="7"/>
        </w:numPr>
        <w:autoSpaceDE w:val="0"/>
        <w:autoSpaceDN w:val="0"/>
        <w:adjustRightInd w:val="0"/>
        <w:ind w:left="567" w:hanging="567"/>
        <w:rPr>
          <w:rFonts w:eastAsia="Calibri"/>
          <w:b/>
          <w:sz w:val="22"/>
          <w:szCs w:val="22"/>
        </w:rPr>
      </w:pPr>
      <w:r w:rsidRPr="00776407">
        <w:rPr>
          <w:rFonts w:eastAsia="Calibri"/>
          <w:b/>
          <w:bCs/>
          <w:sz w:val="22"/>
          <w:szCs w:val="22"/>
        </w:rPr>
        <w:t xml:space="preserve">Kaip laikyti Imatinib Actavis </w:t>
      </w:r>
    </w:p>
    <w:p w14:paraId="063CD608" w14:textId="77777777" w:rsidR="00BE3C08" w:rsidRPr="00776407" w:rsidRDefault="00BE3C08" w:rsidP="00BE3C08">
      <w:pPr>
        <w:autoSpaceDE w:val="0"/>
        <w:autoSpaceDN w:val="0"/>
        <w:adjustRightInd w:val="0"/>
        <w:spacing w:after="38"/>
        <w:rPr>
          <w:rFonts w:eastAsia="Calibri"/>
          <w:sz w:val="22"/>
          <w:szCs w:val="22"/>
        </w:rPr>
      </w:pPr>
    </w:p>
    <w:p w14:paraId="66EBAA60" w14:textId="77777777" w:rsidR="00BE3C08" w:rsidRPr="00776407" w:rsidRDefault="00BE3C08" w:rsidP="00BE3C08">
      <w:pPr>
        <w:autoSpaceDE w:val="0"/>
        <w:autoSpaceDN w:val="0"/>
        <w:adjustRightInd w:val="0"/>
        <w:spacing w:after="38"/>
        <w:rPr>
          <w:rFonts w:eastAsia="Calibri"/>
          <w:sz w:val="22"/>
          <w:szCs w:val="22"/>
        </w:rPr>
      </w:pPr>
      <w:r w:rsidRPr="00776407">
        <w:rPr>
          <w:rFonts w:eastAsia="Calibri"/>
          <w:sz w:val="22"/>
          <w:szCs w:val="22"/>
        </w:rPr>
        <w:t xml:space="preserve">Šį vaistą laikykite vaikams nepastebimoje ir nepasiekiamoje vietoje. </w:t>
      </w:r>
    </w:p>
    <w:p w14:paraId="79F40AED" w14:textId="77777777" w:rsidR="00BA6158" w:rsidRPr="00776407" w:rsidRDefault="00BA6158" w:rsidP="00BA6158">
      <w:pPr>
        <w:rPr>
          <w:sz w:val="22"/>
          <w:szCs w:val="22"/>
        </w:rPr>
      </w:pPr>
      <w:r w:rsidRPr="00776407">
        <w:rPr>
          <w:rFonts w:eastAsia="Calibri"/>
          <w:sz w:val="22"/>
          <w:szCs w:val="22"/>
        </w:rPr>
        <w:t xml:space="preserve">Ant dėžutės ir lizdinės plokštelės po „EXP“ nurodytam tinkamumo laikui pasibaigus, šio vaisto vartoti negalima. </w:t>
      </w:r>
      <w:r w:rsidRPr="00776407">
        <w:rPr>
          <w:sz w:val="22"/>
          <w:szCs w:val="22"/>
        </w:rPr>
        <w:t>Vaistas tinkamas vartoti iki paskutinės nurodyto mėnesio dienos.</w:t>
      </w:r>
    </w:p>
    <w:p w14:paraId="22540F13" w14:textId="77777777" w:rsidR="00BE3C08" w:rsidRPr="00776407" w:rsidRDefault="00BE3C08" w:rsidP="00BE3C08">
      <w:pPr>
        <w:autoSpaceDE w:val="0"/>
        <w:autoSpaceDN w:val="0"/>
        <w:adjustRightInd w:val="0"/>
        <w:spacing w:after="38"/>
        <w:rPr>
          <w:rFonts w:eastAsia="Calibri"/>
          <w:sz w:val="22"/>
          <w:szCs w:val="22"/>
        </w:rPr>
      </w:pPr>
      <w:r w:rsidRPr="00776407">
        <w:rPr>
          <w:rFonts w:eastAsia="Calibri"/>
          <w:sz w:val="22"/>
          <w:szCs w:val="22"/>
        </w:rPr>
        <w:t xml:space="preserve">Laikyti ne aukštesnėje kaip </w:t>
      </w:r>
      <w:r w:rsidRPr="00776407">
        <w:rPr>
          <w:sz w:val="22"/>
          <w:szCs w:val="22"/>
        </w:rPr>
        <w:t>30</w:t>
      </w:r>
      <w:r w:rsidR="005D54ED" w:rsidRPr="00776407">
        <w:rPr>
          <w:sz w:val="22"/>
          <w:szCs w:val="22"/>
        </w:rPr>
        <w:t> </w:t>
      </w:r>
      <w:r w:rsidRPr="00776407">
        <w:rPr>
          <w:sz w:val="22"/>
          <w:szCs w:val="22"/>
        </w:rPr>
        <w:t>°C</w:t>
      </w:r>
      <w:r w:rsidRPr="00776407">
        <w:rPr>
          <w:rFonts w:eastAsia="Calibri"/>
          <w:sz w:val="22"/>
          <w:szCs w:val="22"/>
        </w:rPr>
        <w:t xml:space="preserve"> temperatūroje. </w:t>
      </w:r>
    </w:p>
    <w:p w14:paraId="0DD311D0" w14:textId="77777777" w:rsidR="00BE3C08" w:rsidRPr="00776407" w:rsidRDefault="00BE3C08" w:rsidP="00BE3C08">
      <w:pPr>
        <w:autoSpaceDE w:val="0"/>
        <w:autoSpaceDN w:val="0"/>
        <w:adjustRightInd w:val="0"/>
        <w:spacing w:after="38"/>
        <w:rPr>
          <w:rFonts w:eastAsia="Calibri"/>
          <w:sz w:val="22"/>
          <w:szCs w:val="22"/>
        </w:rPr>
      </w:pPr>
      <w:r w:rsidRPr="00776407">
        <w:rPr>
          <w:rFonts w:eastAsia="Calibri"/>
          <w:sz w:val="22"/>
          <w:szCs w:val="22"/>
        </w:rPr>
        <w:t xml:space="preserve">Laikyti gamintojo pakuotėje, kad preparatas būtų apsaugotas nuo drėgmės. </w:t>
      </w:r>
    </w:p>
    <w:p w14:paraId="755F1E18"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 xml:space="preserve">Negalima vartoti vaisto iš pakuotės, kuri yra pažeista ar yra sugedimo požymių. </w:t>
      </w:r>
    </w:p>
    <w:p w14:paraId="5D126E23" w14:textId="77777777" w:rsidR="00BE3C08" w:rsidRPr="00776407" w:rsidRDefault="00BE3C08" w:rsidP="00BE3C08">
      <w:pPr>
        <w:autoSpaceDE w:val="0"/>
        <w:autoSpaceDN w:val="0"/>
        <w:adjustRightInd w:val="0"/>
        <w:rPr>
          <w:rFonts w:eastAsia="Calibri"/>
          <w:sz w:val="22"/>
          <w:szCs w:val="22"/>
        </w:rPr>
      </w:pPr>
      <w:r w:rsidRPr="00776407">
        <w:rPr>
          <w:sz w:val="22"/>
          <w:szCs w:val="22"/>
        </w:rPr>
        <w:t>Vaistų negalima išmesti į kanalizaciją arba su buitinėmis atliekomis. Kaip išmesti nereikalingus vaistus, klauskite vaistininko. Šios priemonės padės apsaugoti aplinką.</w:t>
      </w:r>
    </w:p>
    <w:p w14:paraId="27181274" w14:textId="77777777" w:rsidR="00BE3C08" w:rsidRPr="00776407" w:rsidRDefault="00BE3C08" w:rsidP="00BE3C08">
      <w:pPr>
        <w:autoSpaceDE w:val="0"/>
        <w:autoSpaceDN w:val="0"/>
        <w:adjustRightInd w:val="0"/>
        <w:rPr>
          <w:rFonts w:eastAsia="Calibri"/>
          <w:sz w:val="22"/>
          <w:szCs w:val="22"/>
        </w:rPr>
      </w:pPr>
    </w:p>
    <w:p w14:paraId="6188A888" w14:textId="77777777" w:rsidR="00FC4878" w:rsidRPr="00776407" w:rsidRDefault="00FC4878" w:rsidP="00BE3C08">
      <w:pPr>
        <w:autoSpaceDE w:val="0"/>
        <w:autoSpaceDN w:val="0"/>
        <w:adjustRightInd w:val="0"/>
        <w:rPr>
          <w:rFonts w:eastAsia="Calibri"/>
          <w:sz w:val="22"/>
          <w:szCs w:val="22"/>
        </w:rPr>
      </w:pPr>
    </w:p>
    <w:p w14:paraId="52B652AE" w14:textId="77777777" w:rsidR="00BE3C08" w:rsidRPr="00776407" w:rsidRDefault="00BE3C08" w:rsidP="00864BE6">
      <w:pPr>
        <w:pStyle w:val="Listenabsatz"/>
        <w:numPr>
          <w:ilvl w:val="0"/>
          <w:numId w:val="7"/>
        </w:numPr>
        <w:autoSpaceDE w:val="0"/>
        <w:autoSpaceDN w:val="0"/>
        <w:adjustRightInd w:val="0"/>
        <w:ind w:hanging="720"/>
        <w:rPr>
          <w:rFonts w:eastAsia="Calibri"/>
          <w:sz w:val="22"/>
          <w:szCs w:val="22"/>
        </w:rPr>
      </w:pPr>
      <w:r w:rsidRPr="00776407">
        <w:rPr>
          <w:rFonts w:eastAsia="Calibri"/>
          <w:b/>
          <w:bCs/>
          <w:sz w:val="22"/>
          <w:szCs w:val="22"/>
        </w:rPr>
        <w:t xml:space="preserve">Pakuotės turinys ir kita informacija </w:t>
      </w:r>
    </w:p>
    <w:p w14:paraId="378EBEEB" w14:textId="77777777" w:rsidR="00BE3C08" w:rsidRPr="00776407" w:rsidRDefault="00BE3C08" w:rsidP="00BE3C08">
      <w:pPr>
        <w:autoSpaceDE w:val="0"/>
        <w:autoSpaceDN w:val="0"/>
        <w:adjustRightInd w:val="0"/>
        <w:rPr>
          <w:rFonts w:eastAsia="Calibri"/>
          <w:sz w:val="22"/>
          <w:szCs w:val="22"/>
        </w:rPr>
      </w:pPr>
    </w:p>
    <w:p w14:paraId="7A3F11D0" w14:textId="77777777" w:rsidR="00BE3C08" w:rsidRPr="00776407" w:rsidRDefault="00BE3C08" w:rsidP="00BE3C08">
      <w:pPr>
        <w:autoSpaceDE w:val="0"/>
        <w:autoSpaceDN w:val="0"/>
        <w:adjustRightInd w:val="0"/>
        <w:rPr>
          <w:rFonts w:eastAsia="Calibri"/>
          <w:b/>
          <w:bCs/>
          <w:sz w:val="22"/>
          <w:szCs w:val="22"/>
        </w:rPr>
      </w:pPr>
      <w:r w:rsidRPr="00776407">
        <w:rPr>
          <w:rFonts w:eastAsia="Calibri"/>
          <w:b/>
          <w:bCs/>
          <w:sz w:val="22"/>
          <w:szCs w:val="22"/>
        </w:rPr>
        <w:t xml:space="preserve">Imatinib Actavis sudėtis </w:t>
      </w:r>
    </w:p>
    <w:p w14:paraId="609B4D99" w14:textId="77777777" w:rsidR="00BE3C08" w:rsidRPr="00776407" w:rsidRDefault="00BE3C08" w:rsidP="00BE3C08">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Veiklioji medžiaga yra imatinibo mesilatas. Kiekvienoje </w:t>
      </w:r>
      <w:r w:rsidR="004F6125" w:rsidRPr="00776407">
        <w:rPr>
          <w:rFonts w:eastAsia="Calibri"/>
          <w:sz w:val="22"/>
          <w:szCs w:val="22"/>
        </w:rPr>
        <w:t>tabletėje</w:t>
      </w:r>
      <w:r w:rsidRPr="00776407">
        <w:rPr>
          <w:rFonts w:eastAsia="Calibri"/>
          <w:sz w:val="22"/>
          <w:szCs w:val="22"/>
        </w:rPr>
        <w:t xml:space="preserve"> yra </w:t>
      </w:r>
      <w:r w:rsidR="000A0EAC" w:rsidRPr="00776407">
        <w:rPr>
          <w:rFonts w:eastAsia="Calibri"/>
          <w:sz w:val="22"/>
          <w:szCs w:val="22"/>
        </w:rPr>
        <w:t>10</w:t>
      </w:r>
      <w:r w:rsidRPr="00776407">
        <w:rPr>
          <w:rFonts w:eastAsia="Calibri"/>
          <w:sz w:val="22"/>
          <w:szCs w:val="22"/>
        </w:rPr>
        <w:t>0 mg imatinibo (mesilato</w:t>
      </w:r>
      <w:r w:rsidR="005D54ED" w:rsidRPr="00776407">
        <w:rPr>
          <w:rFonts w:eastAsia="Calibri"/>
          <w:sz w:val="22"/>
          <w:szCs w:val="22"/>
        </w:rPr>
        <w:t xml:space="preserve"> pavidalu</w:t>
      </w:r>
      <w:r w:rsidRPr="00776407">
        <w:rPr>
          <w:rFonts w:eastAsia="Calibri"/>
          <w:sz w:val="22"/>
          <w:szCs w:val="22"/>
        </w:rPr>
        <w:t xml:space="preserve">). </w:t>
      </w:r>
    </w:p>
    <w:p w14:paraId="40FCDC4B" w14:textId="77777777" w:rsidR="000A0EAC" w:rsidRPr="00776407" w:rsidRDefault="00BE3C08" w:rsidP="00553EC5">
      <w:pPr>
        <w:keepNext/>
        <w:autoSpaceDE w:val="0"/>
        <w:autoSpaceDN w:val="0"/>
        <w:adjustRightInd w:val="0"/>
        <w:ind w:left="720" w:hanging="720"/>
        <w:rPr>
          <w:rFonts w:eastAsia="Calibri"/>
          <w:color w:val="000000"/>
          <w:sz w:val="22"/>
          <w:szCs w:val="22"/>
        </w:rPr>
      </w:pPr>
      <w:r w:rsidRPr="00776407">
        <w:rPr>
          <w:rFonts w:eastAsia="Calibri"/>
          <w:sz w:val="22"/>
          <w:szCs w:val="22"/>
        </w:rPr>
        <w:t>-</w:t>
      </w:r>
      <w:r w:rsidRPr="00776407">
        <w:rPr>
          <w:rFonts w:eastAsia="Calibri"/>
          <w:sz w:val="22"/>
          <w:szCs w:val="22"/>
        </w:rPr>
        <w:tab/>
        <w:t xml:space="preserve">Pagalbinės medžiagos yra: </w:t>
      </w:r>
      <w:r w:rsidR="000A0EAC" w:rsidRPr="00776407">
        <w:rPr>
          <w:rFonts w:eastAsia="Calibri"/>
          <w:color w:val="000000"/>
          <w:sz w:val="22"/>
          <w:szCs w:val="22"/>
        </w:rPr>
        <w:t>mikrokristalinė celiuliozė, kopovidonas, krospovidonas, natrio ste</w:t>
      </w:r>
      <w:r w:rsidR="004F6125" w:rsidRPr="00776407">
        <w:rPr>
          <w:rFonts w:eastAsia="Calibri"/>
          <w:color w:val="000000"/>
          <w:sz w:val="22"/>
          <w:szCs w:val="22"/>
        </w:rPr>
        <w:t>a</w:t>
      </w:r>
      <w:r w:rsidR="000A0EAC" w:rsidRPr="00776407">
        <w:rPr>
          <w:rFonts w:eastAsia="Calibri"/>
          <w:color w:val="000000"/>
          <w:sz w:val="22"/>
          <w:szCs w:val="22"/>
        </w:rPr>
        <w:t>ril fumaratas, silicio dioksidas</w:t>
      </w:r>
      <w:r w:rsidR="00553EC5" w:rsidRPr="00776407">
        <w:rPr>
          <w:rFonts w:eastAsia="Calibri"/>
          <w:color w:val="000000"/>
          <w:sz w:val="22"/>
          <w:szCs w:val="22"/>
        </w:rPr>
        <w:t xml:space="preserve"> (koloidinis</w:t>
      </w:r>
      <w:r w:rsidR="000A0EAC" w:rsidRPr="00776407">
        <w:rPr>
          <w:rFonts w:eastAsia="Calibri"/>
          <w:color w:val="000000"/>
          <w:sz w:val="22"/>
          <w:szCs w:val="22"/>
        </w:rPr>
        <w:t xml:space="preserve"> hidrofobinis</w:t>
      </w:r>
      <w:r w:rsidR="00553EC5" w:rsidRPr="00776407">
        <w:rPr>
          <w:rFonts w:eastAsia="Calibri"/>
          <w:color w:val="000000"/>
          <w:sz w:val="22"/>
          <w:szCs w:val="22"/>
        </w:rPr>
        <w:t xml:space="preserve"> ir</w:t>
      </w:r>
      <w:r w:rsidR="000A0EAC" w:rsidRPr="00776407">
        <w:rPr>
          <w:rFonts w:eastAsia="Calibri"/>
          <w:color w:val="000000"/>
          <w:sz w:val="22"/>
          <w:szCs w:val="22"/>
        </w:rPr>
        <w:t xml:space="preserve"> koloidinis bevandenis</w:t>
      </w:r>
      <w:r w:rsidR="00553EC5" w:rsidRPr="00776407">
        <w:rPr>
          <w:rFonts w:eastAsia="Calibri"/>
          <w:color w:val="000000"/>
          <w:sz w:val="22"/>
          <w:szCs w:val="22"/>
        </w:rPr>
        <w:t>),</w:t>
      </w:r>
      <w:r w:rsidR="000A0EAC" w:rsidRPr="00776407">
        <w:rPr>
          <w:rFonts w:eastAsia="Calibri"/>
          <w:color w:val="000000"/>
          <w:sz w:val="22"/>
          <w:szCs w:val="22"/>
        </w:rPr>
        <w:t xml:space="preserve"> </w:t>
      </w:r>
      <w:r w:rsidR="004F6125" w:rsidRPr="00776407">
        <w:rPr>
          <w:rFonts w:eastAsia="Calibri"/>
          <w:color w:val="000000"/>
          <w:sz w:val="22"/>
          <w:szCs w:val="22"/>
        </w:rPr>
        <w:t xml:space="preserve">dalinai hidrolizuotas </w:t>
      </w:r>
      <w:r w:rsidR="000A0EAC" w:rsidRPr="00776407">
        <w:rPr>
          <w:rFonts w:eastAsia="Calibri"/>
          <w:color w:val="000000"/>
          <w:sz w:val="22"/>
          <w:szCs w:val="22"/>
        </w:rPr>
        <w:t xml:space="preserve">polivinilo alkoholis talkas, geltonasis geležies oksidas (E172), titano dioksidas (E171), raudonasis geležies oksidas (E172), </w:t>
      </w:r>
      <w:r w:rsidR="00553EC5" w:rsidRPr="00776407">
        <w:rPr>
          <w:rFonts w:eastAsia="Calibri"/>
          <w:color w:val="000000"/>
          <w:sz w:val="22"/>
          <w:szCs w:val="22"/>
        </w:rPr>
        <w:t>s</w:t>
      </w:r>
      <w:r w:rsidR="000A0EAC" w:rsidRPr="00776407">
        <w:rPr>
          <w:rFonts w:eastAsia="Calibri"/>
          <w:color w:val="000000"/>
          <w:sz w:val="22"/>
          <w:szCs w:val="22"/>
        </w:rPr>
        <w:t>oj</w:t>
      </w:r>
      <w:r w:rsidR="004F6125" w:rsidRPr="00776407">
        <w:rPr>
          <w:rFonts w:eastAsia="Calibri"/>
          <w:color w:val="000000"/>
          <w:sz w:val="22"/>
          <w:szCs w:val="22"/>
        </w:rPr>
        <w:t>ų</w:t>
      </w:r>
      <w:r w:rsidR="000A0EAC" w:rsidRPr="00776407">
        <w:rPr>
          <w:rFonts w:eastAsia="Calibri"/>
          <w:color w:val="000000"/>
          <w:sz w:val="22"/>
          <w:szCs w:val="22"/>
        </w:rPr>
        <w:t xml:space="preserve"> lecitinas (E322)</w:t>
      </w:r>
      <w:r w:rsidR="00553EC5" w:rsidRPr="00776407">
        <w:rPr>
          <w:rFonts w:eastAsia="Calibri"/>
          <w:color w:val="000000"/>
          <w:sz w:val="22"/>
          <w:szCs w:val="22"/>
        </w:rPr>
        <w:t>, k</w:t>
      </w:r>
      <w:r w:rsidR="000A0EAC" w:rsidRPr="00776407">
        <w:rPr>
          <w:rFonts w:eastAsia="Calibri"/>
          <w:color w:val="000000"/>
          <w:sz w:val="22"/>
          <w:szCs w:val="22"/>
        </w:rPr>
        <w:t xml:space="preserve">santano </w:t>
      </w:r>
      <w:r w:rsidR="004F6125" w:rsidRPr="00776407">
        <w:rPr>
          <w:rFonts w:eastAsia="Calibri"/>
          <w:color w:val="000000"/>
          <w:sz w:val="22"/>
          <w:szCs w:val="22"/>
        </w:rPr>
        <w:t>lipai</w:t>
      </w:r>
      <w:r w:rsidR="000A0EAC" w:rsidRPr="00776407">
        <w:rPr>
          <w:rFonts w:eastAsia="Calibri"/>
          <w:color w:val="000000"/>
          <w:sz w:val="22"/>
          <w:szCs w:val="22"/>
        </w:rPr>
        <w:t xml:space="preserve"> (E415)</w:t>
      </w:r>
    </w:p>
    <w:p w14:paraId="3F9C10CC" w14:textId="77777777" w:rsidR="00BE3C08" w:rsidRPr="00776407" w:rsidRDefault="00BE3C08" w:rsidP="00553EC5">
      <w:pPr>
        <w:autoSpaceDE w:val="0"/>
        <w:autoSpaceDN w:val="0"/>
        <w:adjustRightInd w:val="0"/>
        <w:ind w:left="720" w:hanging="720"/>
        <w:rPr>
          <w:rFonts w:eastAsia="Calibri"/>
          <w:color w:val="000000"/>
          <w:sz w:val="22"/>
          <w:szCs w:val="22"/>
        </w:rPr>
      </w:pPr>
    </w:p>
    <w:p w14:paraId="613D3CFF"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Imatinib Actavis išvaizda ir kiekis pakuotėje </w:t>
      </w:r>
    </w:p>
    <w:p w14:paraId="0559E924" w14:textId="77777777" w:rsidR="00553EC5" w:rsidRPr="00776407" w:rsidRDefault="00553EC5" w:rsidP="00553EC5">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Apvali, abipusiai išgaubta tamsiai gelton</w:t>
      </w:r>
      <w:r w:rsidR="004D4E42" w:rsidRPr="00776407">
        <w:rPr>
          <w:rFonts w:ascii="Times New Roman" w:hAnsi="Times New Roman" w:cs="Times New Roman"/>
          <w:color w:val="auto"/>
          <w:sz w:val="22"/>
          <w:szCs w:val="22"/>
          <w:lang w:val="lt-LT"/>
        </w:rPr>
        <w:t xml:space="preserve">ai </w:t>
      </w:r>
      <w:r w:rsidRPr="00776407">
        <w:rPr>
          <w:rFonts w:ascii="Times New Roman" w:hAnsi="Times New Roman" w:cs="Times New Roman"/>
          <w:color w:val="auto"/>
          <w:sz w:val="22"/>
          <w:szCs w:val="22"/>
          <w:lang w:val="lt-LT"/>
        </w:rPr>
        <w:t>rusvos spalvos plėvele dengta tabletė, ant vienos pusės įspaustas kompanijos logo, ant kitos pusės ženklas “36” ir vagelė.</w:t>
      </w:r>
    </w:p>
    <w:p w14:paraId="6551D022" w14:textId="77777777" w:rsidR="00553EC5" w:rsidRPr="00776407" w:rsidRDefault="00553EC5" w:rsidP="00BE3C08">
      <w:pPr>
        <w:autoSpaceDE w:val="0"/>
        <w:autoSpaceDN w:val="0"/>
        <w:adjustRightInd w:val="0"/>
        <w:rPr>
          <w:rFonts w:eastAsia="Calibri"/>
          <w:i/>
          <w:sz w:val="22"/>
          <w:szCs w:val="22"/>
        </w:rPr>
      </w:pPr>
    </w:p>
    <w:p w14:paraId="0EAAA230" w14:textId="77777777" w:rsidR="00BE3C08" w:rsidRPr="00776407" w:rsidRDefault="00BE3C08" w:rsidP="00BE3C08">
      <w:pPr>
        <w:autoSpaceDE w:val="0"/>
        <w:autoSpaceDN w:val="0"/>
        <w:adjustRightInd w:val="0"/>
        <w:rPr>
          <w:rFonts w:eastAsia="Calibri"/>
          <w:i/>
          <w:sz w:val="22"/>
          <w:szCs w:val="22"/>
        </w:rPr>
      </w:pPr>
      <w:r w:rsidRPr="00776407">
        <w:rPr>
          <w:rFonts w:eastAsia="Calibri"/>
          <w:i/>
          <w:sz w:val="22"/>
          <w:szCs w:val="22"/>
        </w:rPr>
        <w:t>Pakuočių dydžiai:</w:t>
      </w:r>
    </w:p>
    <w:p w14:paraId="431CCC40" w14:textId="77777777" w:rsidR="00BE3C08" w:rsidRPr="00776407" w:rsidRDefault="009210AE" w:rsidP="00BE3C08">
      <w:pPr>
        <w:autoSpaceDE w:val="0"/>
        <w:autoSpaceDN w:val="0"/>
        <w:adjustRightInd w:val="0"/>
        <w:rPr>
          <w:rFonts w:eastAsia="Calibri"/>
          <w:sz w:val="22"/>
          <w:szCs w:val="22"/>
        </w:rPr>
      </w:pPr>
      <w:r w:rsidRPr="00776407">
        <w:rPr>
          <w:rFonts w:eastAsia="Calibri"/>
          <w:sz w:val="22"/>
          <w:szCs w:val="22"/>
        </w:rPr>
        <w:t xml:space="preserve">Tabletės supakuotos į aliuminio lizdines plokšteles. </w:t>
      </w:r>
      <w:r w:rsidR="00BE3C08" w:rsidRPr="00776407">
        <w:rPr>
          <w:rFonts w:eastAsia="Calibri"/>
          <w:sz w:val="22"/>
          <w:szCs w:val="22"/>
        </w:rPr>
        <w:t xml:space="preserve">Pakuotėje yra </w:t>
      </w:r>
      <w:r w:rsidR="00553EC5" w:rsidRPr="00776407">
        <w:rPr>
          <w:sz w:val="22"/>
          <w:szCs w:val="22"/>
        </w:rPr>
        <w:t>10, 20, 30, 60, 90, 120 ar 180 plėvele dengtų tablečių</w:t>
      </w:r>
      <w:r w:rsidR="00BE3C08" w:rsidRPr="00776407">
        <w:rPr>
          <w:rFonts w:eastAsia="Calibri"/>
          <w:sz w:val="22"/>
          <w:szCs w:val="22"/>
        </w:rPr>
        <w:t>.</w:t>
      </w:r>
    </w:p>
    <w:p w14:paraId="42D491A9" w14:textId="77777777" w:rsidR="00BE3C08" w:rsidRPr="00776407" w:rsidRDefault="00BE3C08" w:rsidP="00BE3C08">
      <w:pPr>
        <w:autoSpaceDE w:val="0"/>
        <w:autoSpaceDN w:val="0"/>
        <w:adjustRightInd w:val="0"/>
        <w:rPr>
          <w:rFonts w:eastAsia="Calibri"/>
          <w:sz w:val="22"/>
          <w:szCs w:val="22"/>
        </w:rPr>
      </w:pPr>
    </w:p>
    <w:p w14:paraId="6FE4D523" w14:textId="77777777" w:rsidR="00BE3C08" w:rsidRPr="00776407" w:rsidRDefault="00BE3C08" w:rsidP="00BE3C08">
      <w:pPr>
        <w:autoSpaceDE w:val="0"/>
        <w:autoSpaceDN w:val="0"/>
        <w:adjustRightInd w:val="0"/>
        <w:rPr>
          <w:rFonts w:eastAsia="Calibri"/>
          <w:sz w:val="22"/>
          <w:szCs w:val="22"/>
        </w:rPr>
      </w:pPr>
      <w:r w:rsidRPr="00776407">
        <w:rPr>
          <w:rFonts w:eastAsia="Calibri"/>
          <w:sz w:val="22"/>
          <w:szCs w:val="22"/>
        </w:rPr>
        <w:t>Gali būti tiekiamos ne visų dydžių pakuotės.</w:t>
      </w:r>
    </w:p>
    <w:p w14:paraId="38D18A43" w14:textId="77777777" w:rsidR="00BE3C08" w:rsidRPr="00776407" w:rsidRDefault="00BE3C08" w:rsidP="00BE3C08">
      <w:pPr>
        <w:pStyle w:val="Default"/>
        <w:rPr>
          <w:rFonts w:ascii="Times New Roman" w:hAnsi="Times New Roman" w:cs="Times New Roman"/>
          <w:color w:val="auto"/>
          <w:sz w:val="22"/>
          <w:szCs w:val="22"/>
          <w:lang w:val="lt-LT"/>
        </w:rPr>
      </w:pPr>
    </w:p>
    <w:p w14:paraId="59B21191" w14:textId="77777777" w:rsidR="00BE3C08" w:rsidRPr="00776407" w:rsidRDefault="00944055" w:rsidP="00BE3C08">
      <w:pPr>
        <w:autoSpaceDE w:val="0"/>
        <w:autoSpaceDN w:val="0"/>
        <w:adjustRightInd w:val="0"/>
        <w:rPr>
          <w:rFonts w:eastAsia="Calibri"/>
          <w:sz w:val="22"/>
          <w:szCs w:val="22"/>
        </w:rPr>
      </w:pPr>
      <w:r w:rsidRPr="00776407">
        <w:rPr>
          <w:rFonts w:eastAsia="Calibri"/>
          <w:b/>
          <w:bCs/>
          <w:sz w:val="22"/>
          <w:szCs w:val="22"/>
        </w:rPr>
        <w:t>Registruotojas</w:t>
      </w:r>
      <w:r w:rsidR="00BE3C08" w:rsidRPr="00776407">
        <w:rPr>
          <w:rFonts w:eastAsia="Calibri"/>
          <w:b/>
          <w:bCs/>
          <w:sz w:val="22"/>
          <w:szCs w:val="22"/>
        </w:rPr>
        <w:t xml:space="preserve"> </w:t>
      </w:r>
    </w:p>
    <w:p w14:paraId="1F58D0BA" w14:textId="77777777" w:rsidR="00BE3C08" w:rsidRPr="00776407" w:rsidRDefault="00BE3C08" w:rsidP="00BE3C08">
      <w:pPr>
        <w:autoSpaceDE w:val="0"/>
        <w:autoSpaceDN w:val="0"/>
        <w:adjustRightInd w:val="0"/>
        <w:rPr>
          <w:sz w:val="22"/>
          <w:szCs w:val="22"/>
        </w:rPr>
      </w:pPr>
      <w:r w:rsidRPr="00776407">
        <w:rPr>
          <w:sz w:val="22"/>
          <w:szCs w:val="22"/>
        </w:rPr>
        <w:t>Actavis Group PTC ehf.</w:t>
      </w:r>
    </w:p>
    <w:p w14:paraId="2D4C3C60" w14:textId="77777777" w:rsidR="00BE3C08" w:rsidRPr="00776407" w:rsidRDefault="00BE3C08" w:rsidP="00BE3C08">
      <w:pPr>
        <w:autoSpaceDE w:val="0"/>
        <w:autoSpaceDN w:val="0"/>
        <w:adjustRightInd w:val="0"/>
        <w:rPr>
          <w:sz w:val="22"/>
          <w:szCs w:val="22"/>
        </w:rPr>
      </w:pPr>
      <w:r w:rsidRPr="00776407">
        <w:rPr>
          <w:sz w:val="22"/>
          <w:szCs w:val="22"/>
        </w:rPr>
        <w:t>Reykjavíkurvegur 76-78,</w:t>
      </w:r>
    </w:p>
    <w:p w14:paraId="60B4E951" w14:textId="77777777" w:rsidR="00BE3C08" w:rsidRPr="00776407" w:rsidRDefault="001C543E" w:rsidP="00BE3C08">
      <w:pPr>
        <w:autoSpaceDE w:val="0"/>
        <w:autoSpaceDN w:val="0"/>
        <w:adjustRightInd w:val="0"/>
        <w:rPr>
          <w:sz w:val="22"/>
          <w:szCs w:val="22"/>
        </w:rPr>
      </w:pPr>
      <w:r w:rsidRPr="00776407">
        <w:rPr>
          <w:sz w:val="22"/>
          <w:szCs w:val="22"/>
        </w:rPr>
        <w:t xml:space="preserve">220 </w:t>
      </w:r>
      <w:r w:rsidR="00BE3C08" w:rsidRPr="00776407">
        <w:rPr>
          <w:sz w:val="22"/>
          <w:szCs w:val="22"/>
        </w:rPr>
        <w:t>Hafnarfjörður</w:t>
      </w:r>
    </w:p>
    <w:p w14:paraId="1767BC58" w14:textId="77777777" w:rsidR="00BE3C08" w:rsidRPr="00776407" w:rsidRDefault="00BE3C08" w:rsidP="00BE3C08">
      <w:pPr>
        <w:autoSpaceDE w:val="0"/>
        <w:autoSpaceDN w:val="0"/>
        <w:adjustRightInd w:val="0"/>
        <w:rPr>
          <w:sz w:val="22"/>
          <w:szCs w:val="22"/>
        </w:rPr>
      </w:pPr>
      <w:r w:rsidRPr="00776407">
        <w:rPr>
          <w:sz w:val="22"/>
          <w:szCs w:val="22"/>
        </w:rPr>
        <w:t>Islandija</w:t>
      </w:r>
    </w:p>
    <w:p w14:paraId="01B12F60" w14:textId="77777777" w:rsidR="00BE3C08" w:rsidRPr="00776407" w:rsidRDefault="00BE3C08" w:rsidP="00BE3C08">
      <w:pPr>
        <w:autoSpaceDE w:val="0"/>
        <w:autoSpaceDN w:val="0"/>
        <w:adjustRightInd w:val="0"/>
        <w:rPr>
          <w:rFonts w:eastAsia="Calibri"/>
          <w:b/>
          <w:bCs/>
          <w:sz w:val="22"/>
          <w:szCs w:val="22"/>
        </w:rPr>
      </w:pPr>
    </w:p>
    <w:p w14:paraId="05731A38" w14:textId="77777777" w:rsidR="00BE3C08" w:rsidRPr="00776407" w:rsidRDefault="00BE3C08" w:rsidP="00BE3C08">
      <w:pPr>
        <w:autoSpaceDE w:val="0"/>
        <w:autoSpaceDN w:val="0"/>
        <w:adjustRightInd w:val="0"/>
        <w:rPr>
          <w:rFonts w:eastAsia="Calibri"/>
          <w:sz w:val="22"/>
          <w:szCs w:val="22"/>
        </w:rPr>
      </w:pPr>
      <w:r w:rsidRPr="00776407">
        <w:rPr>
          <w:rFonts w:eastAsia="Calibri"/>
          <w:b/>
          <w:bCs/>
          <w:sz w:val="22"/>
          <w:szCs w:val="22"/>
        </w:rPr>
        <w:t xml:space="preserve">Gamintojas </w:t>
      </w:r>
    </w:p>
    <w:p w14:paraId="2BC18D7F" w14:textId="77777777" w:rsidR="00BE3C08" w:rsidRPr="00776407" w:rsidRDefault="00BE3C08" w:rsidP="00BE3C08">
      <w:pPr>
        <w:pStyle w:val="KeinLeerraum"/>
        <w:rPr>
          <w:sz w:val="22"/>
          <w:szCs w:val="22"/>
        </w:rPr>
      </w:pPr>
      <w:r w:rsidRPr="00776407">
        <w:rPr>
          <w:sz w:val="22"/>
          <w:szCs w:val="22"/>
        </w:rPr>
        <w:t>S.C. Sindan</w:t>
      </w:r>
      <w:r w:rsidRPr="00776407">
        <w:rPr>
          <w:sz w:val="22"/>
          <w:szCs w:val="22"/>
        </w:rPr>
        <w:noBreakHyphen/>
        <w:t>Pharma S.R.L.</w:t>
      </w:r>
    </w:p>
    <w:p w14:paraId="3B5DFF9E" w14:textId="77777777" w:rsidR="00BE3C08" w:rsidRPr="00776407" w:rsidRDefault="00BE3C08" w:rsidP="00BE3C08">
      <w:pPr>
        <w:pStyle w:val="KeinLeerraum"/>
        <w:rPr>
          <w:sz w:val="22"/>
          <w:szCs w:val="22"/>
        </w:rPr>
      </w:pPr>
      <w:r w:rsidRPr="00776407">
        <w:rPr>
          <w:sz w:val="22"/>
          <w:szCs w:val="22"/>
        </w:rPr>
        <w:t>11 Ion Mihalache Blvd</w:t>
      </w:r>
    </w:p>
    <w:p w14:paraId="20242DB9" w14:textId="77777777" w:rsidR="00BE3C08" w:rsidRPr="00776407" w:rsidRDefault="00BE3C08" w:rsidP="00BE3C08">
      <w:pPr>
        <w:pStyle w:val="KeinLeerraum"/>
        <w:rPr>
          <w:sz w:val="22"/>
          <w:szCs w:val="22"/>
        </w:rPr>
      </w:pPr>
      <w:r w:rsidRPr="00776407">
        <w:rPr>
          <w:sz w:val="22"/>
          <w:szCs w:val="22"/>
        </w:rPr>
        <w:t>Bucharest</w:t>
      </w:r>
    </w:p>
    <w:p w14:paraId="26FAE1C8" w14:textId="77777777" w:rsidR="00BE3C08" w:rsidRPr="00776407" w:rsidRDefault="00BE3C08" w:rsidP="00BE3C08">
      <w:pPr>
        <w:pStyle w:val="KeinLeerraum"/>
        <w:rPr>
          <w:sz w:val="22"/>
          <w:szCs w:val="22"/>
        </w:rPr>
      </w:pPr>
      <w:r w:rsidRPr="00776407">
        <w:rPr>
          <w:sz w:val="22"/>
          <w:szCs w:val="22"/>
        </w:rPr>
        <w:t>Rumunija</w:t>
      </w:r>
    </w:p>
    <w:p w14:paraId="01B48BC1" w14:textId="77777777" w:rsidR="00BE3C08" w:rsidRPr="00776407" w:rsidRDefault="00BE3C08" w:rsidP="00BE3C08">
      <w:pPr>
        <w:numPr>
          <w:ilvl w:val="12"/>
          <w:numId w:val="0"/>
        </w:numPr>
        <w:ind w:right="-2"/>
        <w:rPr>
          <w:sz w:val="22"/>
          <w:szCs w:val="22"/>
        </w:rPr>
      </w:pPr>
    </w:p>
    <w:p w14:paraId="06621347" w14:textId="77777777" w:rsidR="00BE3C08" w:rsidRPr="00776407" w:rsidRDefault="00BE3C08" w:rsidP="00BE3C08">
      <w:pPr>
        <w:numPr>
          <w:ilvl w:val="12"/>
          <w:numId w:val="0"/>
        </w:numPr>
        <w:ind w:right="-2"/>
        <w:rPr>
          <w:sz w:val="22"/>
          <w:szCs w:val="22"/>
        </w:rPr>
      </w:pPr>
      <w:r w:rsidRPr="00776407">
        <w:rPr>
          <w:sz w:val="22"/>
          <w:szCs w:val="22"/>
        </w:rPr>
        <w:t xml:space="preserve">Jeigu apie šį vaistą norite sužinoti daugiau, kreipkitės į vietinį </w:t>
      </w:r>
      <w:r w:rsidR="008B4D9B" w:rsidRPr="00776407">
        <w:rPr>
          <w:sz w:val="22"/>
          <w:szCs w:val="22"/>
        </w:rPr>
        <w:t xml:space="preserve">registruotojo </w:t>
      </w:r>
      <w:r w:rsidRPr="00776407">
        <w:rPr>
          <w:sz w:val="22"/>
          <w:szCs w:val="22"/>
        </w:rPr>
        <w:t>atstovą.</w:t>
      </w:r>
    </w:p>
    <w:p w14:paraId="28EB5C30" w14:textId="77777777" w:rsidR="004D72CE" w:rsidRPr="00881EFD" w:rsidRDefault="004D72CE" w:rsidP="004D72CE">
      <w:pPr>
        <w:autoSpaceDE w:val="0"/>
        <w:autoSpaceDN w:val="0"/>
        <w:adjustRightInd w:val="0"/>
        <w:rPr>
          <w:color w:val="000000" w:themeColor="text1"/>
          <w:sz w:val="22"/>
          <w:szCs w:val="22"/>
        </w:rPr>
      </w:pPr>
    </w:p>
    <w:tbl>
      <w:tblPr>
        <w:tblW w:w="9360" w:type="dxa"/>
        <w:tblInd w:w="-34" w:type="dxa"/>
        <w:tblLayout w:type="fixed"/>
        <w:tblLook w:val="04A0" w:firstRow="1" w:lastRow="0" w:firstColumn="1" w:lastColumn="0" w:noHBand="0" w:noVBand="1"/>
      </w:tblPr>
      <w:tblGrid>
        <w:gridCol w:w="34"/>
        <w:gridCol w:w="4646"/>
        <w:gridCol w:w="4680"/>
      </w:tblGrid>
      <w:tr w:rsidR="004D72CE" w:rsidRPr="00776407" w14:paraId="14EC6585" w14:textId="77777777" w:rsidTr="00876969">
        <w:trPr>
          <w:gridBefore w:val="1"/>
          <w:wBefore w:w="34" w:type="dxa"/>
          <w:cantSplit/>
        </w:trPr>
        <w:tc>
          <w:tcPr>
            <w:tcW w:w="4644" w:type="dxa"/>
          </w:tcPr>
          <w:p w14:paraId="683C5FBF"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België/Belgique/Belgien</w:t>
            </w:r>
          </w:p>
          <w:p w14:paraId="6F321912"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6FF8BCF3"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IJsland/Islande/Island</w:t>
            </w:r>
          </w:p>
          <w:p w14:paraId="3475A865"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Tél/Tel: +354 5503300</w:t>
            </w:r>
          </w:p>
          <w:p w14:paraId="20C9F6BF" w14:textId="77777777" w:rsidR="004D72CE" w:rsidRPr="00776407" w:rsidRDefault="004D72CE" w:rsidP="00876969">
            <w:pPr>
              <w:pStyle w:val="KeinLeerraum"/>
              <w:rPr>
                <w:color w:val="000000" w:themeColor="text1"/>
                <w:sz w:val="22"/>
                <w:szCs w:val="22"/>
              </w:rPr>
            </w:pPr>
          </w:p>
        </w:tc>
        <w:tc>
          <w:tcPr>
            <w:tcW w:w="4678" w:type="dxa"/>
          </w:tcPr>
          <w:p w14:paraId="7F0BBEDF"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Lietuva</w:t>
            </w:r>
          </w:p>
          <w:p w14:paraId="00A667C7" w14:textId="4355B6D6" w:rsidR="004D72CE" w:rsidRPr="00776407" w:rsidRDefault="004D72CE" w:rsidP="00876969">
            <w:pPr>
              <w:ind w:right="567"/>
              <w:rPr>
                <w:noProof/>
                <w:color w:val="000000" w:themeColor="text1"/>
                <w:sz w:val="22"/>
                <w:szCs w:val="22"/>
              </w:rPr>
            </w:pPr>
            <w:r w:rsidRPr="00776407">
              <w:rPr>
                <w:noProof/>
                <w:color w:val="000000" w:themeColor="text1"/>
                <w:sz w:val="22"/>
                <w:szCs w:val="22"/>
              </w:rPr>
              <w:t>UAB Teva Baltics</w:t>
            </w:r>
          </w:p>
          <w:p w14:paraId="0AE7ED07"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+370 5</w:t>
            </w:r>
            <w:r w:rsidRPr="00776407">
              <w:rPr>
                <w:noProof/>
                <w:color w:val="000000" w:themeColor="text1"/>
                <w:sz w:val="22"/>
                <w:szCs w:val="22"/>
              </w:rPr>
              <w:t>2660203</w:t>
            </w:r>
          </w:p>
          <w:p w14:paraId="7E7CCDB4" w14:textId="77777777" w:rsidR="004D72CE" w:rsidRPr="00776407" w:rsidRDefault="004D72CE" w:rsidP="00876969">
            <w:pPr>
              <w:pStyle w:val="KeinLeerraum"/>
              <w:rPr>
                <w:color w:val="000000" w:themeColor="text1"/>
                <w:sz w:val="22"/>
                <w:szCs w:val="22"/>
              </w:rPr>
            </w:pPr>
          </w:p>
        </w:tc>
      </w:tr>
      <w:tr w:rsidR="004D72CE" w:rsidRPr="00776407" w14:paraId="026A12D6" w14:textId="77777777" w:rsidTr="00876969">
        <w:trPr>
          <w:gridBefore w:val="1"/>
          <w:wBefore w:w="34" w:type="dxa"/>
          <w:cantSplit/>
        </w:trPr>
        <w:tc>
          <w:tcPr>
            <w:tcW w:w="4644" w:type="dxa"/>
          </w:tcPr>
          <w:p w14:paraId="4BFF696C" w14:textId="77777777" w:rsidR="004D72CE" w:rsidRPr="00776407" w:rsidRDefault="004D72CE" w:rsidP="00876969">
            <w:pPr>
              <w:pStyle w:val="KeinLeerraum"/>
              <w:rPr>
                <w:b/>
                <w:bCs/>
                <w:color w:val="000000" w:themeColor="text1"/>
                <w:sz w:val="22"/>
                <w:szCs w:val="22"/>
              </w:rPr>
            </w:pPr>
            <w:r w:rsidRPr="00776407">
              <w:rPr>
                <w:b/>
                <w:bCs/>
                <w:color w:val="000000" w:themeColor="text1"/>
                <w:sz w:val="22"/>
                <w:szCs w:val="22"/>
              </w:rPr>
              <w:t>България</w:t>
            </w:r>
          </w:p>
          <w:p w14:paraId="207C205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Актавис ЕАД</w:t>
            </w:r>
          </w:p>
          <w:p w14:paraId="54F2583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Teл: +359 24899585</w:t>
            </w:r>
          </w:p>
          <w:p w14:paraId="70300ECC" w14:textId="77777777" w:rsidR="004D72CE" w:rsidRPr="00776407" w:rsidRDefault="004D72CE" w:rsidP="00876969">
            <w:pPr>
              <w:pStyle w:val="KeinLeerraum"/>
              <w:rPr>
                <w:color w:val="000000" w:themeColor="text1"/>
                <w:sz w:val="22"/>
                <w:szCs w:val="22"/>
              </w:rPr>
            </w:pPr>
          </w:p>
        </w:tc>
        <w:tc>
          <w:tcPr>
            <w:tcW w:w="4678" w:type="dxa"/>
          </w:tcPr>
          <w:p w14:paraId="7EB4A4DD"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Luxembourg/Luxemburg</w:t>
            </w:r>
          </w:p>
          <w:p w14:paraId="73259CC1"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04FB9CAA"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Islande/Island</w:t>
            </w:r>
          </w:p>
          <w:p w14:paraId="43B5E5AC"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Tél/Tel: +354 5503300</w:t>
            </w:r>
          </w:p>
          <w:p w14:paraId="3438CF00" w14:textId="77777777" w:rsidR="004D72CE" w:rsidRPr="00776407" w:rsidRDefault="004D72CE" w:rsidP="00876969">
            <w:pPr>
              <w:pStyle w:val="KeinLeerraum"/>
              <w:rPr>
                <w:color w:val="000000" w:themeColor="text1"/>
                <w:sz w:val="22"/>
                <w:szCs w:val="22"/>
              </w:rPr>
            </w:pPr>
          </w:p>
        </w:tc>
      </w:tr>
      <w:tr w:rsidR="004D72CE" w:rsidRPr="00776407" w14:paraId="2F9876FB" w14:textId="77777777" w:rsidTr="00876969">
        <w:trPr>
          <w:gridBefore w:val="1"/>
          <w:wBefore w:w="34" w:type="dxa"/>
          <w:cantSplit/>
          <w:trHeight w:val="751"/>
        </w:trPr>
        <w:tc>
          <w:tcPr>
            <w:tcW w:w="4644" w:type="dxa"/>
          </w:tcPr>
          <w:p w14:paraId="3A615B6F"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Česká republika</w:t>
            </w:r>
          </w:p>
          <w:p w14:paraId="43FD73F0" w14:textId="77777777" w:rsidR="004D72CE" w:rsidRPr="00776407" w:rsidRDefault="004D72CE" w:rsidP="00876969">
            <w:pPr>
              <w:tabs>
                <w:tab w:val="left" w:pos="-720"/>
              </w:tabs>
              <w:suppressAutoHyphens/>
              <w:ind w:right="567"/>
              <w:rPr>
                <w:noProof/>
                <w:color w:val="000000" w:themeColor="text1"/>
                <w:sz w:val="22"/>
                <w:szCs w:val="22"/>
              </w:rPr>
            </w:pPr>
            <w:r w:rsidRPr="00776407">
              <w:rPr>
                <w:noProof/>
                <w:color w:val="000000" w:themeColor="text1"/>
                <w:sz w:val="22"/>
                <w:szCs w:val="22"/>
              </w:rPr>
              <w:t>Teva Pharmaceuticals CR, s.r.o.</w:t>
            </w:r>
          </w:p>
          <w:p w14:paraId="6D559B05"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+420 251007111</w:t>
            </w:r>
          </w:p>
          <w:p w14:paraId="0829110C" w14:textId="77777777" w:rsidR="004D72CE" w:rsidRPr="00776407" w:rsidRDefault="004D72CE" w:rsidP="00876969">
            <w:pPr>
              <w:pStyle w:val="KeinLeerraum"/>
              <w:rPr>
                <w:color w:val="000000" w:themeColor="text1"/>
                <w:sz w:val="22"/>
                <w:szCs w:val="22"/>
              </w:rPr>
            </w:pPr>
          </w:p>
        </w:tc>
        <w:tc>
          <w:tcPr>
            <w:tcW w:w="4678" w:type="dxa"/>
          </w:tcPr>
          <w:p w14:paraId="2A7FA100"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Magyarország</w:t>
            </w:r>
          </w:p>
          <w:p w14:paraId="7D5033D8"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Teva Gyógyszergyár Zrt.</w:t>
            </w:r>
          </w:p>
          <w:p w14:paraId="08E1E42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+36 1</w:t>
            </w:r>
            <w:r w:rsidRPr="00776407">
              <w:rPr>
                <w:noProof/>
                <w:color w:val="000000" w:themeColor="text1"/>
                <w:sz w:val="22"/>
                <w:szCs w:val="22"/>
              </w:rPr>
              <w:t>2886400</w:t>
            </w:r>
          </w:p>
          <w:p w14:paraId="5CFB4BD1" w14:textId="77777777" w:rsidR="004D72CE" w:rsidRPr="00776407" w:rsidRDefault="004D72CE" w:rsidP="00876969">
            <w:pPr>
              <w:pStyle w:val="KeinLeerraum"/>
              <w:rPr>
                <w:color w:val="000000" w:themeColor="text1"/>
                <w:sz w:val="22"/>
                <w:szCs w:val="22"/>
              </w:rPr>
            </w:pPr>
          </w:p>
        </w:tc>
      </w:tr>
      <w:tr w:rsidR="004D72CE" w:rsidRPr="00776407" w14:paraId="55B44AC7" w14:textId="77777777" w:rsidTr="00876969">
        <w:trPr>
          <w:gridBefore w:val="1"/>
          <w:wBefore w:w="34" w:type="dxa"/>
          <w:cantSplit/>
        </w:trPr>
        <w:tc>
          <w:tcPr>
            <w:tcW w:w="4644" w:type="dxa"/>
          </w:tcPr>
          <w:p w14:paraId="07193DCC"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Danmark</w:t>
            </w:r>
          </w:p>
          <w:p w14:paraId="6E6480F1"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Denmark A/S</w:t>
            </w:r>
          </w:p>
          <w:p w14:paraId="20B3827B"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Tlf: +45 44985511</w:t>
            </w:r>
          </w:p>
          <w:p w14:paraId="21A175F0" w14:textId="77777777" w:rsidR="004D72CE" w:rsidRPr="00776407" w:rsidRDefault="004D72CE" w:rsidP="00876969">
            <w:pPr>
              <w:pStyle w:val="KeinLeerraum"/>
              <w:rPr>
                <w:color w:val="000000" w:themeColor="text1"/>
                <w:sz w:val="22"/>
                <w:szCs w:val="22"/>
              </w:rPr>
            </w:pPr>
          </w:p>
        </w:tc>
        <w:tc>
          <w:tcPr>
            <w:tcW w:w="4678" w:type="dxa"/>
          </w:tcPr>
          <w:p w14:paraId="4A363614"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Malta</w:t>
            </w:r>
          </w:p>
          <w:p w14:paraId="1CC57875"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Ltd.</w:t>
            </w:r>
          </w:p>
          <w:p w14:paraId="5EAAD627"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+356 21693533</w:t>
            </w:r>
          </w:p>
          <w:p w14:paraId="5AE6721B" w14:textId="77777777" w:rsidR="004D72CE" w:rsidRPr="00776407" w:rsidRDefault="004D72CE" w:rsidP="00876969">
            <w:pPr>
              <w:pStyle w:val="KeinLeerraum"/>
              <w:rPr>
                <w:color w:val="000000" w:themeColor="text1"/>
                <w:sz w:val="22"/>
                <w:szCs w:val="22"/>
              </w:rPr>
            </w:pPr>
          </w:p>
        </w:tc>
      </w:tr>
      <w:tr w:rsidR="004D72CE" w:rsidRPr="00776407" w14:paraId="48167C1C" w14:textId="77777777" w:rsidTr="00876969">
        <w:trPr>
          <w:gridBefore w:val="1"/>
          <w:wBefore w:w="34" w:type="dxa"/>
          <w:cantSplit/>
        </w:trPr>
        <w:tc>
          <w:tcPr>
            <w:tcW w:w="4644" w:type="dxa"/>
          </w:tcPr>
          <w:p w14:paraId="00A58D63"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Deutschland</w:t>
            </w:r>
          </w:p>
          <w:p w14:paraId="6A2DC150" w14:textId="77777777" w:rsidR="004D72CE" w:rsidRPr="00776407" w:rsidRDefault="004D72CE" w:rsidP="00876969">
            <w:pPr>
              <w:rPr>
                <w:color w:val="000000" w:themeColor="text1"/>
                <w:sz w:val="22"/>
                <w:szCs w:val="22"/>
              </w:rPr>
            </w:pPr>
            <w:r w:rsidRPr="00776407">
              <w:rPr>
                <w:color w:val="000000" w:themeColor="text1"/>
                <w:sz w:val="22"/>
                <w:szCs w:val="22"/>
              </w:rPr>
              <w:t>Actavis Group PTC ehf.</w:t>
            </w:r>
          </w:p>
          <w:p w14:paraId="785E1CA9"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w:t>
            </w:r>
          </w:p>
          <w:p w14:paraId="4D7E7BB3"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+354 5503300</w:t>
            </w:r>
          </w:p>
          <w:p w14:paraId="085C690F" w14:textId="77777777" w:rsidR="004D72CE" w:rsidRPr="00776407" w:rsidRDefault="004D72CE" w:rsidP="00876969">
            <w:pPr>
              <w:pStyle w:val="KeinLeerraum"/>
              <w:rPr>
                <w:color w:val="000000" w:themeColor="text1"/>
                <w:sz w:val="22"/>
                <w:szCs w:val="22"/>
              </w:rPr>
            </w:pPr>
          </w:p>
        </w:tc>
        <w:tc>
          <w:tcPr>
            <w:tcW w:w="4678" w:type="dxa"/>
          </w:tcPr>
          <w:p w14:paraId="5C370E8F"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Nederland</w:t>
            </w:r>
          </w:p>
          <w:p w14:paraId="473660EF"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Actavis Group PTC ehf.</w:t>
            </w:r>
          </w:p>
          <w:p w14:paraId="0C319AA0"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IJsland</w:t>
            </w:r>
          </w:p>
          <w:p w14:paraId="6605B1E2"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+354 5503300</w:t>
            </w:r>
          </w:p>
          <w:p w14:paraId="03860911" w14:textId="77777777" w:rsidR="004D72CE" w:rsidRPr="00776407" w:rsidRDefault="004D72CE" w:rsidP="00876969">
            <w:pPr>
              <w:pStyle w:val="KeinLeerraum"/>
              <w:rPr>
                <w:color w:val="000000" w:themeColor="text1"/>
                <w:sz w:val="22"/>
                <w:szCs w:val="22"/>
              </w:rPr>
            </w:pPr>
          </w:p>
        </w:tc>
      </w:tr>
      <w:tr w:rsidR="004D72CE" w:rsidRPr="00776407" w14:paraId="15B29DEA" w14:textId="77777777" w:rsidTr="00876969">
        <w:trPr>
          <w:gridBefore w:val="1"/>
          <w:wBefore w:w="34" w:type="dxa"/>
          <w:cantSplit/>
        </w:trPr>
        <w:tc>
          <w:tcPr>
            <w:tcW w:w="4644" w:type="dxa"/>
          </w:tcPr>
          <w:p w14:paraId="21A41B16" w14:textId="77777777" w:rsidR="004D72CE" w:rsidRPr="00776407" w:rsidRDefault="004D72CE" w:rsidP="00876969">
            <w:pPr>
              <w:pStyle w:val="KeinLeerraum"/>
              <w:rPr>
                <w:b/>
                <w:bCs/>
                <w:color w:val="000000" w:themeColor="text1"/>
                <w:sz w:val="22"/>
                <w:szCs w:val="22"/>
              </w:rPr>
            </w:pPr>
            <w:r w:rsidRPr="00776407">
              <w:rPr>
                <w:b/>
                <w:bCs/>
                <w:color w:val="000000" w:themeColor="text1"/>
                <w:sz w:val="22"/>
                <w:szCs w:val="22"/>
              </w:rPr>
              <w:t>Eesti</w:t>
            </w:r>
          </w:p>
          <w:p w14:paraId="2FAFD776" w14:textId="16F1B46E" w:rsidR="004D72CE" w:rsidRPr="00776407" w:rsidRDefault="004D72CE" w:rsidP="00876969">
            <w:pPr>
              <w:pStyle w:val="KeinLeerraum"/>
              <w:rPr>
                <w:color w:val="000000" w:themeColor="text1"/>
                <w:sz w:val="22"/>
                <w:szCs w:val="22"/>
              </w:rPr>
            </w:pPr>
            <w:r w:rsidRPr="00776407">
              <w:rPr>
                <w:color w:val="000000" w:themeColor="text1"/>
                <w:sz w:val="22"/>
                <w:szCs w:val="22"/>
              </w:rPr>
              <w:t>UAB Teva Baltics</w:t>
            </w:r>
            <w:r w:rsidRPr="00776407">
              <w:rPr>
                <w:noProof/>
                <w:color w:val="000000" w:themeColor="text1"/>
                <w:sz w:val="22"/>
                <w:szCs w:val="22"/>
              </w:rPr>
              <w:t xml:space="preserve"> Eesti filiaal</w:t>
            </w:r>
          </w:p>
          <w:p w14:paraId="07E993C0"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 xml:space="preserve">Tel: +372 </w:t>
            </w:r>
            <w:r w:rsidRPr="00776407">
              <w:rPr>
                <w:noProof/>
                <w:color w:val="000000" w:themeColor="text1"/>
                <w:sz w:val="22"/>
                <w:szCs w:val="22"/>
              </w:rPr>
              <w:t>6610801</w:t>
            </w:r>
          </w:p>
          <w:p w14:paraId="26D5E3F9" w14:textId="77777777" w:rsidR="004D72CE" w:rsidRPr="00776407" w:rsidRDefault="004D72CE" w:rsidP="00876969">
            <w:pPr>
              <w:pStyle w:val="KeinLeerraum"/>
              <w:rPr>
                <w:color w:val="000000" w:themeColor="text1"/>
                <w:sz w:val="22"/>
                <w:szCs w:val="22"/>
              </w:rPr>
            </w:pPr>
          </w:p>
        </w:tc>
        <w:tc>
          <w:tcPr>
            <w:tcW w:w="4678" w:type="dxa"/>
          </w:tcPr>
          <w:p w14:paraId="76979C46"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Norge</w:t>
            </w:r>
          </w:p>
          <w:p w14:paraId="31531AF3"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Teva Norway AS</w:t>
            </w:r>
          </w:p>
          <w:p w14:paraId="5C3D96F2"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Tlf: +47 66775590</w:t>
            </w:r>
          </w:p>
          <w:p w14:paraId="41D4A45F" w14:textId="77777777" w:rsidR="004D72CE" w:rsidRPr="00776407" w:rsidRDefault="004D72CE" w:rsidP="00876969">
            <w:pPr>
              <w:pStyle w:val="KeinLeerraum"/>
              <w:rPr>
                <w:color w:val="000000" w:themeColor="text1"/>
                <w:sz w:val="22"/>
                <w:szCs w:val="22"/>
              </w:rPr>
            </w:pPr>
          </w:p>
        </w:tc>
      </w:tr>
      <w:tr w:rsidR="004D72CE" w:rsidRPr="00776407" w14:paraId="070A89BE" w14:textId="77777777" w:rsidTr="00876969">
        <w:trPr>
          <w:gridBefore w:val="1"/>
          <w:wBefore w:w="34" w:type="dxa"/>
          <w:cantSplit/>
        </w:trPr>
        <w:tc>
          <w:tcPr>
            <w:tcW w:w="4644" w:type="dxa"/>
          </w:tcPr>
          <w:p w14:paraId="0060E5D7"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Ελλάδα</w:t>
            </w:r>
          </w:p>
          <w:p w14:paraId="205E15B1" w14:textId="77777777" w:rsidR="004D72CE" w:rsidRPr="00776407" w:rsidRDefault="004D72CE" w:rsidP="00876969">
            <w:pPr>
              <w:pStyle w:val="NormalParagraphStyle"/>
              <w:spacing w:line="240" w:lineRule="auto"/>
              <w:rPr>
                <w:rFonts w:ascii="Times New Roman" w:hAnsi="Times New Roman"/>
                <w:color w:val="000000" w:themeColor="text1"/>
                <w:sz w:val="22"/>
                <w:szCs w:val="22"/>
                <w:lang w:val="lt-LT"/>
              </w:rPr>
            </w:pPr>
            <w:r w:rsidRPr="00881EFD">
              <w:rPr>
                <w:rFonts w:ascii="Times New Roman" w:hAnsi="Times New Roman"/>
                <w:color w:val="000000" w:themeColor="text1"/>
                <w:sz w:val="22"/>
                <w:szCs w:val="22"/>
                <w:lang w:val="lt-LT"/>
              </w:rPr>
              <w:t>Specifar A.B.E.E</w:t>
            </w:r>
            <w:r w:rsidRPr="00776407">
              <w:rPr>
                <w:rFonts w:ascii="Times New Roman" w:hAnsi="Times New Roman"/>
                <w:color w:val="000000" w:themeColor="text1"/>
                <w:sz w:val="22"/>
                <w:szCs w:val="22"/>
                <w:lang w:val="lt-LT"/>
              </w:rPr>
              <w:t>.</w:t>
            </w:r>
          </w:p>
          <w:p w14:paraId="5472DDB3" w14:textId="51A3A2F2" w:rsidR="004D72CE" w:rsidRPr="00776407" w:rsidRDefault="004D72CE" w:rsidP="00876969">
            <w:pPr>
              <w:pStyle w:val="KeinLeerraum"/>
              <w:rPr>
                <w:color w:val="000000" w:themeColor="text1"/>
                <w:sz w:val="22"/>
                <w:szCs w:val="22"/>
              </w:rPr>
            </w:pPr>
            <w:r w:rsidRPr="00776407">
              <w:rPr>
                <w:color w:val="000000" w:themeColor="text1"/>
                <w:sz w:val="22"/>
                <w:szCs w:val="22"/>
              </w:rPr>
              <w:t>Τηλ: +30 2118805000</w:t>
            </w:r>
          </w:p>
          <w:p w14:paraId="55AFFF4E" w14:textId="77777777" w:rsidR="004D72CE" w:rsidRPr="00776407" w:rsidRDefault="004D72CE" w:rsidP="00876969">
            <w:pPr>
              <w:pStyle w:val="KeinLeerraum"/>
              <w:rPr>
                <w:color w:val="000000" w:themeColor="text1"/>
                <w:sz w:val="22"/>
                <w:szCs w:val="22"/>
              </w:rPr>
            </w:pPr>
          </w:p>
        </w:tc>
        <w:tc>
          <w:tcPr>
            <w:tcW w:w="4678" w:type="dxa"/>
          </w:tcPr>
          <w:p w14:paraId="5BE24706"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Österreich</w:t>
            </w:r>
          </w:p>
          <w:p w14:paraId="12CB9C68" w14:textId="77777777" w:rsidR="004D72CE" w:rsidRPr="00776407" w:rsidRDefault="004D72CE" w:rsidP="00876969">
            <w:pPr>
              <w:rPr>
                <w:rFonts w:eastAsia="Adobe Fangsong Std R"/>
                <w:color w:val="000000" w:themeColor="text1"/>
                <w:sz w:val="22"/>
                <w:szCs w:val="22"/>
              </w:rPr>
            </w:pPr>
            <w:r w:rsidRPr="00776407">
              <w:rPr>
                <w:rFonts w:eastAsia="Adobe Fangsong Std R"/>
                <w:color w:val="000000" w:themeColor="text1"/>
                <w:sz w:val="22"/>
                <w:szCs w:val="22"/>
              </w:rPr>
              <w:t>ratiopharm Arzneimittel Vertriebs-GmbH</w:t>
            </w:r>
          </w:p>
          <w:p w14:paraId="283BF27D" w14:textId="77777777" w:rsidR="004D72CE" w:rsidRPr="00776407" w:rsidRDefault="004D72CE" w:rsidP="00876969">
            <w:pPr>
              <w:rPr>
                <w:rFonts w:eastAsia="Adobe Fangsong Std R"/>
                <w:color w:val="000000" w:themeColor="text1"/>
                <w:sz w:val="22"/>
                <w:szCs w:val="22"/>
              </w:rPr>
            </w:pPr>
            <w:r w:rsidRPr="00776407">
              <w:rPr>
                <w:rFonts w:eastAsia="Adobe Fangsong Std R"/>
                <w:color w:val="000000" w:themeColor="text1"/>
                <w:sz w:val="22"/>
                <w:szCs w:val="22"/>
              </w:rPr>
              <w:t>Tel: +43 1970070</w:t>
            </w:r>
          </w:p>
          <w:p w14:paraId="1ED25B70" w14:textId="77777777" w:rsidR="004D72CE" w:rsidRPr="00776407" w:rsidRDefault="004D72CE" w:rsidP="00876969">
            <w:pPr>
              <w:pStyle w:val="KeinLeerraum"/>
              <w:rPr>
                <w:color w:val="000000" w:themeColor="text1"/>
                <w:sz w:val="22"/>
                <w:szCs w:val="22"/>
              </w:rPr>
            </w:pPr>
          </w:p>
        </w:tc>
      </w:tr>
      <w:tr w:rsidR="004D72CE" w:rsidRPr="00776407" w14:paraId="1F69901A" w14:textId="77777777" w:rsidTr="00876969">
        <w:trPr>
          <w:cantSplit/>
        </w:trPr>
        <w:tc>
          <w:tcPr>
            <w:tcW w:w="4678" w:type="dxa"/>
            <w:gridSpan w:val="2"/>
          </w:tcPr>
          <w:p w14:paraId="3A52FE63"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España</w:t>
            </w:r>
          </w:p>
          <w:p w14:paraId="1CF5F6EE"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Actavis Group PTC ehf.</w:t>
            </w:r>
          </w:p>
          <w:p w14:paraId="230ECF92"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Islandia</w:t>
            </w:r>
          </w:p>
          <w:p w14:paraId="0A3DD5FB"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+354 5503300</w:t>
            </w:r>
          </w:p>
          <w:p w14:paraId="0146ABAB" w14:textId="77777777" w:rsidR="004D72CE" w:rsidRPr="00776407" w:rsidRDefault="004D72CE" w:rsidP="00876969">
            <w:pPr>
              <w:pStyle w:val="KeinLeerraum"/>
              <w:rPr>
                <w:color w:val="000000" w:themeColor="text1"/>
                <w:sz w:val="22"/>
                <w:szCs w:val="22"/>
              </w:rPr>
            </w:pPr>
          </w:p>
        </w:tc>
        <w:tc>
          <w:tcPr>
            <w:tcW w:w="4678" w:type="dxa"/>
          </w:tcPr>
          <w:p w14:paraId="0F347C6A" w14:textId="77777777" w:rsidR="004D72CE" w:rsidRPr="00776407" w:rsidRDefault="004D72CE" w:rsidP="00876969">
            <w:pPr>
              <w:pStyle w:val="KeinLeerraum"/>
              <w:rPr>
                <w:b/>
                <w:bCs/>
                <w:i/>
                <w:iCs/>
                <w:color w:val="000000" w:themeColor="text1"/>
                <w:sz w:val="22"/>
                <w:szCs w:val="22"/>
              </w:rPr>
            </w:pPr>
            <w:r w:rsidRPr="00776407">
              <w:rPr>
                <w:b/>
                <w:color w:val="000000" w:themeColor="text1"/>
                <w:sz w:val="22"/>
                <w:szCs w:val="22"/>
              </w:rPr>
              <w:t>Polska</w:t>
            </w:r>
          </w:p>
          <w:p w14:paraId="6B95B850" w14:textId="77777777" w:rsidR="004D72CE" w:rsidRPr="00776407" w:rsidRDefault="004D72CE" w:rsidP="00876969">
            <w:pPr>
              <w:rPr>
                <w:color w:val="000000" w:themeColor="text1"/>
                <w:sz w:val="22"/>
                <w:szCs w:val="22"/>
              </w:rPr>
            </w:pPr>
            <w:r w:rsidRPr="00776407">
              <w:rPr>
                <w:color w:val="000000" w:themeColor="text1"/>
                <w:sz w:val="22"/>
                <w:szCs w:val="22"/>
              </w:rPr>
              <w:t>Teva Pharmaceuticals Polska Sp. z o.o.</w:t>
            </w:r>
          </w:p>
          <w:p w14:paraId="69CCB72E" w14:textId="77777777" w:rsidR="004D72CE" w:rsidRPr="00776407" w:rsidRDefault="004D72CE" w:rsidP="00876969">
            <w:pPr>
              <w:numPr>
                <w:ilvl w:val="12"/>
                <w:numId w:val="0"/>
              </w:numPr>
              <w:rPr>
                <w:color w:val="000000" w:themeColor="text1"/>
                <w:sz w:val="22"/>
                <w:szCs w:val="22"/>
                <w:lang w:eastAsia="is-IS"/>
              </w:rPr>
            </w:pPr>
            <w:r w:rsidRPr="00776407">
              <w:rPr>
                <w:color w:val="000000" w:themeColor="text1"/>
                <w:sz w:val="22"/>
                <w:szCs w:val="22"/>
              </w:rPr>
              <w:t>Tel: +48 223459300</w:t>
            </w:r>
          </w:p>
          <w:p w14:paraId="6D9C4756" w14:textId="77777777" w:rsidR="004D72CE" w:rsidRPr="00776407" w:rsidRDefault="004D72CE" w:rsidP="00876969">
            <w:pPr>
              <w:pStyle w:val="KeinLeerraum"/>
              <w:rPr>
                <w:color w:val="000000" w:themeColor="text1"/>
                <w:sz w:val="22"/>
                <w:szCs w:val="22"/>
              </w:rPr>
            </w:pPr>
          </w:p>
        </w:tc>
      </w:tr>
      <w:tr w:rsidR="004D72CE" w:rsidRPr="00776407" w14:paraId="59ADE769" w14:textId="77777777" w:rsidTr="00876969">
        <w:trPr>
          <w:cantSplit/>
        </w:trPr>
        <w:tc>
          <w:tcPr>
            <w:tcW w:w="4678" w:type="dxa"/>
            <w:gridSpan w:val="2"/>
          </w:tcPr>
          <w:p w14:paraId="2FC9F177"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France</w:t>
            </w:r>
          </w:p>
          <w:p w14:paraId="714128A9"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6BC1D1B4"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Islande</w:t>
            </w:r>
          </w:p>
          <w:p w14:paraId="0596DF67" w14:textId="77777777" w:rsidR="004D72CE" w:rsidRPr="00776407" w:rsidRDefault="004D72CE" w:rsidP="00876969">
            <w:pPr>
              <w:pStyle w:val="KeinLeerraum"/>
              <w:rPr>
                <w:color w:val="000000" w:themeColor="text1"/>
                <w:sz w:val="22"/>
                <w:szCs w:val="22"/>
              </w:rPr>
            </w:pPr>
            <w:r w:rsidRPr="00776407">
              <w:rPr>
                <w:color w:val="000000" w:themeColor="text1"/>
                <w:sz w:val="22"/>
                <w:szCs w:val="22"/>
                <w:lang w:eastAsia="en-GB"/>
              </w:rPr>
              <w:t>Tél</w:t>
            </w:r>
            <w:r w:rsidRPr="00776407">
              <w:rPr>
                <w:noProof/>
                <w:color w:val="000000" w:themeColor="text1"/>
                <w:sz w:val="22"/>
                <w:szCs w:val="22"/>
              </w:rPr>
              <w:t>:</w:t>
            </w:r>
            <w:r w:rsidRPr="00776407">
              <w:rPr>
                <w:color w:val="000000" w:themeColor="text1"/>
                <w:sz w:val="22"/>
                <w:szCs w:val="22"/>
              </w:rPr>
              <w:t xml:space="preserve"> +354 5503300</w:t>
            </w:r>
          </w:p>
          <w:p w14:paraId="08053362" w14:textId="77777777" w:rsidR="004D72CE" w:rsidRPr="00776407" w:rsidRDefault="004D72CE" w:rsidP="00876969">
            <w:pPr>
              <w:pStyle w:val="KeinLeerraum"/>
              <w:rPr>
                <w:b/>
                <w:color w:val="000000" w:themeColor="text1"/>
                <w:sz w:val="22"/>
                <w:szCs w:val="22"/>
              </w:rPr>
            </w:pPr>
          </w:p>
        </w:tc>
        <w:tc>
          <w:tcPr>
            <w:tcW w:w="4678" w:type="dxa"/>
          </w:tcPr>
          <w:p w14:paraId="4A90FC96"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Portugal</w:t>
            </w:r>
          </w:p>
          <w:p w14:paraId="3736D2FF"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Actavis Group PTC ehf.</w:t>
            </w:r>
          </w:p>
          <w:p w14:paraId="4D494592"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Islândia</w:t>
            </w:r>
          </w:p>
          <w:p w14:paraId="0EFED014"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Tel: +354 5503300</w:t>
            </w:r>
          </w:p>
          <w:p w14:paraId="6081412B" w14:textId="77777777" w:rsidR="004D72CE" w:rsidRPr="00776407" w:rsidRDefault="004D72CE" w:rsidP="00876969">
            <w:pPr>
              <w:pStyle w:val="KeinLeerraum"/>
              <w:rPr>
                <w:color w:val="000000" w:themeColor="text1"/>
                <w:sz w:val="22"/>
                <w:szCs w:val="22"/>
              </w:rPr>
            </w:pPr>
          </w:p>
        </w:tc>
      </w:tr>
      <w:tr w:rsidR="004D72CE" w:rsidRPr="00776407" w14:paraId="5AB077CA" w14:textId="77777777" w:rsidTr="00876969">
        <w:trPr>
          <w:cantSplit/>
        </w:trPr>
        <w:tc>
          <w:tcPr>
            <w:tcW w:w="4678" w:type="dxa"/>
            <w:gridSpan w:val="2"/>
          </w:tcPr>
          <w:p w14:paraId="7F938A59" w14:textId="77777777" w:rsidR="004D72CE" w:rsidRPr="00776407" w:rsidRDefault="004D72CE" w:rsidP="00876969">
            <w:pPr>
              <w:tabs>
                <w:tab w:val="left" w:pos="-720"/>
                <w:tab w:val="left" w:pos="4536"/>
              </w:tabs>
              <w:suppressAutoHyphens/>
              <w:ind w:right="567"/>
              <w:rPr>
                <w:b/>
                <w:noProof/>
                <w:color w:val="000000" w:themeColor="text1"/>
                <w:sz w:val="22"/>
                <w:szCs w:val="22"/>
              </w:rPr>
            </w:pPr>
            <w:r w:rsidRPr="00776407">
              <w:rPr>
                <w:color w:val="000000" w:themeColor="text1"/>
                <w:sz w:val="22"/>
                <w:szCs w:val="22"/>
              </w:rPr>
              <w:br w:type="page"/>
            </w:r>
            <w:r w:rsidRPr="00776407">
              <w:rPr>
                <w:b/>
                <w:noProof/>
                <w:color w:val="000000" w:themeColor="text1"/>
                <w:sz w:val="22"/>
                <w:szCs w:val="22"/>
              </w:rPr>
              <w:t>Hrvatska</w:t>
            </w:r>
          </w:p>
          <w:p w14:paraId="5A2F650D" w14:textId="77777777" w:rsidR="004D72CE" w:rsidRPr="00776407" w:rsidRDefault="004D72CE" w:rsidP="00876969">
            <w:pPr>
              <w:tabs>
                <w:tab w:val="left" w:pos="-720"/>
                <w:tab w:val="left" w:pos="4536"/>
              </w:tabs>
              <w:suppressAutoHyphens/>
              <w:ind w:right="567"/>
              <w:rPr>
                <w:color w:val="000000" w:themeColor="text1"/>
                <w:sz w:val="22"/>
                <w:szCs w:val="22"/>
              </w:rPr>
            </w:pPr>
            <w:r w:rsidRPr="00776407">
              <w:rPr>
                <w:color w:val="000000" w:themeColor="text1"/>
                <w:sz w:val="22"/>
                <w:szCs w:val="22"/>
              </w:rPr>
              <w:t>Pliva Hrvatska d.o.o.</w:t>
            </w:r>
          </w:p>
          <w:p w14:paraId="67449324"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+385 13720000</w:t>
            </w:r>
          </w:p>
          <w:p w14:paraId="4CCDA9BD" w14:textId="77777777" w:rsidR="004D72CE" w:rsidRPr="00776407" w:rsidRDefault="004D72CE" w:rsidP="00876969">
            <w:pPr>
              <w:pStyle w:val="KeinLeerraum"/>
              <w:rPr>
                <w:color w:val="000000" w:themeColor="text1"/>
                <w:sz w:val="22"/>
                <w:szCs w:val="22"/>
              </w:rPr>
            </w:pPr>
          </w:p>
        </w:tc>
        <w:tc>
          <w:tcPr>
            <w:tcW w:w="4678" w:type="dxa"/>
          </w:tcPr>
          <w:p w14:paraId="08F59373"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România</w:t>
            </w:r>
          </w:p>
          <w:p w14:paraId="502669CF"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Pharmaceuticals S.R.L.</w:t>
            </w:r>
          </w:p>
          <w:p w14:paraId="6CB60B87"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w:t>
            </w:r>
            <w:r w:rsidRPr="00776407">
              <w:rPr>
                <w:noProof/>
                <w:color w:val="000000" w:themeColor="text1"/>
                <w:sz w:val="22"/>
                <w:szCs w:val="22"/>
              </w:rPr>
              <w:t>40 212306524</w:t>
            </w:r>
          </w:p>
          <w:p w14:paraId="1EE53860" w14:textId="77777777" w:rsidR="004D72CE" w:rsidRPr="00776407" w:rsidRDefault="004D72CE" w:rsidP="00876969">
            <w:pPr>
              <w:pStyle w:val="KeinLeerraum"/>
              <w:rPr>
                <w:color w:val="000000" w:themeColor="text1"/>
                <w:sz w:val="22"/>
                <w:szCs w:val="22"/>
              </w:rPr>
            </w:pPr>
          </w:p>
        </w:tc>
      </w:tr>
      <w:tr w:rsidR="004D72CE" w:rsidRPr="00776407" w14:paraId="69566186" w14:textId="77777777" w:rsidTr="00876969">
        <w:trPr>
          <w:cantSplit/>
        </w:trPr>
        <w:tc>
          <w:tcPr>
            <w:tcW w:w="4678" w:type="dxa"/>
            <w:gridSpan w:val="2"/>
          </w:tcPr>
          <w:p w14:paraId="3EF07413"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Ireland</w:t>
            </w:r>
          </w:p>
          <w:p w14:paraId="29A1C1C3"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Pharmaceuticals Ireland</w:t>
            </w:r>
          </w:p>
          <w:p w14:paraId="3D932CE8" w14:textId="0E9C9F2F" w:rsidR="004D72CE" w:rsidRPr="00776407" w:rsidRDefault="004D72CE" w:rsidP="00876969">
            <w:pPr>
              <w:pStyle w:val="KeinLeerraum"/>
              <w:rPr>
                <w:color w:val="000000" w:themeColor="text1"/>
                <w:sz w:val="22"/>
                <w:szCs w:val="22"/>
              </w:rPr>
            </w:pPr>
            <w:r w:rsidRPr="00776407">
              <w:rPr>
                <w:color w:val="000000" w:themeColor="text1"/>
                <w:sz w:val="22"/>
                <w:szCs w:val="22"/>
              </w:rPr>
              <w:t>Tel: +353 19127700</w:t>
            </w:r>
          </w:p>
          <w:p w14:paraId="522E9CAB" w14:textId="77777777" w:rsidR="004D72CE" w:rsidRPr="00776407" w:rsidRDefault="004D72CE" w:rsidP="00876969">
            <w:pPr>
              <w:pStyle w:val="KeinLeerraum"/>
              <w:rPr>
                <w:color w:val="000000" w:themeColor="text1"/>
                <w:sz w:val="22"/>
                <w:szCs w:val="22"/>
              </w:rPr>
            </w:pPr>
          </w:p>
        </w:tc>
        <w:tc>
          <w:tcPr>
            <w:tcW w:w="4678" w:type="dxa"/>
          </w:tcPr>
          <w:p w14:paraId="613D2489"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Slovenija</w:t>
            </w:r>
          </w:p>
          <w:p w14:paraId="01AF8280"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Pliva Ljubljana d.o.o.</w:t>
            </w:r>
          </w:p>
          <w:p w14:paraId="452E1D1A"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+386 15890390</w:t>
            </w:r>
          </w:p>
          <w:p w14:paraId="151F358F" w14:textId="77777777" w:rsidR="004D72CE" w:rsidRPr="00776407" w:rsidRDefault="004D72CE" w:rsidP="00876969">
            <w:pPr>
              <w:pStyle w:val="KeinLeerraum"/>
              <w:rPr>
                <w:b/>
                <w:color w:val="000000" w:themeColor="text1"/>
                <w:sz w:val="22"/>
                <w:szCs w:val="22"/>
              </w:rPr>
            </w:pPr>
          </w:p>
        </w:tc>
      </w:tr>
      <w:tr w:rsidR="004D72CE" w:rsidRPr="00776407" w14:paraId="133729C7" w14:textId="77777777" w:rsidTr="00876969">
        <w:trPr>
          <w:cantSplit/>
        </w:trPr>
        <w:tc>
          <w:tcPr>
            <w:tcW w:w="4678" w:type="dxa"/>
            <w:gridSpan w:val="2"/>
          </w:tcPr>
          <w:p w14:paraId="31E842D3"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Ísland</w:t>
            </w:r>
          </w:p>
          <w:p w14:paraId="365856C5"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76058D4B"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Sími: +354 5503300</w:t>
            </w:r>
          </w:p>
          <w:p w14:paraId="4E0A6C42" w14:textId="77777777" w:rsidR="004D72CE" w:rsidRPr="00776407" w:rsidRDefault="004D72CE" w:rsidP="00876969">
            <w:pPr>
              <w:pStyle w:val="KeinLeerraum"/>
              <w:rPr>
                <w:b/>
                <w:color w:val="000000" w:themeColor="text1"/>
                <w:sz w:val="22"/>
                <w:szCs w:val="22"/>
              </w:rPr>
            </w:pPr>
          </w:p>
        </w:tc>
        <w:tc>
          <w:tcPr>
            <w:tcW w:w="4678" w:type="dxa"/>
          </w:tcPr>
          <w:p w14:paraId="00E7FD1E"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Slovenská republika</w:t>
            </w:r>
          </w:p>
          <w:p w14:paraId="5EE612E8"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TEVA Pharmaceuticals Slovakia s.r.o.</w:t>
            </w:r>
          </w:p>
          <w:p w14:paraId="3B70322A"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+421 2</w:t>
            </w:r>
            <w:r w:rsidRPr="00776407">
              <w:rPr>
                <w:noProof/>
                <w:color w:val="000000" w:themeColor="text1"/>
                <w:sz w:val="22"/>
                <w:szCs w:val="22"/>
              </w:rPr>
              <w:t>57267911</w:t>
            </w:r>
          </w:p>
          <w:p w14:paraId="5A413911" w14:textId="77777777" w:rsidR="004D72CE" w:rsidRPr="00776407" w:rsidRDefault="004D72CE" w:rsidP="00876969">
            <w:pPr>
              <w:pStyle w:val="KeinLeerraum"/>
              <w:rPr>
                <w:color w:val="000000" w:themeColor="text1"/>
                <w:sz w:val="22"/>
                <w:szCs w:val="22"/>
              </w:rPr>
            </w:pPr>
          </w:p>
        </w:tc>
      </w:tr>
      <w:tr w:rsidR="004D72CE" w:rsidRPr="00776407" w14:paraId="1DC5A9B1" w14:textId="77777777" w:rsidTr="00876969">
        <w:trPr>
          <w:cantSplit/>
        </w:trPr>
        <w:tc>
          <w:tcPr>
            <w:tcW w:w="4678" w:type="dxa"/>
            <w:gridSpan w:val="2"/>
          </w:tcPr>
          <w:p w14:paraId="464A80A6"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Italia</w:t>
            </w:r>
          </w:p>
          <w:p w14:paraId="3336337A"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41619AA0"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Islanda</w:t>
            </w:r>
          </w:p>
          <w:p w14:paraId="5875B4A8"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Tel: +354 5503300</w:t>
            </w:r>
          </w:p>
          <w:p w14:paraId="36A06447" w14:textId="77777777" w:rsidR="004D72CE" w:rsidRPr="00776407" w:rsidRDefault="004D72CE" w:rsidP="00876969">
            <w:pPr>
              <w:pStyle w:val="KeinLeerraum"/>
              <w:rPr>
                <w:b/>
                <w:color w:val="000000" w:themeColor="text1"/>
                <w:sz w:val="22"/>
                <w:szCs w:val="22"/>
              </w:rPr>
            </w:pPr>
          </w:p>
        </w:tc>
        <w:tc>
          <w:tcPr>
            <w:tcW w:w="4678" w:type="dxa"/>
          </w:tcPr>
          <w:p w14:paraId="4233CA10"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Suomi/Finland</w:t>
            </w:r>
          </w:p>
          <w:p w14:paraId="57DBB296" w14:textId="299376C3" w:rsidR="004D72CE" w:rsidRPr="00776407" w:rsidRDefault="004D72CE" w:rsidP="00876969">
            <w:pPr>
              <w:pStyle w:val="KeinLeerraum"/>
              <w:rPr>
                <w:color w:val="000000" w:themeColor="text1"/>
                <w:sz w:val="22"/>
                <w:szCs w:val="22"/>
              </w:rPr>
            </w:pPr>
            <w:r w:rsidRPr="00776407">
              <w:rPr>
                <w:color w:val="000000" w:themeColor="text1"/>
                <w:sz w:val="22"/>
                <w:szCs w:val="22"/>
              </w:rPr>
              <w:t>Teva Finland Oy</w:t>
            </w:r>
          </w:p>
          <w:p w14:paraId="225EF81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Puh/Tel: +358 201805900</w:t>
            </w:r>
          </w:p>
          <w:p w14:paraId="30613F49" w14:textId="77777777" w:rsidR="004D72CE" w:rsidRPr="00776407" w:rsidRDefault="004D72CE" w:rsidP="00876969">
            <w:pPr>
              <w:pStyle w:val="KeinLeerraum"/>
              <w:rPr>
                <w:b/>
                <w:color w:val="000000" w:themeColor="text1"/>
                <w:sz w:val="22"/>
                <w:szCs w:val="22"/>
              </w:rPr>
            </w:pPr>
          </w:p>
        </w:tc>
      </w:tr>
      <w:tr w:rsidR="004D72CE" w:rsidRPr="00776407" w14:paraId="6B842891" w14:textId="77777777" w:rsidTr="00876969">
        <w:trPr>
          <w:cantSplit/>
        </w:trPr>
        <w:tc>
          <w:tcPr>
            <w:tcW w:w="4678" w:type="dxa"/>
            <w:gridSpan w:val="2"/>
          </w:tcPr>
          <w:p w14:paraId="430B9A6E"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Κύπρος</w:t>
            </w:r>
          </w:p>
          <w:p w14:paraId="2F305178"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Specifar A.B.E.E.</w:t>
            </w:r>
          </w:p>
          <w:p w14:paraId="6BB22476"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Ελλάδα</w:t>
            </w:r>
          </w:p>
          <w:p w14:paraId="2C2DA1BA" w14:textId="193FE285" w:rsidR="004D72CE" w:rsidRPr="00776407" w:rsidRDefault="004D72CE" w:rsidP="00876969">
            <w:pPr>
              <w:pStyle w:val="KeinLeerraum"/>
              <w:rPr>
                <w:color w:val="000000" w:themeColor="text1"/>
                <w:sz w:val="22"/>
                <w:szCs w:val="22"/>
              </w:rPr>
            </w:pPr>
            <w:r w:rsidRPr="00776407">
              <w:rPr>
                <w:color w:val="000000" w:themeColor="text1"/>
                <w:sz w:val="22"/>
                <w:szCs w:val="22"/>
              </w:rPr>
              <w:t>Τηλ: +30 2118805000</w:t>
            </w:r>
          </w:p>
          <w:p w14:paraId="6DA234C2" w14:textId="77777777" w:rsidR="004D72CE" w:rsidRPr="00776407" w:rsidRDefault="004D72CE" w:rsidP="00876969">
            <w:pPr>
              <w:pStyle w:val="KeinLeerraum"/>
              <w:rPr>
                <w:color w:val="000000" w:themeColor="text1"/>
                <w:sz w:val="22"/>
                <w:szCs w:val="22"/>
              </w:rPr>
            </w:pPr>
          </w:p>
        </w:tc>
        <w:tc>
          <w:tcPr>
            <w:tcW w:w="4678" w:type="dxa"/>
          </w:tcPr>
          <w:p w14:paraId="02CEEEAA"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Sverige</w:t>
            </w:r>
          </w:p>
          <w:p w14:paraId="57A6B0B8"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Sweden AB</w:t>
            </w:r>
          </w:p>
          <w:p w14:paraId="30D66F32"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+46 42121100</w:t>
            </w:r>
          </w:p>
          <w:p w14:paraId="2D748E4F" w14:textId="77777777" w:rsidR="004D72CE" w:rsidRPr="00776407" w:rsidRDefault="004D72CE" w:rsidP="00876969">
            <w:pPr>
              <w:pStyle w:val="KeinLeerraum"/>
              <w:rPr>
                <w:color w:val="000000" w:themeColor="text1"/>
                <w:sz w:val="22"/>
                <w:szCs w:val="22"/>
              </w:rPr>
            </w:pPr>
          </w:p>
        </w:tc>
      </w:tr>
      <w:tr w:rsidR="004D72CE" w:rsidRPr="00776407" w14:paraId="599537E5" w14:textId="77777777" w:rsidTr="00876969">
        <w:trPr>
          <w:cantSplit/>
        </w:trPr>
        <w:tc>
          <w:tcPr>
            <w:tcW w:w="4678" w:type="dxa"/>
            <w:gridSpan w:val="2"/>
          </w:tcPr>
          <w:p w14:paraId="48152189" w14:textId="77777777" w:rsidR="004D72CE" w:rsidRPr="00776407" w:rsidRDefault="004D72CE" w:rsidP="00876969">
            <w:pPr>
              <w:pStyle w:val="KeinLeerraum"/>
              <w:rPr>
                <w:b/>
                <w:bCs/>
                <w:color w:val="000000" w:themeColor="text1"/>
                <w:sz w:val="22"/>
                <w:szCs w:val="22"/>
                <w:lang w:eastAsia="en-GB"/>
              </w:rPr>
            </w:pPr>
            <w:r w:rsidRPr="00776407">
              <w:rPr>
                <w:b/>
                <w:bCs/>
                <w:color w:val="000000" w:themeColor="text1"/>
                <w:sz w:val="22"/>
                <w:szCs w:val="22"/>
                <w:lang w:eastAsia="en-GB"/>
              </w:rPr>
              <w:t>Latvija</w:t>
            </w:r>
          </w:p>
          <w:p w14:paraId="6DB45CF5" w14:textId="42E1CD53" w:rsidR="004D72CE" w:rsidRPr="00776407" w:rsidRDefault="004D72CE" w:rsidP="00876969">
            <w:pPr>
              <w:rPr>
                <w:color w:val="000000" w:themeColor="text1"/>
                <w:sz w:val="22"/>
                <w:szCs w:val="22"/>
                <w:lang w:eastAsia="en-GB"/>
              </w:rPr>
            </w:pPr>
            <w:r w:rsidRPr="00776407">
              <w:rPr>
                <w:color w:val="000000" w:themeColor="text1"/>
                <w:sz w:val="22"/>
                <w:szCs w:val="22"/>
                <w:lang w:eastAsia="en-GB"/>
              </w:rPr>
              <w:t>UAB Teva Baltics filiāle Latvijā</w:t>
            </w:r>
          </w:p>
          <w:p w14:paraId="3B5F1B31" w14:textId="77777777" w:rsidR="004D72CE" w:rsidRPr="00776407" w:rsidRDefault="004D72CE" w:rsidP="00876969">
            <w:pPr>
              <w:pStyle w:val="KeinLeerraum"/>
              <w:rPr>
                <w:color w:val="000000" w:themeColor="text1"/>
                <w:sz w:val="22"/>
                <w:szCs w:val="22"/>
                <w:lang w:eastAsia="en-GB"/>
              </w:rPr>
            </w:pPr>
            <w:r w:rsidRPr="00776407">
              <w:rPr>
                <w:color w:val="000000" w:themeColor="text1"/>
                <w:sz w:val="22"/>
                <w:szCs w:val="22"/>
                <w:lang w:eastAsia="en-GB"/>
              </w:rPr>
              <w:t>Tel: +371 67323666</w:t>
            </w:r>
          </w:p>
          <w:p w14:paraId="4AA2E7C3" w14:textId="77777777" w:rsidR="004D72CE" w:rsidRPr="00776407" w:rsidRDefault="004D72CE" w:rsidP="00876969">
            <w:pPr>
              <w:pStyle w:val="KeinLeerraum"/>
              <w:rPr>
                <w:color w:val="000000" w:themeColor="text1"/>
                <w:sz w:val="22"/>
                <w:szCs w:val="22"/>
              </w:rPr>
            </w:pPr>
          </w:p>
        </w:tc>
        <w:tc>
          <w:tcPr>
            <w:tcW w:w="4678" w:type="dxa"/>
          </w:tcPr>
          <w:p w14:paraId="66A2102F"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United Kingdom</w:t>
            </w:r>
          </w:p>
          <w:p w14:paraId="7253CDF0"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UK Limited</w:t>
            </w:r>
          </w:p>
          <w:p w14:paraId="14105B7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+44 1271385257</w:t>
            </w:r>
          </w:p>
          <w:p w14:paraId="52928215" w14:textId="77777777" w:rsidR="004D72CE" w:rsidRPr="00776407" w:rsidRDefault="004D72CE" w:rsidP="00876969">
            <w:pPr>
              <w:pStyle w:val="KeinLeerraum"/>
              <w:rPr>
                <w:color w:val="000000" w:themeColor="text1"/>
                <w:sz w:val="22"/>
                <w:szCs w:val="22"/>
              </w:rPr>
            </w:pPr>
          </w:p>
        </w:tc>
      </w:tr>
    </w:tbl>
    <w:p w14:paraId="4C8E24FB" w14:textId="77777777" w:rsidR="004D72CE" w:rsidRPr="00776407" w:rsidRDefault="004D72CE" w:rsidP="004D72CE">
      <w:pPr>
        <w:rPr>
          <w:color w:val="000000" w:themeColor="text1"/>
          <w:sz w:val="22"/>
          <w:szCs w:val="22"/>
        </w:rPr>
      </w:pPr>
    </w:p>
    <w:p w14:paraId="4F6011E1" w14:textId="77777777" w:rsidR="00BE3C08" w:rsidRPr="00776407" w:rsidRDefault="00BE3C08" w:rsidP="00BE3C08">
      <w:pPr>
        <w:autoSpaceDE w:val="0"/>
        <w:autoSpaceDN w:val="0"/>
        <w:adjustRightInd w:val="0"/>
        <w:contextualSpacing/>
        <w:rPr>
          <w:b/>
          <w:bCs/>
          <w:sz w:val="22"/>
          <w:szCs w:val="22"/>
        </w:rPr>
      </w:pPr>
      <w:r w:rsidRPr="00776407">
        <w:rPr>
          <w:b/>
          <w:bCs/>
          <w:sz w:val="22"/>
          <w:szCs w:val="22"/>
        </w:rPr>
        <w:t>Šis pakuotės lapelis paskutinį kartą peržiūrėtas</w:t>
      </w:r>
    </w:p>
    <w:p w14:paraId="339AD176" w14:textId="77777777" w:rsidR="00BE3C08" w:rsidRPr="00776407" w:rsidRDefault="00BE3C08" w:rsidP="00BE3C08">
      <w:pPr>
        <w:autoSpaceDE w:val="0"/>
        <w:autoSpaceDN w:val="0"/>
        <w:adjustRightInd w:val="0"/>
        <w:contextualSpacing/>
        <w:rPr>
          <w:bCs/>
          <w:sz w:val="22"/>
          <w:szCs w:val="22"/>
        </w:rPr>
      </w:pPr>
    </w:p>
    <w:p w14:paraId="556264D9" w14:textId="77777777" w:rsidR="00BE3C08" w:rsidRPr="00776407" w:rsidRDefault="00BE3C08" w:rsidP="00BE3C08">
      <w:pPr>
        <w:autoSpaceDE w:val="0"/>
        <w:autoSpaceDN w:val="0"/>
        <w:adjustRightInd w:val="0"/>
        <w:rPr>
          <w:rFonts w:eastAsia="Calibri"/>
          <w:color w:val="000000"/>
          <w:sz w:val="22"/>
          <w:szCs w:val="22"/>
        </w:rPr>
      </w:pPr>
      <w:r w:rsidRPr="00776407">
        <w:rPr>
          <w:rFonts w:eastAsia="Calibri"/>
          <w:b/>
          <w:bCs/>
          <w:color w:val="000000"/>
          <w:sz w:val="22"/>
          <w:szCs w:val="22"/>
        </w:rPr>
        <w:t xml:space="preserve">Kiti informacijos šaltiniai </w:t>
      </w:r>
    </w:p>
    <w:p w14:paraId="3AC3AF86" w14:textId="77777777" w:rsidR="00BE3C08" w:rsidRPr="00776407" w:rsidRDefault="00BE3C08" w:rsidP="00BE3C08">
      <w:pPr>
        <w:autoSpaceDE w:val="0"/>
        <w:autoSpaceDN w:val="0"/>
        <w:adjustRightInd w:val="0"/>
        <w:contextualSpacing/>
        <w:rPr>
          <w:rFonts w:eastAsia="Calibri"/>
          <w:color w:val="000000"/>
          <w:sz w:val="22"/>
          <w:szCs w:val="22"/>
        </w:rPr>
      </w:pPr>
      <w:r w:rsidRPr="00776407">
        <w:rPr>
          <w:rFonts w:eastAsia="Calibri"/>
          <w:color w:val="000000"/>
          <w:sz w:val="22"/>
          <w:szCs w:val="22"/>
        </w:rPr>
        <w:t xml:space="preserve">Išsami informacija apie šį vaistą pateikiama Europos vaistų agentūros tinklalapyje </w:t>
      </w:r>
      <w:hyperlink r:id="rId23" w:history="1">
        <w:r w:rsidRPr="00776407">
          <w:rPr>
            <w:rStyle w:val="Hyperlink"/>
            <w:rFonts w:eastAsia="Calibri"/>
            <w:sz w:val="22"/>
            <w:szCs w:val="22"/>
          </w:rPr>
          <w:t>http://www.ema.europa.eu</w:t>
        </w:r>
      </w:hyperlink>
      <w:r w:rsidR="005D54ED" w:rsidRPr="00776407">
        <w:rPr>
          <w:rFonts w:eastAsia="Calibri"/>
          <w:color w:val="000000"/>
          <w:sz w:val="22"/>
          <w:szCs w:val="22"/>
        </w:rPr>
        <w:t>.</w:t>
      </w:r>
    </w:p>
    <w:p w14:paraId="00318798" w14:textId="77777777" w:rsidR="00C6414B" w:rsidRPr="00776407" w:rsidRDefault="00C6414B" w:rsidP="00BE3C08">
      <w:pPr>
        <w:autoSpaceDE w:val="0"/>
        <w:autoSpaceDN w:val="0"/>
        <w:adjustRightInd w:val="0"/>
        <w:contextualSpacing/>
        <w:rPr>
          <w:rFonts w:eastAsia="Calibri"/>
          <w:color w:val="000000"/>
          <w:sz w:val="22"/>
          <w:szCs w:val="22"/>
        </w:rPr>
      </w:pPr>
    </w:p>
    <w:p w14:paraId="072B7284" w14:textId="77777777" w:rsidR="00C6414B" w:rsidRPr="00776407" w:rsidRDefault="00C6414B" w:rsidP="00E93356">
      <w:pPr>
        <w:autoSpaceDE w:val="0"/>
        <w:autoSpaceDN w:val="0"/>
        <w:adjustRightInd w:val="0"/>
        <w:contextualSpacing/>
        <w:jc w:val="center"/>
        <w:rPr>
          <w:b/>
          <w:bCs/>
          <w:sz w:val="22"/>
          <w:szCs w:val="22"/>
        </w:rPr>
      </w:pPr>
      <w:r w:rsidRPr="00776407">
        <w:rPr>
          <w:rFonts w:eastAsia="Calibri"/>
          <w:color w:val="000000"/>
          <w:sz w:val="22"/>
          <w:szCs w:val="22"/>
        </w:rPr>
        <w:br w:type="page"/>
      </w:r>
      <w:r w:rsidRPr="00776407">
        <w:rPr>
          <w:b/>
          <w:bCs/>
          <w:sz w:val="22"/>
          <w:szCs w:val="22"/>
        </w:rPr>
        <w:t>Pakuotės lapelis: informacija vartotojui</w:t>
      </w:r>
    </w:p>
    <w:p w14:paraId="28D4F072" w14:textId="77777777" w:rsidR="00C6414B" w:rsidRPr="00776407" w:rsidRDefault="00C6414B" w:rsidP="00C6414B">
      <w:pPr>
        <w:pStyle w:val="Default"/>
        <w:jc w:val="center"/>
        <w:rPr>
          <w:rFonts w:ascii="Times New Roman" w:hAnsi="Times New Roman" w:cs="Times New Roman"/>
          <w:sz w:val="22"/>
          <w:szCs w:val="22"/>
          <w:lang w:val="lt-LT"/>
        </w:rPr>
      </w:pPr>
    </w:p>
    <w:p w14:paraId="0C191A01" w14:textId="77777777" w:rsidR="00C6414B" w:rsidRPr="00776407" w:rsidRDefault="00C6414B" w:rsidP="00C6414B">
      <w:pPr>
        <w:autoSpaceDE w:val="0"/>
        <w:autoSpaceDN w:val="0"/>
        <w:adjustRightInd w:val="0"/>
        <w:jc w:val="center"/>
        <w:rPr>
          <w:b/>
          <w:bCs/>
          <w:sz w:val="22"/>
          <w:szCs w:val="22"/>
        </w:rPr>
      </w:pPr>
      <w:r w:rsidRPr="00776407">
        <w:rPr>
          <w:b/>
          <w:bCs/>
          <w:spacing w:val="-1"/>
          <w:sz w:val="22"/>
          <w:szCs w:val="22"/>
        </w:rPr>
        <w:t>Imatinib Actavis</w:t>
      </w:r>
      <w:r w:rsidRPr="00776407">
        <w:rPr>
          <w:b/>
          <w:bCs/>
          <w:spacing w:val="1"/>
          <w:sz w:val="22"/>
          <w:szCs w:val="22"/>
        </w:rPr>
        <w:t xml:space="preserve"> 4</w:t>
      </w:r>
      <w:r w:rsidRPr="00776407">
        <w:rPr>
          <w:b/>
          <w:bCs/>
          <w:sz w:val="22"/>
          <w:szCs w:val="22"/>
        </w:rPr>
        <w:t>00 </w:t>
      </w:r>
      <w:r w:rsidRPr="00776407">
        <w:rPr>
          <w:b/>
          <w:bCs/>
          <w:spacing w:val="1"/>
          <w:sz w:val="22"/>
          <w:szCs w:val="22"/>
        </w:rPr>
        <w:t>m</w:t>
      </w:r>
      <w:r w:rsidRPr="00776407">
        <w:rPr>
          <w:b/>
          <w:bCs/>
          <w:sz w:val="22"/>
          <w:szCs w:val="22"/>
        </w:rPr>
        <w:t>g plėvele dengtos tabletės</w:t>
      </w:r>
    </w:p>
    <w:p w14:paraId="3A073F5D" w14:textId="6087A8AD" w:rsidR="00C6414B" w:rsidRPr="00776407" w:rsidRDefault="00532218" w:rsidP="00C6414B">
      <w:pPr>
        <w:autoSpaceDE w:val="0"/>
        <w:autoSpaceDN w:val="0"/>
        <w:adjustRightInd w:val="0"/>
        <w:jc w:val="center"/>
        <w:rPr>
          <w:rFonts w:eastAsia="Calibri"/>
          <w:color w:val="000000"/>
          <w:sz w:val="22"/>
          <w:szCs w:val="22"/>
        </w:rPr>
      </w:pPr>
      <w:r w:rsidRPr="00776407">
        <w:rPr>
          <w:rFonts w:eastAsia="Calibri"/>
          <w:color w:val="000000"/>
          <w:sz w:val="22"/>
          <w:szCs w:val="22"/>
        </w:rPr>
        <w:t>i</w:t>
      </w:r>
      <w:r w:rsidR="00C6414B" w:rsidRPr="00776407">
        <w:rPr>
          <w:rFonts w:eastAsia="Calibri"/>
          <w:color w:val="000000"/>
          <w:sz w:val="22"/>
          <w:szCs w:val="22"/>
        </w:rPr>
        <w:t>matinibas</w:t>
      </w:r>
      <w:r w:rsidR="00EA6C95" w:rsidRPr="00776407">
        <w:rPr>
          <w:rFonts w:eastAsia="Calibri"/>
          <w:color w:val="000000"/>
          <w:sz w:val="22"/>
          <w:szCs w:val="22"/>
        </w:rPr>
        <w:t xml:space="preserve"> </w:t>
      </w:r>
      <w:r w:rsidR="00EA6C95" w:rsidRPr="00776407">
        <w:rPr>
          <w:rFonts w:eastAsia="Calibri"/>
          <w:i/>
          <w:color w:val="000000"/>
          <w:sz w:val="22"/>
          <w:szCs w:val="22"/>
        </w:rPr>
        <w:t>(</w:t>
      </w:r>
      <w:r w:rsidRPr="00776407">
        <w:rPr>
          <w:rFonts w:eastAsia="Calibri"/>
          <w:i/>
          <w:color w:val="000000"/>
          <w:sz w:val="22"/>
          <w:szCs w:val="22"/>
        </w:rPr>
        <w:t>i</w:t>
      </w:r>
      <w:r w:rsidR="00EA6C95" w:rsidRPr="00776407">
        <w:rPr>
          <w:rFonts w:eastAsia="Calibri"/>
          <w:i/>
          <w:color w:val="000000"/>
          <w:sz w:val="22"/>
          <w:szCs w:val="22"/>
        </w:rPr>
        <w:t>matinibum)</w:t>
      </w:r>
    </w:p>
    <w:p w14:paraId="4316AE4F" w14:textId="77777777" w:rsidR="00C6414B" w:rsidRPr="00776407" w:rsidRDefault="00C6414B" w:rsidP="00C6414B">
      <w:pPr>
        <w:autoSpaceDE w:val="0"/>
        <w:autoSpaceDN w:val="0"/>
        <w:adjustRightInd w:val="0"/>
        <w:jc w:val="center"/>
        <w:rPr>
          <w:rFonts w:eastAsia="Calibri"/>
          <w:color w:val="000000"/>
          <w:sz w:val="22"/>
          <w:szCs w:val="22"/>
        </w:rPr>
      </w:pPr>
    </w:p>
    <w:p w14:paraId="5829F4D9" w14:textId="77777777" w:rsidR="00C6414B" w:rsidRPr="00776407" w:rsidRDefault="00C6414B" w:rsidP="00C6414B">
      <w:pPr>
        <w:autoSpaceDE w:val="0"/>
        <w:autoSpaceDN w:val="0"/>
        <w:adjustRightInd w:val="0"/>
        <w:rPr>
          <w:rFonts w:eastAsia="Calibri"/>
          <w:color w:val="000000"/>
          <w:sz w:val="22"/>
          <w:szCs w:val="22"/>
        </w:rPr>
      </w:pPr>
      <w:r w:rsidRPr="00776407">
        <w:rPr>
          <w:rFonts w:eastAsia="Calibri"/>
          <w:b/>
          <w:bCs/>
          <w:color w:val="000000"/>
          <w:sz w:val="22"/>
          <w:szCs w:val="22"/>
        </w:rPr>
        <w:t xml:space="preserve">Atidžiai perskaitykite visą šį lapelį, prieš pradėdami vartoti vaistą, nes jame pateikiama Jums svarbi informacija. </w:t>
      </w:r>
    </w:p>
    <w:p w14:paraId="5CA3151A" w14:textId="77777777" w:rsidR="00C6414B" w:rsidRPr="00776407" w:rsidRDefault="00C6414B" w:rsidP="00C6414B">
      <w:pPr>
        <w:autoSpaceDE w:val="0"/>
        <w:autoSpaceDN w:val="0"/>
        <w:adjustRightInd w:val="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Neišmeskite šio lapelio, nes vėl gali prireikti jį perskaityti. </w:t>
      </w:r>
    </w:p>
    <w:p w14:paraId="776D7257" w14:textId="77777777" w:rsidR="00C6414B" w:rsidRPr="00776407" w:rsidRDefault="00C6414B" w:rsidP="00C6414B">
      <w:pPr>
        <w:autoSpaceDE w:val="0"/>
        <w:autoSpaceDN w:val="0"/>
        <w:adjustRightInd w:val="0"/>
        <w:spacing w:after="23"/>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Jeigu kiltų daugiau klausimų, kreipkitės į gydytoją, vaistininką arba slaugytoją. </w:t>
      </w:r>
    </w:p>
    <w:p w14:paraId="3CC86306" w14:textId="77777777" w:rsidR="00C6414B" w:rsidRPr="00776407" w:rsidRDefault="00C6414B" w:rsidP="00C6414B">
      <w:pPr>
        <w:autoSpaceDE w:val="0"/>
        <w:autoSpaceDN w:val="0"/>
        <w:adjustRightInd w:val="0"/>
        <w:spacing w:after="23"/>
        <w:ind w:left="720" w:hanging="72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Šis vaistas skirtas tik Jums, todėl kitiems žmonėms jo duoti negalima. Vaistas gali jiems pakenkti (net tiems, kurių ligos požymiai yra tokie patys kaip Jūsų). </w:t>
      </w:r>
    </w:p>
    <w:p w14:paraId="6E8BBAEA" w14:textId="77777777" w:rsidR="00C6414B" w:rsidRPr="00776407" w:rsidRDefault="00C6414B" w:rsidP="00C6414B">
      <w:pPr>
        <w:autoSpaceDE w:val="0"/>
        <w:autoSpaceDN w:val="0"/>
        <w:adjustRightInd w:val="0"/>
        <w:ind w:left="720" w:hanging="720"/>
        <w:rPr>
          <w:rFonts w:eastAsia="Calibri"/>
          <w:color w:val="000000"/>
          <w:sz w:val="22"/>
          <w:szCs w:val="22"/>
        </w:rPr>
      </w:pPr>
      <w:r w:rsidRPr="00776407">
        <w:rPr>
          <w:rFonts w:eastAsia="Calibri"/>
          <w:color w:val="000000"/>
          <w:sz w:val="22"/>
          <w:szCs w:val="22"/>
        </w:rPr>
        <w:t>-</w:t>
      </w:r>
      <w:r w:rsidRPr="00776407">
        <w:rPr>
          <w:rFonts w:eastAsia="Calibri"/>
          <w:color w:val="000000"/>
          <w:sz w:val="22"/>
          <w:szCs w:val="22"/>
        </w:rPr>
        <w:tab/>
        <w:t xml:space="preserve">Jeigu pasireiškė šalutinis poveikis (net jeigu jis šiame lapelyje nenurodytas), kreipkitės į gydytoją, vaistininką arba slaugytoją. </w:t>
      </w:r>
      <w:r w:rsidR="00BC75A7" w:rsidRPr="00776407">
        <w:rPr>
          <w:rFonts w:eastAsia="Calibri"/>
          <w:color w:val="000000"/>
          <w:sz w:val="22"/>
          <w:szCs w:val="22"/>
        </w:rPr>
        <w:t>Žr. 4 skyrių.</w:t>
      </w:r>
    </w:p>
    <w:p w14:paraId="018E85C4" w14:textId="77777777" w:rsidR="00C6414B" w:rsidRPr="00776407" w:rsidRDefault="00C6414B" w:rsidP="00C6414B">
      <w:pPr>
        <w:autoSpaceDE w:val="0"/>
        <w:autoSpaceDN w:val="0"/>
        <w:adjustRightInd w:val="0"/>
        <w:rPr>
          <w:rFonts w:eastAsia="Calibri"/>
          <w:color w:val="000000"/>
          <w:sz w:val="22"/>
          <w:szCs w:val="22"/>
        </w:rPr>
      </w:pPr>
    </w:p>
    <w:p w14:paraId="53AE7343" w14:textId="77777777" w:rsidR="00C6414B" w:rsidRPr="00776407" w:rsidRDefault="00C6414B" w:rsidP="00C6414B">
      <w:pPr>
        <w:autoSpaceDE w:val="0"/>
        <w:autoSpaceDN w:val="0"/>
        <w:adjustRightInd w:val="0"/>
        <w:rPr>
          <w:rFonts w:eastAsia="Calibri"/>
          <w:b/>
          <w:bCs/>
          <w:color w:val="000000"/>
          <w:sz w:val="22"/>
          <w:szCs w:val="22"/>
        </w:rPr>
      </w:pPr>
      <w:r w:rsidRPr="00776407">
        <w:rPr>
          <w:rFonts w:eastAsia="Calibri"/>
          <w:b/>
          <w:bCs/>
          <w:color w:val="000000"/>
          <w:sz w:val="22"/>
          <w:szCs w:val="22"/>
        </w:rPr>
        <w:t xml:space="preserve">Apie ką rašoma šiame lapelyje? </w:t>
      </w:r>
    </w:p>
    <w:p w14:paraId="6688C0FB" w14:textId="77777777" w:rsidR="00C6414B" w:rsidRPr="00776407" w:rsidRDefault="00C6414B" w:rsidP="00C6414B">
      <w:pPr>
        <w:autoSpaceDE w:val="0"/>
        <w:autoSpaceDN w:val="0"/>
        <w:adjustRightInd w:val="0"/>
        <w:rPr>
          <w:rFonts w:eastAsia="Calibri"/>
          <w:color w:val="000000"/>
          <w:sz w:val="22"/>
          <w:szCs w:val="22"/>
        </w:rPr>
      </w:pPr>
    </w:p>
    <w:p w14:paraId="27605B37" w14:textId="77777777" w:rsidR="00C6414B" w:rsidRPr="00776407" w:rsidRDefault="00C6414B" w:rsidP="00C6414B">
      <w:pPr>
        <w:autoSpaceDE w:val="0"/>
        <w:autoSpaceDN w:val="0"/>
        <w:adjustRightInd w:val="0"/>
        <w:rPr>
          <w:rFonts w:eastAsia="Calibri"/>
          <w:color w:val="000000"/>
          <w:sz w:val="22"/>
          <w:szCs w:val="22"/>
        </w:rPr>
      </w:pPr>
      <w:r w:rsidRPr="00776407">
        <w:rPr>
          <w:rFonts w:eastAsia="Calibri"/>
          <w:color w:val="000000"/>
          <w:sz w:val="22"/>
          <w:szCs w:val="22"/>
        </w:rPr>
        <w:t xml:space="preserve">1. Kas yra Imatinib Actavis ir kam jis vartojamas </w:t>
      </w:r>
    </w:p>
    <w:p w14:paraId="36981463" w14:textId="77777777" w:rsidR="00C6414B" w:rsidRPr="00776407" w:rsidRDefault="00C6414B" w:rsidP="00C6414B">
      <w:pPr>
        <w:autoSpaceDE w:val="0"/>
        <w:autoSpaceDN w:val="0"/>
        <w:adjustRightInd w:val="0"/>
        <w:rPr>
          <w:rFonts w:eastAsia="Calibri"/>
          <w:color w:val="000000"/>
          <w:sz w:val="22"/>
          <w:szCs w:val="22"/>
        </w:rPr>
      </w:pPr>
      <w:r w:rsidRPr="00776407">
        <w:rPr>
          <w:rFonts w:eastAsia="Calibri"/>
          <w:color w:val="000000"/>
          <w:sz w:val="22"/>
          <w:szCs w:val="22"/>
        </w:rPr>
        <w:t xml:space="preserve">2. Kas žinotina prieš vartojant Imatinib Actavis </w:t>
      </w:r>
    </w:p>
    <w:p w14:paraId="0352F7C7" w14:textId="77777777" w:rsidR="00C6414B" w:rsidRPr="00776407" w:rsidRDefault="00C6414B" w:rsidP="00C6414B">
      <w:pPr>
        <w:autoSpaceDE w:val="0"/>
        <w:autoSpaceDN w:val="0"/>
        <w:adjustRightInd w:val="0"/>
        <w:rPr>
          <w:rFonts w:eastAsia="Calibri"/>
          <w:color w:val="000000"/>
          <w:sz w:val="22"/>
          <w:szCs w:val="22"/>
        </w:rPr>
      </w:pPr>
      <w:r w:rsidRPr="00776407">
        <w:rPr>
          <w:rFonts w:eastAsia="Calibri"/>
          <w:color w:val="000000"/>
          <w:sz w:val="22"/>
          <w:szCs w:val="22"/>
        </w:rPr>
        <w:t xml:space="preserve">3. Kaip vartoti Imatinib Actavis </w:t>
      </w:r>
    </w:p>
    <w:p w14:paraId="20F850A8" w14:textId="77777777" w:rsidR="00C6414B" w:rsidRPr="00776407" w:rsidRDefault="00C6414B" w:rsidP="00C6414B">
      <w:pPr>
        <w:autoSpaceDE w:val="0"/>
        <w:autoSpaceDN w:val="0"/>
        <w:adjustRightInd w:val="0"/>
        <w:rPr>
          <w:rFonts w:eastAsia="Calibri"/>
          <w:color w:val="000000"/>
          <w:sz w:val="22"/>
          <w:szCs w:val="22"/>
        </w:rPr>
      </w:pPr>
      <w:r w:rsidRPr="00776407">
        <w:rPr>
          <w:rFonts w:eastAsia="Calibri"/>
          <w:color w:val="000000"/>
          <w:sz w:val="22"/>
          <w:szCs w:val="22"/>
        </w:rPr>
        <w:t xml:space="preserve">4. Galimas šalutinis poveikis </w:t>
      </w:r>
    </w:p>
    <w:p w14:paraId="713AFBD2" w14:textId="77777777" w:rsidR="00C6414B" w:rsidRPr="00776407" w:rsidRDefault="00C6414B" w:rsidP="00C6414B">
      <w:pPr>
        <w:autoSpaceDE w:val="0"/>
        <w:autoSpaceDN w:val="0"/>
        <w:adjustRightInd w:val="0"/>
        <w:rPr>
          <w:rFonts w:eastAsia="Calibri"/>
          <w:color w:val="000000"/>
          <w:sz w:val="22"/>
          <w:szCs w:val="22"/>
        </w:rPr>
      </w:pPr>
      <w:r w:rsidRPr="00776407">
        <w:rPr>
          <w:rFonts w:eastAsia="Calibri"/>
          <w:color w:val="000000"/>
          <w:sz w:val="22"/>
          <w:szCs w:val="22"/>
        </w:rPr>
        <w:t>5. Kaip laikyti Imatinib Actavis</w:t>
      </w:r>
    </w:p>
    <w:p w14:paraId="7EDBA05F" w14:textId="77777777" w:rsidR="00C6414B" w:rsidRPr="00776407" w:rsidRDefault="00C6414B" w:rsidP="00C6414B">
      <w:pPr>
        <w:autoSpaceDE w:val="0"/>
        <w:autoSpaceDN w:val="0"/>
        <w:adjustRightInd w:val="0"/>
        <w:rPr>
          <w:rFonts w:eastAsia="Calibri"/>
          <w:color w:val="000000"/>
          <w:sz w:val="22"/>
          <w:szCs w:val="22"/>
        </w:rPr>
      </w:pPr>
      <w:r w:rsidRPr="00776407">
        <w:rPr>
          <w:rFonts w:eastAsia="Calibri"/>
          <w:color w:val="000000"/>
          <w:sz w:val="22"/>
          <w:szCs w:val="22"/>
        </w:rPr>
        <w:t xml:space="preserve">6. Pakuotės turinys ir kita informacija </w:t>
      </w:r>
    </w:p>
    <w:p w14:paraId="4AA44ABB" w14:textId="77777777" w:rsidR="00C6414B" w:rsidRPr="00776407" w:rsidRDefault="00C6414B" w:rsidP="00C6414B">
      <w:pPr>
        <w:autoSpaceDE w:val="0"/>
        <w:autoSpaceDN w:val="0"/>
        <w:adjustRightInd w:val="0"/>
        <w:rPr>
          <w:rFonts w:eastAsia="Calibri"/>
          <w:color w:val="000000"/>
          <w:sz w:val="22"/>
          <w:szCs w:val="22"/>
        </w:rPr>
      </w:pPr>
    </w:p>
    <w:p w14:paraId="1BD3C945" w14:textId="77777777" w:rsidR="00C6414B" w:rsidRPr="00776407" w:rsidRDefault="00C6414B" w:rsidP="00C6414B">
      <w:pPr>
        <w:autoSpaceDE w:val="0"/>
        <w:autoSpaceDN w:val="0"/>
        <w:adjustRightInd w:val="0"/>
        <w:rPr>
          <w:rFonts w:eastAsia="Calibri"/>
          <w:color w:val="000000"/>
          <w:sz w:val="22"/>
          <w:szCs w:val="22"/>
        </w:rPr>
      </w:pPr>
    </w:p>
    <w:p w14:paraId="26DD0DAC" w14:textId="77777777" w:rsidR="00C6414B" w:rsidRPr="00776407" w:rsidRDefault="00C6414B" w:rsidP="00864BE6">
      <w:pPr>
        <w:pStyle w:val="Listenabsatz"/>
        <w:numPr>
          <w:ilvl w:val="0"/>
          <w:numId w:val="12"/>
        </w:numPr>
        <w:autoSpaceDE w:val="0"/>
        <w:autoSpaceDN w:val="0"/>
        <w:adjustRightInd w:val="0"/>
        <w:ind w:left="567" w:hanging="567"/>
        <w:rPr>
          <w:rFonts w:eastAsia="Calibri"/>
          <w:b/>
          <w:bCs/>
          <w:color w:val="000000"/>
          <w:sz w:val="22"/>
          <w:szCs w:val="22"/>
        </w:rPr>
      </w:pPr>
      <w:r w:rsidRPr="00776407">
        <w:rPr>
          <w:rFonts w:eastAsia="Calibri"/>
          <w:b/>
          <w:bCs/>
          <w:color w:val="000000"/>
          <w:sz w:val="22"/>
          <w:szCs w:val="22"/>
        </w:rPr>
        <w:t xml:space="preserve">Kas yra Imatinib Actavis ir kam jis vartojamas </w:t>
      </w:r>
    </w:p>
    <w:p w14:paraId="09623C68" w14:textId="77777777" w:rsidR="00C6414B" w:rsidRPr="00776407" w:rsidRDefault="00C6414B" w:rsidP="00C6414B">
      <w:pPr>
        <w:autoSpaceDE w:val="0"/>
        <w:autoSpaceDN w:val="0"/>
        <w:adjustRightInd w:val="0"/>
        <w:rPr>
          <w:rFonts w:eastAsia="Calibri"/>
          <w:color w:val="000000"/>
          <w:sz w:val="22"/>
          <w:szCs w:val="22"/>
        </w:rPr>
      </w:pPr>
    </w:p>
    <w:p w14:paraId="18B408BF" w14:textId="77777777" w:rsidR="00C6414B" w:rsidRPr="00776407" w:rsidRDefault="00C6414B" w:rsidP="00C6414B">
      <w:pPr>
        <w:autoSpaceDE w:val="0"/>
        <w:autoSpaceDN w:val="0"/>
        <w:adjustRightInd w:val="0"/>
        <w:rPr>
          <w:rFonts w:eastAsia="Calibri"/>
          <w:color w:val="000000"/>
          <w:sz w:val="22"/>
          <w:szCs w:val="22"/>
        </w:rPr>
      </w:pPr>
      <w:r w:rsidRPr="00776407">
        <w:rPr>
          <w:rFonts w:eastAsia="Calibri"/>
          <w:color w:val="000000"/>
          <w:sz w:val="22"/>
          <w:szCs w:val="22"/>
        </w:rPr>
        <w:t xml:space="preserve">Imatinib Actavis yra vaistas, kurio sudėtyje yra veikliosios medžiagos imatinibo. Šis vaistas veikia slopindamas nenormalių ląstelių augimą, sergant </w:t>
      </w:r>
      <w:r w:rsidR="002752F9" w:rsidRPr="00776407">
        <w:rPr>
          <w:sz w:val="22"/>
          <w:szCs w:val="22"/>
        </w:rPr>
        <w:t xml:space="preserve">toliau išvardytomis ligomis. Jos apima ir kai kurių tipų vėžinius susirgimus. </w:t>
      </w:r>
    </w:p>
    <w:p w14:paraId="4DC04C3F" w14:textId="77777777" w:rsidR="00C6414B" w:rsidRPr="00776407" w:rsidRDefault="00C6414B" w:rsidP="00C6414B">
      <w:pPr>
        <w:autoSpaceDE w:val="0"/>
        <w:autoSpaceDN w:val="0"/>
        <w:adjustRightInd w:val="0"/>
        <w:rPr>
          <w:rFonts w:eastAsia="Calibri"/>
          <w:color w:val="000000"/>
          <w:sz w:val="22"/>
          <w:szCs w:val="22"/>
        </w:rPr>
      </w:pPr>
    </w:p>
    <w:p w14:paraId="6539E3F4" w14:textId="77777777" w:rsidR="004A04B5" w:rsidRPr="00776407" w:rsidRDefault="004A04B5" w:rsidP="004A04B5">
      <w:pPr>
        <w:autoSpaceDE w:val="0"/>
        <w:autoSpaceDN w:val="0"/>
        <w:adjustRightInd w:val="0"/>
        <w:rPr>
          <w:rFonts w:eastAsia="Calibri"/>
          <w:color w:val="000000"/>
          <w:sz w:val="22"/>
          <w:szCs w:val="22"/>
        </w:rPr>
      </w:pPr>
    </w:p>
    <w:p w14:paraId="78EAE406" w14:textId="77777777" w:rsidR="004A04B5" w:rsidRPr="00776407" w:rsidRDefault="004A04B5" w:rsidP="004A04B5">
      <w:pPr>
        <w:autoSpaceDE w:val="0"/>
        <w:autoSpaceDN w:val="0"/>
        <w:adjustRightInd w:val="0"/>
        <w:rPr>
          <w:rFonts w:eastAsia="Calibri"/>
          <w:b/>
          <w:bCs/>
          <w:sz w:val="22"/>
          <w:szCs w:val="22"/>
        </w:rPr>
      </w:pPr>
      <w:r w:rsidRPr="00776407">
        <w:rPr>
          <w:rFonts w:eastAsia="Calibri"/>
          <w:b/>
          <w:bCs/>
          <w:sz w:val="22"/>
          <w:szCs w:val="22"/>
        </w:rPr>
        <w:t>Imatinib Actavis vartojamas gydyti</w:t>
      </w:r>
      <w:r w:rsidR="00933B52" w:rsidRPr="00776407">
        <w:rPr>
          <w:rFonts w:eastAsia="Calibri"/>
          <w:b/>
          <w:bCs/>
          <w:sz w:val="22"/>
          <w:szCs w:val="22"/>
        </w:rPr>
        <w:t xml:space="preserve"> </w:t>
      </w:r>
      <w:r w:rsidRPr="00776407">
        <w:rPr>
          <w:rFonts w:eastAsia="Calibri"/>
          <w:b/>
          <w:bCs/>
          <w:sz w:val="22"/>
          <w:szCs w:val="22"/>
        </w:rPr>
        <w:t>:</w:t>
      </w:r>
    </w:p>
    <w:p w14:paraId="663AB8F5" w14:textId="77777777" w:rsidR="004A04B5" w:rsidRPr="00776407" w:rsidRDefault="004A04B5" w:rsidP="004A04B5">
      <w:pPr>
        <w:autoSpaceDE w:val="0"/>
        <w:autoSpaceDN w:val="0"/>
        <w:adjustRightInd w:val="0"/>
        <w:rPr>
          <w:rFonts w:eastAsia="Calibri"/>
          <w:b/>
          <w:bCs/>
          <w:sz w:val="22"/>
          <w:szCs w:val="22"/>
        </w:rPr>
      </w:pPr>
    </w:p>
    <w:p w14:paraId="75D675BA" w14:textId="77777777" w:rsidR="004A04B5" w:rsidRPr="00776407" w:rsidRDefault="004A04B5" w:rsidP="004A04B5">
      <w:pPr>
        <w:autoSpaceDE w:val="0"/>
        <w:autoSpaceDN w:val="0"/>
        <w:adjustRightInd w:val="0"/>
        <w:ind w:left="720" w:hanging="720"/>
        <w:rPr>
          <w:rFonts w:eastAsia="Calibri"/>
          <w:color w:val="000000"/>
          <w:sz w:val="22"/>
          <w:szCs w:val="22"/>
        </w:rPr>
      </w:pPr>
      <w:r w:rsidRPr="00776407">
        <w:rPr>
          <w:rFonts w:eastAsia="Calibri"/>
          <w:b/>
          <w:bCs/>
          <w:sz w:val="22"/>
          <w:szCs w:val="22"/>
        </w:rPr>
        <w:tab/>
        <w:t xml:space="preserve">Lėtinę mieloleukemiją (LML). </w:t>
      </w:r>
      <w:r w:rsidRPr="00776407">
        <w:rPr>
          <w:rFonts w:eastAsia="Calibri"/>
          <w:sz w:val="22"/>
          <w:szCs w:val="22"/>
        </w:rPr>
        <w:t>Leukemija – tai baltųjų kraujo</w:t>
      </w:r>
      <w:r w:rsidRPr="00776407">
        <w:rPr>
          <w:rFonts w:eastAsia="Calibri"/>
          <w:color w:val="000000"/>
          <w:sz w:val="22"/>
          <w:szCs w:val="22"/>
        </w:rPr>
        <w:t xml:space="preserve"> kūnelių vėžys. Paprastai šios baltosios ląstelės padeda organizmui kovoti su infekcija. Lėtinė mieloleukemija yra tokia leukemijos forma, kai dažniausiai nenormalios ląstelės (vadinamos mieloidinėmis ląstelėmis), pradeda nekontroliuojamai augti. </w:t>
      </w:r>
    </w:p>
    <w:p w14:paraId="3F6F61E6" w14:textId="77777777" w:rsidR="004A04B5" w:rsidRPr="00776407" w:rsidRDefault="004A04B5" w:rsidP="004A04B5">
      <w:pPr>
        <w:keepNext/>
        <w:autoSpaceDE w:val="0"/>
        <w:autoSpaceDN w:val="0"/>
        <w:adjustRightInd w:val="0"/>
        <w:rPr>
          <w:rFonts w:eastAsia="Calibri"/>
          <w:sz w:val="22"/>
          <w:szCs w:val="22"/>
        </w:rPr>
      </w:pPr>
    </w:p>
    <w:p w14:paraId="2F0B7BD0" w14:textId="77777777" w:rsidR="004A04B5" w:rsidRPr="00776407" w:rsidRDefault="004A04B5" w:rsidP="004A04B5">
      <w:pPr>
        <w:autoSpaceDE w:val="0"/>
        <w:autoSpaceDN w:val="0"/>
        <w:adjustRightInd w:val="0"/>
        <w:rPr>
          <w:rFonts w:eastAsia="Calibri"/>
          <w:color w:val="000000"/>
          <w:sz w:val="22"/>
          <w:szCs w:val="22"/>
        </w:rPr>
      </w:pPr>
      <w:r w:rsidRPr="00776407">
        <w:rPr>
          <w:rFonts w:eastAsia="Calibri"/>
          <w:color w:val="000000"/>
          <w:sz w:val="22"/>
          <w:szCs w:val="22"/>
        </w:rPr>
        <w:t>Suaugusiesiems Imatinib Actavis naudojamas toliausiai pažengusiai ligos fazei (blastinei krizei) gydyti. Vaikams ir paaugliams Imatinib Actavis gali būti vartojamas įvairioms ligos stadijoms gydyti (chroniškai, ūminei ir blastinei krizei).</w:t>
      </w:r>
    </w:p>
    <w:p w14:paraId="6699AA6F" w14:textId="77777777" w:rsidR="004A04B5" w:rsidRPr="00776407" w:rsidRDefault="004A04B5" w:rsidP="004A04B5">
      <w:pPr>
        <w:autoSpaceDE w:val="0"/>
        <w:autoSpaceDN w:val="0"/>
        <w:adjustRightInd w:val="0"/>
        <w:rPr>
          <w:rFonts w:eastAsia="Calibri"/>
          <w:color w:val="000000"/>
          <w:sz w:val="22"/>
          <w:szCs w:val="22"/>
          <w:lang w:eastAsia="is-IS"/>
        </w:rPr>
      </w:pPr>
    </w:p>
    <w:p w14:paraId="302C564B" w14:textId="77777777" w:rsidR="004A04B5" w:rsidRPr="00776407" w:rsidRDefault="004A04B5" w:rsidP="00864BE6">
      <w:pPr>
        <w:numPr>
          <w:ilvl w:val="0"/>
          <w:numId w:val="1"/>
        </w:numPr>
        <w:autoSpaceDE w:val="0"/>
        <w:autoSpaceDN w:val="0"/>
        <w:adjustRightInd w:val="0"/>
        <w:ind w:hanging="720"/>
        <w:rPr>
          <w:rFonts w:eastAsia="Calibri"/>
          <w:color w:val="000000"/>
          <w:sz w:val="22"/>
          <w:szCs w:val="22"/>
        </w:rPr>
      </w:pPr>
      <w:r w:rsidRPr="00776407">
        <w:rPr>
          <w:rFonts w:eastAsia="Calibri"/>
          <w:b/>
          <w:bCs/>
          <w:i/>
          <w:iCs/>
          <w:color w:val="000000"/>
          <w:sz w:val="22"/>
          <w:szCs w:val="22"/>
        </w:rPr>
        <w:t xml:space="preserve">Philadelphia </w:t>
      </w:r>
      <w:r w:rsidRPr="00776407">
        <w:rPr>
          <w:rFonts w:eastAsia="Calibri"/>
          <w:b/>
          <w:bCs/>
          <w:color w:val="000000"/>
          <w:sz w:val="22"/>
          <w:szCs w:val="22"/>
        </w:rPr>
        <w:t xml:space="preserve">chromosomai teigiamai ūminei limfoleukemijai (Ph teigiama ŪLL) gydyti. </w:t>
      </w:r>
      <w:r w:rsidRPr="00776407">
        <w:rPr>
          <w:rFonts w:eastAsia="Calibri"/>
          <w:color w:val="000000"/>
          <w:sz w:val="22"/>
          <w:szCs w:val="22"/>
        </w:rPr>
        <w:t>Leukemija – tai baltųjų kraujo kūnelių vėžys. Paprastai šios baltosios ląstelės padeda organizmui kovoti su infekcija. Ūminė limfoleukemija yra tokia leukemijos forma, kai tam tikros nenormalios ląstelės (vadinamos limfoblastais) pradeda nekontroliuojamai augti. Imatinib Actavis slopina šių ląstelių augimą.</w:t>
      </w:r>
    </w:p>
    <w:p w14:paraId="2FF7394A" w14:textId="77777777" w:rsidR="004A04B5" w:rsidRPr="00776407" w:rsidRDefault="004A04B5" w:rsidP="004A04B5">
      <w:pPr>
        <w:autoSpaceDE w:val="0"/>
        <w:autoSpaceDN w:val="0"/>
        <w:adjustRightInd w:val="0"/>
        <w:rPr>
          <w:rFonts w:eastAsia="Calibri"/>
          <w:color w:val="000000"/>
          <w:sz w:val="22"/>
          <w:szCs w:val="22"/>
        </w:rPr>
      </w:pPr>
    </w:p>
    <w:p w14:paraId="3A5D8EA5" w14:textId="77777777" w:rsidR="004A04B5" w:rsidRPr="00776407" w:rsidRDefault="00933B52" w:rsidP="004A04B5">
      <w:pPr>
        <w:keepNext/>
        <w:keepLines/>
        <w:autoSpaceDE w:val="0"/>
        <w:autoSpaceDN w:val="0"/>
        <w:adjustRightInd w:val="0"/>
        <w:rPr>
          <w:rFonts w:eastAsia="Calibri"/>
          <w:b/>
          <w:bCs/>
          <w:sz w:val="22"/>
          <w:szCs w:val="22"/>
        </w:rPr>
      </w:pPr>
      <w:r w:rsidRPr="00776407">
        <w:rPr>
          <w:rFonts w:eastAsia="Calibri"/>
          <w:b/>
          <w:bCs/>
          <w:sz w:val="22"/>
          <w:szCs w:val="22"/>
        </w:rPr>
        <w:t>Imatinib Actavis taip pat vartojama gydyti suaugusiųjų:</w:t>
      </w:r>
    </w:p>
    <w:p w14:paraId="323623B6" w14:textId="77777777" w:rsidR="004A04B5" w:rsidRPr="00776407" w:rsidRDefault="004A04B5" w:rsidP="004A04B5">
      <w:pPr>
        <w:autoSpaceDE w:val="0"/>
        <w:autoSpaceDN w:val="0"/>
        <w:adjustRightInd w:val="0"/>
        <w:rPr>
          <w:rFonts w:eastAsia="Calibri"/>
          <w:color w:val="000000"/>
          <w:sz w:val="22"/>
          <w:szCs w:val="22"/>
        </w:rPr>
      </w:pPr>
    </w:p>
    <w:p w14:paraId="6204D9CD" w14:textId="77777777" w:rsidR="00C3171F" w:rsidRPr="00776407" w:rsidRDefault="00C3171F"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Mielodisplazinėms ar mieloproliferacinėms ligoms (MDS/MPL) gydyti. </w:t>
      </w:r>
      <w:r w:rsidRPr="00776407">
        <w:rPr>
          <w:rFonts w:eastAsia="Calibri"/>
          <w:color w:val="000000"/>
          <w:sz w:val="22"/>
          <w:szCs w:val="22"/>
        </w:rPr>
        <w:t xml:space="preserve">Tai kraujo ligos, kurių metu kai kurios kraujo ląstelės pradeda daugintis nekontroliuojamos. Imatinib Actavis slopina šių ląstelių augimą, sergant tam tikrais šių ligų potipiais. </w:t>
      </w:r>
    </w:p>
    <w:p w14:paraId="6F2481C2" w14:textId="77777777" w:rsidR="00C3171F" w:rsidRPr="00776407" w:rsidRDefault="00C3171F"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Hipereozinofilijos sindromui (HES) ir (arba) lėtinei eozinofilinei leukemijai (LEL) gydyti. </w:t>
      </w:r>
      <w:r w:rsidRPr="00776407">
        <w:rPr>
          <w:rFonts w:eastAsia="Calibri"/>
          <w:color w:val="000000"/>
          <w:sz w:val="22"/>
          <w:szCs w:val="22"/>
        </w:rPr>
        <w:t xml:space="preserve">Tai yra kraujo ligos, kurių metu kai kurios kraujo ląstelės (vadinamos eozinofilais) pradeda daugintis nekontroliuojamos. Imatinib Actavis slopina šių ląstelių augimą, sergant tam tikrais šių ligų potipiais. </w:t>
      </w:r>
    </w:p>
    <w:p w14:paraId="6692EC15" w14:textId="77777777" w:rsidR="004A04B5" w:rsidRPr="00776407" w:rsidRDefault="00C3171F"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Iškiliajai dermatofibrosarkomai </w:t>
      </w:r>
      <w:r w:rsidRPr="00776407">
        <w:rPr>
          <w:rFonts w:eastAsia="Calibri"/>
          <w:i/>
          <w:iCs/>
          <w:color w:val="000000"/>
          <w:sz w:val="22"/>
          <w:szCs w:val="22"/>
        </w:rPr>
        <w:t xml:space="preserve">(dermatofibrosarcoma protuberans </w:t>
      </w:r>
      <w:r w:rsidRPr="00776407">
        <w:rPr>
          <w:rFonts w:eastAsia="Calibri"/>
          <w:color w:val="000000"/>
          <w:sz w:val="22"/>
          <w:szCs w:val="22"/>
        </w:rPr>
        <w:t xml:space="preserve">- </w:t>
      </w:r>
      <w:r w:rsidRPr="00776407">
        <w:rPr>
          <w:rFonts w:eastAsia="Calibri"/>
          <w:b/>
          <w:bCs/>
          <w:color w:val="000000"/>
          <w:sz w:val="22"/>
          <w:szCs w:val="22"/>
        </w:rPr>
        <w:t>DFSP</w:t>
      </w:r>
      <w:r w:rsidRPr="00776407">
        <w:rPr>
          <w:rFonts w:eastAsia="Calibri"/>
          <w:color w:val="000000"/>
          <w:sz w:val="22"/>
          <w:szCs w:val="22"/>
        </w:rPr>
        <w:t xml:space="preserve">) gydyti. DFSP - tai po oda esančio audinio vėžys, kurio metu kai kurios ląstelės pradeda nekontroliuojamai augti. Imatinib Actavis slopina šių ląstelių augimą. </w:t>
      </w:r>
    </w:p>
    <w:p w14:paraId="2D77BE2B" w14:textId="77777777" w:rsidR="00681D65" w:rsidRPr="00776407" w:rsidRDefault="00681D65" w:rsidP="00681D65">
      <w:pPr>
        <w:autoSpaceDE w:val="0"/>
        <w:autoSpaceDN w:val="0"/>
        <w:adjustRightInd w:val="0"/>
        <w:ind w:left="720"/>
        <w:rPr>
          <w:rFonts w:eastAsia="Calibri"/>
          <w:color w:val="000000"/>
          <w:sz w:val="22"/>
          <w:szCs w:val="22"/>
        </w:rPr>
      </w:pPr>
    </w:p>
    <w:p w14:paraId="65C7379C" w14:textId="77777777" w:rsidR="00C3171F" w:rsidRPr="00776407" w:rsidRDefault="00C3171F" w:rsidP="00C3171F">
      <w:pPr>
        <w:autoSpaceDE w:val="0"/>
        <w:autoSpaceDN w:val="0"/>
        <w:adjustRightInd w:val="0"/>
        <w:rPr>
          <w:sz w:val="22"/>
          <w:szCs w:val="22"/>
        </w:rPr>
      </w:pPr>
      <w:r w:rsidRPr="00776407">
        <w:rPr>
          <w:sz w:val="22"/>
          <w:szCs w:val="22"/>
        </w:rPr>
        <w:t>Toliau šiame lapelyje apibūdinant minėtas ligas bus naudojamos nurodytos santrumpos.</w:t>
      </w:r>
    </w:p>
    <w:p w14:paraId="26AD3A29" w14:textId="77777777" w:rsidR="00C3171F" w:rsidRPr="00776407" w:rsidRDefault="00C3171F" w:rsidP="00C3171F">
      <w:pPr>
        <w:autoSpaceDE w:val="0"/>
        <w:autoSpaceDN w:val="0"/>
        <w:adjustRightInd w:val="0"/>
        <w:rPr>
          <w:rFonts w:eastAsia="Calibri"/>
          <w:color w:val="000000"/>
          <w:sz w:val="22"/>
          <w:szCs w:val="22"/>
        </w:rPr>
      </w:pPr>
    </w:p>
    <w:p w14:paraId="5E9CEC3E"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Jei Jums kiltų kokių nors klausimų apie Imatinib Actavis veikimą arba kodėl Jums jį paskyrė, klauskite gydytojo. </w:t>
      </w:r>
    </w:p>
    <w:p w14:paraId="451FECF3" w14:textId="77777777" w:rsidR="00C6414B" w:rsidRPr="00776407" w:rsidRDefault="00C6414B" w:rsidP="00C6414B">
      <w:pPr>
        <w:autoSpaceDE w:val="0"/>
        <w:autoSpaceDN w:val="0"/>
        <w:adjustRightInd w:val="0"/>
        <w:rPr>
          <w:rFonts w:eastAsia="Calibri"/>
          <w:sz w:val="22"/>
          <w:szCs w:val="22"/>
        </w:rPr>
      </w:pPr>
    </w:p>
    <w:p w14:paraId="74D20BBA" w14:textId="77777777" w:rsidR="00C6414B" w:rsidRPr="00776407" w:rsidRDefault="00C6414B" w:rsidP="00C6414B">
      <w:pPr>
        <w:autoSpaceDE w:val="0"/>
        <w:autoSpaceDN w:val="0"/>
        <w:adjustRightInd w:val="0"/>
        <w:rPr>
          <w:rFonts w:eastAsia="Calibri"/>
          <w:sz w:val="22"/>
          <w:szCs w:val="22"/>
        </w:rPr>
      </w:pPr>
    </w:p>
    <w:p w14:paraId="3918DC87" w14:textId="77777777" w:rsidR="00C6414B" w:rsidRPr="00776407" w:rsidRDefault="00C6414B" w:rsidP="00864BE6">
      <w:pPr>
        <w:pStyle w:val="Listenabsatz"/>
        <w:numPr>
          <w:ilvl w:val="0"/>
          <w:numId w:val="12"/>
        </w:numPr>
        <w:autoSpaceDE w:val="0"/>
        <w:autoSpaceDN w:val="0"/>
        <w:adjustRightInd w:val="0"/>
        <w:ind w:left="567" w:hanging="567"/>
        <w:rPr>
          <w:rFonts w:eastAsia="Calibri"/>
          <w:b/>
          <w:sz w:val="22"/>
          <w:szCs w:val="22"/>
        </w:rPr>
      </w:pPr>
      <w:r w:rsidRPr="00776407">
        <w:rPr>
          <w:rFonts w:eastAsia="Calibri"/>
          <w:b/>
          <w:bCs/>
          <w:sz w:val="22"/>
          <w:szCs w:val="22"/>
        </w:rPr>
        <w:t xml:space="preserve">Kas žinotina prieš vartojant Imatinib Actavis </w:t>
      </w:r>
    </w:p>
    <w:p w14:paraId="09D0E78F" w14:textId="77777777" w:rsidR="00C6414B" w:rsidRPr="00776407" w:rsidRDefault="00C6414B" w:rsidP="00C6414B">
      <w:pPr>
        <w:autoSpaceDE w:val="0"/>
        <w:autoSpaceDN w:val="0"/>
        <w:adjustRightInd w:val="0"/>
        <w:rPr>
          <w:rFonts w:eastAsia="Calibri"/>
          <w:sz w:val="22"/>
          <w:szCs w:val="22"/>
        </w:rPr>
      </w:pPr>
    </w:p>
    <w:p w14:paraId="2E501B7D"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Imatinib Actavis Jums paskirs tik gydytojas, turintis kraujo vėžių arba solidinių navikų gydymo vaistais patirties. </w:t>
      </w:r>
    </w:p>
    <w:p w14:paraId="523B4946" w14:textId="77777777" w:rsidR="00C6414B" w:rsidRPr="00776407" w:rsidRDefault="00C6414B" w:rsidP="00C6414B">
      <w:pPr>
        <w:autoSpaceDE w:val="0"/>
        <w:autoSpaceDN w:val="0"/>
        <w:adjustRightInd w:val="0"/>
        <w:rPr>
          <w:rFonts w:eastAsia="Calibri"/>
          <w:sz w:val="22"/>
          <w:szCs w:val="22"/>
        </w:rPr>
      </w:pPr>
    </w:p>
    <w:p w14:paraId="4776EB7B"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Tiksliai laikykitės visų gydytojo nurodymų, net jei jie skiriasi nuo bendrosios šiame lapelyje esančios informacijos. </w:t>
      </w:r>
    </w:p>
    <w:p w14:paraId="38349A7C" w14:textId="77777777" w:rsidR="00C6414B" w:rsidRPr="00776407" w:rsidRDefault="00C6414B" w:rsidP="00C6414B">
      <w:pPr>
        <w:autoSpaceDE w:val="0"/>
        <w:autoSpaceDN w:val="0"/>
        <w:adjustRightInd w:val="0"/>
        <w:rPr>
          <w:rFonts w:eastAsia="Calibri"/>
          <w:b/>
          <w:bCs/>
          <w:sz w:val="22"/>
          <w:szCs w:val="22"/>
        </w:rPr>
      </w:pPr>
    </w:p>
    <w:p w14:paraId="551767DA" w14:textId="4F5ECE16"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Imatinib Actavis vartoti negalima </w:t>
      </w:r>
    </w:p>
    <w:p w14:paraId="7DF80A1B" w14:textId="77777777" w:rsidR="00C6414B" w:rsidRPr="00776407" w:rsidRDefault="00C6414B"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 xml:space="preserve">jeigu yra alergija imatinibui arba bet kuriai pagalbinei šio vaisto medžiagai (jos išvardytos </w:t>
      </w:r>
      <w:r w:rsidR="00C3171F" w:rsidRPr="00776407">
        <w:rPr>
          <w:rFonts w:eastAsia="Calibri"/>
          <w:sz w:val="22"/>
          <w:szCs w:val="22"/>
        </w:rPr>
        <w:t>6 </w:t>
      </w:r>
      <w:r w:rsidRPr="00776407">
        <w:rPr>
          <w:rFonts w:eastAsia="Calibri"/>
          <w:sz w:val="22"/>
          <w:szCs w:val="22"/>
        </w:rPr>
        <w:t xml:space="preserve">skyriuje). </w:t>
      </w:r>
    </w:p>
    <w:p w14:paraId="2FA8ADF0" w14:textId="77777777" w:rsidR="00C6414B" w:rsidRPr="00776407" w:rsidRDefault="00C6414B" w:rsidP="00C6414B">
      <w:pPr>
        <w:autoSpaceDE w:val="0"/>
        <w:autoSpaceDN w:val="0"/>
        <w:adjustRightInd w:val="0"/>
        <w:rPr>
          <w:rFonts w:eastAsia="Calibri"/>
          <w:sz w:val="22"/>
          <w:szCs w:val="22"/>
        </w:rPr>
      </w:pPr>
    </w:p>
    <w:p w14:paraId="75259B0A"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Jei ši sąlyga Jums tinka, </w:t>
      </w:r>
      <w:r w:rsidRPr="00776407">
        <w:rPr>
          <w:rFonts w:eastAsia="Calibri"/>
          <w:b/>
          <w:bCs/>
          <w:sz w:val="22"/>
          <w:szCs w:val="22"/>
        </w:rPr>
        <w:t xml:space="preserve">nevartokite Imatinib Actavis ir apie tai pasakykite gydytojui. </w:t>
      </w:r>
    </w:p>
    <w:p w14:paraId="3EB9BA15" w14:textId="77777777" w:rsidR="00C6414B" w:rsidRPr="00776407" w:rsidRDefault="00C6414B" w:rsidP="00C6414B">
      <w:pPr>
        <w:autoSpaceDE w:val="0"/>
        <w:autoSpaceDN w:val="0"/>
        <w:adjustRightInd w:val="0"/>
        <w:rPr>
          <w:rFonts w:eastAsia="Calibri"/>
          <w:sz w:val="22"/>
          <w:szCs w:val="22"/>
        </w:rPr>
      </w:pPr>
    </w:p>
    <w:p w14:paraId="76247D62"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Jeigu manote, kad galite būti alergiškas, bet nesate tikras, kreipkitės patarimo į gydytoją. </w:t>
      </w:r>
    </w:p>
    <w:p w14:paraId="70EB1CEC" w14:textId="77777777" w:rsidR="00C6414B" w:rsidRPr="00776407" w:rsidRDefault="00C6414B" w:rsidP="00C6414B">
      <w:pPr>
        <w:autoSpaceDE w:val="0"/>
        <w:autoSpaceDN w:val="0"/>
        <w:adjustRightInd w:val="0"/>
        <w:rPr>
          <w:rFonts w:eastAsia="Calibri"/>
          <w:b/>
          <w:bCs/>
          <w:sz w:val="22"/>
          <w:szCs w:val="22"/>
        </w:rPr>
      </w:pPr>
    </w:p>
    <w:p w14:paraId="06C1818C"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Įspėjimai ir atsargumo priemonės </w:t>
      </w:r>
    </w:p>
    <w:p w14:paraId="48939C6B"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Pasitarkite su gydytoju, prieš pradėdami vartoti Imatinib Actavis: </w:t>
      </w:r>
    </w:p>
    <w:p w14:paraId="61E4966D"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t>jeigu Jums yra ar kada nors yra buvę kepenų, inkstų ar širdies sutrikimų</w:t>
      </w:r>
    </w:p>
    <w:p w14:paraId="196BC079" w14:textId="031508A6" w:rsidR="00D50475" w:rsidRPr="00776407" w:rsidRDefault="00C6414B" w:rsidP="00D50475">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t>jeigu dėl pašalintos skydliaukės vartojate vaist</w:t>
      </w:r>
      <w:r w:rsidR="00532218" w:rsidRPr="00776407">
        <w:rPr>
          <w:rFonts w:eastAsia="Calibri"/>
          <w:sz w:val="22"/>
          <w:szCs w:val="22"/>
        </w:rPr>
        <w:t>o</w:t>
      </w:r>
      <w:r w:rsidRPr="00776407">
        <w:rPr>
          <w:rFonts w:eastAsia="Calibri"/>
          <w:sz w:val="22"/>
          <w:szCs w:val="22"/>
        </w:rPr>
        <w:t xml:space="preserve"> levotiroksino</w:t>
      </w:r>
      <w:r w:rsidR="005D54ED" w:rsidRPr="00776407">
        <w:rPr>
          <w:rFonts w:eastAsia="Calibri"/>
          <w:sz w:val="22"/>
          <w:szCs w:val="22"/>
        </w:rPr>
        <w:t>;</w:t>
      </w:r>
    </w:p>
    <w:p w14:paraId="55C39282" w14:textId="77777777" w:rsidR="00D67F3C" w:rsidRPr="00776407" w:rsidRDefault="00D50475" w:rsidP="00D67F3C">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jums kada nors buvo diagnozuota hepatito B infekcija arba šiuo metu galite būti užsikrėtę šiuo virusu. Tai būtina, nes Imatinib Actavis gali vėl suaktyvinti hepatito B virusą, o kai kuriais atvejais tai gali būti mirtina. Prieš pradedant gydymą, gydytojas atidžiai patikrins, ar pacientas neturi šios infekcijos požymių</w:t>
      </w:r>
      <w:r w:rsidR="00D67F3C" w:rsidRPr="00776407">
        <w:rPr>
          <w:rFonts w:eastAsia="Calibri"/>
          <w:sz w:val="22"/>
          <w:szCs w:val="22"/>
        </w:rPr>
        <w:t>;</w:t>
      </w:r>
    </w:p>
    <w:p w14:paraId="4AD87A0A" w14:textId="77777777" w:rsidR="00D50475" w:rsidRPr="00776407" w:rsidRDefault="00D67F3C" w:rsidP="00D67F3C">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r>
      <w:r w:rsidRPr="00776407">
        <w:rPr>
          <w:color w:val="000000"/>
          <w:spacing w:val="-2"/>
          <w:sz w:val="22"/>
          <w:szCs w:val="22"/>
        </w:rPr>
        <w:t>jeigu Jums vartojant Imatinib Actavis susidaro kraujosruvų, pasireiškia kraujavimas, karščiavimas, nuovargis ir sumišimas, kreipkitės į gydytoją. Tai gali būti kraujagyslių pažaidos, vadinamos trombine mikroangiopatija (TMA), požymis</w:t>
      </w:r>
      <w:r w:rsidR="00D50475" w:rsidRPr="00776407">
        <w:rPr>
          <w:rFonts w:eastAsia="Calibri"/>
          <w:sz w:val="22"/>
          <w:szCs w:val="22"/>
        </w:rPr>
        <w:t xml:space="preserve">. </w:t>
      </w:r>
    </w:p>
    <w:p w14:paraId="6DCEB24A" w14:textId="77777777" w:rsidR="00A148B1" w:rsidRPr="00776407" w:rsidRDefault="00A148B1" w:rsidP="00A148B1">
      <w:pPr>
        <w:autoSpaceDE w:val="0"/>
        <w:autoSpaceDN w:val="0"/>
        <w:adjustRightInd w:val="0"/>
        <w:rPr>
          <w:rFonts w:eastAsia="Calibri"/>
          <w:sz w:val="22"/>
          <w:szCs w:val="22"/>
        </w:rPr>
      </w:pPr>
    </w:p>
    <w:p w14:paraId="0E307910" w14:textId="77777777" w:rsidR="00532218" w:rsidRPr="00776407" w:rsidRDefault="00532218" w:rsidP="00532218">
      <w:pPr>
        <w:rPr>
          <w:color w:val="000000"/>
          <w:sz w:val="22"/>
          <w:szCs w:val="22"/>
        </w:rPr>
      </w:pPr>
      <w:r w:rsidRPr="00776407">
        <w:rPr>
          <w:bCs/>
          <w:sz w:val="22"/>
          <w:szCs w:val="22"/>
        </w:rPr>
        <w:t xml:space="preserve">Imatinib Actavis </w:t>
      </w:r>
      <w:r w:rsidRPr="00776407">
        <w:rPr>
          <w:color w:val="000000"/>
          <w:sz w:val="22"/>
          <w:szCs w:val="22"/>
        </w:rPr>
        <w:t>vartojimo metu galite tapti jautresnis saulės poveikiui. Svarbu apsaugoti atviras odos vietas nuo tiesioginių saulės spindulių ir naudoti preparatą nuo saulės nudegimo, kurio aukštas apsaugos faktorius (SPF).</w:t>
      </w:r>
      <w:r w:rsidRPr="00776407">
        <w:rPr>
          <w:rFonts w:ascii="Arial" w:hAnsi="Arial" w:cs="Arial"/>
          <w:color w:val="222222"/>
        </w:rPr>
        <w:t xml:space="preserve"> </w:t>
      </w:r>
      <w:r w:rsidRPr="00776407">
        <w:rPr>
          <w:color w:val="000000"/>
          <w:sz w:val="22"/>
          <w:szCs w:val="22"/>
        </w:rPr>
        <w:t>Šios atsargumo priemonės taip pat turi būti taikomos vaikams.</w:t>
      </w:r>
    </w:p>
    <w:p w14:paraId="21002801" w14:textId="77777777" w:rsidR="00C6414B" w:rsidRPr="00776407" w:rsidRDefault="00C6414B" w:rsidP="00C6414B">
      <w:pPr>
        <w:autoSpaceDE w:val="0"/>
        <w:autoSpaceDN w:val="0"/>
        <w:adjustRightInd w:val="0"/>
        <w:rPr>
          <w:rFonts w:eastAsia="Calibri"/>
          <w:sz w:val="22"/>
          <w:szCs w:val="22"/>
        </w:rPr>
      </w:pPr>
    </w:p>
    <w:p w14:paraId="1E0B7F4A"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Jei bet kuri šių sąlygų Jums tinka, </w:t>
      </w:r>
      <w:r w:rsidRPr="00776407">
        <w:rPr>
          <w:rFonts w:eastAsia="Calibri"/>
          <w:b/>
          <w:bCs/>
          <w:sz w:val="22"/>
          <w:szCs w:val="22"/>
        </w:rPr>
        <w:t>prieš pradėdami vartoti Imatinib Actavis, pasakykite gydytojui</w:t>
      </w:r>
      <w:r w:rsidRPr="00776407">
        <w:rPr>
          <w:rFonts w:eastAsia="Calibri"/>
          <w:sz w:val="22"/>
          <w:szCs w:val="22"/>
        </w:rPr>
        <w:t xml:space="preserve">. </w:t>
      </w:r>
    </w:p>
    <w:p w14:paraId="3A1EF3F4" w14:textId="77777777" w:rsidR="00C6414B" w:rsidRPr="00776407" w:rsidRDefault="00C6414B" w:rsidP="00C6414B">
      <w:pPr>
        <w:autoSpaceDE w:val="0"/>
        <w:autoSpaceDN w:val="0"/>
        <w:adjustRightInd w:val="0"/>
        <w:rPr>
          <w:rFonts w:eastAsia="Calibri"/>
          <w:b/>
          <w:bCs/>
          <w:sz w:val="22"/>
          <w:szCs w:val="22"/>
        </w:rPr>
      </w:pPr>
    </w:p>
    <w:p w14:paraId="5081A8B6"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Imatinib Actavis vartojimo metu nedelsdami kreipkitės į gydytoją, </w:t>
      </w:r>
      <w:r w:rsidRPr="00776407">
        <w:rPr>
          <w:rFonts w:eastAsia="Calibri"/>
          <w:sz w:val="22"/>
          <w:szCs w:val="22"/>
        </w:rPr>
        <w:t xml:space="preserve">jeigu Jums labai greitai padidėjo kūno svoris. Dėl Imatinib Actavis poveikio Jūsų kūne gali kauptis skysčių (pasireikšti sunkus skysčių susilaikymas). </w:t>
      </w:r>
    </w:p>
    <w:p w14:paraId="19323C7D" w14:textId="77777777" w:rsidR="00C6414B" w:rsidRPr="00776407" w:rsidRDefault="00C6414B" w:rsidP="00C6414B">
      <w:pPr>
        <w:autoSpaceDE w:val="0"/>
        <w:autoSpaceDN w:val="0"/>
        <w:adjustRightInd w:val="0"/>
        <w:rPr>
          <w:rFonts w:eastAsia="Calibri"/>
          <w:sz w:val="22"/>
          <w:szCs w:val="22"/>
        </w:rPr>
      </w:pPr>
    </w:p>
    <w:p w14:paraId="3747503E" w14:textId="58F975EF"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Jums vartojant Imatinib Actavis, gydytojas reguliariai tikrins, ar vaist</w:t>
      </w:r>
      <w:r w:rsidR="00532218" w:rsidRPr="00776407">
        <w:rPr>
          <w:rFonts w:eastAsia="Calibri"/>
          <w:sz w:val="22"/>
          <w:szCs w:val="22"/>
        </w:rPr>
        <w:t>as</w:t>
      </w:r>
      <w:r w:rsidRPr="00776407">
        <w:rPr>
          <w:rFonts w:eastAsia="Calibri"/>
          <w:sz w:val="22"/>
          <w:szCs w:val="22"/>
        </w:rPr>
        <w:t xml:space="preserve"> veikia. Jums taip pat reguliariai tirs kraują ir kūno svorį. </w:t>
      </w:r>
    </w:p>
    <w:p w14:paraId="45DE2347" w14:textId="77777777" w:rsidR="00C6414B" w:rsidRPr="00776407" w:rsidRDefault="00C6414B" w:rsidP="00C6414B">
      <w:pPr>
        <w:autoSpaceDE w:val="0"/>
        <w:autoSpaceDN w:val="0"/>
        <w:adjustRightInd w:val="0"/>
        <w:rPr>
          <w:rFonts w:eastAsia="Calibri"/>
          <w:b/>
          <w:bCs/>
          <w:sz w:val="22"/>
          <w:szCs w:val="22"/>
        </w:rPr>
      </w:pPr>
    </w:p>
    <w:p w14:paraId="75FC42F1"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Vaikams ir paaugliams </w:t>
      </w:r>
    </w:p>
    <w:p w14:paraId="69A103D2" w14:textId="77777777" w:rsidR="00A148B1" w:rsidRPr="00776407" w:rsidRDefault="00A148B1" w:rsidP="00A148B1">
      <w:pPr>
        <w:autoSpaceDE w:val="0"/>
        <w:autoSpaceDN w:val="0"/>
        <w:adjustRightInd w:val="0"/>
        <w:rPr>
          <w:rFonts w:eastAsia="Calibri"/>
          <w:sz w:val="22"/>
          <w:szCs w:val="22"/>
        </w:rPr>
      </w:pPr>
      <w:r w:rsidRPr="00776407">
        <w:rPr>
          <w:rFonts w:eastAsia="Calibri"/>
          <w:sz w:val="22"/>
          <w:szCs w:val="22"/>
        </w:rPr>
        <w:t xml:space="preserve">Imatinib Actavis taip pat gydomi vaikai, sergantys LML. Vartojimo patirties vaikams, jaunesniems kaip 2 metų ir sergantiems LML, nėra. </w:t>
      </w:r>
      <w:r w:rsidRPr="00776407">
        <w:rPr>
          <w:sz w:val="22"/>
          <w:szCs w:val="22"/>
        </w:rPr>
        <w:t>Vartojimo patirties vaikams, sergantiems Ph teigiama ŪLL, yra nedaug, o vartojimo patirties vaikams, sergantiems MDS/MPL, DFSP ir HES/LEL, yra labai nedaug.</w:t>
      </w:r>
    </w:p>
    <w:p w14:paraId="611C7B42" w14:textId="77777777" w:rsidR="00C6414B" w:rsidRPr="00776407" w:rsidRDefault="00C6414B" w:rsidP="00C6414B">
      <w:pPr>
        <w:autoSpaceDE w:val="0"/>
        <w:autoSpaceDN w:val="0"/>
        <w:adjustRightInd w:val="0"/>
        <w:rPr>
          <w:rFonts w:eastAsia="Calibri"/>
          <w:sz w:val="22"/>
          <w:szCs w:val="22"/>
        </w:rPr>
      </w:pPr>
    </w:p>
    <w:p w14:paraId="1CB1895E"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Kai kurių vaikų ir paauglių, vartojančių Imatinib Actavis, augimas gali būti lėtesnis nei įprasta. Todėl gydytojas tikrins augimą įprastų vizitų metu. </w:t>
      </w:r>
    </w:p>
    <w:p w14:paraId="61EF8E53" w14:textId="77777777" w:rsidR="00C6414B" w:rsidRPr="00776407" w:rsidRDefault="00C6414B" w:rsidP="00C6414B">
      <w:pPr>
        <w:autoSpaceDE w:val="0"/>
        <w:autoSpaceDN w:val="0"/>
        <w:adjustRightInd w:val="0"/>
        <w:rPr>
          <w:rFonts w:eastAsia="Calibri"/>
          <w:b/>
          <w:sz w:val="22"/>
          <w:szCs w:val="22"/>
        </w:rPr>
      </w:pPr>
    </w:p>
    <w:p w14:paraId="3E33E251" w14:textId="77777777" w:rsidR="00C6414B" w:rsidRPr="00776407" w:rsidRDefault="00C6414B" w:rsidP="00C6414B">
      <w:pPr>
        <w:autoSpaceDE w:val="0"/>
        <w:autoSpaceDN w:val="0"/>
        <w:adjustRightInd w:val="0"/>
        <w:rPr>
          <w:rFonts w:eastAsia="Calibri"/>
          <w:b/>
          <w:sz w:val="22"/>
          <w:szCs w:val="22"/>
        </w:rPr>
      </w:pPr>
      <w:r w:rsidRPr="00776407">
        <w:rPr>
          <w:rFonts w:eastAsia="Calibri"/>
          <w:b/>
          <w:sz w:val="22"/>
          <w:szCs w:val="22"/>
        </w:rPr>
        <w:t>Kiti vaistai ir Imatinib Actavis</w:t>
      </w:r>
    </w:p>
    <w:p w14:paraId="677E00EF" w14:textId="0ADD3871"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Jeigu vartojate ar neseniai vartojote kitų vaistų arba dėl to nesate tikri, įskaitant įsigytus be recepto (tokių kaip paracetamolio) ir taip pat </w:t>
      </w:r>
      <w:r w:rsidR="005D54ED" w:rsidRPr="00776407">
        <w:rPr>
          <w:rFonts w:eastAsia="Calibri"/>
          <w:sz w:val="22"/>
          <w:szCs w:val="22"/>
        </w:rPr>
        <w:t>vaistažolių</w:t>
      </w:r>
      <w:r w:rsidRPr="00776407">
        <w:rPr>
          <w:rFonts w:eastAsia="Calibri"/>
          <w:sz w:val="22"/>
          <w:szCs w:val="22"/>
        </w:rPr>
        <w:t xml:space="preserve"> (tokių kaip jonažolės preparatų), apie tai pasakykite gydytojui arba vaistininkui. Kai kurie vaist</w:t>
      </w:r>
      <w:r w:rsidR="001F2F5E" w:rsidRPr="00776407">
        <w:rPr>
          <w:rFonts w:eastAsia="Calibri"/>
          <w:sz w:val="22"/>
          <w:szCs w:val="22"/>
        </w:rPr>
        <w:t>ai</w:t>
      </w:r>
      <w:r w:rsidRPr="00776407">
        <w:rPr>
          <w:rFonts w:eastAsia="Calibri"/>
          <w:sz w:val="22"/>
          <w:szCs w:val="22"/>
        </w:rPr>
        <w:t xml:space="preserve"> vartojami kartu gali sąveikauti su Imatinib Actavis. Jie gali padidinti arba sumažinti Imatinib Actavis poveikį, arba padidindami nepageidaujamų reiškinių pasireiškimo dažnį, arba mažindami Imatinib Actavis veiksmingumą. Imatinib Actavis gali panašiai veikti kai kuriuos kitus vaist</w:t>
      </w:r>
      <w:r w:rsidR="001F2F5E" w:rsidRPr="00776407">
        <w:rPr>
          <w:rFonts w:eastAsia="Calibri"/>
          <w:sz w:val="22"/>
          <w:szCs w:val="22"/>
        </w:rPr>
        <w:t>us</w:t>
      </w:r>
      <w:r w:rsidRPr="00776407">
        <w:rPr>
          <w:rFonts w:eastAsia="Calibri"/>
          <w:sz w:val="22"/>
          <w:szCs w:val="22"/>
        </w:rPr>
        <w:t xml:space="preserve">. </w:t>
      </w:r>
    </w:p>
    <w:p w14:paraId="67F6C3E9" w14:textId="77777777" w:rsidR="00C6414B" w:rsidRPr="00776407" w:rsidRDefault="00C6414B" w:rsidP="00C6414B">
      <w:pPr>
        <w:autoSpaceDE w:val="0"/>
        <w:autoSpaceDN w:val="0"/>
        <w:adjustRightInd w:val="0"/>
        <w:rPr>
          <w:rFonts w:eastAsia="Calibri"/>
          <w:b/>
          <w:sz w:val="22"/>
          <w:szCs w:val="22"/>
        </w:rPr>
      </w:pPr>
      <w:r w:rsidRPr="00776407">
        <w:rPr>
          <w:rFonts w:eastAsia="Calibri"/>
          <w:sz w:val="22"/>
          <w:szCs w:val="22"/>
        </w:rPr>
        <w:t>Pasakykite gydytojui, jei vartojate vaistų, kurie apsaugo nuo kraujo krešulių susidarymo.</w:t>
      </w:r>
    </w:p>
    <w:p w14:paraId="00C6C1DA" w14:textId="77777777" w:rsidR="00C6414B" w:rsidRPr="00776407" w:rsidRDefault="00C6414B" w:rsidP="00C6414B">
      <w:pPr>
        <w:autoSpaceDE w:val="0"/>
        <w:autoSpaceDN w:val="0"/>
        <w:adjustRightInd w:val="0"/>
        <w:rPr>
          <w:rFonts w:eastAsia="Calibri"/>
          <w:sz w:val="22"/>
          <w:szCs w:val="22"/>
        </w:rPr>
      </w:pPr>
    </w:p>
    <w:p w14:paraId="64077381"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Nėštumas, žindymo laikotarpis ir vaisingumas </w:t>
      </w:r>
    </w:p>
    <w:p w14:paraId="652F75A3" w14:textId="77777777" w:rsidR="001F2F5E" w:rsidRPr="00776407" w:rsidRDefault="001F2F5E" w:rsidP="001F2F5E">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Jeigu esate nėščia, žindote kūdikį, manote, kad galbūt esate nėščia arba planuojate pastoti, tai prieš vartodama šį vaistą pasitarkite su gydytoju. </w:t>
      </w:r>
    </w:p>
    <w:p w14:paraId="68C0DB88" w14:textId="77777777" w:rsidR="001F2F5E" w:rsidRPr="00776407" w:rsidRDefault="001F2F5E" w:rsidP="001F2F5E">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Imatinib Actavis nerekomenduojama vartoti nėščiosioms, nebent neišvengiama, nes tai gali pakenkti Jūsų kūdikiui. Gydytojas supažindins Jus su galima Imatinib Actavis vartojimo nėštumo laikotarpiu rizika. </w:t>
      </w:r>
    </w:p>
    <w:p w14:paraId="49B2F122" w14:textId="77777777" w:rsidR="001F2F5E" w:rsidRPr="00776407" w:rsidRDefault="001F2F5E" w:rsidP="001F2F5E">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Moterims, galinčioms pastoti, gydantis šiuo vaistu ir 15 dienų po gydymo pabaigos rekomenduojama taikyti efektyvias kontracepcijos priemones.</w:t>
      </w:r>
    </w:p>
    <w:p w14:paraId="70D98170" w14:textId="63CAEEFC" w:rsidR="001F2F5E" w:rsidRPr="00776407" w:rsidRDefault="001F2F5E" w:rsidP="001F2F5E">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Vartodama Imatinib Actavis</w:t>
      </w:r>
      <w:r w:rsidRPr="00776407">
        <w:rPr>
          <w:color w:val="000000"/>
          <w:sz w:val="22"/>
          <w:szCs w:val="22"/>
        </w:rPr>
        <w:t xml:space="preserve"> </w:t>
      </w:r>
      <w:r w:rsidRPr="00776407">
        <w:rPr>
          <w:rFonts w:eastAsia="Calibri"/>
          <w:sz w:val="22"/>
          <w:szCs w:val="22"/>
        </w:rPr>
        <w:t>ir 15 dienų po gydymo pabaigos kūdikio nežindykite, nes tai gali pakenkti Jūsų kūdikiui.</w:t>
      </w:r>
    </w:p>
    <w:p w14:paraId="63478897" w14:textId="77777777" w:rsidR="001F2F5E" w:rsidRPr="00776407" w:rsidRDefault="001F2F5E" w:rsidP="001F2F5E">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Pacientai Imatinib Actavis vartojimo laikotarpiu dėl savo vaisingumo turi konsultuotis su gydytoju. </w:t>
      </w:r>
    </w:p>
    <w:p w14:paraId="63B0C2A9" w14:textId="77777777" w:rsidR="00C6414B" w:rsidRPr="00776407" w:rsidRDefault="00C6414B" w:rsidP="00C6414B">
      <w:pPr>
        <w:autoSpaceDE w:val="0"/>
        <w:autoSpaceDN w:val="0"/>
        <w:adjustRightInd w:val="0"/>
        <w:rPr>
          <w:rFonts w:eastAsia="Calibri"/>
          <w:sz w:val="22"/>
          <w:szCs w:val="22"/>
        </w:rPr>
      </w:pPr>
    </w:p>
    <w:p w14:paraId="0F28C296"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Vairavimas ir mechanizmų valdymas </w:t>
      </w:r>
    </w:p>
    <w:p w14:paraId="29BDAB44"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Vartodami šio vaisto galite jausti galvos svaigimą ar mieguistumą arba Jums gali pasireikšti neryškus matymas. Jeigu taip atsitiktų, nevairuokite ir nevaldykite bet kokios rūšies mechanizmų, kol vėl nepasijusite gerai. </w:t>
      </w:r>
    </w:p>
    <w:p w14:paraId="6C602113" w14:textId="77777777" w:rsidR="000C01E8" w:rsidRPr="00776407" w:rsidRDefault="000C01E8" w:rsidP="00C6414B">
      <w:pPr>
        <w:autoSpaceDE w:val="0"/>
        <w:autoSpaceDN w:val="0"/>
        <w:adjustRightInd w:val="0"/>
        <w:rPr>
          <w:rFonts w:eastAsia="Calibri"/>
          <w:sz w:val="22"/>
          <w:szCs w:val="22"/>
        </w:rPr>
      </w:pPr>
    </w:p>
    <w:p w14:paraId="3EE1B9C8" w14:textId="77777777" w:rsidR="00C6414B" w:rsidRPr="00776407" w:rsidRDefault="00C6414B" w:rsidP="00C6414B">
      <w:pPr>
        <w:autoSpaceDE w:val="0"/>
        <w:autoSpaceDN w:val="0"/>
        <w:adjustRightInd w:val="0"/>
        <w:rPr>
          <w:b/>
          <w:sz w:val="22"/>
          <w:szCs w:val="22"/>
          <w:lang w:eastAsia="is-IS"/>
        </w:rPr>
      </w:pPr>
      <w:r w:rsidRPr="00776407">
        <w:rPr>
          <w:b/>
          <w:sz w:val="22"/>
          <w:szCs w:val="22"/>
          <w:lang w:eastAsia="is-IS"/>
        </w:rPr>
        <w:t xml:space="preserve">Imatinib Actavis </w:t>
      </w:r>
      <w:r w:rsidR="00D6149A" w:rsidRPr="00776407">
        <w:rPr>
          <w:b/>
          <w:sz w:val="22"/>
          <w:szCs w:val="22"/>
          <w:lang w:eastAsia="is-IS"/>
        </w:rPr>
        <w:t>sudėtyje yra sojų</w:t>
      </w:r>
      <w:r w:rsidR="000C01E8" w:rsidRPr="00776407">
        <w:rPr>
          <w:b/>
          <w:sz w:val="22"/>
          <w:szCs w:val="22"/>
          <w:lang w:eastAsia="is-IS"/>
        </w:rPr>
        <w:t xml:space="preserve"> lecitino</w:t>
      </w:r>
    </w:p>
    <w:p w14:paraId="74A10C70" w14:textId="77777777" w:rsidR="00C6414B" w:rsidRPr="00776407" w:rsidRDefault="000C01E8" w:rsidP="00C6414B">
      <w:pPr>
        <w:autoSpaceDE w:val="0"/>
        <w:autoSpaceDN w:val="0"/>
        <w:adjustRightInd w:val="0"/>
        <w:rPr>
          <w:sz w:val="22"/>
          <w:szCs w:val="22"/>
          <w:lang w:eastAsia="is-IS"/>
        </w:rPr>
      </w:pPr>
      <w:r w:rsidRPr="00776407">
        <w:rPr>
          <w:sz w:val="22"/>
          <w:szCs w:val="22"/>
          <w:lang w:eastAsia="is-IS"/>
        </w:rPr>
        <w:t>Jei esate alergiškas žemės riešutams ar sojai, šio vaisto nevartokite.</w:t>
      </w:r>
    </w:p>
    <w:p w14:paraId="61671C45" w14:textId="77777777" w:rsidR="00C6414B" w:rsidRPr="00776407" w:rsidRDefault="00C6414B" w:rsidP="00C6414B">
      <w:pPr>
        <w:autoSpaceDE w:val="0"/>
        <w:autoSpaceDN w:val="0"/>
        <w:adjustRightInd w:val="0"/>
        <w:rPr>
          <w:rFonts w:eastAsia="Calibri"/>
          <w:sz w:val="22"/>
          <w:szCs w:val="22"/>
        </w:rPr>
      </w:pPr>
    </w:p>
    <w:p w14:paraId="4BB47F5F" w14:textId="77777777" w:rsidR="00D67F3C" w:rsidRPr="00776407" w:rsidRDefault="00D67F3C" w:rsidP="00D67F3C">
      <w:pPr>
        <w:autoSpaceDE w:val="0"/>
        <w:autoSpaceDN w:val="0"/>
        <w:adjustRightInd w:val="0"/>
        <w:rPr>
          <w:rFonts w:eastAsia="Calibri"/>
          <w:b/>
          <w:sz w:val="22"/>
          <w:szCs w:val="22"/>
        </w:rPr>
      </w:pPr>
      <w:r w:rsidRPr="00776407">
        <w:rPr>
          <w:rFonts w:eastAsia="Calibri"/>
          <w:b/>
          <w:sz w:val="22"/>
          <w:szCs w:val="22"/>
        </w:rPr>
        <w:t>Imatinib Actavis sudėtyje yra natrio</w:t>
      </w:r>
    </w:p>
    <w:p w14:paraId="66874676" w14:textId="14DC51D5" w:rsidR="00D67F3C" w:rsidRPr="00776407" w:rsidRDefault="00786515" w:rsidP="00D67F3C">
      <w:pPr>
        <w:autoSpaceDE w:val="0"/>
        <w:autoSpaceDN w:val="0"/>
        <w:adjustRightInd w:val="0"/>
        <w:rPr>
          <w:rFonts w:eastAsia="Calibri"/>
          <w:sz w:val="22"/>
          <w:szCs w:val="22"/>
        </w:rPr>
      </w:pPr>
      <w:r w:rsidRPr="00776407">
        <w:rPr>
          <w:rFonts w:eastAsia="Calibri"/>
          <w:sz w:val="22"/>
          <w:szCs w:val="22"/>
        </w:rPr>
        <w:t>Šio vaisto vienoje plėvele dengtoje tabletėje yra mažiau</w:t>
      </w:r>
      <w:r w:rsidR="00D67F3C" w:rsidRPr="00776407">
        <w:rPr>
          <w:rFonts w:eastAsia="Calibri"/>
          <w:sz w:val="22"/>
          <w:szCs w:val="22"/>
        </w:rPr>
        <w:t xml:space="preserve"> kaip 1 mmol (23 mg) natrio, t.y. jis beveik neturi reikšmės.</w:t>
      </w:r>
    </w:p>
    <w:p w14:paraId="6EA70CBC" w14:textId="77777777" w:rsidR="00C6414B" w:rsidRPr="00776407" w:rsidRDefault="00C6414B" w:rsidP="00C6414B">
      <w:pPr>
        <w:autoSpaceDE w:val="0"/>
        <w:autoSpaceDN w:val="0"/>
        <w:adjustRightInd w:val="0"/>
        <w:rPr>
          <w:rFonts w:eastAsia="Calibri"/>
          <w:sz w:val="22"/>
          <w:szCs w:val="22"/>
        </w:rPr>
      </w:pPr>
    </w:p>
    <w:p w14:paraId="19A06968" w14:textId="77777777" w:rsidR="00D67F3C" w:rsidRPr="00776407" w:rsidRDefault="00D67F3C" w:rsidP="00C6414B">
      <w:pPr>
        <w:autoSpaceDE w:val="0"/>
        <w:autoSpaceDN w:val="0"/>
        <w:adjustRightInd w:val="0"/>
        <w:rPr>
          <w:rFonts w:eastAsia="Calibri"/>
          <w:sz w:val="22"/>
          <w:szCs w:val="22"/>
        </w:rPr>
      </w:pPr>
    </w:p>
    <w:p w14:paraId="39F87DD8" w14:textId="77777777" w:rsidR="00C6414B" w:rsidRPr="00776407" w:rsidRDefault="00C6414B" w:rsidP="00684498">
      <w:pPr>
        <w:pStyle w:val="Listenabsatz"/>
        <w:keepNext/>
        <w:numPr>
          <w:ilvl w:val="0"/>
          <w:numId w:val="12"/>
        </w:numPr>
        <w:autoSpaceDE w:val="0"/>
        <w:autoSpaceDN w:val="0"/>
        <w:adjustRightInd w:val="0"/>
        <w:ind w:left="567" w:hanging="567"/>
        <w:rPr>
          <w:rFonts w:eastAsia="Calibri"/>
          <w:b/>
          <w:bCs/>
          <w:sz w:val="22"/>
          <w:szCs w:val="22"/>
        </w:rPr>
      </w:pPr>
      <w:r w:rsidRPr="00776407">
        <w:rPr>
          <w:rFonts w:eastAsia="Calibri"/>
          <w:b/>
          <w:bCs/>
          <w:sz w:val="22"/>
          <w:szCs w:val="22"/>
        </w:rPr>
        <w:t xml:space="preserve">Kaip vartoti Imatinib Actavis </w:t>
      </w:r>
    </w:p>
    <w:p w14:paraId="0D0090C1" w14:textId="77777777" w:rsidR="00C6414B" w:rsidRPr="00776407" w:rsidRDefault="00C6414B" w:rsidP="00684498">
      <w:pPr>
        <w:keepNext/>
        <w:autoSpaceDE w:val="0"/>
        <w:autoSpaceDN w:val="0"/>
        <w:adjustRightInd w:val="0"/>
        <w:rPr>
          <w:rFonts w:eastAsia="Calibri"/>
          <w:sz w:val="22"/>
          <w:szCs w:val="22"/>
        </w:rPr>
      </w:pPr>
    </w:p>
    <w:p w14:paraId="69BDE1F3"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Jūsų gydytojas Jums paskyrė Imatinib Actavis, kadangi sergate sunkia liga. Imatinib Actavis gali Jums padėti kovojant su šia būkle. </w:t>
      </w:r>
    </w:p>
    <w:p w14:paraId="34921D11" w14:textId="77777777" w:rsidR="00C6414B" w:rsidRPr="00776407" w:rsidRDefault="00C6414B" w:rsidP="00C6414B">
      <w:pPr>
        <w:autoSpaceDE w:val="0"/>
        <w:autoSpaceDN w:val="0"/>
        <w:adjustRightInd w:val="0"/>
        <w:rPr>
          <w:rFonts w:eastAsia="Calibri"/>
          <w:sz w:val="22"/>
          <w:szCs w:val="22"/>
        </w:rPr>
      </w:pPr>
    </w:p>
    <w:p w14:paraId="6471DD54"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Tačiau visada vartokite šį vaistą tiksliai kaip nurodė gydytojas arba vaistininkas. Svarbu, kad vaisto vartotumėte tiek laiko, kiek nurodė Jūsų gydytojas arba vaistininkas. Jeigu abejojate, kreipkitės į gydytoją arba vaistininką. </w:t>
      </w:r>
    </w:p>
    <w:p w14:paraId="7F44DCA4" w14:textId="77777777" w:rsidR="00C6414B" w:rsidRPr="00776407" w:rsidRDefault="00C6414B" w:rsidP="00C6414B">
      <w:pPr>
        <w:autoSpaceDE w:val="0"/>
        <w:autoSpaceDN w:val="0"/>
        <w:adjustRightInd w:val="0"/>
        <w:rPr>
          <w:rFonts w:eastAsia="Calibri"/>
          <w:sz w:val="22"/>
          <w:szCs w:val="22"/>
        </w:rPr>
      </w:pPr>
    </w:p>
    <w:p w14:paraId="0FD18CD2"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Nenustokite vartoti Imatinib Actavis, nebent taip nurodytų Jūsų gydytojas. Nedelsdami kreipkitės į gydytoją, jeigu negalite vartoti vaisto taip, kaip paskyrė gydytojas, arba jaučiate, kad šio vaisto Jums daugiau nereikia. </w:t>
      </w:r>
    </w:p>
    <w:p w14:paraId="751416E6" w14:textId="77777777" w:rsidR="00C6414B" w:rsidRPr="00776407" w:rsidRDefault="00C6414B" w:rsidP="00C6414B">
      <w:pPr>
        <w:autoSpaceDE w:val="0"/>
        <w:autoSpaceDN w:val="0"/>
        <w:adjustRightInd w:val="0"/>
        <w:rPr>
          <w:rFonts w:eastAsia="Calibri"/>
          <w:b/>
          <w:bCs/>
          <w:sz w:val="22"/>
          <w:szCs w:val="22"/>
        </w:rPr>
      </w:pPr>
    </w:p>
    <w:p w14:paraId="1EBF61C1"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Kiek Imatinib Actavis vartoti </w:t>
      </w:r>
    </w:p>
    <w:p w14:paraId="2F15E7AE" w14:textId="77777777" w:rsidR="00C6414B" w:rsidRPr="00776407" w:rsidRDefault="00C6414B" w:rsidP="00C6414B">
      <w:pPr>
        <w:autoSpaceDE w:val="0"/>
        <w:autoSpaceDN w:val="0"/>
        <w:adjustRightInd w:val="0"/>
        <w:rPr>
          <w:rFonts w:eastAsia="Calibri"/>
          <w:b/>
          <w:bCs/>
          <w:sz w:val="22"/>
          <w:szCs w:val="22"/>
        </w:rPr>
      </w:pPr>
    </w:p>
    <w:p w14:paraId="7665CB62"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Vartojimas suaugusiesiems </w:t>
      </w:r>
    </w:p>
    <w:p w14:paraId="3A387240"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Gydytojas Jums tiksliai nurodys, kiek Imatinib Actavis kapsulių gerti. </w:t>
      </w:r>
    </w:p>
    <w:p w14:paraId="2283E0A3" w14:textId="77777777" w:rsidR="00C7087C" w:rsidRPr="00776407" w:rsidRDefault="00C7087C" w:rsidP="00C7087C">
      <w:pPr>
        <w:autoSpaceDE w:val="0"/>
        <w:autoSpaceDN w:val="0"/>
        <w:adjustRightInd w:val="0"/>
        <w:rPr>
          <w:rFonts w:eastAsia="Calibri"/>
          <w:sz w:val="22"/>
          <w:szCs w:val="22"/>
        </w:rPr>
      </w:pPr>
    </w:p>
    <w:p w14:paraId="384D8975" w14:textId="77777777" w:rsidR="00C7087C" w:rsidRPr="00776407" w:rsidRDefault="00C7087C" w:rsidP="00C7087C">
      <w:pPr>
        <w:autoSpaceDE w:val="0"/>
        <w:autoSpaceDN w:val="0"/>
        <w:adjustRightInd w:val="0"/>
        <w:ind w:left="567" w:hanging="567"/>
        <w:rPr>
          <w:rFonts w:eastAsia="Calibri"/>
          <w:color w:val="000000"/>
          <w:sz w:val="22"/>
          <w:szCs w:val="22"/>
        </w:rPr>
      </w:pPr>
      <w:r w:rsidRPr="00776407">
        <w:rPr>
          <w:rFonts w:ascii="Symbol" w:eastAsia="Calibri" w:hAnsi="Symbol" w:cs="Symbol"/>
          <w:color w:val="000000"/>
          <w:sz w:val="22"/>
          <w:szCs w:val="22"/>
        </w:rPr>
        <w:t></w:t>
      </w:r>
      <w:r w:rsidRPr="00776407">
        <w:rPr>
          <w:rFonts w:ascii="Symbol" w:eastAsia="Calibri" w:hAnsi="Symbol" w:cs="Symbol"/>
          <w:color w:val="000000"/>
          <w:sz w:val="22"/>
          <w:szCs w:val="22"/>
        </w:rPr>
        <w:t></w:t>
      </w:r>
      <w:r w:rsidRPr="00776407">
        <w:rPr>
          <w:rFonts w:ascii="Symbol" w:eastAsia="Calibri" w:hAnsi="Symbol" w:cs="Symbol"/>
          <w:color w:val="000000"/>
          <w:sz w:val="22"/>
          <w:szCs w:val="22"/>
        </w:rPr>
        <w:tab/>
      </w:r>
      <w:r w:rsidRPr="00776407">
        <w:rPr>
          <w:rFonts w:eastAsia="Calibri"/>
          <w:b/>
          <w:bCs/>
          <w:color w:val="000000"/>
          <w:sz w:val="22"/>
          <w:szCs w:val="22"/>
        </w:rPr>
        <w:t xml:space="preserve">Jei gydoma LML: </w:t>
      </w:r>
    </w:p>
    <w:p w14:paraId="119F28D8" w14:textId="77777777" w:rsidR="00C6414B" w:rsidRPr="00776407" w:rsidRDefault="00C6414B" w:rsidP="00273D92">
      <w:pPr>
        <w:autoSpaceDE w:val="0"/>
        <w:autoSpaceDN w:val="0"/>
        <w:adjustRightInd w:val="0"/>
        <w:ind w:left="567"/>
        <w:rPr>
          <w:rFonts w:eastAsia="Calibri"/>
          <w:sz w:val="22"/>
          <w:szCs w:val="22"/>
        </w:rPr>
      </w:pPr>
      <w:r w:rsidRPr="00776407">
        <w:rPr>
          <w:rFonts w:eastAsia="Calibri"/>
          <w:sz w:val="22"/>
          <w:szCs w:val="22"/>
        </w:rPr>
        <w:t xml:space="preserve">Rekomenduojama pradinė dozė yra 600 mg, vartojant po vieną 400 mg tabletę plius dvi 100 mg tabletes </w:t>
      </w:r>
      <w:r w:rsidRPr="00776407">
        <w:rPr>
          <w:rFonts w:eastAsia="Calibri"/>
          <w:b/>
          <w:bCs/>
          <w:sz w:val="22"/>
          <w:szCs w:val="22"/>
        </w:rPr>
        <w:t xml:space="preserve">kartą </w:t>
      </w:r>
      <w:r w:rsidRPr="00776407">
        <w:rPr>
          <w:rFonts w:eastAsia="Calibri"/>
          <w:sz w:val="22"/>
          <w:szCs w:val="22"/>
        </w:rPr>
        <w:t xml:space="preserve">per parą. </w:t>
      </w:r>
    </w:p>
    <w:p w14:paraId="21EEAA0E" w14:textId="77777777" w:rsidR="00C7087C" w:rsidRPr="00776407" w:rsidRDefault="00C7087C" w:rsidP="00C7087C">
      <w:pPr>
        <w:autoSpaceDE w:val="0"/>
        <w:autoSpaceDN w:val="0"/>
        <w:adjustRightInd w:val="0"/>
        <w:rPr>
          <w:rFonts w:ascii="Symbol" w:eastAsia="Calibri" w:hAnsi="Symbol" w:cs="Symbol"/>
          <w:color w:val="000000"/>
        </w:rPr>
      </w:pPr>
    </w:p>
    <w:p w14:paraId="5BFEAEC8" w14:textId="77777777" w:rsidR="00C7087C" w:rsidRPr="00776407" w:rsidRDefault="00C7087C" w:rsidP="00C7087C">
      <w:pPr>
        <w:autoSpaceDE w:val="0"/>
        <w:autoSpaceDN w:val="0"/>
        <w:adjustRightInd w:val="0"/>
        <w:ind w:left="567" w:hanging="567"/>
        <w:rPr>
          <w:rFonts w:eastAsia="Calibri"/>
          <w:color w:val="000000"/>
          <w:sz w:val="22"/>
          <w:szCs w:val="22"/>
        </w:rPr>
      </w:pPr>
      <w:r w:rsidRPr="00776407">
        <w:rPr>
          <w:rFonts w:ascii="Symbol" w:eastAsia="Calibri" w:hAnsi="Symbol" w:cs="Symbol"/>
          <w:color w:val="000000"/>
          <w:sz w:val="22"/>
          <w:szCs w:val="22"/>
        </w:rPr>
        <w:t></w:t>
      </w:r>
      <w:r w:rsidRPr="00776407">
        <w:rPr>
          <w:rFonts w:ascii="Symbol" w:eastAsia="Calibri" w:hAnsi="Symbol" w:cs="Symbol"/>
          <w:color w:val="000000"/>
          <w:sz w:val="22"/>
          <w:szCs w:val="22"/>
        </w:rPr>
        <w:t></w:t>
      </w:r>
      <w:r w:rsidRPr="00776407">
        <w:rPr>
          <w:rFonts w:ascii="Symbol" w:eastAsia="Calibri" w:hAnsi="Symbol" w:cs="Symbol"/>
          <w:color w:val="000000"/>
          <w:sz w:val="22"/>
          <w:szCs w:val="22"/>
        </w:rPr>
        <w:tab/>
      </w:r>
      <w:r w:rsidRPr="00776407">
        <w:rPr>
          <w:rFonts w:eastAsia="Calibri"/>
          <w:b/>
          <w:bCs/>
          <w:color w:val="000000"/>
          <w:sz w:val="22"/>
          <w:szCs w:val="22"/>
        </w:rPr>
        <w:t xml:space="preserve">Jeigu gydoma Ph teigiama ŪLL: </w:t>
      </w:r>
    </w:p>
    <w:p w14:paraId="54840460" w14:textId="77777777" w:rsidR="00C7087C" w:rsidRPr="00776407" w:rsidRDefault="00C7087C" w:rsidP="00C7087C">
      <w:pPr>
        <w:autoSpaceDE w:val="0"/>
        <w:autoSpaceDN w:val="0"/>
        <w:adjustRightInd w:val="0"/>
        <w:ind w:left="567"/>
        <w:rPr>
          <w:rFonts w:eastAsia="Calibri"/>
          <w:sz w:val="22"/>
          <w:szCs w:val="22"/>
        </w:rPr>
      </w:pPr>
      <w:r w:rsidRPr="00776407">
        <w:rPr>
          <w:rFonts w:eastAsia="Calibri"/>
          <w:color w:val="000000"/>
          <w:sz w:val="22"/>
          <w:szCs w:val="22"/>
        </w:rPr>
        <w:t>Pradinė dozė yra 600</w:t>
      </w:r>
      <w:r w:rsidR="00B47CFC" w:rsidRPr="00776407">
        <w:rPr>
          <w:rFonts w:eastAsia="Calibri"/>
          <w:color w:val="000000"/>
          <w:sz w:val="22"/>
          <w:szCs w:val="22"/>
        </w:rPr>
        <w:t> </w:t>
      </w:r>
      <w:r w:rsidRPr="00776407">
        <w:rPr>
          <w:rFonts w:eastAsia="Calibri"/>
          <w:color w:val="000000"/>
          <w:sz w:val="22"/>
          <w:szCs w:val="22"/>
        </w:rPr>
        <w:t xml:space="preserve">mg, vartojant po </w:t>
      </w:r>
      <w:r w:rsidRPr="00776407">
        <w:rPr>
          <w:rFonts w:eastAsia="Calibri"/>
          <w:sz w:val="22"/>
          <w:szCs w:val="22"/>
        </w:rPr>
        <w:t xml:space="preserve">400 mg tabletę plius dvi 100 mg tabletes </w:t>
      </w:r>
      <w:r w:rsidRPr="00776407">
        <w:rPr>
          <w:rFonts w:eastAsia="Calibri"/>
          <w:b/>
          <w:bCs/>
          <w:sz w:val="22"/>
          <w:szCs w:val="22"/>
        </w:rPr>
        <w:t xml:space="preserve">kartą </w:t>
      </w:r>
      <w:r w:rsidRPr="00776407">
        <w:rPr>
          <w:rFonts w:eastAsia="Calibri"/>
          <w:sz w:val="22"/>
          <w:szCs w:val="22"/>
        </w:rPr>
        <w:t xml:space="preserve">per parą. </w:t>
      </w:r>
    </w:p>
    <w:p w14:paraId="67A8A8EB" w14:textId="77777777" w:rsidR="00C7087C" w:rsidRPr="00776407" w:rsidRDefault="00C7087C" w:rsidP="00C7087C">
      <w:pPr>
        <w:autoSpaceDE w:val="0"/>
        <w:autoSpaceDN w:val="0"/>
        <w:adjustRightInd w:val="0"/>
        <w:rPr>
          <w:rFonts w:ascii="Symbol" w:eastAsia="Calibri" w:hAnsi="Symbol" w:cs="Symbol"/>
          <w:color w:val="000000"/>
        </w:rPr>
      </w:pPr>
    </w:p>
    <w:p w14:paraId="4C653B9A" w14:textId="77777777" w:rsidR="00C7087C" w:rsidRPr="00776407" w:rsidRDefault="00C7087C" w:rsidP="00C7087C">
      <w:pPr>
        <w:autoSpaceDE w:val="0"/>
        <w:autoSpaceDN w:val="0"/>
        <w:adjustRightInd w:val="0"/>
        <w:rPr>
          <w:rFonts w:eastAsia="Calibri"/>
          <w:color w:val="000000"/>
          <w:sz w:val="22"/>
          <w:szCs w:val="22"/>
        </w:rPr>
      </w:pPr>
      <w:r w:rsidRPr="00776407">
        <w:rPr>
          <w:rFonts w:ascii="Symbol" w:eastAsia="Calibri" w:hAnsi="Symbol" w:cs="Symbol"/>
          <w:color w:val="000000"/>
          <w:sz w:val="22"/>
          <w:szCs w:val="22"/>
        </w:rPr>
        <w:t></w:t>
      </w:r>
      <w:r w:rsidRPr="00776407">
        <w:rPr>
          <w:rFonts w:ascii="Symbol" w:eastAsia="Calibri" w:hAnsi="Symbol" w:cs="Symbol"/>
          <w:color w:val="000000"/>
          <w:sz w:val="22"/>
          <w:szCs w:val="22"/>
        </w:rPr>
        <w:t></w:t>
      </w:r>
      <w:r w:rsidRPr="00776407">
        <w:rPr>
          <w:rFonts w:ascii="Symbol" w:eastAsia="Calibri" w:hAnsi="Symbol" w:cs="Symbol"/>
          <w:color w:val="000000"/>
          <w:sz w:val="22"/>
          <w:szCs w:val="22"/>
        </w:rPr>
        <w:tab/>
      </w:r>
      <w:r w:rsidRPr="00776407">
        <w:rPr>
          <w:rFonts w:eastAsia="Calibri"/>
          <w:b/>
          <w:bCs/>
          <w:color w:val="000000"/>
          <w:sz w:val="22"/>
          <w:szCs w:val="22"/>
        </w:rPr>
        <w:t xml:space="preserve">Jeigu gydoma MDS/MPL: </w:t>
      </w:r>
    </w:p>
    <w:p w14:paraId="62AC62ED" w14:textId="77777777" w:rsidR="00C7087C" w:rsidRPr="00776407" w:rsidRDefault="00C7087C" w:rsidP="00C7087C">
      <w:pPr>
        <w:autoSpaceDE w:val="0"/>
        <w:autoSpaceDN w:val="0"/>
        <w:adjustRightInd w:val="0"/>
        <w:ind w:firstLine="720"/>
        <w:rPr>
          <w:rFonts w:eastAsia="Calibri"/>
          <w:color w:val="000000"/>
          <w:sz w:val="22"/>
          <w:szCs w:val="22"/>
        </w:rPr>
      </w:pPr>
      <w:r w:rsidRPr="00776407">
        <w:rPr>
          <w:rFonts w:eastAsia="Calibri"/>
          <w:color w:val="000000"/>
          <w:sz w:val="22"/>
          <w:szCs w:val="22"/>
        </w:rPr>
        <w:t>Pradinė dozė yra 400</w:t>
      </w:r>
      <w:r w:rsidR="00B47CFC" w:rsidRPr="00776407">
        <w:rPr>
          <w:rFonts w:eastAsia="Calibri"/>
          <w:color w:val="000000"/>
          <w:sz w:val="22"/>
          <w:szCs w:val="22"/>
        </w:rPr>
        <w:t> </w:t>
      </w:r>
      <w:r w:rsidRPr="00776407">
        <w:rPr>
          <w:rFonts w:eastAsia="Calibri"/>
          <w:color w:val="000000"/>
          <w:sz w:val="22"/>
          <w:szCs w:val="22"/>
        </w:rPr>
        <w:t>mg, vartojant po 1</w:t>
      </w:r>
      <w:r w:rsidR="00B47CFC" w:rsidRPr="00776407">
        <w:rPr>
          <w:rFonts w:eastAsia="Calibri"/>
          <w:color w:val="000000"/>
          <w:sz w:val="22"/>
          <w:szCs w:val="22"/>
        </w:rPr>
        <w:t> </w:t>
      </w:r>
      <w:r w:rsidRPr="00776407">
        <w:rPr>
          <w:rFonts w:eastAsia="Calibri"/>
          <w:color w:val="000000"/>
          <w:sz w:val="22"/>
          <w:szCs w:val="22"/>
        </w:rPr>
        <w:t xml:space="preserve">tabletę </w:t>
      </w:r>
      <w:r w:rsidRPr="00776407">
        <w:rPr>
          <w:rFonts w:eastAsia="Calibri"/>
          <w:b/>
          <w:bCs/>
          <w:color w:val="000000"/>
          <w:sz w:val="22"/>
          <w:szCs w:val="22"/>
        </w:rPr>
        <w:t xml:space="preserve">kartą </w:t>
      </w:r>
      <w:r w:rsidRPr="00776407">
        <w:rPr>
          <w:rFonts w:eastAsia="Calibri"/>
          <w:color w:val="000000"/>
          <w:sz w:val="22"/>
          <w:szCs w:val="22"/>
        </w:rPr>
        <w:t xml:space="preserve">per parą. </w:t>
      </w:r>
    </w:p>
    <w:p w14:paraId="0A5C1217" w14:textId="77777777" w:rsidR="00C7087C" w:rsidRPr="00776407" w:rsidRDefault="00C7087C" w:rsidP="00C7087C">
      <w:pPr>
        <w:autoSpaceDE w:val="0"/>
        <w:autoSpaceDN w:val="0"/>
        <w:adjustRightInd w:val="0"/>
        <w:rPr>
          <w:rFonts w:eastAsia="Calibri"/>
          <w:color w:val="000000"/>
          <w:sz w:val="22"/>
          <w:szCs w:val="22"/>
        </w:rPr>
      </w:pPr>
    </w:p>
    <w:p w14:paraId="092EB6BA" w14:textId="77777777" w:rsidR="00C7087C" w:rsidRPr="00776407" w:rsidRDefault="00C7087C"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Jeigu gydoma HES/LEL: </w:t>
      </w:r>
    </w:p>
    <w:p w14:paraId="6024C427" w14:textId="77777777" w:rsidR="00C7087C" w:rsidRPr="00776407" w:rsidRDefault="00C7087C" w:rsidP="00C7087C">
      <w:pPr>
        <w:autoSpaceDE w:val="0"/>
        <w:autoSpaceDN w:val="0"/>
        <w:adjustRightInd w:val="0"/>
        <w:ind w:left="720"/>
        <w:rPr>
          <w:rFonts w:eastAsia="Calibri"/>
          <w:color w:val="000000"/>
          <w:sz w:val="22"/>
          <w:szCs w:val="22"/>
        </w:rPr>
      </w:pPr>
      <w:r w:rsidRPr="00776407">
        <w:rPr>
          <w:rFonts w:eastAsia="Calibri"/>
          <w:color w:val="000000"/>
          <w:sz w:val="22"/>
          <w:szCs w:val="22"/>
        </w:rPr>
        <w:t>Pradinė dozė yra 100</w:t>
      </w:r>
      <w:r w:rsidR="00B47CFC" w:rsidRPr="00776407">
        <w:rPr>
          <w:rFonts w:eastAsia="Calibri"/>
          <w:color w:val="000000"/>
          <w:sz w:val="22"/>
          <w:szCs w:val="22"/>
        </w:rPr>
        <w:t> </w:t>
      </w:r>
      <w:r w:rsidRPr="00776407">
        <w:rPr>
          <w:rFonts w:eastAsia="Calibri"/>
          <w:color w:val="000000"/>
          <w:sz w:val="22"/>
          <w:szCs w:val="22"/>
        </w:rPr>
        <w:t xml:space="preserve">mg, vartojant po </w:t>
      </w:r>
      <w:r w:rsidR="00B47CFC" w:rsidRPr="00776407">
        <w:rPr>
          <w:rFonts w:eastAsia="Calibri"/>
          <w:color w:val="000000"/>
          <w:sz w:val="22"/>
          <w:szCs w:val="22"/>
        </w:rPr>
        <w:t>vieną</w:t>
      </w:r>
      <w:r w:rsidRPr="00776407">
        <w:rPr>
          <w:rFonts w:eastAsia="Calibri"/>
          <w:color w:val="000000"/>
          <w:sz w:val="22"/>
          <w:szCs w:val="22"/>
        </w:rPr>
        <w:t xml:space="preserve"> 100 mg tabletę </w:t>
      </w:r>
      <w:r w:rsidRPr="00776407">
        <w:rPr>
          <w:rFonts w:eastAsia="Calibri"/>
          <w:b/>
          <w:bCs/>
          <w:color w:val="000000"/>
          <w:sz w:val="22"/>
          <w:szCs w:val="22"/>
        </w:rPr>
        <w:t xml:space="preserve">kartą </w:t>
      </w:r>
      <w:r w:rsidRPr="00776407">
        <w:rPr>
          <w:rFonts w:eastAsia="Calibri"/>
          <w:color w:val="000000"/>
          <w:sz w:val="22"/>
          <w:szCs w:val="22"/>
        </w:rPr>
        <w:t>per parą. Priklausomai nuo Jūsų atsako į gydymą, Jūsų gydytojas gali nuspręsti padidinti dozę iki 400</w:t>
      </w:r>
      <w:r w:rsidR="00B47CFC" w:rsidRPr="00776407">
        <w:rPr>
          <w:rFonts w:eastAsia="Calibri"/>
          <w:color w:val="000000"/>
          <w:sz w:val="22"/>
          <w:szCs w:val="22"/>
        </w:rPr>
        <w:t> </w:t>
      </w:r>
      <w:r w:rsidRPr="00776407">
        <w:rPr>
          <w:rFonts w:eastAsia="Calibri"/>
          <w:color w:val="000000"/>
          <w:sz w:val="22"/>
          <w:szCs w:val="22"/>
        </w:rPr>
        <w:t xml:space="preserve">mg, vartojant po vieną 400 mgtabletę </w:t>
      </w:r>
      <w:r w:rsidRPr="00776407">
        <w:rPr>
          <w:rFonts w:eastAsia="Calibri"/>
          <w:b/>
          <w:bCs/>
          <w:color w:val="000000"/>
          <w:sz w:val="22"/>
          <w:szCs w:val="22"/>
        </w:rPr>
        <w:t xml:space="preserve">kartą </w:t>
      </w:r>
      <w:r w:rsidRPr="00776407">
        <w:rPr>
          <w:rFonts w:eastAsia="Calibri"/>
          <w:color w:val="000000"/>
          <w:sz w:val="22"/>
          <w:szCs w:val="22"/>
        </w:rPr>
        <w:t xml:space="preserve">per parą. </w:t>
      </w:r>
    </w:p>
    <w:p w14:paraId="7D85EA0D" w14:textId="77777777" w:rsidR="00C7087C" w:rsidRPr="00776407" w:rsidRDefault="00C7087C" w:rsidP="00C7087C">
      <w:pPr>
        <w:autoSpaceDE w:val="0"/>
        <w:autoSpaceDN w:val="0"/>
        <w:adjustRightInd w:val="0"/>
        <w:ind w:left="720"/>
        <w:rPr>
          <w:rFonts w:eastAsia="Calibri"/>
          <w:color w:val="000000"/>
          <w:sz w:val="22"/>
          <w:szCs w:val="22"/>
        </w:rPr>
      </w:pPr>
    </w:p>
    <w:p w14:paraId="1570E56B" w14:textId="77777777" w:rsidR="00C7087C" w:rsidRPr="00776407" w:rsidRDefault="00C7087C" w:rsidP="00864BE6">
      <w:pPr>
        <w:numPr>
          <w:ilvl w:val="0"/>
          <w:numId w:val="1"/>
        </w:numPr>
        <w:autoSpaceDE w:val="0"/>
        <w:autoSpaceDN w:val="0"/>
        <w:adjustRightInd w:val="0"/>
        <w:ind w:hanging="720"/>
        <w:rPr>
          <w:rFonts w:eastAsia="Calibri"/>
          <w:color w:val="000000"/>
          <w:sz w:val="22"/>
          <w:szCs w:val="22"/>
        </w:rPr>
      </w:pPr>
      <w:r w:rsidRPr="00776407">
        <w:rPr>
          <w:rFonts w:eastAsia="Calibri"/>
          <w:b/>
          <w:bCs/>
          <w:color w:val="000000"/>
          <w:sz w:val="22"/>
          <w:szCs w:val="22"/>
        </w:rPr>
        <w:t xml:space="preserve">Jeigu gydoma DFSP: </w:t>
      </w:r>
    </w:p>
    <w:p w14:paraId="271DF48B" w14:textId="77777777" w:rsidR="00C7087C" w:rsidRPr="00776407" w:rsidRDefault="00C7087C" w:rsidP="00C7087C">
      <w:pPr>
        <w:autoSpaceDE w:val="0"/>
        <w:autoSpaceDN w:val="0"/>
        <w:adjustRightInd w:val="0"/>
        <w:ind w:firstLine="720"/>
        <w:rPr>
          <w:rFonts w:eastAsia="Calibri"/>
          <w:color w:val="000000"/>
          <w:sz w:val="22"/>
          <w:szCs w:val="22"/>
        </w:rPr>
      </w:pPr>
      <w:r w:rsidRPr="00776407">
        <w:rPr>
          <w:rFonts w:eastAsia="Calibri"/>
          <w:color w:val="000000"/>
          <w:sz w:val="22"/>
          <w:szCs w:val="22"/>
        </w:rPr>
        <w:t>Dozė yra 800</w:t>
      </w:r>
      <w:r w:rsidR="00B47CFC" w:rsidRPr="00776407">
        <w:rPr>
          <w:rFonts w:eastAsia="Calibri"/>
          <w:color w:val="000000"/>
          <w:sz w:val="22"/>
          <w:szCs w:val="22"/>
        </w:rPr>
        <w:t> </w:t>
      </w:r>
      <w:r w:rsidRPr="00776407">
        <w:rPr>
          <w:rFonts w:eastAsia="Calibri"/>
          <w:color w:val="000000"/>
          <w:sz w:val="22"/>
          <w:szCs w:val="22"/>
        </w:rPr>
        <w:t>mg per parą (2</w:t>
      </w:r>
      <w:r w:rsidR="00B47CFC" w:rsidRPr="00776407">
        <w:rPr>
          <w:rFonts w:eastAsia="Calibri"/>
          <w:color w:val="000000"/>
          <w:sz w:val="22"/>
          <w:szCs w:val="22"/>
        </w:rPr>
        <w:t> </w:t>
      </w:r>
      <w:r w:rsidRPr="00776407">
        <w:rPr>
          <w:rFonts w:eastAsia="Calibri"/>
          <w:color w:val="000000"/>
          <w:sz w:val="22"/>
          <w:szCs w:val="22"/>
        </w:rPr>
        <w:t>tabletės), vartojant po 1</w:t>
      </w:r>
      <w:r w:rsidR="00B47CFC" w:rsidRPr="00776407">
        <w:rPr>
          <w:rFonts w:eastAsia="Calibri"/>
          <w:color w:val="000000"/>
          <w:sz w:val="22"/>
          <w:szCs w:val="22"/>
        </w:rPr>
        <w:t> </w:t>
      </w:r>
      <w:r w:rsidRPr="00776407">
        <w:rPr>
          <w:rFonts w:eastAsia="Calibri"/>
          <w:color w:val="000000"/>
          <w:sz w:val="22"/>
          <w:szCs w:val="22"/>
        </w:rPr>
        <w:t>tabletę ryte ir 1</w:t>
      </w:r>
      <w:r w:rsidR="00B47CFC" w:rsidRPr="00776407">
        <w:rPr>
          <w:rFonts w:eastAsia="Calibri"/>
          <w:color w:val="000000"/>
          <w:sz w:val="22"/>
          <w:szCs w:val="22"/>
        </w:rPr>
        <w:t> </w:t>
      </w:r>
      <w:r w:rsidRPr="00776407">
        <w:rPr>
          <w:rFonts w:eastAsia="Calibri"/>
          <w:color w:val="000000"/>
          <w:sz w:val="22"/>
          <w:szCs w:val="22"/>
        </w:rPr>
        <w:t>tabletę vakare.</w:t>
      </w:r>
    </w:p>
    <w:p w14:paraId="433B3497" w14:textId="77777777" w:rsidR="00C6414B" w:rsidRPr="00776407" w:rsidRDefault="00C6414B" w:rsidP="00C6414B">
      <w:pPr>
        <w:autoSpaceDE w:val="0"/>
        <w:autoSpaceDN w:val="0"/>
        <w:adjustRightInd w:val="0"/>
        <w:rPr>
          <w:rFonts w:eastAsia="Calibri"/>
          <w:sz w:val="22"/>
          <w:szCs w:val="22"/>
        </w:rPr>
      </w:pPr>
    </w:p>
    <w:p w14:paraId="515D5241"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Vartojimas vaikams ir paaugliams </w:t>
      </w:r>
    </w:p>
    <w:p w14:paraId="042979CF" w14:textId="77777777" w:rsidR="0031536A" w:rsidRPr="00776407" w:rsidRDefault="00C6414B" w:rsidP="00C6414B">
      <w:pPr>
        <w:autoSpaceDE w:val="0"/>
        <w:autoSpaceDN w:val="0"/>
        <w:adjustRightInd w:val="0"/>
        <w:rPr>
          <w:rFonts w:eastAsia="Calibri"/>
          <w:sz w:val="22"/>
          <w:szCs w:val="22"/>
        </w:rPr>
      </w:pPr>
      <w:r w:rsidRPr="00776407">
        <w:rPr>
          <w:rFonts w:eastAsia="Calibri"/>
          <w:sz w:val="22"/>
          <w:szCs w:val="22"/>
        </w:rPr>
        <w:t>Gydytojas nurodys, kiek Imatinib Actavis kapsulių reikia duoti gerti vaikui. Imatinib Actavis dozė priklausys nuo vaiko būklės, kūno masės ir ūgio.</w:t>
      </w:r>
    </w:p>
    <w:p w14:paraId="4632A6C8" w14:textId="77777777" w:rsidR="00A148B1" w:rsidRPr="00776407" w:rsidRDefault="00A148B1" w:rsidP="00A148B1">
      <w:pPr>
        <w:autoSpaceDE w:val="0"/>
        <w:autoSpaceDN w:val="0"/>
        <w:adjustRightInd w:val="0"/>
        <w:rPr>
          <w:rFonts w:eastAsia="Calibri"/>
          <w:sz w:val="22"/>
          <w:szCs w:val="22"/>
        </w:rPr>
      </w:pPr>
      <w:r w:rsidRPr="00776407">
        <w:rPr>
          <w:rFonts w:eastAsia="Calibri"/>
          <w:sz w:val="22"/>
          <w:szCs w:val="22"/>
        </w:rPr>
        <w:t xml:space="preserve">Bendroji nuo LML gydomų vaikų paros dozė neturi būti didesnė kaip 800 mg </w:t>
      </w:r>
      <w:r w:rsidR="00B34E72" w:rsidRPr="00776407">
        <w:rPr>
          <w:rFonts w:eastAsia="Calibri"/>
          <w:sz w:val="22"/>
          <w:szCs w:val="22"/>
        </w:rPr>
        <w:t>ir 600 mg, sergančių Ph+ ŪLL</w:t>
      </w:r>
      <w:r w:rsidRPr="00776407">
        <w:rPr>
          <w:rFonts w:eastAsia="Calibri"/>
          <w:sz w:val="22"/>
          <w:szCs w:val="22"/>
        </w:rPr>
        <w:t xml:space="preserve">. Vaistą galima vartoti vieną kartą per parą arba paros dozę padalyti į dvi dalis (pusę dozės vartoti ryte ir kitą pusę – vakare). </w:t>
      </w:r>
    </w:p>
    <w:p w14:paraId="2035236B" w14:textId="77777777" w:rsidR="00C6414B" w:rsidRPr="00776407" w:rsidRDefault="00C6414B" w:rsidP="00C6414B">
      <w:pPr>
        <w:autoSpaceDE w:val="0"/>
        <w:autoSpaceDN w:val="0"/>
        <w:adjustRightInd w:val="0"/>
        <w:rPr>
          <w:rFonts w:eastAsia="Calibri"/>
          <w:sz w:val="22"/>
          <w:szCs w:val="22"/>
        </w:rPr>
      </w:pPr>
    </w:p>
    <w:p w14:paraId="319C94C4"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Kada ir kaip vartoti Imatinib Actavis </w:t>
      </w:r>
    </w:p>
    <w:p w14:paraId="5F03F553" w14:textId="77777777" w:rsidR="00C6414B" w:rsidRPr="00776407" w:rsidRDefault="00C6414B" w:rsidP="00C6414B">
      <w:pPr>
        <w:autoSpaceDE w:val="0"/>
        <w:autoSpaceDN w:val="0"/>
        <w:adjustRightInd w:val="0"/>
        <w:spacing w:after="21"/>
        <w:ind w:left="720" w:hanging="720"/>
        <w:rPr>
          <w:rFonts w:eastAsia="Calibri"/>
          <w:sz w:val="22"/>
          <w:szCs w:val="22"/>
        </w:rPr>
      </w:pPr>
      <w:r w:rsidRPr="00776407">
        <w:rPr>
          <w:rFonts w:eastAsia="Calibri"/>
          <w:sz w:val="22"/>
          <w:szCs w:val="22"/>
        </w:rPr>
        <w:t>-</w:t>
      </w:r>
      <w:r w:rsidRPr="00776407">
        <w:rPr>
          <w:rFonts w:eastAsia="Calibri"/>
          <w:sz w:val="22"/>
          <w:szCs w:val="22"/>
        </w:rPr>
        <w:tab/>
      </w:r>
      <w:r w:rsidRPr="00776407">
        <w:rPr>
          <w:rFonts w:eastAsia="Calibri"/>
          <w:b/>
          <w:bCs/>
          <w:sz w:val="22"/>
          <w:szCs w:val="22"/>
        </w:rPr>
        <w:t xml:space="preserve">Imatinib Actavis gerkite valgio metu. </w:t>
      </w:r>
      <w:r w:rsidRPr="00776407">
        <w:rPr>
          <w:rFonts w:eastAsia="Calibri"/>
          <w:sz w:val="22"/>
          <w:szCs w:val="22"/>
        </w:rPr>
        <w:t xml:space="preserve">Tai padės išvengti skrandžio sutrikimų Imatinib Actavis vartojimo metu. </w:t>
      </w:r>
    </w:p>
    <w:p w14:paraId="35E74DFD" w14:textId="77777777" w:rsidR="00C6414B" w:rsidRPr="00776407" w:rsidRDefault="00C6414B" w:rsidP="00C6414B">
      <w:pPr>
        <w:autoSpaceDE w:val="0"/>
        <w:autoSpaceDN w:val="0"/>
        <w:adjustRightInd w:val="0"/>
        <w:spacing w:after="21"/>
        <w:ind w:left="720" w:hanging="720"/>
        <w:rPr>
          <w:rFonts w:eastAsia="Calibri"/>
          <w:sz w:val="22"/>
          <w:szCs w:val="22"/>
        </w:rPr>
      </w:pPr>
      <w:r w:rsidRPr="00776407">
        <w:rPr>
          <w:rFonts w:eastAsia="Calibri"/>
          <w:sz w:val="22"/>
          <w:szCs w:val="22"/>
        </w:rPr>
        <w:t>-</w:t>
      </w:r>
      <w:r w:rsidRPr="00776407">
        <w:rPr>
          <w:rFonts w:eastAsia="Calibri"/>
          <w:sz w:val="22"/>
          <w:szCs w:val="22"/>
        </w:rPr>
        <w:tab/>
      </w:r>
      <w:r w:rsidRPr="00776407">
        <w:rPr>
          <w:rFonts w:eastAsia="Calibri"/>
          <w:b/>
          <w:bCs/>
          <w:sz w:val="22"/>
          <w:szCs w:val="22"/>
        </w:rPr>
        <w:t xml:space="preserve">Nurykite visą tabletę užgerdami didele stikline vandens. </w:t>
      </w:r>
    </w:p>
    <w:p w14:paraId="05A7BEC7"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Vagelė nėra skirta tabletei padalinti į lygias dozes.</w:t>
      </w:r>
    </w:p>
    <w:p w14:paraId="0F4E7FEF" w14:textId="77777777" w:rsidR="00C6414B" w:rsidRPr="00776407" w:rsidRDefault="00C6414B" w:rsidP="00C6414B">
      <w:pPr>
        <w:autoSpaceDE w:val="0"/>
        <w:autoSpaceDN w:val="0"/>
        <w:adjustRightInd w:val="0"/>
        <w:rPr>
          <w:rFonts w:eastAsia="Calibri"/>
          <w:sz w:val="22"/>
          <w:szCs w:val="22"/>
        </w:rPr>
      </w:pPr>
    </w:p>
    <w:p w14:paraId="518EAAAC" w14:textId="77777777" w:rsidR="00C6414B" w:rsidRPr="00776407" w:rsidRDefault="00C6414B" w:rsidP="00C6414B">
      <w:pPr>
        <w:rPr>
          <w:sz w:val="22"/>
          <w:szCs w:val="22"/>
        </w:rPr>
      </w:pPr>
      <w:r w:rsidRPr="00776407">
        <w:rPr>
          <w:sz w:val="22"/>
          <w:szCs w:val="22"/>
        </w:rPr>
        <w:t xml:space="preserve">Jei negalite nuryti tablečių, jas galima ištirpinti </w:t>
      </w:r>
      <w:r w:rsidR="00BC75A7" w:rsidRPr="00776407">
        <w:rPr>
          <w:sz w:val="22"/>
          <w:szCs w:val="22"/>
        </w:rPr>
        <w:t xml:space="preserve">gazuoto arba </w:t>
      </w:r>
      <w:r w:rsidRPr="00776407">
        <w:rPr>
          <w:sz w:val="22"/>
          <w:szCs w:val="22"/>
        </w:rPr>
        <w:t xml:space="preserve">negazuoto vandens ar obuolių sulčių stiklinėje. </w:t>
      </w:r>
    </w:p>
    <w:p w14:paraId="693660D3" w14:textId="77777777" w:rsidR="00C6414B" w:rsidRPr="00776407" w:rsidRDefault="00A25165" w:rsidP="00864BE6">
      <w:pPr>
        <w:pStyle w:val="Listenabsatz"/>
        <w:numPr>
          <w:ilvl w:val="0"/>
          <w:numId w:val="1"/>
        </w:numPr>
        <w:rPr>
          <w:sz w:val="22"/>
          <w:szCs w:val="22"/>
        </w:rPr>
      </w:pPr>
      <w:r w:rsidRPr="00776407">
        <w:rPr>
          <w:sz w:val="22"/>
          <w:szCs w:val="22"/>
        </w:rPr>
        <w:t>Panaudokite apie 200 ml kiekvienai 4</w:t>
      </w:r>
      <w:r w:rsidR="00C6414B" w:rsidRPr="00776407">
        <w:rPr>
          <w:sz w:val="22"/>
          <w:szCs w:val="22"/>
        </w:rPr>
        <w:t>00 mg tabletei ištirpinti</w:t>
      </w:r>
    </w:p>
    <w:p w14:paraId="662D5E69" w14:textId="77777777" w:rsidR="00C6414B" w:rsidRPr="00776407" w:rsidRDefault="00C6414B" w:rsidP="00864BE6">
      <w:pPr>
        <w:pStyle w:val="Listenabsatz"/>
        <w:numPr>
          <w:ilvl w:val="0"/>
          <w:numId w:val="1"/>
        </w:numPr>
        <w:rPr>
          <w:sz w:val="22"/>
          <w:szCs w:val="22"/>
        </w:rPr>
      </w:pPr>
      <w:r w:rsidRPr="00776407">
        <w:rPr>
          <w:sz w:val="22"/>
          <w:szCs w:val="22"/>
        </w:rPr>
        <w:t>Maišykite šaukštu, kol tabletės visiškai ištirps.</w:t>
      </w:r>
    </w:p>
    <w:p w14:paraId="758BC13A" w14:textId="77777777" w:rsidR="00C6414B" w:rsidRPr="00776407" w:rsidRDefault="00C6414B" w:rsidP="00864BE6">
      <w:pPr>
        <w:pStyle w:val="Listenabsatz"/>
        <w:numPr>
          <w:ilvl w:val="0"/>
          <w:numId w:val="1"/>
        </w:numPr>
        <w:rPr>
          <w:sz w:val="22"/>
          <w:szCs w:val="22"/>
        </w:rPr>
      </w:pPr>
      <w:r w:rsidRPr="00776407">
        <w:rPr>
          <w:sz w:val="22"/>
          <w:szCs w:val="22"/>
        </w:rPr>
        <w:t>Kai tabletės ištirpsta, nedelsiant išgerkite visą stiklinės turinį. Stiklinės dugne gali likti ištirpusios tabletės pėdsakų.</w:t>
      </w:r>
    </w:p>
    <w:p w14:paraId="0D80BB2B" w14:textId="77777777" w:rsidR="00C6414B" w:rsidRPr="00776407" w:rsidRDefault="00C6414B" w:rsidP="00C6414B">
      <w:pPr>
        <w:autoSpaceDE w:val="0"/>
        <w:autoSpaceDN w:val="0"/>
        <w:adjustRightInd w:val="0"/>
        <w:rPr>
          <w:rFonts w:eastAsia="Calibri"/>
          <w:sz w:val="22"/>
          <w:szCs w:val="22"/>
        </w:rPr>
      </w:pPr>
    </w:p>
    <w:p w14:paraId="1E992615"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Kaip ilgai vartoti Imatinib Actavis </w:t>
      </w:r>
    </w:p>
    <w:p w14:paraId="7456B5B6"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Imatinib Actavis vartokite kasdien, tiek laiko, kiek nurodė Jūsų gydytojas. </w:t>
      </w:r>
    </w:p>
    <w:p w14:paraId="3D860F43" w14:textId="77777777" w:rsidR="00C6414B" w:rsidRPr="00776407" w:rsidRDefault="00C6414B" w:rsidP="00C6414B">
      <w:pPr>
        <w:autoSpaceDE w:val="0"/>
        <w:autoSpaceDN w:val="0"/>
        <w:adjustRightInd w:val="0"/>
        <w:rPr>
          <w:rFonts w:eastAsia="Calibri"/>
          <w:sz w:val="22"/>
          <w:szCs w:val="22"/>
        </w:rPr>
      </w:pPr>
    </w:p>
    <w:p w14:paraId="5B0458D3"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Ką daryti pavartojus per didelę Imatinib Actavis dozę? </w:t>
      </w:r>
    </w:p>
    <w:p w14:paraId="50D08E89"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Jei atsitiktinai išgėrėte per daug kapsulių, </w:t>
      </w:r>
      <w:r w:rsidRPr="00776407">
        <w:rPr>
          <w:rFonts w:eastAsia="Calibri"/>
          <w:b/>
          <w:bCs/>
          <w:sz w:val="22"/>
          <w:szCs w:val="22"/>
        </w:rPr>
        <w:t xml:space="preserve">iš karto </w:t>
      </w:r>
      <w:r w:rsidRPr="00776407">
        <w:rPr>
          <w:rFonts w:eastAsia="Calibri"/>
          <w:sz w:val="22"/>
          <w:szCs w:val="22"/>
        </w:rPr>
        <w:t xml:space="preserve">kreipkitės į gydytoją. Jums gali prireikti medicininės pagalbos. Pasiimkite su savimi vaisto pakuotę. </w:t>
      </w:r>
    </w:p>
    <w:p w14:paraId="6BF90F95" w14:textId="77777777" w:rsidR="00C6414B" w:rsidRPr="00776407" w:rsidRDefault="00C6414B" w:rsidP="00C6414B">
      <w:pPr>
        <w:autoSpaceDE w:val="0"/>
        <w:autoSpaceDN w:val="0"/>
        <w:adjustRightInd w:val="0"/>
        <w:rPr>
          <w:rFonts w:eastAsia="Calibri"/>
          <w:b/>
          <w:bCs/>
          <w:sz w:val="22"/>
          <w:szCs w:val="22"/>
        </w:rPr>
      </w:pPr>
    </w:p>
    <w:p w14:paraId="4CD7C3F6"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Pamiršus pavartoti Imatinib Actavis </w:t>
      </w:r>
    </w:p>
    <w:p w14:paraId="0C857F86" w14:textId="77777777" w:rsidR="00C6414B" w:rsidRPr="00776407" w:rsidRDefault="00C6414B" w:rsidP="00C6414B">
      <w:pPr>
        <w:autoSpaceDE w:val="0"/>
        <w:autoSpaceDN w:val="0"/>
        <w:adjustRightInd w:val="0"/>
        <w:spacing w:after="23"/>
        <w:ind w:left="720" w:hanging="720"/>
        <w:rPr>
          <w:rFonts w:eastAsia="Calibri"/>
          <w:sz w:val="22"/>
          <w:szCs w:val="22"/>
        </w:rPr>
      </w:pPr>
      <w:r w:rsidRPr="00776407">
        <w:rPr>
          <w:rFonts w:eastAsia="Calibri"/>
          <w:sz w:val="22"/>
          <w:szCs w:val="22"/>
        </w:rPr>
        <w:t>-</w:t>
      </w:r>
      <w:r w:rsidRPr="00776407">
        <w:rPr>
          <w:rFonts w:eastAsia="Calibri"/>
          <w:sz w:val="22"/>
          <w:szCs w:val="22"/>
        </w:rPr>
        <w:tab/>
        <w:t xml:space="preserve">Pamiršus pavartoti vaisto dozę, ją išgerkite kai tik prisiminėte. Tačiau jei jau beveik laikas gerti kitą dozę, praleistos dozės nevartokite. </w:t>
      </w:r>
    </w:p>
    <w:p w14:paraId="7879F245" w14:textId="77777777" w:rsidR="00C6414B" w:rsidRPr="00776407" w:rsidRDefault="00C6414B" w:rsidP="00C6414B">
      <w:pPr>
        <w:autoSpaceDE w:val="0"/>
        <w:autoSpaceDN w:val="0"/>
        <w:adjustRightInd w:val="0"/>
        <w:spacing w:after="23"/>
        <w:rPr>
          <w:rFonts w:eastAsia="Calibri"/>
          <w:sz w:val="22"/>
          <w:szCs w:val="22"/>
        </w:rPr>
      </w:pPr>
      <w:r w:rsidRPr="00776407">
        <w:rPr>
          <w:rFonts w:eastAsia="Calibri"/>
          <w:sz w:val="22"/>
          <w:szCs w:val="22"/>
        </w:rPr>
        <w:t>-</w:t>
      </w:r>
      <w:r w:rsidRPr="00776407">
        <w:rPr>
          <w:rFonts w:eastAsia="Calibri"/>
          <w:sz w:val="22"/>
          <w:szCs w:val="22"/>
        </w:rPr>
        <w:tab/>
        <w:t xml:space="preserve">Vėliau tęskite vaisto vartojimą įprastu režimu. </w:t>
      </w:r>
    </w:p>
    <w:p w14:paraId="795042EA"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w:t>
      </w:r>
      <w:r w:rsidRPr="00776407">
        <w:rPr>
          <w:rFonts w:eastAsia="Calibri"/>
          <w:sz w:val="22"/>
          <w:szCs w:val="22"/>
        </w:rPr>
        <w:tab/>
        <w:t xml:space="preserve">Negalima vartoti dvigubos dozės norint kompensuoti praleistą dozę. </w:t>
      </w:r>
    </w:p>
    <w:p w14:paraId="172402F9" w14:textId="77777777" w:rsidR="00C6414B" w:rsidRPr="00776407" w:rsidRDefault="00C6414B" w:rsidP="00C6414B">
      <w:pPr>
        <w:autoSpaceDE w:val="0"/>
        <w:autoSpaceDN w:val="0"/>
        <w:adjustRightInd w:val="0"/>
        <w:rPr>
          <w:rFonts w:eastAsia="Calibri"/>
          <w:sz w:val="22"/>
          <w:szCs w:val="22"/>
        </w:rPr>
      </w:pPr>
    </w:p>
    <w:p w14:paraId="5B92B697"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Jeigu kiltų daugiau klausimų dėl šio vaisto vartojimo, kreipkitės į gydytoją, vaistininką arba slaugytoją. </w:t>
      </w:r>
    </w:p>
    <w:p w14:paraId="2673982C" w14:textId="77777777" w:rsidR="00C6414B" w:rsidRPr="00776407" w:rsidRDefault="00C6414B" w:rsidP="00C6414B">
      <w:pPr>
        <w:autoSpaceDE w:val="0"/>
        <w:autoSpaceDN w:val="0"/>
        <w:adjustRightInd w:val="0"/>
        <w:rPr>
          <w:rFonts w:eastAsia="Calibri"/>
          <w:sz w:val="22"/>
          <w:szCs w:val="22"/>
        </w:rPr>
      </w:pPr>
    </w:p>
    <w:p w14:paraId="3BA1973E" w14:textId="77777777" w:rsidR="00C6414B" w:rsidRPr="00776407" w:rsidRDefault="00C6414B" w:rsidP="00C6414B">
      <w:pPr>
        <w:autoSpaceDE w:val="0"/>
        <w:autoSpaceDN w:val="0"/>
        <w:adjustRightInd w:val="0"/>
        <w:rPr>
          <w:rFonts w:eastAsia="Calibri"/>
          <w:sz w:val="22"/>
          <w:szCs w:val="22"/>
        </w:rPr>
      </w:pPr>
    </w:p>
    <w:p w14:paraId="4133F566" w14:textId="77777777" w:rsidR="00C6414B" w:rsidRPr="00776407" w:rsidRDefault="00C6414B" w:rsidP="00864BE6">
      <w:pPr>
        <w:pStyle w:val="Listenabsatz"/>
        <w:numPr>
          <w:ilvl w:val="0"/>
          <w:numId w:val="12"/>
        </w:numPr>
        <w:autoSpaceDE w:val="0"/>
        <w:autoSpaceDN w:val="0"/>
        <w:adjustRightInd w:val="0"/>
        <w:ind w:left="567" w:hanging="567"/>
        <w:rPr>
          <w:rFonts w:eastAsia="Calibri"/>
          <w:b/>
          <w:sz w:val="22"/>
          <w:szCs w:val="22"/>
        </w:rPr>
      </w:pPr>
      <w:r w:rsidRPr="00776407">
        <w:rPr>
          <w:rFonts w:eastAsia="Calibri"/>
          <w:b/>
          <w:sz w:val="22"/>
          <w:szCs w:val="22"/>
        </w:rPr>
        <w:t>Galimas šalutinis poveikis</w:t>
      </w:r>
    </w:p>
    <w:p w14:paraId="015A15A9" w14:textId="77777777" w:rsidR="00C6414B" w:rsidRPr="00776407" w:rsidRDefault="00C6414B" w:rsidP="00C6414B">
      <w:pPr>
        <w:autoSpaceDE w:val="0"/>
        <w:autoSpaceDN w:val="0"/>
        <w:adjustRightInd w:val="0"/>
        <w:rPr>
          <w:rFonts w:eastAsia="Calibri"/>
          <w:sz w:val="22"/>
          <w:szCs w:val="22"/>
        </w:rPr>
      </w:pPr>
    </w:p>
    <w:p w14:paraId="77FDB26F"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Šis vaistas, kaip ir visi kiti, gali sukelti šalutinį poveikį, nors jis pasireiškia ne visiems žmonėms. Paprastai jis būna nesunkus ar vidutinio sunkumo. </w:t>
      </w:r>
    </w:p>
    <w:p w14:paraId="5AB33573" w14:textId="77777777" w:rsidR="00C6414B" w:rsidRPr="00776407" w:rsidRDefault="00C6414B" w:rsidP="00C6414B">
      <w:pPr>
        <w:autoSpaceDE w:val="0"/>
        <w:autoSpaceDN w:val="0"/>
        <w:adjustRightInd w:val="0"/>
        <w:rPr>
          <w:rFonts w:eastAsia="Calibri"/>
          <w:sz w:val="22"/>
          <w:szCs w:val="22"/>
        </w:rPr>
      </w:pPr>
    </w:p>
    <w:p w14:paraId="28165C2A"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Kai kurie šalutiniai </w:t>
      </w:r>
      <w:r w:rsidR="005D54ED" w:rsidRPr="00776407">
        <w:rPr>
          <w:rFonts w:eastAsia="Calibri"/>
          <w:b/>
          <w:bCs/>
          <w:sz w:val="22"/>
          <w:szCs w:val="22"/>
        </w:rPr>
        <w:t>poveikiai</w:t>
      </w:r>
      <w:r w:rsidRPr="00776407">
        <w:rPr>
          <w:rFonts w:eastAsia="Calibri"/>
          <w:b/>
          <w:bCs/>
          <w:sz w:val="22"/>
          <w:szCs w:val="22"/>
        </w:rPr>
        <w:t xml:space="preserve"> gali būti sunkūs. Nedelsiant pasakykite gydytojui, jeigu Jums pasireikštų kuris nors iš toliau išvardytų </w:t>
      </w:r>
      <w:r w:rsidR="005D54ED" w:rsidRPr="00776407">
        <w:rPr>
          <w:rFonts w:eastAsia="Calibri"/>
          <w:b/>
          <w:bCs/>
          <w:sz w:val="22"/>
          <w:szCs w:val="22"/>
        </w:rPr>
        <w:t>poveikių</w:t>
      </w:r>
      <w:r w:rsidRPr="00776407">
        <w:rPr>
          <w:rFonts w:eastAsia="Calibri"/>
          <w:b/>
          <w:bCs/>
          <w:sz w:val="22"/>
          <w:szCs w:val="22"/>
        </w:rPr>
        <w:t xml:space="preserve">. </w:t>
      </w:r>
    </w:p>
    <w:p w14:paraId="7CDA737F" w14:textId="77777777" w:rsidR="00C6414B" w:rsidRPr="00776407" w:rsidRDefault="00C6414B" w:rsidP="00C6414B">
      <w:pPr>
        <w:autoSpaceDE w:val="0"/>
        <w:autoSpaceDN w:val="0"/>
        <w:adjustRightInd w:val="0"/>
        <w:rPr>
          <w:rFonts w:eastAsia="Calibri"/>
          <w:b/>
          <w:bCs/>
          <w:sz w:val="22"/>
          <w:szCs w:val="22"/>
        </w:rPr>
      </w:pPr>
    </w:p>
    <w:p w14:paraId="638DD0D6" w14:textId="77777777" w:rsidR="00C6414B" w:rsidRPr="00776407" w:rsidRDefault="00A148B1" w:rsidP="00C6414B">
      <w:pPr>
        <w:autoSpaceDE w:val="0"/>
        <w:autoSpaceDN w:val="0"/>
        <w:adjustRightInd w:val="0"/>
        <w:rPr>
          <w:rFonts w:eastAsia="Calibri"/>
          <w:sz w:val="22"/>
          <w:szCs w:val="22"/>
        </w:rPr>
      </w:pPr>
      <w:r w:rsidRPr="00776407">
        <w:rPr>
          <w:rFonts w:eastAsia="Calibri"/>
          <w:b/>
          <w:bCs/>
          <w:sz w:val="22"/>
          <w:szCs w:val="22"/>
        </w:rPr>
        <w:t xml:space="preserve">Labai dažni </w:t>
      </w:r>
      <w:r w:rsidRPr="00776407">
        <w:rPr>
          <w:rFonts w:eastAsia="Calibri"/>
          <w:bCs/>
          <w:sz w:val="22"/>
          <w:szCs w:val="22"/>
        </w:rPr>
        <w:t>(gali pasireikšti daugiau nei 1 žmogui iš 10)</w:t>
      </w:r>
      <w:r w:rsidRPr="00776407">
        <w:rPr>
          <w:rFonts w:eastAsia="Calibri"/>
          <w:b/>
          <w:bCs/>
          <w:sz w:val="22"/>
          <w:szCs w:val="22"/>
        </w:rPr>
        <w:t xml:space="preserve"> ir dažni </w:t>
      </w:r>
      <w:r w:rsidRPr="00776407">
        <w:rPr>
          <w:rFonts w:eastAsia="Calibri"/>
          <w:bCs/>
          <w:sz w:val="22"/>
          <w:szCs w:val="22"/>
        </w:rPr>
        <w:t xml:space="preserve"> (gali pasireikšti iki 1 žmogaus iš 10)</w:t>
      </w:r>
      <w:r w:rsidRPr="00776407">
        <w:rPr>
          <w:rFonts w:eastAsia="Calibri"/>
          <w:b/>
          <w:bCs/>
          <w:sz w:val="22"/>
          <w:szCs w:val="22"/>
        </w:rPr>
        <w:t>:</w:t>
      </w:r>
    </w:p>
    <w:p w14:paraId="52918BC4" w14:textId="7A1F65A3"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Greitai padidėjęs kūno svoris. Vartojant Imatinib Actavis organizme gali pradėti kauptis skystis (t.</w:t>
      </w:r>
      <w:r w:rsidR="001F2F5E" w:rsidRPr="00776407">
        <w:rPr>
          <w:rFonts w:eastAsia="Calibri"/>
          <w:sz w:val="22"/>
          <w:szCs w:val="22"/>
        </w:rPr>
        <w:t> </w:t>
      </w:r>
      <w:r w:rsidRPr="00776407">
        <w:rPr>
          <w:rFonts w:eastAsia="Calibri"/>
          <w:sz w:val="22"/>
          <w:szCs w:val="22"/>
        </w:rPr>
        <w:t xml:space="preserve">y. pasireikšti sunkus skysčių susilaikymas). </w:t>
      </w:r>
    </w:p>
    <w:p w14:paraId="34ABB8DE"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Infekcijos požymiai – pavyzdžiui, karščiavimas, stiprus šaltkrėtis, gerklės skausmas ar burnos išopėjimas. Imatinib Actavis gali sumažinti baltųjų kraujo kūnelių skaičių, todėl galite greičiau užsikrėsti infekcinėmis ligomis. </w:t>
      </w:r>
    </w:p>
    <w:p w14:paraId="3ADFEE3F" w14:textId="77777777" w:rsidR="00C6414B" w:rsidRPr="00776407" w:rsidRDefault="00C6414B" w:rsidP="00864BE6">
      <w:pPr>
        <w:pStyle w:val="Listenabsatz"/>
        <w:numPr>
          <w:ilvl w:val="0"/>
          <w:numId w:val="1"/>
        </w:numPr>
        <w:autoSpaceDE w:val="0"/>
        <w:autoSpaceDN w:val="0"/>
        <w:adjustRightInd w:val="0"/>
        <w:ind w:left="567" w:hanging="567"/>
        <w:rPr>
          <w:rFonts w:eastAsia="Calibri"/>
          <w:sz w:val="22"/>
          <w:szCs w:val="22"/>
        </w:rPr>
      </w:pPr>
      <w:r w:rsidRPr="00776407">
        <w:rPr>
          <w:rFonts w:eastAsia="Calibri"/>
          <w:sz w:val="22"/>
          <w:szCs w:val="22"/>
        </w:rPr>
        <w:t xml:space="preserve">Netikėtas kraujavimas ar mėlynių susidarymas (be jokio sužalojimo). </w:t>
      </w:r>
    </w:p>
    <w:p w14:paraId="3BC3B94F" w14:textId="77777777" w:rsidR="00C6414B" w:rsidRPr="00776407" w:rsidRDefault="00C6414B" w:rsidP="00C6414B">
      <w:pPr>
        <w:autoSpaceDE w:val="0"/>
        <w:autoSpaceDN w:val="0"/>
        <w:adjustRightInd w:val="0"/>
        <w:rPr>
          <w:rFonts w:eastAsia="Calibri"/>
          <w:sz w:val="22"/>
          <w:szCs w:val="22"/>
        </w:rPr>
      </w:pPr>
    </w:p>
    <w:p w14:paraId="5EA8DE0B" w14:textId="77777777" w:rsidR="00A148B1" w:rsidRPr="00776407" w:rsidRDefault="00A148B1" w:rsidP="00A148B1">
      <w:pPr>
        <w:autoSpaceDE w:val="0"/>
        <w:autoSpaceDN w:val="0"/>
        <w:adjustRightInd w:val="0"/>
        <w:rPr>
          <w:rFonts w:eastAsia="Calibri"/>
          <w:sz w:val="22"/>
          <w:szCs w:val="22"/>
        </w:rPr>
      </w:pPr>
      <w:r w:rsidRPr="00776407">
        <w:rPr>
          <w:rFonts w:eastAsia="Calibri"/>
          <w:b/>
          <w:bCs/>
          <w:sz w:val="22"/>
          <w:szCs w:val="22"/>
        </w:rPr>
        <w:t xml:space="preserve">Nedažni </w:t>
      </w:r>
      <w:r w:rsidRPr="00776407">
        <w:rPr>
          <w:rFonts w:eastAsia="Calibri"/>
          <w:bCs/>
          <w:sz w:val="22"/>
          <w:szCs w:val="22"/>
        </w:rPr>
        <w:t>(gali pasireikšti iki 1 žmogaus iš 100)</w:t>
      </w:r>
      <w:r w:rsidRPr="00776407">
        <w:rPr>
          <w:rFonts w:eastAsia="Calibri"/>
          <w:b/>
          <w:bCs/>
          <w:sz w:val="22"/>
          <w:szCs w:val="22"/>
        </w:rPr>
        <w:t xml:space="preserve"> ir reti </w:t>
      </w:r>
      <w:r w:rsidRPr="00776407">
        <w:rPr>
          <w:rFonts w:eastAsia="Calibri"/>
          <w:bCs/>
          <w:sz w:val="22"/>
          <w:szCs w:val="22"/>
        </w:rPr>
        <w:t>(gali pasireikšti iki 1 žmogaus iš 1 000):</w:t>
      </w:r>
      <w:r w:rsidRPr="00776407">
        <w:rPr>
          <w:rFonts w:eastAsia="Calibri"/>
          <w:b/>
          <w:bCs/>
          <w:sz w:val="22"/>
          <w:szCs w:val="22"/>
        </w:rPr>
        <w:t xml:space="preserve"> </w:t>
      </w:r>
    </w:p>
    <w:p w14:paraId="0F5B3DBE"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Skausmas krūtinėje, nereguliarus širdies ritmas (širdies sutrikimų požymiai). </w:t>
      </w:r>
    </w:p>
    <w:p w14:paraId="3A5C4B29"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Kosulys, pasunkėjęs kvėpavimas arba skausmingas kvėpavimas (plaučių sutrikimų požymiai). </w:t>
      </w:r>
    </w:p>
    <w:p w14:paraId="01BC3306"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Apsvaigimas, galvos svaigimas ar alpimas (žemo kraujospūdžio požymiai). </w:t>
      </w:r>
    </w:p>
    <w:p w14:paraId="2BFE1977"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Šleikštulys (pykinimas), taip pat apetito trūkumas, </w:t>
      </w:r>
      <w:r w:rsidR="00B47CFC" w:rsidRPr="00776407">
        <w:rPr>
          <w:rFonts w:eastAsia="Calibri"/>
          <w:sz w:val="22"/>
          <w:szCs w:val="22"/>
        </w:rPr>
        <w:t>tamsus šlapimas</w:t>
      </w:r>
      <w:r w:rsidRPr="00776407">
        <w:rPr>
          <w:rFonts w:eastAsia="Calibri"/>
          <w:sz w:val="22"/>
          <w:szCs w:val="22"/>
        </w:rPr>
        <w:t xml:space="preserve">, pageltusi oda ar akių baltymai (kepenų sutrikimų požymiai). </w:t>
      </w:r>
    </w:p>
    <w:p w14:paraId="4E23AB1F" w14:textId="77777777" w:rsidR="00C6414B" w:rsidRPr="00776407" w:rsidRDefault="005D54ED"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Išb</w:t>
      </w:r>
      <w:r w:rsidR="00C6414B" w:rsidRPr="00776407">
        <w:rPr>
          <w:rFonts w:eastAsia="Calibri"/>
          <w:sz w:val="22"/>
          <w:szCs w:val="22"/>
        </w:rPr>
        <w:t>ėrimas, odos paraudimas, taip pat pūslių atsiradimas ant lūpų, akių, odos arba burnos gleivinės, odos pleiskanojimas, karščiavimas, pakilę raudoni arba purpuriniai odos lopai, niež</w:t>
      </w:r>
      <w:r w:rsidRPr="00776407">
        <w:rPr>
          <w:rFonts w:eastAsia="Calibri"/>
          <w:sz w:val="22"/>
          <w:szCs w:val="22"/>
        </w:rPr>
        <w:t>ėjimas</w:t>
      </w:r>
      <w:r w:rsidR="00C6414B" w:rsidRPr="00776407">
        <w:rPr>
          <w:rFonts w:eastAsia="Calibri"/>
          <w:sz w:val="22"/>
          <w:szCs w:val="22"/>
        </w:rPr>
        <w:t xml:space="preserve">, deginimo pojūtis, pūslinis </w:t>
      </w:r>
      <w:r w:rsidRPr="00776407">
        <w:rPr>
          <w:rFonts w:eastAsia="Calibri"/>
          <w:sz w:val="22"/>
          <w:szCs w:val="22"/>
        </w:rPr>
        <w:t>iš</w:t>
      </w:r>
      <w:r w:rsidR="00C6414B" w:rsidRPr="00776407">
        <w:rPr>
          <w:rFonts w:eastAsia="Calibri"/>
          <w:sz w:val="22"/>
          <w:szCs w:val="22"/>
        </w:rPr>
        <w:t xml:space="preserve">bėrimas (odos sutrikimų požymiai). </w:t>
      </w:r>
    </w:p>
    <w:p w14:paraId="49689A47"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Stiprus pilvo skausmas, vėmimas, tuštinimasis ar šlapinimasis su kraujo priemaiša, juodos spalvos išmatos (virškinimo trakto sutrikimų požymiai). </w:t>
      </w:r>
    </w:p>
    <w:p w14:paraId="4CF383B6"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Labai sumažėjęs šlapimo kiekis, troškulys (inkstų sutrikimų požymiai). </w:t>
      </w:r>
    </w:p>
    <w:p w14:paraId="3510C8DD"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Šleikštulys (pykinimas) kartu su viduriavimu ir vėmimu, pilvo skausmas arba karščiavimas (žarnų sutrikimų požymiai). </w:t>
      </w:r>
    </w:p>
    <w:p w14:paraId="5FF6A7C4"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Stiprus galvos skausmas, silpnumas arba galūnių ar veido paralyžius, pasunkėjusi kalba, staigus sąmonės praradimas (nervų sistemos sutrikimų, pavyzdžiui, kraujavimo kaukolės ertmėje ar galvos smegenų patinimo, požymiai). </w:t>
      </w:r>
    </w:p>
    <w:p w14:paraId="148EF01C" w14:textId="77777777" w:rsidR="00C6414B" w:rsidRPr="00776407" w:rsidRDefault="00C6414B"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 xml:space="preserve">Išblyškusi oda, nuovargis ir dusulys, tamsus šlapimas (sumažėjusio raudonųjų kraujo ląstelių skaičiaus požymiai). </w:t>
      </w:r>
    </w:p>
    <w:p w14:paraId="4A9E16D9"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Akies skausmas ar pablogėjusi rega</w:t>
      </w:r>
      <w:r w:rsidR="00C7087C" w:rsidRPr="00776407">
        <w:rPr>
          <w:rFonts w:eastAsia="Calibri"/>
          <w:sz w:val="22"/>
          <w:szCs w:val="22"/>
        </w:rPr>
        <w:t>, kraujavimas į akies vidų</w:t>
      </w:r>
      <w:r w:rsidRPr="00776407">
        <w:rPr>
          <w:rFonts w:eastAsia="Calibri"/>
          <w:sz w:val="22"/>
          <w:szCs w:val="22"/>
        </w:rPr>
        <w:t xml:space="preserve">. </w:t>
      </w:r>
    </w:p>
    <w:p w14:paraId="2DDF50E9"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Skausmas klubo sąnariuose ar pasunkėjęs vaikščiojimas. </w:t>
      </w:r>
    </w:p>
    <w:p w14:paraId="6B2FB875"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Kojų ir rankų pirštų nutirpimas ar šalimas (Raynaud‘s sindromo požymiai). </w:t>
      </w:r>
    </w:p>
    <w:p w14:paraId="20C45B17"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Staigus odos patinimas ir paraudimas (odos infekcijos, vadinamos celiulitu, požymiai). </w:t>
      </w:r>
    </w:p>
    <w:p w14:paraId="27E73B21"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Sutrikusi klausa. </w:t>
      </w:r>
    </w:p>
    <w:p w14:paraId="6CD4162F"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Raumenų silpnumas ir spazmas kartu su sutrikusiu širdies ritmu (požymiai, rodantys, kad pakito kalio kiekis Jūsų kraujyje). </w:t>
      </w:r>
    </w:p>
    <w:p w14:paraId="1F6407EE"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Mėlynės. </w:t>
      </w:r>
    </w:p>
    <w:p w14:paraId="5B90FCDE"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Skrandžio skausmas kartu su šleikštuliu (pykinimu). </w:t>
      </w:r>
    </w:p>
    <w:p w14:paraId="6441AE75"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Raumenų spazmai ir kartu pasireiškiantis karščiavimas, raudonai rudos spalvos šlapimas, raumenų skausmas ar silpnumas (raumenų sutrikimų požymiai). </w:t>
      </w:r>
    </w:p>
    <w:p w14:paraId="46CEA83A" w14:textId="77777777" w:rsidR="00C6414B" w:rsidRPr="00776407" w:rsidRDefault="00C6414B" w:rsidP="00864BE6">
      <w:pPr>
        <w:pStyle w:val="Listenabsatz"/>
        <w:numPr>
          <w:ilvl w:val="0"/>
          <w:numId w:val="1"/>
        </w:numPr>
        <w:autoSpaceDE w:val="0"/>
        <w:autoSpaceDN w:val="0"/>
        <w:adjustRightInd w:val="0"/>
        <w:spacing w:after="38"/>
        <w:ind w:hanging="720"/>
        <w:rPr>
          <w:rFonts w:eastAsia="Calibri"/>
          <w:sz w:val="22"/>
          <w:szCs w:val="22"/>
        </w:rPr>
      </w:pPr>
      <w:r w:rsidRPr="00776407">
        <w:rPr>
          <w:rFonts w:eastAsia="Calibri"/>
          <w:sz w:val="22"/>
          <w:szCs w:val="22"/>
        </w:rPr>
        <w:t xml:space="preserve">Dubens srities skausmas, kartais kartu su pykinimu ir vėmimu, kartu su netikėtu kraujavimu iš makšties, galvos svaigimu ar alpimu dėl sumažėjusio kraujospūdžio (kiaušidžių ar gimdos sutrikimų požymiai). </w:t>
      </w:r>
    </w:p>
    <w:p w14:paraId="01189E3A" w14:textId="77777777" w:rsidR="00D67F3C" w:rsidRPr="00776407" w:rsidRDefault="00C6414B" w:rsidP="00D67F3C">
      <w:pPr>
        <w:pStyle w:val="Listenabsatz"/>
        <w:numPr>
          <w:ilvl w:val="0"/>
          <w:numId w:val="1"/>
        </w:numPr>
        <w:rPr>
          <w:rFonts w:eastAsia="Calibri"/>
          <w:sz w:val="22"/>
          <w:szCs w:val="22"/>
        </w:rPr>
      </w:pPr>
      <w:r w:rsidRPr="00776407">
        <w:rPr>
          <w:rFonts w:eastAsia="Calibri"/>
          <w:sz w:val="22"/>
          <w:szCs w:val="22"/>
        </w:rPr>
        <w:t>Pykinimas, oro trūkumas, nereguliarus širdies ritmas, drumstas šlapimas, nuovargis ir</w:t>
      </w:r>
      <w:r w:rsidR="005D54ED" w:rsidRPr="00776407">
        <w:rPr>
          <w:rFonts w:eastAsia="Calibri"/>
          <w:sz w:val="22"/>
          <w:szCs w:val="22"/>
        </w:rPr>
        <w:t xml:space="preserve"> (</w:t>
      </w:r>
      <w:r w:rsidRPr="00776407">
        <w:rPr>
          <w:rFonts w:eastAsia="Calibri"/>
          <w:sz w:val="22"/>
          <w:szCs w:val="22"/>
        </w:rPr>
        <w:t>arba</w:t>
      </w:r>
      <w:r w:rsidR="005D54ED" w:rsidRPr="00776407">
        <w:rPr>
          <w:rFonts w:eastAsia="Calibri"/>
          <w:sz w:val="22"/>
          <w:szCs w:val="22"/>
        </w:rPr>
        <w:t>)</w:t>
      </w:r>
      <w:r w:rsidRPr="00776407">
        <w:rPr>
          <w:rFonts w:eastAsia="Calibri"/>
          <w:sz w:val="22"/>
          <w:szCs w:val="22"/>
        </w:rPr>
        <w:t xml:space="preserve"> sąnarių diskomfortas susijęs su anomaliais laboratorinių tyrimų rezultatais (pvz., didelis kalio, šlapimo rūgšties ir fosforo kiekis, ir mažas kalcio kiekis kraujyje). </w:t>
      </w:r>
    </w:p>
    <w:p w14:paraId="287AD2CA" w14:textId="77777777" w:rsidR="00C6414B" w:rsidRPr="00776407" w:rsidRDefault="00D67F3C" w:rsidP="00D67F3C">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Kraujo krešulių susidarymas smulkiose kraujagyslėse (trombinė mikroangiopatija).</w:t>
      </w:r>
    </w:p>
    <w:p w14:paraId="0AF5604F" w14:textId="77777777" w:rsidR="0031536A" w:rsidRPr="00776407" w:rsidRDefault="0031536A" w:rsidP="0031536A">
      <w:pPr>
        <w:pStyle w:val="Listenabsatz"/>
        <w:autoSpaceDE w:val="0"/>
        <w:autoSpaceDN w:val="0"/>
        <w:adjustRightInd w:val="0"/>
        <w:ind w:left="0"/>
        <w:rPr>
          <w:rFonts w:eastAsia="Calibri"/>
          <w:sz w:val="22"/>
          <w:szCs w:val="22"/>
        </w:rPr>
      </w:pPr>
    </w:p>
    <w:p w14:paraId="027C7C46" w14:textId="77777777" w:rsidR="00A148B1" w:rsidRPr="00776407" w:rsidRDefault="00A148B1" w:rsidP="00A148B1">
      <w:pPr>
        <w:pStyle w:val="Listenabsatz"/>
        <w:autoSpaceDE w:val="0"/>
        <w:autoSpaceDN w:val="0"/>
        <w:adjustRightInd w:val="0"/>
        <w:ind w:left="0"/>
        <w:rPr>
          <w:rFonts w:eastAsia="Calibri"/>
          <w:sz w:val="22"/>
          <w:szCs w:val="22"/>
        </w:rPr>
      </w:pPr>
      <w:r w:rsidRPr="00776407">
        <w:rPr>
          <w:rFonts w:eastAsia="Calibri"/>
          <w:b/>
          <w:sz w:val="22"/>
          <w:szCs w:val="22"/>
        </w:rPr>
        <w:t xml:space="preserve">Dažnis nežinomas </w:t>
      </w:r>
      <w:r w:rsidRPr="00776407">
        <w:rPr>
          <w:rFonts w:eastAsia="Calibri"/>
          <w:sz w:val="22"/>
          <w:szCs w:val="22"/>
        </w:rPr>
        <w:t>(negali būti apskaičiuotas pagal turimus duomenis):</w:t>
      </w:r>
    </w:p>
    <w:p w14:paraId="7CB842C9" w14:textId="77777777" w:rsidR="00A148B1" w:rsidRPr="00776407" w:rsidRDefault="00A148B1"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Plačiai išplitęs stiprus odos išbėrimas kartu su pykinimu, karščiavimu, kai kurių baltųjų kraujo kūnelių skaičiaus padidėjimu arba odos ir akių pageltimu (geltos požymiai), lydimas dusulio, krūtinės skausmo/diskomforto, labai sumažėjusio šlapimo išsiskyrimo bei troškulio ir t.t. (alerginės reakcijos požymiai susiję su gydymu).</w:t>
      </w:r>
    </w:p>
    <w:p w14:paraId="43E707CE" w14:textId="77777777" w:rsidR="00A148B1" w:rsidRPr="00776407" w:rsidRDefault="00A148B1"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Lėtinis inkstų nepakankamumas.</w:t>
      </w:r>
    </w:p>
    <w:p w14:paraId="1123367E" w14:textId="77777777" w:rsidR="00A148B1" w:rsidRPr="00776407" w:rsidRDefault="00A148B1"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Hepatito B infekcijos atsinaujinimas (reaktyvacija), jeigu praeityje jums buvo diagnozuotas hepatitas B (kepenų infekcija).</w:t>
      </w:r>
    </w:p>
    <w:p w14:paraId="0EEE2C49" w14:textId="77777777" w:rsidR="0031536A" w:rsidRPr="00776407" w:rsidRDefault="0031536A" w:rsidP="00E93356">
      <w:pPr>
        <w:pStyle w:val="Listenabsatz"/>
        <w:autoSpaceDE w:val="0"/>
        <w:autoSpaceDN w:val="0"/>
        <w:adjustRightInd w:val="0"/>
        <w:ind w:left="0"/>
        <w:rPr>
          <w:rFonts w:eastAsia="Calibri"/>
          <w:sz w:val="22"/>
          <w:szCs w:val="22"/>
        </w:rPr>
      </w:pPr>
    </w:p>
    <w:p w14:paraId="62259BF3"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Jeigu Jums pasireikštų bet kuris iš anksčiau nurodytų </w:t>
      </w:r>
      <w:r w:rsidR="005D54ED" w:rsidRPr="00776407">
        <w:rPr>
          <w:rFonts w:eastAsia="Calibri"/>
          <w:sz w:val="22"/>
          <w:szCs w:val="22"/>
        </w:rPr>
        <w:t>poveikių</w:t>
      </w:r>
      <w:r w:rsidRPr="00776407">
        <w:rPr>
          <w:rFonts w:eastAsia="Calibri"/>
          <w:sz w:val="22"/>
          <w:szCs w:val="22"/>
        </w:rPr>
        <w:t xml:space="preserve">, </w:t>
      </w:r>
      <w:r w:rsidRPr="00776407">
        <w:rPr>
          <w:rFonts w:eastAsia="Calibri"/>
          <w:b/>
          <w:bCs/>
          <w:sz w:val="22"/>
          <w:szCs w:val="22"/>
        </w:rPr>
        <w:t xml:space="preserve">nedelsiant pasakykite gydytojui. </w:t>
      </w:r>
    </w:p>
    <w:p w14:paraId="57DC924B" w14:textId="77777777" w:rsidR="00C6414B" w:rsidRPr="00776407" w:rsidRDefault="00C6414B" w:rsidP="00C6414B">
      <w:pPr>
        <w:autoSpaceDE w:val="0"/>
        <w:autoSpaceDN w:val="0"/>
        <w:adjustRightInd w:val="0"/>
        <w:rPr>
          <w:rFonts w:eastAsia="Calibri"/>
          <w:b/>
          <w:bCs/>
          <w:sz w:val="22"/>
          <w:szCs w:val="22"/>
        </w:rPr>
      </w:pPr>
    </w:p>
    <w:p w14:paraId="43E518FE"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Taip pat gali pasireikšti kiti šalutiniai </w:t>
      </w:r>
      <w:r w:rsidR="005D54ED" w:rsidRPr="00776407">
        <w:rPr>
          <w:rFonts w:eastAsia="Calibri"/>
          <w:b/>
          <w:bCs/>
          <w:sz w:val="22"/>
          <w:szCs w:val="22"/>
        </w:rPr>
        <w:t>poveikiai</w:t>
      </w:r>
      <w:r w:rsidRPr="00776407">
        <w:rPr>
          <w:rFonts w:eastAsia="Calibri"/>
          <w:b/>
          <w:bCs/>
          <w:sz w:val="22"/>
          <w:szCs w:val="22"/>
        </w:rPr>
        <w:t xml:space="preserve">: </w:t>
      </w:r>
    </w:p>
    <w:p w14:paraId="46FCA8A2" w14:textId="77777777" w:rsidR="00C6414B" w:rsidRPr="00776407" w:rsidRDefault="00C6414B" w:rsidP="00C6414B">
      <w:pPr>
        <w:autoSpaceDE w:val="0"/>
        <w:autoSpaceDN w:val="0"/>
        <w:adjustRightInd w:val="0"/>
        <w:rPr>
          <w:rFonts w:eastAsia="Calibri"/>
          <w:b/>
          <w:bCs/>
          <w:sz w:val="22"/>
          <w:szCs w:val="22"/>
        </w:rPr>
      </w:pPr>
    </w:p>
    <w:p w14:paraId="65DE18F4" w14:textId="77777777" w:rsidR="00A148B1" w:rsidRPr="00776407" w:rsidRDefault="00A148B1" w:rsidP="00A148B1">
      <w:pPr>
        <w:autoSpaceDE w:val="0"/>
        <w:autoSpaceDN w:val="0"/>
        <w:adjustRightInd w:val="0"/>
        <w:rPr>
          <w:rFonts w:eastAsia="Calibri"/>
          <w:sz w:val="22"/>
          <w:szCs w:val="22"/>
        </w:rPr>
      </w:pPr>
      <w:r w:rsidRPr="00776407">
        <w:rPr>
          <w:rFonts w:eastAsia="Calibri"/>
          <w:b/>
          <w:bCs/>
          <w:sz w:val="22"/>
          <w:szCs w:val="22"/>
        </w:rPr>
        <w:t xml:space="preserve">Labai dažni </w:t>
      </w:r>
      <w:r w:rsidRPr="00776407">
        <w:rPr>
          <w:rFonts w:eastAsia="Calibri"/>
          <w:bCs/>
          <w:sz w:val="22"/>
          <w:szCs w:val="22"/>
        </w:rPr>
        <w:t>(gali pasireikšti daugiau nei 1 žmogui iš 10):</w:t>
      </w:r>
      <w:r w:rsidRPr="00776407">
        <w:rPr>
          <w:rFonts w:eastAsia="Calibri"/>
          <w:b/>
          <w:bCs/>
          <w:sz w:val="22"/>
          <w:szCs w:val="22"/>
        </w:rPr>
        <w:t xml:space="preserve"> </w:t>
      </w:r>
    </w:p>
    <w:p w14:paraId="14703B22"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Galvos skausmas ar nuovargis. </w:t>
      </w:r>
    </w:p>
    <w:p w14:paraId="30994FCF"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Šleikštulys (pykinimas), vėmimas, viduriavimas ar nevirškinimas. </w:t>
      </w:r>
    </w:p>
    <w:p w14:paraId="0497847B" w14:textId="77777777" w:rsidR="00C6414B" w:rsidRPr="00776407" w:rsidRDefault="005D54ED"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Išb</w:t>
      </w:r>
      <w:r w:rsidR="00C6414B" w:rsidRPr="00776407">
        <w:rPr>
          <w:rFonts w:eastAsia="Calibri"/>
          <w:sz w:val="22"/>
          <w:szCs w:val="22"/>
        </w:rPr>
        <w:t xml:space="preserve">ėrimas. </w:t>
      </w:r>
    </w:p>
    <w:p w14:paraId="43C212B6"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Raumenų mėšlungis arba sąnarių, raumenų ir kaulų skausmas</w:t>
      </w:r>
      <w:r w:rsidR="00951066" w:rsidRPr="00776407">
        <w:rPr>
          <w:rFonts w:eastAsia="Calibri"/>
          <w:sz w:val="22"/>
          <w:szCs w:val="22"/>
        </w:rPr>
        <w:t xml:space="preserve"> </w:t>
      </w:r>
      <w:r w:rsidR="006D099C" w:rsidRPr="00776407">
        <w:rPr>
          <w:rFonts w:eastAsia="Calibri"/>
          <w:sz w:val="22"/>
          <w:szCs w:val="22"/>
        </w:rPr>
        <w:t>imatinibo vartojimo metu arba nutraukus imatinibo vartojimą</w:t>
      </w:r>
      <w:r w:rsidRPr="00776407">
        <w:rPr>
          <w:rFonts w:eastAsia="Calibri"/>
          <w:sz w:val="22"/>
          <w:szCs w:val="22"/>
        </w:rPr>
        <w:t xml:space="preserve">. </w:t>
      </w:r>
    </w:p>
    <w:p w14:paraId="0754BA85"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Tinimas, pavyzdžiui, patinusios kulkšnys ar paburkę akių vokai. </w:t>
      </w:r>
    </w:p>
    <w:p w14:paraId="58843118" w14:textId="77777777" w:rsidR="00C6414B" w:rsidRPr="00776407" w:rsidRDefault="00C6414B" w:rsidP="00864BE6">
      <w:pPr>
        <w:pStyle w:val="Listenabsatz"/>
        <w:numPr>
          <w:ilvl w:val="0"/>
          <w:numId w:val="1"/>
        </w:numPr>
        <w:autoSpaceDE w:val="0"/>
        <w:autoSpaceDN w:val="0"/>
        <w:adjustRightInd w:val="0"/>
        <w:ind w:left="567" w:hanging="567"/>
        <w:rPr>
          <w:rFonts w:eastAsia="Calibri"/>
          <w:sz w:val="22"/>
          <w:szCs w:val="22"/>
        </w:rPr>
      </w:pPr>
      <w:r w:rsidRPr="00776407">
        <w:rPr>
          <w:rFonts w:eastAsia="Calibri"/>
          <w:sz w:val="22"/>
          <w:szCs w:val="22"/>
        </w:rPr>
        <w:t xml:space="preserve">Padidėjęs kūno svoris. </w:t>
      </w:r>
    </w:p>
    <w:p w14:paraId="625C4912" w14:textId="77777777" w:rsidR="00C6414B" w:rsidRPr="00776407" w:rsidRDefault="00C6414B" w:rsidP="00C6414B">
      <w:pPr>
        <w:autoSpaceDE w:val="0"/>
        <w:autoSpaceDN w:val="0"/>
        <w:adjustRightInd w:val="0"/>
        <w:rPr>
          <w:rFonts w:eastAsia="Calibri"/>
          <w:sz w:val="22"/>
          <w:szCs w:val="22"/>
        </w:rPr>
      </w:pPr>
    </w:p>
    <w:p w14:paraId="096C3233"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Jei bet kuris iš šių </w:t>
      </w:r>
      <w:r w:rsidR="005D54ED" w:rsidRPr="00776407">
        <w:rPr>
          <w:rFonts w:eastAsia="Calibri"/>
          <w:sz w:val="22"/>
          <w:szCs w:val="22"/>
        </w:rPr>
        <w:t>poveikių</w:t>
      </w:r>
      <w:r w:rsidRPr="00776407">
        <w:rPr>
          <w:rFonts w:eastAsia="Calibri"/>
          <w:sz w:val="22"/>
          <w:szCs w:val="22"/>
        </w:rPr>
        <w:t xml:space="preserve"> tampa sunkiu, </w:t>
      </w:r>
      <w:r w:rsidRPr="00776407">
        <w:rPr>
          <w:rFonts w:eastAsia="Calibri"/>
          <w:b/>
          <w:bCs/>
          <w:sz w:val="22"/>
          <w:szCs w:val="22"/>
        </w:rPr>
        <w:t>pasakykite gydytojui</w:t>
      </w:r>
      <w:r w:rsidRPr="00776407">
        <w:rPr>
          <w:rFonts w:eastAsia="Calibri"/>
          <w:b/>
          <w:sz w:val="22"/>
          <w:szCs w:val="22"/>
        </w:rPr>
        <w:t>.</w:t>
      </w:r>
      <w:r w:rsidRPr="00776407">
        <w:rPr>
          <w:rFonts w:eastAsia="Calibri"/>
          <w:sz w:val="22"/>
          <w:szCs w:val="22"/>
        </w:rPr>
        <w:t xml:space="preserve"> </w:t>
      </w:r>
    </w:p>
    <w:p w14:paraId="16CE8F45" w14:textId="77777777" w:rsidR="00C6414B" w:rsidRPr="00776407" w:rsidRDefault="00C6414B" w:rsidP="00C6414B">
      <w:pPr>
        <w:autoSpaceDE w:val="0"/>
        <w:autoSpaceDN w:val="0"/>
        <w:adjustRightInd w:val="0"/>
        <w:rPr>
          <w:rFonts w:eastAsia="Calibri"/>
          <w:b/>
          <w:bCs/>
          <w:sz w:val="22"/>
          <w:szCs w:val="22"/>
        </w:rPr>
      </w:pPr>
    </w:p>
    <w:p w14:paraId="0D5AFB26" w14:textId="77777777" w:rsidR="00A148B1" w:rsidRPr="00776407" w:rsidRDefault="00A148B1" w:rsidP="00A148B1">
      <w:pPr>
        <w:autoSpaceDE w:val="0"/>
        <w:autoSpaceDN w:val="0"/>
        <w:adjustRightInd w:val="0"/>
        <w:rPr>
          <w:rFonts w:eastAsia="Calibri"/>
          <w:sz w:val="22"/>
          <w:szCs w:val="22"/>
        </w:rPr>
      </w:pPr>
      <w:r w:rsidRPr="00776407">
        <w:rPr>
          <w:rFonts w:eastAsia="Calibri"/>
          <w:b/>
          <w:bCs/>
          <w:sz w:val="22"/>
          <w:szCs w:val="22"/>
        </w:rPr>
        <w:t xml:space="preserve">Dažni </w:t>
      </w:r>
      <w:r w:rsidRPr="00776407">
        <w:rPr>
          <w:rFonts w:eastAsia="Calibri"/>
          <w:bCs/>
          <w:sz w:val="22"/>
          <w:szCs w:val="22"/>
        </w:rPr>
        <w:t>(gali pasireikšti iki 1 iš 10 žmonių):</w:t>
      </w:r>
      <w:r w:rsidRPr="00776407">
        <w:rPr>
          <w:rFonts w:eastAsia="Calibri"/>
          <w:b/>
          <w:bCs/>
          <w:sz w:val="22"/>
          <w:szCs w:val="22"/>
        </w:rPr>
        <w:t xml:space="preserve"> </w:t>
      </w:r>
    </w:p>
    <w:p w14:paraId="7661934E"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Anoreksija, sumažėjęs kūno svoris, sutrikęs skonio jutimas. </w:t>
      </w:r>
    </w:p>
    <w:p w14:paraId="185D0183"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Galvos svaigimas, silpnumas. </w:t>
      </w:r>
    </w:p>
    <w:p w14:paraId="430FC0E7"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Sunkumas užmigti (nemiga). </w:t>
      </w:r>
    </w:p>
    <w:p w14:paraId="4E682E3E"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Išskyros iš akies kartu su niežuliu, paraudimu ir patinimu (konjunktyvitas), ašarojimas, neryškus matymas. </w:t>
      </w:r>
    </w:p>
    <w:p w14:paraId="0DC2CF94"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Kraujavimas iš nosies. </w:t>
      </w:r>
    </w:p>
    <w:p w14:paraId="05A20615"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Pilvo skausmas ar patinimas, vidurių pūtimas, rėmuo, vidurių užkietėjimas. </w:t>
      </w:r>
    </w:p>
    <w:p w14:paraId="33D018A4"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Niež</w:t>
      </w:r>
      <w:r w:rsidR="005D54ED" w:rsidRPr="00776407">
        <w:rPr>
          <w:rFonts w:eastAsia="Calibri"/>
          <w:sz w:val="22"/>
          <w:szCs w:val="22"/>
        </w:rPr>
        <w:t>ėjimas</w:t>
      </w:r>
      <w:r w:rsidRPr="00776407">
        <w:rPr>
          <w:rFonts w:eastAsia="Calibri"/>
          <w:sz w:val="22"/>
          <w:szCs w:val="22"/>
        </w:rPr>
        <w:t xml:space="preserve">. </w:t>
      </w:r>
    </w:p>
    <w:p w14:paraId="514E0A38"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Neįprastas plaukų slinkimas ar plonėjimas. </w:t>
      </w:r>
    </w:p>
    <w:p w14:paraId="39EADA7D"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Plaštakų ar pėdų tirpimas. </w:t>
      </w:r>
    </w:p>
    <w:p w14:paraId="01CCC694"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Burnos išopėjimas. </w:t>
      </w:r>
    </w:p>
    <w:p w14:paraId="27EAD516"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Sąnarių skausmas ir patinimas. </w:t>
      </w:r>
    </w:p>
    <w:p w14:paraId="76FD851B"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Burnos, odos ar akių džiūvimas. </w:t>
      </w:r>
    </w:p>
    <w:p w14:paraId="76E86506" w14:textId="77777777" w:rsidR="00C6414B" w:rsidRPr="00776407" w:rsidRDefault="00C6414B" w:rsidP="00864BE6">
      <w:pPr>
        <w:pStyle w:val="Listenabsatz"/>
        <w:numPr>
          <w:ilvl w:val="0"/>
          <w:numId w:val="1"/>
        </w:numPr>
        <w:autoSpaceDE w:val="0"/>
        <w:autoSpaceDN w:val="0"/>
        <w:adjustRightInd w:val="0"/>
        <w:spacing w:after="38"/>
        <w:ind w:left="567" w:hanging="567"/>
        <w:rPr>
          <w:rFonts w:eastAsia="Calibri"/>
          <w:sz w:val="22"/>
          <w:szCs w:val="22"/>
        </w:rPr>
      </w:pPr>
      <w:r w:rsidRPr="00776407">
        <w:rPr>
          <w:rFonts w:eastAsia="Calibri"/>
          <w:sz w:val="22"/>
          <w:szCs w:val="22"/>
        </w:rPr>
        <w:t xml:space="preserve">Sumažėjęs arba padidėjęs odos jautrumas. </w:t>
      </w:r>
    </w:p>
    <w:p w14:paraId="4C78A013" w14:textId="77777777" w:rsidR="00C6414B" w:rsidRPr="00776407" w:rsidRDefault="00C6414B" w:rsidP="00864BE6">
      <w:pPr>
        <w:pStyle w:val="Listenabsatz"/>
        <w:numPr>
          <w:ilvl w:val="0"/>
          <w:numId w:val="1"/>
        </w:numPr>
        <w:autoSpaceDE w:val="0"/>
        <w:autoSpaceDN w:val="0"/>
        <w:adjustRightInd w:val="0"/>
        <w:ind w:left="567" w:hanging="567"/>
        <w:rPr>
          <w:rFonts w:eastAsia="Calibri"/>
          <w:sz w:val="22"/>
          <w:szCs w:val="22"/>
        </w:rPr>
      </w:pPr>
      <w:r w:rsidRPr="00776407">
        <w:rPr>
          <w:rFonts w:eastAsia="Calibri"/>
          <w:sz w:val="22"/>
          <w:szCs w:val="22"/>
        </w:rPr>
        <w:t xml:space="preserve">Karščio pylimai, drebulys, naktinis prakaitavimas. </w:t>
      </w:r>
    </w:p>
    <w:p w14:paraId="4AA1CD59" w14:textId="77777777" w:rsidR="00C6414B" w:rsidRPr="00776407" w:rsidRDefault="00C6414B" w:rsidP="00C6414B">
      <w:pPr>
        <w:autoSpaceDE w:val="0"/>
        <w:autoSpaceDN w:val="0"/>
        <w:adjustRightInd w:val="0"/>
        <w:rPr>
          <w:rFonts w:eastAsia="Calibri"/>
          <w:sz w:val="22"/>
          <w:szCs w:val="22"/>
        </w:rPr>
      </w:pPr>
    </w:p>
    <w:p w14:paraId="3C4F9E02"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Jei bet kuris iš šių </w:t>
      </w:r>
      <w:r w:rsidR="005D54ED" w:rsidRPr="00776407">
        <w:rPr>
          <w:rFonts w:eastAsia="Calibri"/>
          <w:sz w:val="22"/>
          <w:szCs w:val="22"/>
        </w:rPr>
        <w:t>poveikių</w:t>
      </w:r>
      <w:r w:rsidRPr="00776407">
        <w:rPr>
          <w:rFonts w:eastAsia="Calibri"/>
          <w:sz w:val="22"/>
          <w:szCs w:val="22"/>
        </w:rPr>
        <w:t xml:space="preserve"> tampa sunkiu, </w:t>
      </w:r>
      <w:r w:rsidRPr="00776407">
        <w:rPr>
          <w:rFonts w:eastAsia="Calibri"/>
          <w:b/>
          <w:bCs/>
          <w:sz w:val="22"/>
          <w:szCs w:val="22"/>
        </w:rPr>
        <w:t>pasakykite gydytojui</w:t>
      </w:r>
      <w:r w:rsidRPr="00776407">
        <w:rPr>
          <w:rFonts w:eastAsia="Calibri"/>
          <w:b/>
          <w:sz w:val="22"/>
          <w:szCs w:val="22"/>
        </w:rPr>
        <w:t>.</w:t>
      </w:r>
    </w:p>
    <w:p w14:paraId="556D81ED" w14:textId="77777777" w:rsidR="00C6414B" w:rsidRPr="00776407" w:rsidRDefault="00C6414B" w:rsidP="00C6414B">
      <w:pPr>
        <w:autoSpaceDE w:val="0"/>
        <w:autoSpaceDN w:val="0"/>
        <w:adjustRightInd w:val="0"/>
        <w:rPr>
          <w:rFonts w:eastAsia="Calibri"/>
          <w:sz w:val="22"/>
          <w:szCs w:val="22"/>
        </w:rPr>
      </w:pPr>
    </w:p>
    <w:p w14:paraId="651E3AB6" w14:textId="77777777" w:rsidR="00A148B1" w:rsidRPr="00776407" w:rsidRDefault="00A148B1" w:rsidP="00A148B1">
      <w:pPr>
        <w:autoSpaceDE w:val="0"/>
        <w:autoSpaceDN w:val="0"/>
        <w:adjustRightInd w:val="0"/>
        <w:rPr>
          <w:rFonts w:eastAsia="Calibri"/>
          <w:sz w:val="22"/>
          <w:szCs w:val="22"/>
        </w:rPr>
      </w:pPr>
      <w:r w:rsidRPr="00776407">
        <w:rPr>
          <w:rFonts w:eastAsia="Calibri"/>
          <w:b/>
          <w:bCs/>
          <w:sz w:val="22"/>
          <w:szCs w:val="22"/>
        </w:rPr>
        <w:t xml:space="preserve">Šalutiniai poveikiai, kurių dažnis nežinomas </w:t>
      </w:r>
      <w:r w:rsidRPr="00776407">
        <w:rPr>
          <w:rFonts w:eastAsia="Calibri"/>
          <w:bCs/>
          <w:sz w:val="22"/>
          <w:szCs w:val="22"/>
        </w:rPr>
        <w:t>(negali būti apskaičiuotas pagal turimus duomenis):</w:t>
      </w:r>
      <w:r w:rsidRPr="00776407">
        <w:rPr>
          <w:rFonts w:eastAsia="Calibri"/>
          <w:b/>
          <w:bCs/>
          <w:sz w:val="22"/>
          <w:szCs w:val="22"/>
        </w:rPr>
        <w:t xml:space="preserve"> </w:t>
      </w:r>
    </w:p>
    <w:p w14:paraId="53BF3B3F" w14:textId="77777777" w:rsidR="00A148B1" w:rsidRPr="00776407" w:rsidRDefault="00A148B1" w:rsidP="00864BE6">
      <w:pPr>
        <w:pStyle w:val="Listenabsatz"/>
        <w:numPr>
          <w:ilvl w:val="0"/>
          <w:numId w:val="1"/>
        </w:numPr>
        <w:autoSpaceDE w:val="0"/>
        <w:autoSpaceDN w:val="0"/>
        <w:adjustRightInd w:val="0"/>
        <w:spacing w:after="35"/>
        <w:ind w:hanging="720"/>
        <w:rPr>
          <w:rFonts w:eastAsia="Calibri"/>
          <w:sz w:val="22"/>
          <w:szCs w:val="22"/>
        </w:rPr>
      </w:pPr>
      <w:r w:rsidRPr="00776407">
        <w:rPr>
          <w:rFonts w:eastAsia="Calibri"/>
          <w:sz w:val="22"/>
          <w:szCs w:val="22"/>
        </w:rPr>
        <w:t xml:space="preserve">Delnų ir padų paraudimas ir (arba) patinimas, kurie gali pasireikšti kartu su dilgčiojimo pojūčiu ir deginančiu skausmu. </w:t>
      </w:r>
    </w:p>
    <w:p w14:paraId="6A50C5A3" w14:textId="77777777" w:rsidR="00A148B1" w:rsidRPr="00776407" w:rsidRDefault="00B34E72" w:rsidP="00864BE6">
      <w:pPr>
        <w:pStyle w:val="Listenabsatz"/>
        <w:numPr>
          <w:ilvl w:val="0"/>
          <w:numId w:val="1"/>
        </w:numPr>
        <w:autoSpaceDE w:val="0"/>
        <w:autoSpaceDN w:val="0"/>
        <w:adjustRightInd w:val="0"/>
        <w:spacing w:after="35"/>
        <w:ind w:hanging="720"/>
        <w:rPr>
          <w:rFonts w:eastAsia="Calibri"/>
          <w:sz w:val="22"/>
          <w:szCs w:val="22"/>
        </w:rPr>
      </w:pPr>
      <w:r w:rsidRPr="00776407">
        <w:rPr>
          <w:rFonts w:eastAsia="Calibri"/>
          <w:sz w:val="22"/>
          <w:szCs w:val="22"/>
        </w:rPr>
        <w:t>Skausmingi ir (arba) pūsliniai odos pažeidimai</w:t>
      </w:r>
      <w:r w:rsidR="00A148B1" w:rsidRPr="00776407">
        <w:rPr>
          <w:rFonts w:eastAsia="Calibri"/>
          <w:sz w:val="22"/>
          <w:szCs w:val="22"/>
        </w:rPr>
        <w:t>.</w:t>
      </w:r>
    </w:p>
    <w:p w14:paraId="37BAF1AE" w14:textId="77777777" w:rsidR="00A148B1" w:rsidRPr="00776407" w:rsidRDefault="00A148B1" w:rsidP="00864BE6">
      <w:pPr>
        <w:pStyle w:val="Listenabsatz"/>
        <w:numPr>
          <w:ilvl w:val="0"/>
          <w:numId w:val="1"/>
        </w:numPr>
        <w:autoSpaceDE w:val="0"/>
        <w:autoSpaceDN w:val="0"/>
        <w:adjustRightInd w:val="0"/>
        <w:ind w:hanging="720"/>
        <w:rPr>
          <w:rFonts w:eastAsia="Calibri"/>
          <w:sz w:val="22"/>
          <w:szCs w:val="22"/>
        </w:rPr>
      </w:pPr>
      <w:r w:rsidRPr="00776407">
        <w:rPr>
          <w:rFonts w:eastAsia="Calibri"/>
          <w:sz w:val="22"/>
          <w:szCs w:val="22"/>
        </w:rPr>
        <w:t xml:space="preserve">Sulėtėjęs vaikų ir paauglių augimas. </w:t>
      </w:r>
    </w:p>
    <w:p w14:paraId="19D67688" w14:textId="77777777" w:rsidR="00C6414B" w:rsidRPr="00776407" w:rsidRDefault="00C6414B" w:rsidP="00864BE6">
      <w:pPr>
        <w:numPr>
          <w:ilvl w:val="0"/>
          <w:numId w:val="1"/>
        </w:numPr>
        <w:autoSpaceDE w:val="0"/>
        <w:autoSpaceDN w:val="0"/>
        <w:adjustRightInd w:val="0"/>
        <w:ind w:hanging="720"/>
        <w:rPr>
          <w:rFonts w:eastAsia="Calibri"/>
          <w:sz w:val="22"/>
          <w:szCs w:val="22"/>
        </w:rPr>
      </w:pPr>
      <w:r w:rsidRPr="00776407">
        <w:rPr>
          <w:rFonts w:eastAsia="Calibri"/>
          <w:sz w:val="22"/>
          <w:szCs w:val="22"/>
        </w:rPr>
        <w:t xml:space="preserve">Jei bet kuris iš šių </w:t>
      </w:r>
      <w:r w:rsidR="005D54ED" w:rsidRPr="00776407">
        <w:rPr>
          <w:rFonts w:eastAsia="Calibri"/>
          <w:sz w:val="22"/>
          <w:szCs w:val="22"/>
        </w:rPr>
        <w:t>poveikių</w:t>
      </w:r>
      <w:r w:rsidRPr="00776407">
        <w:rPr>
          <w:rFonts w:eastAsia="Calibri"/>
          <w:sz w:val="22"/>
          <w:szCs w:val="22"/>
        </w:rPr>
        <w:t xml:space="preserve"> tampa sunkiu, </w:t>
      </w:r>
      <w:r w:rsidRPr="00776407">
        <w:rPr>
          <w:rFonts w:eastAsia="Calibri"/>
          <w:b/>
          <w:bCs/>
          <w:sz w:val="22"/>
          <w:szCs w:val="22"/>
        </w:rPr>
        <w:t>pasakykite gydytojui</w:t>
      </w:r>
      <w:r w:rsidRPr="00776407">
        <w:rPr>
          <w:rFonts w:eastAsia="Calibri"/>
          <w:b/>
          <w:sz w:val="22"/>
          <w:szCs w:val="22"/>
        </w:rPr>
        <w:t>.</w:t>
      </w:r>
      <w:r w:rsidRPr="00776407">
        <w:rPr>
          <w:rFonts w:eastAsia="Calibri"/>
          <w:sz w:val="22"/>
          <w:szCs w:val="22"/>
        </w:rPr>
        <w:t xml:space="preserve"> </w:t>
      </w:r>
    </w:p>
    <w:p w14:paraId="538DFC79" w14:textId="77777777" w:rsidR="00C6414B" w:rsidRPr="00776407" w:rsidRDefault="00C6414B" w:rsidP="00C6414B">
      <w:pPr>
        <w:autoSpaceDE w:val="0"/>
        <w:autoSpaceDN w:val="0"/>
        <w:adjustRightInd w:val="0"/>
        <w:rPr>
          <w:rFonts w:eastAsia="Calibri"/>
        </w:rPr>
      </w:pPr>
    </w:p>
    <w:p w14:paraId="091B8939" w14:textId="77777777" w:rsidR="00BC75A7" w:rsidRPr="00776407" w:rsidRDefault="00BC75A7" w:rsidP="00BC75A7">
      <w:pPr>
        <w:rPr>
          <w:b/>
          <w:sz w:val="22"/>
          <w:szCs w:val="22"/>
        </w:rPr>
      </w:pPr>
      <w:r w:rsidRPr="00776407">
        <w:rPr>
          <w:b/>
          <w:sz w:val="22"/>
          <w:szCs w:val="22"/>
        </w:rPr>
        <w:t>Pranešimas apie šalutinį poveikį</w:t>
      </w:r>
    </w:p>
    <w:p w14:paraId="006C0C54" w14:textId="77777777" w:rsidR="00BC75A7" w:rsidRPr="00776407" w:rsidRDefault="00BC75A7" w:rsidP="00BC75A7">
      <w:pPr>
        <w:autoSpaceDE w:val="0"/>
        <w:autoSpaceDN w:val="0"/>
        <w:adjustRightInd w:val="0"/>
        <w:rPr>
          <w:rFonts w:eastAsia="Calibri"/>
          <w:b/>
          <w:bCs/>
          <w:sz w:val="22"/>
          <w:szCs w:val="22"/>
        </w:rPr>
      </w:pPr>
      <w:r w:rsidRPr="00776407">
        <w:rPr>
          <w:sz w:val="22"/>
          <w:szCs w:val="22"/>
        </w:rPr>
        <w:t xml:space="preserve">Jeigu pasireiškė šalutinis poveikis, įskaitant šiame lapelyje nenurodytą, pasakykite gydytojui, vaistininkui arba slaugytojai. Apie šalutinį poveikį taip pat galite pranešti tiesiogiai naudodamiesi </w:t>
      </w:r>
      <w:hyperlink r:id="rId24" w:history="1">
        <w:r w:rsidR="00834EF6" w:rsidRPr="00776407">
          <w:rPr>
            <w:rFonts w:eastAsia="Calibri"/>
            <w:color w:val="0000FF"/>
            <w:sz w:val="22"/>
            <w:szCs w:val="22"/>
            <w:highlight w:val="lightGray"/>
            <w:u w:val="single"/>
          </w:rPr>
          <w:t>V priede</w:t>
        </w:r>
      </w:hyperlink>
      <w:r w:rsidRPr="00776407">
        <w:rPr>
          <w:sz w:val="22"/>
          <w:szCs w:val="22"/>
          <w:highlight w:val="lightGray"/>
        </w:rPr>
        <w:t xml:space="preserve"> nurodyta nacionaline pranešimo sistema</w:t>
      </w:r>
      <w:r w:rsidRPr="00776407">
        <w:rPr>
          <w:sz w:val="22"/>
          <w:szCs w:val="22"/>
        </w:rPr>
        <w:t>. Pranešdami apie šalutinį poveikį galite mums padėti gauti daugiau informacijos apie šio vaisto saugumą.</w:t>
      </w:r>
    </w:p>
    <w:p w14:paraId="4C21A3F8" w14:textId="77777777" w:rsidR="00C6414B" w:rsidRPr="00776407" w:rsidRDefault="00C6414B" w:rsidP="00C6414B">
      <w:pPr>
        <w:autoSpaceDE w:val="0"/>
        <w:autoSpaceDN w:val="0"/>
        <w:adjustRightInd w:val="0"/>
        <w:rPr>
          <w:rFonts w:eastAsia="Calibri"/>
          <w:b/>
          <w:bCs/>
          <w:sz w:val="22"/>
          <w:szCs w:val="22"/>
        </w:rPr>
      </w:pPr>
    </w:p>
    <w:p w14:paraId="419C3670" w14:textId="77777777" w:rsidR="00C6414B" w:rsidRPr="00776407" w:rsidRDefault="00C6414B" w:rsidP="00C6414B">
      <w:pPr>
        <w:autoSpaceDE w:val="0"/>
        <w:autoSpaceDN w:val="0"/>
        <w:adjustRightInd w:val="0"/>
        <w:rPr>
          <w:rFonts w:eastAsia="Calibri"/>
          <w:sz w:val="22"/>
          <w:szCs w:val="22"/>
        </w:rPr>
      </w:pPr>
    </w:p>
    <w:p w14:paraId="20E147B9" w14:textId="77777777" w:rsidR="00C6414B" w:rsidRPr="00776407" w:rsidRDefault="00C6414B" w:rsidP="00864BE6">
      <w:pPr>
        <w:pStyle w:val="Listenabsatz"/>
        <w:numPr>
          <w:ilvl w:val="0"/>
          <w:numId w:val="12"/>
        </w:numPr>
        <w:autoSpaceDE w:val="0"/>
        <w:autoSpaceDN w:val="0"/>
        <w:adjustRightInd w:val="0"/>
        <w:ind w:left="567" w:hanging="567"/>
        <w:rPr>
          <w:rFonts w:eastAsia="Calibri"/>
          <w:b/>
          <w:sz w:val="22"/>
          <w:szCs w:val="22"/>
        </w:rPr>
      </w:pPr>
      <w:r w:rsidRPr="00776407">
        <w:rPr>
          <w:rFonts w:eastAsia="Calibri"/>
          <w:b/>
          <w:bCs/>
          <w:sz w:val="22"/>
          <w:szCs w:val="22"/>
        </w:rPr>
        <w:t xml:space="preserve">Kaip laikyti Imatinib Actavis </w:t>
      </w:r>
    </w:p>
    <w:p w14:paraId="7D89404C" w14:textId="77777777" w:rsidR="00C6414B" w:rsidRPr="00776407" w:rsidRDefault="00C6414B" w:rsidP="00C6414B">
      <w:pPr>
        <w:autoSpaceDE w:val="0"/>
        <w:autoSpaceDN w:val="0"/>
        <w:adjustRightInd w:val="0"/>
        <w:spacing w:after="38"/>
        <w:rPr>
          <w:rFonts w:eastAsia="Calibri"/>
          <w:sz w:val="22"/>
          <w:szCs w:val="22"/>
        </w:rPr>
      </w:pPr>
    </w:p>
    <w:p w14:paraId="15749760" w14:textId="77777777" w:rsidR="00C6414B" w:rsidRPr="00776407" w:rsidRDefault="00C6414B" w:rsidP="00C6414B">
      <w:pPr>
        <w:autoSpaceDE w:val="0"/>
        <w:autoSpaceDN w:val="0"/>
        <w:adjustRightInd w:val="0"/>
        <w:spacing w:after="38"/>
        <w:rPr>
          <w:rFonts w:eastAsia="Calibri"/>
          <w:sz w:val="22"/>
          <w:szCs w:val="22"/>
        </w:rPr>
      </w:pPr>
      <w:r w:rsidRPr="00776407">
        <w:rPr>
          <w:rFonts w:eastAsia="Calibri"/>
          <w:sz w:val="22"/>
          <w:szCs w:val="22"/>
        </w:rPr>
        <w:t xml:space="preserve">Šį vaistą laikykite vaikams nepastebimoje ir nepasiekiamoje vietoje. </w:t>
      </w:r>
    </w:p>
    <w:p w14:paraId="34E009C7" w14:textId="77777777" w:rsidR="00A148B1" w:rsidRPr="00776407" w:rsidRDefault="00A148B1" w:rsidP="00A148B1">
      <w:pPr>
        <w:rPr>
          <w:sz w:val="22"/>
          <w:szCs w:val="22"/>
        </w:rPr>
      </w:pPr>
      <w:r w:rsidRPr="00776407">
        <w:rPr>
          <w:rFonts w:eastAsia="Calibri"/>
          <w:sz w:val="22"/>
          <w:szCs w:val="22"/>
        </w:rPr>
        <w:t xml:space="preserve">Ant dėžutės ir lizdinės plokštelės po „EXP“ nurodytam tinkamumo laikui pasibaigus, šio vaisto vartoti negalima. </w:t>
      </w:r>
      <w:r w:rsidRPr="00776407">
        <w:rPr>
          <w:sz w:val="22"/>
          <w:szCs w:val="22"/>
        </w:rPr>
        <w:t>Vaistas tinkamas vartoti iki paskutinės nurodyto mėnesio dienos.</w:t>
      </w:r>
    </w:p>
    <w:p w14:paraId="11E3F136" w14:textId="77777777" w:rsidR="00C6414B" w:rsidRPr="00776407" w:rsidRDefault="00C6414B" w:rsidP="00C6414B">
      <w:pPr>
        <w:autoSpaceDE w:val="0"/>
        <w:autoSpaceDN w:val="0"/>
        <w:adjustRightInd w:val="0"/>
        <w:spacing w:after="38"/>
        <w:rPr>
          <w:rFonts w:eastAsia="Calibri"/>
          <w:sz w:val="22"/>
          <w:szCs w:val="22"/>
        </w:rPr>
      </w:pPr>
      <w:r w:rsidRPr="00776407">
        <w:rPr>
          <w:rFonts w:eastAsia="Calibri"/>
          <w:sz w:val="22"/>
          <w:szCs w:val="22"/>
        </w:rPr>
        <w:t xml:space="preserve">Laikyti ne aukštesnėje kaip </w:t>
      </w:r>
      <w:r w:rsidRPr="00776407">
        <w:rPr>
          <w:sz w:val="22"/>
          <w:szCs w:val="22"/>
        </w:rPr>
        <w:t>30</w:t>
      </w:r>
      <w:r w:rsidR="0067711E" w:rsidRPr="00776407">
        <w:rPr>
          <w:sz w:val="22"/>
          <w:szCs w:val="22"/>
        </w:rPr>
        <w:t> </w:t>
      </w:r>
      <w:r w:rsidRPr="00776407">
        <w:rPr>
          <w:sz w:val="22"/>
          <w:szCs w:val="22"/>
        </w:rPr>
        <w:t>°C</w:t>
      </w:r>
      <w:r w:rsidRPr="00776407">
        <w:rPr>
          <w:rFonts w:eastAsia="Calibri"/>
          <w:sz w:val="22"/>
          <w:szCs w:val="22"/>
        </w:rPr>
        <w:t xml:space="preserve"> temperatūroje. </w:t>
      </w:r>
    </w:p>
    <w:p w14:paraId="70A956E4" w14:textId="77777777" w:rsidR="00C6414B" w:rsidRPr="00776407" w:rsidRDefault="00C6414B" w:rsidP="00C6414B">
      <w:pPr>
        <w:autoSpaceDE w:val="0"/>
        <w:autoSpaceDN w:val="0"/>
        <w:adjustRightInd w:val="0"/>
        <w:spacing w:after="38"/>
        <w:rPr>
          <w:rFonts w:eastAsia="Calibri"/>
          <w:sz w:val="22"/>
          <w:szCs w:val="22"/>
        </w:rPr>
      </w:pPr>
      <w:r w:rsidRPr="00776407">
        <w:rPr>
          <w:rFonts w:eastAsia="Calibri"/>
          <w:sz w:val="22"/>
          <w:szCs w:val="22"/>
        </w:rPr>
        <w:t xml:space="preserve">Laikyti gamintojo pakuotėje, kad preparatas būtų apsaugotas nuo drėgmės. </w:t>
      </w:r>
    </w:p>
    <w:p w14:paraId="2B776476"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 xml:space="preserve">Negalima vartoti vaisto iš pakuotės, kuri yra pažeista ar yra sugedimo požymių. </w:t>
      </w:r>
    </w:p>
    <w:p w14:paraId="1E55D19F" w14:textId="77777777" w:rsidR="00C6414B" w:rsidRPr="00776407" w:rsidRDefault="00C6414B" w:rsidP="00C6414B">
      <w:pPr>
        <w:autoSpaceDE w:val="0"/>
        <w:autoSpaceDN w:val="0"/>
        <w:adjustRightInd w:val="0"/>
        <w:rPr>
          <w:rFonts w:eastAsia="Calibri"/>
          <w:sz w:val="22"/>
          <w:szCs w:val="22"/>
        </w:rPr>
      </w:pPr>
      <w:r w:rsidRPr="00776407">
        <w:rPr>
          <w:sz w:val="22"/>
          <w:szCs w:val="22"/>
        </w:rPr>
        <w:t>Vaistų negalima išmesti į kanalizaciją arba su buitinėmis atliekomis. Kaip išmesti nereikalingus vaistus, klauskite vaistininko. Šios priemonės padės apsaugoti aplinką.</w:t>
      </w:r>
    </w:p>
    <w:p w14:paraId="5D577091" w14:textId="77777777" w:rsidR="00C6414B" w:rsidRPr="00776407" w:rsidRDefault="00C6414B" w:rsidP="00C6414B">
      <w:pPr>
        <w:autoSpaceDE w:val="0"/>
        <w:autoSpaceDN w:val="0"/>
        <w:adjustRightInd w:val="0"/>
        <w:rPr>
          <w:rFonts w:eastAsia="Calibri"/>
          <w:sz w:val="22"/>
          <w:szCs w:val="22"/>
        </w:rPr>
      </w:pPr>
    </w:p>
    <w:p w14:paraId="7E86402A" w14:textId="77777777" w:rsidR="00C6414B" w:rsidRPr="00776407" w:rsidRDefault="00C6414B" w:rsidP="00C6414B">
      <w:pPr>
        <w:autoSpaceDE w:val="0"/>
        <w:autoSpaceDN w:val="0"/>
        <w:adjustRightInd w:val="0"/>
        <w:rPr>
          <w:rFonts w:eastAsia="Calibri"/>
          <w:sz w:val="22"/>
          <w:szCs w:val="22"/>
        </w:rPr>
      </w:pPr>
    </w:p>
    <w:p w14:paraId="7F58951F" w14:textId="77777777" w:rsidR="00C6414B" w:rsidRPr="00776407" w:rsidRDefault="00C6414B" w:rsidP="00864BE6">
      <w:pPr>
        <w:pStyle w:val="Listenabsatz"/>
        <w:numPr>
          <w:ilvl w:val="0"/>
          <w:numId w:val="12"/>
        </w:numPr>
        <w:autoSpaceDE w:val="0"/>
        <w:autoSpaceDN w:val="0"/>
        <w:adjustRightInd w:val="0"/>
        <w:ind w:left="567" w:hanging="567"/>
        <w:rPr>
          <w:rFonts w:eastAsia="Calibri"/>
          <w:sz w:val="22"/>
          <w:szCs w:val="22"/>
        </w:rPr>
      </w:pPr>
      <w:r w:rsidRPr="00776407">
        <w:rPr>
          <w:rFonts w:eastAsia="Calibri"/>
          <w:b/>
          <w:bCs/>
          <w:sz w:val="22"/>
          <w:szCs w:val="22"/>
        </w:rPr>
        <w:t xml:space="preserve">Pakuotės turinys ir kita informacija </w:t>
      </w:r>
    </w:p>
    <w:p w14:paraId="045DCEDC" w14:textId="77777777" w:rsidR="00C6414B" w:rsidRPr="00776407" w:rsidRDefault="00C6414B" w:rsidP="00C6414B">
      <w:pPr>
        <w:autoSpaceDE w:val="0"/>
        <w:autoSpaceDN w:val="0"/>
        <w:adjustRightInd w:val="0"/>
        <w:rPr>
          <w:rFonts w:eastAsia="Calibri"/>
          <w:sz w:val="22"/>
          <w:szCs w:val="22"/>
        </w:rPr>
      </w:pPr>
    </w:p>
    <w:p w14:paraId="1DD5867F" w14:textId="77777777" w:rsidR="00C6414B" w:rsidRPr="00776407" w:rsidRDefault="00C6414B" w:rsidP="00C6414B">
      <w:pPr>
        <w:autoSpaceDE w:val="0"/>
        <w:autoSpaceDN w:val="0"/>
        <w:adjustRightInd w:val="0"/>
        <w:rPr>
          <w:rFonts w:eastAsia="Calibri"/>
          <w:b/>
          <w:bCs/>
          <w:sz w:val="22"/>
          <w:szCs w:val="22"/>
        </w:rPr>
      </w:pPr>
      <w:r w:rsidRPr="00776407">
        <w:rPr>
          <w:rFonts w:eastAsia="Calibri"/>
          <w:b/>
          <w:bCs/>
          <w:sz w:val="22"/>
          <w:szCs w:val="22"/>
        </w:rPr>
        <w:t xml:space="preserve">Imatinib Actavis sudėtis </w:t>
      </w:r>
    </w:p>
    <w:p w14:paraId="23956EEF" w14:textId="77777777" w:rsidR="00C6414B" w:rsidRPr="00776407" w:rsidRDefault="00C6414B" w:rsidP="00C6414B">
      <w:pPr>
        <w:autoSpaceDE w:val="0"/>
        <w:autoSpaceDN w:val="0"/>
        <w:adjustRightInd w:val="0"/>
        <w:ind w:left="720" w:hanging="720"/>
        <w:rPr>
          <w:rFonts w:eastAsia="Calibri"/>
          <w:sz w:val="22"/>
          <w:szCs w:val="22"/>
        </w:rPr>
      </w:pPr>
      <w:r w:rsidRPr="00776407">
        <w:rPr>
          <w:rFonts w:eastAsia="Calibri"/>
          <w:sz w:val="22"/>
          <w:szCs w:val="22"/>
        </w:rPr>
        <w:t>-</w:t>
      </w:r>
      <w:r w:rsidRPr="00776407">
        <w:rPr>
          <w:rFonts w:eastAsia="Calibri"/>
          <w:sz w:val="22"/>
          <w:szCs w:val="22"/>
        </w:rPr>
        <w:tab/>
        <w:t>Veiklioji medžiaga yra imatinibo mesilatas. Kiekvienoje tabletėje yra 400 mg imatinibo (mesilato</w:t>
      </w:r>
      <w:r w:rsidR="0067711E" w:rsidRPr="00776407">
        <w:rPr>
          <w:rFonts w:eastAsia="Calibri"/>
          <w:sz w:val="22"/>
          <w:szCs w:val="22"/>
        </w:rPr>
        <w:t xml:space="preserve"> pavidalu</w:t>
      </w:r>
      <w:r w:rsidRPr="00776407">
        <w:rPr>
          <w:rFonts w:eastAsia="Calibri"/>
          <w:sz w:val="22"/>
          <w:szCs w:val="22"/>
        </w:rPr>
        <w:t xml:space="preserve">). </w:t>
      </w:r>
    </w:p>
    <w:p w14:paraId="36CD9487" w14:textId="77777777" w:rsidR="00C6414B" w:rsidRPr="00776407" w:rsidRDefault="00C6414B" w:rsidP="00C6414B">
      <w:pPr>
        <w:keepNext/>
        <w:autoSpaceDE w:val="0"/>
        <w:autoSpaceDN w:val="0"/>
        <w:adjustRightInd w:val="0"/>
        <w:ind w:left="720" w:hanging="720"/>
        <w:rPr>
          <w:rFonts w:eastAsia="Calibri"/>
          <w:color w:val="000000"/>
          <w:sz w:val="22"/>
          <w:szCs w:val="22"/>
        </w:rPr>
      </w:pPr>
      <w:r w:rsidRPr="00776407">
        <w:rPr>
          <w:rFonts w:eastAsia="Calibri"/>
          <w:sz w:val="22"/>
          <w:szCs w:val="22"/>
        </w:rPr>
        <w:t>-</w:t>
      </w:r>
      <w:r w:rsidRPr="00776407">
        <w:rPr>
          <w:rFonts w:eastAsia="Calibri"/>
          <w:sz w:val="22"/>
          <w:szCs w:val="22"/>
        </w:rPr>
        <w:tab/>
        <w:t xml:space="preserve">Pagalbinės medžiagos yra: </w:t>
      </w:r>
      <w:r w:rsidRPr="00776407">
        <w:rPr>
          <w:rFonts w:eastAsia="Calibri"/>
          <w:color w:val="000000"/>
          <w:sz w:val="22"/>
          <w:szCs w:val="22"/>
        </w:rPr>
        <w:t>mikrokristalinė celiuliozė, kopovidonas, krospovidonas, natrio stearilfumaratas, silicio dioksidas (koloidinis hidrofobinis ir koloidinis bevandenis), dalinai hidrolizuotas polivinilo alkoholis talkas, geltonasis geležies oksidas (E172), titano dioksidas (E171), raudonasis geležies oksidas (E172), sojų lecitinas (E322), ksantano lipai (E415)</w:t>
      </w:r>
    </w:p>
    <w:p w14:paraId="07C7C062" w14:textId="77777777" w:rsidR="00C6414B" w:rsidRPr="00776407" w:rsidRDefault="00C6414B" w:rsidP="00C6414B">
      <w:pPr>
        <w:autoSpaceDE w:val="0"/>
        <w:autoSpaceDN w:val="0"/>
        <w:adjustRightInd w:val="0"/>
        <w:ind w:left="720" w:hanging="720"/>
        <w:rPr>
          <w:rFonts w:eastAsia="Calibri"/>
          <w:color w:val="000000"/>
          <w:sz w:val="22"/>
          <w:szCs w:val="22"/>
        </w:rPr>
      </w:pPr>
    </w:p>
    <w:p w14:paraId="152C3211"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Imatinib Actavis išvaizda ir kiekis pakuotėje </w:t>
      </w:r>
    </w:p>
    <w:p w14:paraId="5B896E12" w14:textId="77777777" w:rsidR="00C6414B" w:rsidRPr="00776407" w:rsidRDefault="00C6414B" w:rsidP="00C6414B">
      <w:pPr>
        <w:pStyle w:val="Default"/>
        <w:rPr>
          <w:rFonts w:ascii="Times New Roman" w:hAnsi="Times New Roman" w:cs="Times New Roman"/>
          <w:color w:val="auto"/>
          <w:sz w:val="22"/>
          <w:szCs w:val="22"/>
          <w:lang w:val="lt-LT"/>
        </w:rPr>
      </w:pPr>
      <w:r w:rsidRPr="00776407">
        <w:rPr>
          <w:rFonts w:ascii="Times New Roman" w:hAnsi="Times New Roman" w:cs="Times New Roman"/>
          <w:color w:val="auto"/>
          <w:sz w:val="22"/>
          <w:szCs w:val="22"/>
          <w:lang w:val="lt-LT"/>
        </w:rPr>
        <w:t>Ovali, abipusiai išgaubta tamsiai geltonai rusvos spalvos plėvele dengta tabletė, ant vienos pusės įspaustas kompanijos logo, ant kitos pusės ženklas “37” ir vagelė.</w:t>
      </w:r>
    </w:p>
    <w:p w14:paraId="425095B6" w14:textId="77777777" w:rsidR="00C6414B" w:rsidRPr="00776407" w:rsidRDefault="00C6414B" w:rsidP="00C6414B">
      <w:pPr>
        <w:autoSpaceDE w:val="0"/>
        <w:autoSpaceDN w:val="0"/>
        <w:adjustRightInd w:val="0"/>
        <w:rPr>
          <w:rFonts w:eastAsia="Calibri"/>
          <w:i/>
          <w:sz w:val="22"/>
          <w:szCs w:val="22"/>
        </w:rPr>
      </w:pPr>
    </w:p>
    <w:p w14:paraId="288C338C" w14:textId="77777777" w:rsidR="00C6414B" w:rsidRPr="00776407" w:rsidRDefault="00C6414B" w:rsidP="00C6414B">
      <w:pPr>
        <w:autoSpaceDE w:val="0"/>
        <w:autoSpaceDN w:val="0"/>
        <w:adjustRightInd w:val="0"/>
        <w:rPr>
          <w:rFonts w:eastAsia="Calibri"/>
          <w:i/>
          <w:sz w:val="22"/>
          <w:szCs w:val="22"/>
        </w:rPr>
      </w:pPr>
      <w:r w:rsidRPr="00776407">
        <w:rPr>
          <w:rFonts w:eastAsia="Calibri"/>
          <w:i/>
          <w:sz w:val="22"/>
          <w:szCs w:val="22"/>
        </w:rPr>
        <w:t>Pakuočių dydžiai:</w:t>
      </w:r>
    </w:p>
    <w:p w14:paraId="25A23FD4" w14:textId="77777777" w:rsidR="00C6414B" w:rsidRPr="00776407" w:rsidRDefault="0031536A" w:rsidP="00C6414B">
      <w:pPr>
        <w:autoSpaceDE w:val="0"/>
        <w:autoSpaceDN w:val="0"/>
        <w:adjustRightInd w:val="0"/>
        <w:rPr>
          <w:rFonts w:eastAsia="Calibri"/>
          <w:sz w:val="22"/>
          <w:szCs w:val="22"/>
        </w:rPr>
      </w:pPr>
      <w:r w:rsidRPr="00776407">
        <w:rPr>
          <w:rFonts w:eastAsia="Calibri"/>
          <w:sz w:val="22"/>
          <w:szCs w:val="22"/>
        </w:rPr>
        <w:t xml:space="preserve">Tabletės supakuotos į aliuminio lizdines plokštele. </w:t>
      </w:r>
      <w:r w:rsidR="00C6414B" w:rsidRPr="00776407">
        <w:rPr>
          <w:rFonts w:eastAsia="Calibri"/>
          <w:sz w:val="22"/>
          <w:szCs w:val="22"/>
        </w:rPr>
        <w:t xml:space="preserve">Pakuotėje yra </w:t>
      </w:r>
      <w:r w:rsidR="00C6414B" w:rsidRPr="00776407">
        <w:rPr>
          <w:sz w:val="22"/>
          <w:szCs w:val="22"/>
        </w:rPr>
        <w:t>10, 30, 60 or 90 plėvele dengtų tablečių.</w:t>
      </w:r>
    </w:p>
    <w:p w14:paraId="5C7763CF" w14:textId="77777777" w:rsidR="00C6414B" w:rsidRPr="00776407" w:rsidRDefault="00C6414B" w:rsidP="00C6414B">
      <w:pPr>
        <w:autoSpaceDE w:val="0"/>
        <w:autoSpaceDN w:val="0"/>
        <w:adjustRightInd w:val="0"/>
        <w:rPr>
          <w:rFonts w:eastAsia="Calibri"/>
          <w:sz w:val="22"/>
          <w:szCs w:val="22"/>
        </w:rPr>
      </w:pPr>
    </w:p>
    <w:p w14:paraId="6B3CD416" w14:textId="77777777" w:rsidR="00C6414B" w:rsidRPr="00776407" w:rsidRDefault="00C6414B" w:rsidP="00C6414B">
      <w:pPr>
        <w:autoSpaceDE w:val="0"/>
        <w:autoSpaceDN w:val="0"/>
        <w:adjustRightInd w:val="0"/>
        <w:rPr>
          <w:rFonts w:eastAsia="Calibri"/>
          <w:sz w:val="22"/>
          <w:szCs w:val="22"/>
        </w:rPr>
      </w:pPr>
      <w:r w:rsidRPr="00776407">
        <w:rPr>
          <w:rFonts w:eastAsia="Calibri"/>
          <w:sz w:val="22"/>
          <w:szCs w:val="22"/>
        </w:rPr>
        <w:t>Gali būti tiekiamos ne visų dydžių pakuotės.</w:t>
      </w:r>
    </w:p>
    <w:p w14:paraId="17A152AB" w14:textId="77777777" w:rsidR="00C6414B" w:rsidRPr="00776407" w:rsidRDefault="00C6414B" w:rsidP="00C6414B">
      <w:pPr>
        <w:pStyle w:val="Default"/>
        <w:rPr>
          <w:rFonts w:ascii="Times New Roman" w:hAnsi="Times New Roman" w:cs="Times New Roman"/>
          <w:color w:val="auto"/>
          <w:sz w:val="22"/>
          <w:szCs w:val="22"/>
          <w:lang w:val="lt-LT"/>
        </w:rPr>
      </w:pPr>
    </w:p>
    <w:p w14:paraId="22ED3B92" w14:textId="77777777" w:rsidR="00C6414B" w:rsidRPr="00776407" w:rsidRDefault="00944055" w:rsidP="00C6414B">
      <w:pPr>
        <w:autoSpaceDE w:val="0"/>
        <w:autoSpaceDN w:val="0"/>
        <w:adjustRightInd w:val="0"/>
        <w:rPr>
          <w:rFonts w:eastAsia="Calibri"/>
          <w:sz w:val="22"/>
          <w:szCs w:val="22"/>
        </w:rPr>
      </w:pPr>
      <w:r w:rsidRPr="00776407">
        <w:rPr>
          <w:rFonts w:eastAsia="Calibri"/>
          <w:b/>
          <w:bCs/>
          <w:sz w:val="22"/>
          <w:szCs w:val="22"/>
        </w:rPr>
        <w:t>Registruotojas</w:t>
      </w:r>
      <w:r w:rsidR="00C6414B" w:rsidRPr="00776407">
        <w:rPr>
          <w:rFonts w:eastAsia="Calibri"/>
          <w:b/>
          <w:bCs/>
          <w:sz w:val="22"/>
          <w:szCs w:val="22"/>
        </w:rPr>
        <w:t xml:space="preserve"> </w:t>
      </w:r>
    </w:p>
    <w:p w14:paraId="02131487" w14:textId="77777777" w:rsidR="00C6414B" w:rsidRPr="00776407" w:rsidRDefault="00C6414B" w:rsidP="00C6414B">
      <w:pPr>
        <w:autoSpaceDE w:val="0"/>
        <w:autoSpaceDN w:val="0"/>
        <w:adjustRightInd w:val="0"/>
        <w:rPr>
          <w:sz w:val="22"/>
          <w:szCs w:val="22"/>
        </w:rPr>
      </w:pPr>
      <w:r w:rsidRPr="00776407">
        <w:rPr>
          <w:sz w:val="22"/>
          <w:szCs w:val="22"/>
        </w:rPr>
        <w:t>Actavis Group PTC ehf.</w:t>
      </w:r>
    </w:p>
    <w:p w14:paraId="31073345" w14:textId="77777777" w:rsidR="00C6414B" w:rsidRPr="00776407" w:rsidRDefault="00C6414B" w:rsidP="00C6414B">
      <w:pPr>
        <w:autoSpaceDE w:val="0"/>
        <w:autoSpaceDN w:val="0"/>
        <w:adjustRightInd w:val="0"/>
        <w:rPr>
          <w:sz w:val="22"/>
          <w:szCs w:val="22"/>
        </w:rPr>
      </w:pPr>
      <w:r w:rsidRPr="00776407">
        <w:rPr>
          <w:sz w:val="22"/>
          <w:szCs w:val="22"/>
        </w:rPr>
        <w:t>Reykjavíkurvegur 76-78,</w:t>
      </w:r>
    </w:p>
    <w:p w14:paraId="7C46A8B2" w14:textId="77777777" w:rsidR="00C6414B" w:rsidRPr="00776407" w:rsidRDefault="00C6414B" w:rsidP="00C6414B">
      <w:pPr>
        <w:autoSpaceDE w:val="0"/>
        <w:autoSpaceDN w:val="0"/>
        <w:adjustRightInd w:val="0"/>
        <w:rPr>
          <w:sz w:val="22"/>
          <w:szCs w:val="22"/>
        </w:rPr>
      </w:pPr>
      <w:r w:rsidRPr="00776407">
        <w:rPr>
          <w:sz w:val="22"/>
          <w:szCs w:val="22"/>
        </w:rPr>
        <w:t>Hafnarfjörður</w:t>
      </w:r>
    </w:p>
    <w:p w14:paraId="3DC2A236" w14:textId="77777777" w:rsidR="00C6414B" w:rsidRPr="00776407" w:rsidRDefault="00C6414B" w:rsidP="00C6414B">
      <w:pPr>
        <w:autoSpaceDE w:val="0"/>
        <w:autoSpaceDN w:val="0"/>
        <w:adjustRightInd w:val="0"/>
        <w:rPr>
          <w:sz w:val="22"/>
          <w:szCs w:val="22"/>
        </w:rPr>
      </w:pPr>
      <w:r w:rsidRPr="00776407">
        <w:rPr>
          <w:sz w:val="22"/>
          <w:szCs w:val="22"/>
        </w:rPr>
        <w:t>Islandija</w:t>
      </w:r>
    </w:p>
    <w:p w14:paraId="6ED5BAAB" w14:textId="77777777" w:rsidR="00C6414B" w:rsidRPr="00776407" w:rsidRDefault="00C6414B" w:rsidP="00C6414B">
      <w:pPr>
        <w:autoSpaceDE w:val="0"/>
        <w:autoSpaceDN w:val="0"/>
        <w:adjustRightInd w:val="0"/>
        <w:rPr>
          <w:rFonts w:eastAsia="Calibri"/>
          <w:b/>
          <w:bCs/>
          <w:sz w:val="22"/>
          <w:szCs w:val="22"/>
        </w:rPr>
      </w:pPr>
    </w:p>
    <w:p w14:paraId="18673626" w14:textId="77777777" w:rsidR="00C6414B" w:rsidRPr="00776407" w:rsidRDefault="00C6414B" w:rsidP="00C6414B">
      <w:pPr>
        <w:autoSpaceDE w:val="0"/>
        <w:autoSpaceDN w:val="0"/>
        <w:adjustRightInd w:val="0"/>
        <w:rPr>
          <w:rFonts w:eastAsia="Calibri"/>
          <w:sz w:val="22"/>
          <w:szCs w:val="22"/>
        </w:rPr>
      </w:pPr>
      <w:r w:rsidRPr="00776407">
        <w:rPr>
          <w:rFonts w:eastAsia="Calibri"/>
          <w:b/>
          <w:bCs/>
          <w:sz w:val="22"/>
          <w:szCs w:val="22"/>
        </w:rPr>
        <w:t xml:space="preserve">Gamintojas </w:t>
      </w:r>
    </w:p>
    <w:p w14:paraId="4A950561" w14:textId="77777777" w:rsidR="00C6414B" w:rsidRPr="00776407" w:rsidRDefault="00C6414B" w:rsidP="00C6414B">
      <w:pPr>
        <w:pStyle w:val="KeinLeerraum"/>
        <w:rPr>
          <w:sz w:val="22"/>
          <w:szCs w:val="22"/>
        </w:rPr>
      </w:pPr>
      <w:r w:rsidRPr="00776407">
        <w:rPr>
          <w:sz w:val="22"/>
          <w:szCs w:val="22"/>
        </w:rPr>
        <w:t>S.C. Sindan</w:t>
      </w:r>
      <w:r w:rsidRPr="00776407">
        <w:rPr>
          <w:sz w:val="22"/>
          <w:szCs w:val="22"/>
        </w:rPr>
        <w:noBreakHyphen/>
        <w:t>Pharma S.R.L.</w:t>
      </w:r>
    </w:p>
    <w:p w14:paraId="51FC2F35" w14:textId="77777777" w:rsidR="00C6414B" w:rsidRPr="00776407" w:rsidRDefault="00C6414B" w:rsidP="00C6414B">
      <w:pPr>
        <w:pStyle w:val="KeinLeerraum"/>
        <w:rPr>
          <w:sz w:val="22"/>
          <w:szCs w:val="22"/>
        </w:rPr>
      </w:pPr>
      <w:r w:rsidRPr="00776407">
        <w:rPr>
          <w:sz w:val="22"/>
          <w:szCs w:val="22"/>
        </w:rPr>
        <w:t>11 Ion Mihalache Blvd</w:t>
      </w:r>
    </w:p>
    <w:p w14:paraId="52ABDD58" w14:textId="77777777" w:rsidR="00C6414B" w:rsidRPr="00776407" w:rsidRDefault="00C6414B" w:rsidP="00C6414B">
      <w:pPr>
        <w:pStyle w:val="KeinLeerraum"/>
        <w:rPr>
          <w:sz w:val="22"/>
          <w:szCs w:val="22"/>
        </w:rPr>
      </w:pPr>
      <w:r w:rsidRPr="00776407">
        <w:rPr>
          <w:sz w:val="22"/>
          <w:szCs w:val="22"/>
        </w:rPr>
        <w:t>Bucharest</w:t>
      </w:r>
    </w:p>
    <w:p w14:paraId="265751B0" w14:textId="77777777" w:rsidR="00C6414B" w:rsidRPr="00776407" w:rsidRDefault="00C6414B" w:rsidP="00C6414B">
      <w:pPr>
        <w:pStyle w:val="KeinLeerraum"/>
        <w:rPr>
          <w:sz w:val="22"/>
          <w:szCs w:val="22"/>
        </w:rPr>
      </w:pPr>
      <w:r w:rsidRPr="00776407">
        <w:rPr>
          <w:sz w:val="22"/>
          <w:szCs w:val="22"/>
        </w:rPr>
        <w:t>Rumunija</w:t>
      </w:r>
    </w:p>
    <w:p w14:paraId="7EE582CF" w14:textId="77777777" w:rsidR="00C6414B" w:rsidRPr="00776407" w:rsidRDefault="00C6414B" w:rsidP="00C6414B">
      <w:pPr>
        <w:numPr>
          <w:ilvl w:val="12"/>
          <w:numId w:val="0"/>
        </w:numPr>
        <w:ind w:right="-2"/>
        <w:rPr>
          <w:sz w:val="22"/>
          <w:szCs w:val="22"/>
        </w:rPr>
      </w:pPr>
    </w:p>
    <w:p w14:paraId="45D8300B" w14:textId="77777777" w:rsidR="00C6414B" w:rsidRPr="00776407" w:rsidRDefault="00C6414B" w:rsidP="00C6414B">
      <w:pPr>
        <w:numPr>
          <w:ilvl w:val="12"/>
          <w:numId w:val="0"/>
        </w:numPr>
        <w:ind w:right="-2"/>
        <w:rPr>
          <w:sz w:val="22"/>
          <w:szCs w:val="22"/>
        </w:rPr>
      </w:pPr>
      <w:r w:rsidRPr="00776407">
        <w:rPr>
          <w:sz w:val="22"/>
          <w:szCs w:val="22"/>
        </w:rPr>
        <w:t xml:space="preserve">Jeigu apie šį vaistą norite sužinoti daugiau, kreipkitės į vietinį </w:t>
      </w:r>
      <w:r w:rsidR="00A93ED3" w:rsidRPr="00776407">
        <w:rPr>
          <w:sz w:val="22"/>
          <w:szCs w:val="22"/>
        </w:rPr>
        <w:t xml:space="preserve">registruotojo </w:t>
      </w:r>
      <w:r w:rsidRPr="00776407">
        <w:rPr>
          <w:sz w:val="22"/>
          <w:szCs w:val="22"/>
        </w:rPr>
        <w:t>atstovą.</w:t>
      </w:r>
    </w:p>
    <w:p w14:paraId="042D9465" w14:textId="77777777" w:rsidR="004D72CE" w:rsidRPr="00881EFD" w:rsidRDefault="004D72CE" w:rsidP="004D72CE">
      <w:pPr>
        <w:autoSpaceDE w:val="0"/>
        <w:autoSpaceDN w:val="0"/>
        <w:adjustRightInd w:val="0"/>
        <w:rPr>
          <w:color w:val="000000" w:themeColor="text1"/>
          <w:sz w:val="22"/>
          <w:szCs w:val="22"/>
        </w:rPr>
      </w:pPr>
    </w:p>
    <w:tbl>
      <w:tblPr>
        <w:tblW w:w="9360" w:type="dxa"/>
        <w:tblInd w:w="-34" w:type="dxa"/>
        <w:tblLayout w:type="fixed"/>
        <w:tblLook w:val="04A0" w:firstRow="1" w:lastRow="0" w:firstColumn="1" w:lastColumn="0" w:noHBand="0" w:noVBand="1"/>
      </w:tblPr>
      <w:tblGrid>
        <w:gridCol w:w="34"/>
        <w:gridCol w:w="4646"/>
        <w:gridCol w:w="4680"/>
      </w:tblGrid>
      <w:tr w:rsidR="004D72CE" w:rsidRPr="00776407" w14:paraId="0B657B34" w14:textId="77777777" w:rsidTr="00876969">
        <w:trPr>
          <w:gridBefore w:val="1"/>
          <w:wBefore w:w="34" w:type="dxa"/>
          <w:cantSplit/>
        </w:trPr>
        <w:tc>
          <w:tcPr>
            <w:tcW w:w="4644" w:type="dxa"/>
          </w:tcPr>
          <w:p w14:paraId="63A286AF"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België/Belgique/Belgien</w:t>
            </w:r>
          </w:p>
          <w:p w14:paraId="6D15D6EA"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79E2CC0F"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IJsland/Islande/Island</w:t>
            </w:r>
          </w:p>
          <w:p w14:paraId="0CBB61C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Tél/Tel: +354 5503300</w:t>
            </w:r>
          </w:p>
          <w:p w14:paraId="0BA39CD0" w14:textId="77777777" w:rsidR="004D72CE" w:rsidRPr="00776407" w:rsidRDefault="004D72CE" w:rsidP="00876969">
            <w:pPr>
              <w:pStyle w:val="KeinLeerraum"/>
              <w:rPr>
                <w:color w:val="000000" w:themeColor="text1"/>
                <w:sz w:val="22"/>
                <w:szCs w:val="22"/>
              </w:rPr>
            </w:pPr>
          </w:p>
        </w:tc>
        <w:tc>
          <w:tcPr>
            <w:tcW w:w="4678" w:type="dxa"/>
          </w:tcPr>
          <w:p w14:paraId="1EC398E7"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Lietuva</w:t>
            </w:r>
          </w:p>
          <w:p w14:paraId="50CD9861" w14:textId="7B3F32A1" w:rsidR="004D72CE" w:rsidRPr="00776407" w:rsidRDefault="004D72CE" w:rsidP="00876969">
            <w:pPr>
              <w:ind w:right="567"/>
              <w:rPr>
                <w:noProof/>
                <w:color w:val="000000" w:themeColor="text1"/>
                <w:sz w:val="22"/>
                <w:szCs w:val="22"/>
              </w:rPr>
            </w:pPr>
            <w:r w:rsidRPr="00776407">
              <w:rPr>
                <w:noProof/>
                <w:color w:val="000000" w:themeColor="text1"/>
                <w:sz w:val="22"/>
                <w:szCs w:val="22"/>
              </w:rPr>
              <w:t>UAB Teva Baltics</w:t>
            </w:r>
          </w:p>
          <w:p w14:paraId="7A5B9F7F"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+370 5</w:t>
            </w:r>
            <w:r w:rsidRPr="00776407">
              <w:rPr>
                <w:noProof/>
                <w:color w:val="000000" w:themeColor="text1"/>
                <w:sz w:val="22"/>
                <w:szCs w:val="22"/>
              </w:rPr>
              <w:t>2660203</w:t>
            </w:r>
          </w:p>
          <w:p w14:paraId="2802B84F" w14:textId="77777777" w:rsidR="004D72CE" w:rsidRPr="00776407" w:rsidRDefault="004D72CE" w:rsidP="00876969">
            <w:pPr>
              <w:pStyle w:val="KeinLeerraum"/>
              <w:rPr>
                <w:color w:val="000000" w:themeColor="text1"/>
                <w:sz w:val="22"/>
                <w:szCs w:val="22"/>
              </w:rPr>
            </w:pPr>
          </w:p>
        </w:tc>
      </w:tr>
      <w:tr w:rsidR="004D72CE" w:rsidRPr="00776407" w14:paraId="636BB68C" w14:textId="77777777" w:rsidTr="00876969">
        <w:trPr>
          <w:gridBefore w:val="1"/>
          <w:wBefore w:w="34" w:type="dxa"/>
          <w:cantSplit/>
        </w:trPr>
        <w:tc>
          <w:tcPr>
            <w:tcW w:w="4644" w:type="dxa"/>
          </w:tcPr>
          <w:p w14:paraId="4F343ED3" w14:textId="77777777" w:rsidR="004D72CE" w:rsidRPr="00776407" w:rsidRDefault="004D72CE" w:rsidP="00876969">
            <w:pPr>
              <w:pStyle w:val="KeinLeerraum"/>
              <w:rPr>
                <w:b/>
                <w:bCs/>
                <w:color w:val="000000" w:themeColor="text1"/>
                <w:sz w:val="22"/>
                <w:szCs w:val="22"/>
              </w:rPr>
            </w:pPr>
            <w:r w:rsidRPr="00776407">
              <w:rPr>
                <w:b/>
                <w:bCs/>
                <w:color w:val="000000" w:themeColor="text1"/>
                <w:sz w:val="22"/>
                <w:szCs w:val="22"/>
              </w:rPr>
              <w:t>България</w:t>
            </w:r>
          </w:p>
          <w:p w14:paraId="225B02B1"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Актавис ЕАД</w:t>
            </w:r>
          </w:p>
          <w:p w14:paraId="1882F235"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Teл: +359 24899585</w:t>
            </w:r>
          </w:p>
          <w:p w14:paraId="72928DAE" w14:textId="77777777" w:rsidR="004D72CE" w:rsidRPr="00776407" w:rsidRDefault="004D72CE" w:rsidP="00876969">
            <w:pPr>
              <w:pStyle w:val="KeinLeerraum"/>
              <w:rPr>
                <w:color w:val="000000" w:themeColor="text1"/>
                <w:sz w:val="22"/>
                <w:szCs w:val="22"/>
              </w:rPr>
            </w:pPr>
          </w:p>
        </w:tc>
        <w:tc>
          <w:tcPr>
            <w:tcW w:w="4678" w:type="dxa"/>
          </w:tcPr>
          <w:p w14:paraId="7B522F6A"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Luxembourg/Luxemburg</w:t>
            </w:r>
          </w:p>
          <w:p w14:paraId="1AF1E23B"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4C80BA7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Islande/Island</w:t>
            </w:r>
          </w:p>
          <w:p w14:paraId="017F2B13"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Tél/Tel: +354 5503300</w:t>
            </w:r>
          </w:p>
          <w:p w14:paraId="06A42D54" w14:textId="77777777" w:rsidR="004D72CE" w:rsidRPr="00776407" w:rsidRDefault="004D72CE" w:rsidP="00876969">
            <w:pPr>
              <w:pStyle w:val="KeinLeerraum"/>
              <w:rPr>
                <w:color w:val="000000" w:themeColor="text1"/>
                <w:sz w:val="22"/>
                <w:szCs w:val="22"/>
              </w:rPr>
            </w:pPr>
          </w:p>
        </w:tc>
      </w:tr>
      <w:tr w:rsidR="004D72CE" w:rsidRPr="00776407" w14:paraId="037D236B" w14:textId="77777777" w:rsidTr="00876969">
        <w:trPr>
          <w:gridBefore w:val="1"/>
          <w:wBefore w:w="34" w:type="dxa"/>
          <w:cantSplit/>
          <w:trHeight w:val="751"/>
        </w:trPr>
        <w:tc>
          <w:tcPr>
            <w:tcW w:w="4644" w:type="dxa"/>
          </w:tcPr>
          <w:p w14:paraId="364705B2"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Česká republika</w:t>
            </w:r>
          </w:p>
          <w:p w14:paraId="5DB23DF3" w14:textId="77777777" w:rsidR="004D72CE" w:rsidRPr="00776407" w:rsidRDefault="004D72CE" w:rsidP="00876969">
            <w:pPr>
              <w:tabs>
                <w:tab w:val="left" w:pos="-720"/>
              </w:tabs>
              <w:suppressAutoHyphens/>
              <w:ind w:right="567"/>
              <w:rPr>
                <w:noProof/>
                <w:color w:val="000000" w:themeColor="text1"/>
                <w:sz w:val="22"/>
                <w:szCs w:val="22"/>
              </w:rPr>
            </w:pPr>
            <w:r w:rsidRPr="00776407">
              <w:rPr>
                <w:noProof/>
                <w:color w:val="000000" w:themeColor="text1"/>
                <w:sz w:val="22"/>
                <w:szCs w:val="22"/>
              </w:rPr>
              <w:t>Teva Pharmaceuticals CR, s.r.o.</w:t>
            </w:r>
          </w:p>
          <w:p w14:paraId="19FF8DA3"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+420 251007111</w:t>
            </w:r>
          </w:p>
          <w:p w14:paraId="7BE97171" w14:textId="77777777" w:rsidR="004D72CE" w:rsidRPr="00776407" w:rsidRDefault="004D72CE" w:rsidP="00876969">
            <w:pPr>
              <w:pStyle w:val="KeinLeerraum"/>
              <w:rPr>
                <w:color w:val="000000" w:themeColor="text1"/>
                <w:sz w:val="22"/>
                <w:szCs w:val="22"/>
              </w:rPr>
            </w:pPr>
          </w:p>
        </w:tc>
        <w:tc>
          <w:tcPr>
            <w:tcW w:w="4678" w:type="dxa"/>
          </w:tcPr>
          <w:p w14:paraId="45B1E3FA"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Magyarország</w:t>
            </w:r>
          </w:p>
          <w:p w14:paraId="5483C543"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Teva Gyógyszergyár Zrt.</w:t>
            </w:r>
          </w:p>
          <w:p w14:paraId="5E337434"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+36 1</w:t>
            </w:r>
            <w:r w:rsidRPr="00776407">
              <w:rPr>
                <w:noProof/>
                <w:color w:val="000000" w:themeColor="text1"/>
                <w:sz w:val="22"/>
                <w:szCs w:val="22"/>
              </w:rPr>
              <w:t>2886400</w:t>
            </w:r>
          </w:p>
          <w:p w14:paraId="76FDD910" w14:textId="77777777" w:rsidR="004D72CE" w:rsidRPr="00776407" w:rsidRDefault="004D72CE" w:rsidP="00876969">
            <w:pPr>
              <w:pStyle w:val="KeinLeerraum"/>
              <w:rPr>
                <w:color w:val="000000" w:themeColor="text1"/>
                <w:sz w:val="22"/>
                <w:szCs w:val="22"/>
              </w:rPr>
            </w:pPr>
          </w:p>
        </w:tc>
      </w:tr>
      <w:tr w:rsidR="004D72CE" w:rsidRPr="00776407" w14:paraId="07A40CD5" w14:textId="77777777" w:rsidTr="00876969">
        <w:trPr>
          <w:gridBefore w:val="1"/>
          <w:wBefore w:w="34" w:type="dxa"/>
          <w:cantSplit/>
        </w:trPr>
        <w:tc>
          <w:tcPr>
            <w:tcW w:w="4644" w:type="dxa"/>
          </w:tcPr>
          <w:p w14:paraId="72C462DC"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Danmark</w:t>
            </w:r>
          </w:p>
          <w:p w14:paraId="73118B74"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Denmark A/S</w:t>
            </w:r>
          </w:p>
          <w:p w14:paraId="031FD2D0"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Tlf: +45 44985511</w:t>
            </w:r>
          </w:p>
          <w:p w14:paraId="76E717CD" w14:textId="77777777" w:rsidR="004D72CE" w:rsidRPr="00776407" w:rsidRDefault="004D72CE" w:rsidP="00876969">
            <w:pPr>
              <w:pStyle w:val="KeinLeerraum"/>
              <w:rPr>
                <w:color w:val="000000" w:themeColor="text1"/>
                <w:sz w:val="22"/>
                <w:szCs w:val="22"/>
              </w:rPr>
            </w:pPr>
          </w:p>
        </w:tc>
        <w:tc>
          <w:tcPr>
            <w:tcW w:w="4678" w:type="dxa"/>
          </w:tcPr>
          <w:p w14:paraId="1A89140E"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Malta</w:t>
            </w:r>
          </w:p>
          <w:p w14:paraId="17D31BCE"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Ltd.</w:t>
            </w:r>
          </w:p>
          <w:p w14:paraId="18DE6297"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+356 21693533</w:t>
            </w:r>
          </w:p>
          <w:p w14:paraId="2678E98A" w14:textId="77777777" w:rsidR="004D72CE" w:rsidRPr="00776407" w:rsidRDefault="004D72CE" w:rsidP="00876969">
            <w:pPr>
              <w:pStyle w:val="KeinLeerraum"/>
              <w:rPr>
                <w:color w:val="000000" w:themeColor="text1"/>
                <w:sz w:val="22"/>
                <w:szCs w:val="22"/>
              </w:rPr>
            </w:pPr>
          </w:p>
        </w:tc>
      </w:tr>
      <w:tr w:rsidR="004D72CE" w:rsidRPr="00776407" w14:paraId="6291B93B" w14:textId="77777777" w:rsidTr="00876969">
        <w:trPr>
          <w:gridBefore w:val="1"/>
          <w:wBefore w:w="34" w:type="dxa"/>
          <w:cantSplit/>
        </w:trPr>
        <w:tc>
          <w:tcPr>
            <w:tcW w:w="4644" w:type="dxa"/>
          </w:tcPr>
          <w:p w14:paraId="3B8CF59C"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Deutschland</w:t>
            </w:r>
          </w:p>
          <w:p w14:paraId="29B73E49" w14:textId="77777777" w:rsidR="004D72CE" w:rsidRPr="00776407" w:rsidRDefault="004D72CE" w:rsidP="00876969">
            <w:pPr>
              <w:rPr>
                <w:color w:val="000000" w:themeColor="text1"/>
                <w:sz w:val="22"/>
                <w:szCs w:val="22"/>
              </w:rPr>
            </w:pPr>
            <w:r w:rsidRPr="00776407">
              <w:rPr>
                <w:color w:val="000000" w:themeColor="text1"/>
                <w:sz w:val="22"/>
                <w:szCs w:val="22"/>
              </w:rPr>
              <w:t>Actavis Group PTC ehf.</w:t>
            </w:r>
          </w:p>
          <w:p w14:paraId="75DD3D79"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w:t>
            </w:r>
          </w:p>
          <w:p w14:paraId="438C4BAF"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+354 5503300</w:t>
            </w:r>
          </w:p>
          <w:p w14:paraId="784054A8" w14:textId="77777777" w:rsidR="004D72CE" w:rsidRPr="00776407" w:rsidRDefault="004D72CE" w:rsidP="00876969">
            <w:pPr>
              <w:pStyle w:val="KeinLeerraum"/>
              <w:rPr>
                <w:color w:val="000000" w:themeColor="text1"/>
                <w:sz w:val="22"/>
                <w:szCs w:val="22"/>
              </w:rPr>
            </w:pPr>
          </w:p>
        </w:tc>
        <w:tc>
          <w:tcPr>
            <w:tcW w:w="4678" w:type="dxa"/>
          </w:tcPr>
          <w:p w14:paraId="56FCBA4C"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Nederland</w:t>
            </w:r>
          </w:p>
          <w:p w14:paraId="3883ECD2"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Actavis Group PTC ehf.</w:t>
            </w:r>
          </w:p>
          <w:p w14:paraId="38210DC1"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IJsland</w:t>
            </w:r>
          </w:p>
          <w:p w14:paraId="67197A4E"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+354 5503300</w:t>
            </w:r>
          </w:p>
          <w:p w14:paraId="5775F054" w14:textId="77777777" w:rsidR="004D72CE" w:rsidRPr="00776407" w:rsidRDefault="004D72CE" w:rsidP="00876969">
            <w:pPr>
              <w:pStyle w:val="KeinLeerraum"/>
              <w:rPr>
                <w:color w:val="000000" w:themeColor="text1"/>
                <w:sz w:val="22"/>
                <w:szCs w:val="22"/>
              </w:rPr>
            </w:pPr>
          </w:p>
        </w:tc>
      </w:tr>
      <w:tr w:rsidR="004D72CE" w:rsidRPr="00776407" w14:paraId="32A5D706" w14:textId="77777777" w:rsidTr="00876969">
        <w:trPr>
          <w:gridBefore w:val="1"/>
          <w:wBefore w:w="34" w:type="dxa"/>
          <w:cantSplit/>
        </w:trPr>
        <w:tc>
          <w:tcPr>
            <w:tcW w:w="4644" w:type="dxa"/>
          </w:tcPr>
          <w:p w14:paraId="0B7BE9CC" w14:textId="77777777" w:rsidR="004D72CE" w:rsidRPr="00776407" w:rsidRDefault="004D72CE" w:rsidP="00876969">
            <w:pPr>
              <w:pStyle w:val="KeinLeerraum"/>
              <w:rPr>
                <w:b/>
                <w:bCs/>
                <w:color w:val="000000" w:themeColor="text1"/>
                <w:sz w:val="22"/>
                <w:szCs w:val="22"/>
              </w:rPr>
            </w:pPr>
            <w:r w:rsidRPr="00776407">
              <w:rPr>
                <w:b/>
                <w:bCs/>
                <w:color w:val="000000" w:themeColor="text1"/>
                <w:sz w:val="22"/>
                <w:szCs w:val="22"/>
              </w:rPr>
              <w:t>Eesti</w:t>
            </w:r>
          </w:p>
          <w:p w14:paraId="2BC4F706" w14:textId="323A5916" w:rsidR="004D72CE" w:rsidRPr="00776407" w:rsidRDefault="004D72CE" w:rsidP="00876969">
            <w:pPr>
              <w:pStyle w:val="KeinLeerraum"/>
              <w:rPr>
                <w:color w:val="000000" w:themeColor="text1"/>
                <w:sz w:val="22"/>
                <w:szCs w:val="22"/>
              </w:rPr>
            </w:pPr>
            <w:r w:rsidRPr="00776407">
              <w:rPr>
                <w:color w:val="000000" w:themeColor="text1"/>
                <w:sz w:val="22"/>
                <w:szCs w:val="22"/>
              </w:rPr>
              <w:t>UAB Teva Baltics</w:t>
            </w:r>
            <w:r w:rsidRPr="00776407">
              <w:rPr>
                <w:noProof/>
                <w:color w:val="000000" w:themeColor="text1"/>
                <w:sz w:val="22"/>
                <w:szCs w:val="22"/>
              </w:rPr>
              <w:t xml:space="preserve"> Eesti filiaal</w:t>
            </w:r>
          </w:p>
          <w:p w14:paraId="3E4578B2"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 xml:space="preserve">Tel: +372 </w:t>
            </w:r>
            <w:r w:rsidRPr="00776407">
              <w:rPr>
                <w:noProof/>
                <w:color w:val="000000" w:themeColor="text1"/>
                <w:sz w:val="22"/>
                <w:szCs w:val="22"/>
              </w:rPr>
              <w:t>6610801</w:t>
            </w:r>
          </w:p>
          <w:p w14:paraId="0A342480" w14:textId="77777777" w:rsidR="004D72CE" w:rsidRPr="00776407" w:rsidRDefault="004D72CE" w:rsidP="00876969">
            <w:pPr>
              <w:pStyle w:val="KeinLeerraum"/>
              <w:rPr>
                <w:color w:val="000000" w:themeColor="text1"/>
                <w:sz w:val="22"/>
                <w:szCs w:val="22"/>
              </w:rPr>
            </w:pPr>
          </w:p>
        </w:tc>
        <w:tc>
          <w:tcPr>
            <w:tcW w:w="4678" w:type="dxa"/>
          </w:tcPr>
          <w:p w14:paraId="0D690231"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Norge</w:t>
            </w:r>
          </w:p>
          <w:p w14:paraId="1085D46A"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Teva Norway AS</w:t>
            </w:r>
          </w:p>
          <w:p w14:paraId="7932AC56"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Tlf: +47 66775590</w:t>
            </w:r>
          </w:p>
          <w:p w14:paraId="280A6A89" w14:textId="77777777" w:rsidR="004D72CE" w:rsidRPr="00776407" w:rsidRDefault="004D72CE" w:rsidP="00876969">
            <w:pPr>
              <w:pStyle w:val="KeinLeerraum"/>
              <w:rPr>
                <w:color w:val="000000" w:themeColor="text1"/>
                <w:sz w:val="22"/>
                <w:szCs w:val="22"/>
              </w:rPr>
            </w:pPr>
          </w:p>
        </w:tc>
      </w:tr>
      <w:tr w:rsidR="004D72CE" w:rsidRPr="00776407" w14:paraId="18B8E7FB" w14:textId="77777777" w:rsidTr="00876969">
        <w:trPr>
          <w:gridBefore w:val="1"/>
          <w:wBefore w:w="34" w:type="dxa"/>
          <w:cantSplit/>
        </w:trPr>
        <w:tc>
          <w:tcPr>
            <w:tcW w:w="4644" w:type="dxa"/>
          </w:tcPr>
          <w:p w14:paraId="1F36BF13"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Ελλάδα</w:t>
            </w:r>
          </w:p>
          <w:p w14:paraId="124CF0BB" w14:textId="77777777" w:rsidR="004D72CE" w:rsidRPr="00776407" w:rsidRDefault="004D72CE" w:rsidP="00876969">
            <w:pPr>
              <w:pStyle w:val="NormalParagraphStyle"/>
              <w:spacing w:line="240" w:lineRule="auto"/>
              <w:rPr>
                <w:rFonts w:ascii="Times New Roman" w:hAnsi="Times New Roman"/>
                <w:color w:val="000000" w:themeColor="text1"/>
                <w:sz w:val="22"/>
                <w:szCs w:val="22"/>
                <w:lang w:val="lt-LT"/>
              </w:rPr>
            </w:pPr>
            <w:r w:rsidRPr="00881EFD">
              <w:rPr>
                <w:rFonts w:ascii="Times New Roman" w:hAnsi="Times New Roman"/>
                <w:color w:val="000000" w:themeColor="text1"/>
                <w:sz w:val="22"/>
                <w:szCs w:val="22"/>
                <w:lang w:val="lt-LT"/>
              </w:rPr>
              <w:t>Specifar A.B.E.E</w:t>
            </w:r>
            <w:r w:rsidRPr="00776407">
              <w:rPr>
                <w:rFonts w:ascii="Times New Roman" w:hAnsi="Times New Roman"/>
                <w:color w:val="000000" w:themeColor="text1"/>
                <w:sz w:val="22"/>
                <w:szCs w:val="22"/>
                <w:lang w:val="lt-LT"/>
              </w:rPr>
              <w:t>.</w:t>
            </w:r>
          </w:p>
          <w:p w14:paraId="2CBBEB95" w14:textId="037878F6" w:rsidR="004D72CE" w:rsidRPr="00776407" w:rsidRDefault="004D72CE" w:rsidP="00876969">
            <w:pPr>
              <w:pStyle w:val="KeinLeerraum"/>
              <w:rPr>
                <w:color w:val="000000" w:themeColor="text1"/>
                <w:sz w:val="22"/>
                <w:szCs w:val="22"/>
              </w:rPr>
            </w:pPr>
            <w:r w:rsidRPr="00776407">
              <w:rPr>
                <w:color w:val="000000" w:themeColor="text1"/>
                <w:sz w:val="22"/>
                <w:szCs w:val="22"/>
              </w:rPr>
              <w:t>Τηλ: +30 2118805000</w:t>
            </w:r>
          </w:p>
          <w:p w14:paraId="40498F11" w14:textId="77777777" w:rsidR="004D72CE" w:rsidRPr="00776407" w:rsidRDefault="004D72CE" w:rsidP="00876969">
            <w:pPr>
              <w:pStyle w:val="KeinLeerraum"/>
              <w:rPr>
                <w:color w:val="000000" w:themeColor="text1"/>
                <w:sz w:val="22"/>
                <w:szCs w:val="22"/>
              </w:rPr>
            </w:pPr>
          </w:p>
        </w:tc>
        <w:tc>
          <w:tcPr>
            <w:tcW w:w="4678" w:type="dxa"/>
          </w:tcPr>
          <w:p w14:paraId="61025425"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Österreich</w:t>
            </w:r>
          </w:p>
          <w:p w14:paraId="3162E888" w14:textId="77777777" w:rsidR="004D72CE" w:rsidRPr="00776407" w:rsidRDefault="004D72CE" w:rsidP="00876969">
            <w:pPr>
              <w:rPr>
                <w:rFonts w:eastAsia="Adobe Fangsong Std R"/>
                <w:color w:val="000000" w:themeColor="text1"/>
                <w:sz w:val="22"/>
                <w:szCs w:val="22"/>
              </w:rPr>
            </w:pPr>
            <w:r w:rsidRPr="00776407">
              <w:rPr>
                <w:rFonts w:eastAsia="Adobe Fangsong Std R"/>
                <w:color w:val="000000" w:themeColor="text1"/>
                <w:sz w:val="22"/>
                <w:szCs w:val="22"/>
              </w:rPr>
              <w:t>ratiopharm Arzneimittel Vertriebs-GmbH</w:t>
            </w:r>
          </w:p>
          <w:p w14:paraId="3A7F821F" w14:textId="77777777" w:rsidR="004D72CE" w:rsidRPr="00776407" w:rsidRDefault="004D72CE" w:rsidP="00876969">
            <w:pPr>
              <w:rPr>
                <w:rFonts w:eastAsia="Adobe Fangsong Std R"/>
                <w:color w:val="000000" w:themeColor="text1"/>
                <w:sz w:val="22"/>
                <w:szCs w:val="22"/>
              </w:rPr>
            </w:pPr>
            <w:r w:rsidRPr="00776407">
              <w:rPr>
                <w:rFonts w:eastAsia="Adobe Fangsong Std R"/>
                <w:color w:val="000000" w:themeColor="text1"/>
                <w:sz w:val="22"/>
                <w:szCs w:val="22"/>
              </w:rPr>
              <w:t>Tel: +43 1970070</w:t>
            </w:r>
          </w:p>
          <w:p w14:paraId="48AFBB80" w14:textId="77777777" w:rsidR="004D72CE" w:rsidRPr="00776407" w:rsidRDefault="004D72CE" w:rsidP="00876969">
            <w:pPr>
              <w:pStyle w:val="KeinLeerraum"/>
              <w:rPr>
                <w:color w:val="000000" w:themeColor="text1"/>
                <w:sz w:val="22"/>
                <w:szCs w:val="22"/>
              </w:rPr>
            </w:pPr>
          </w:p>
        </w:tc>
      </w:tr>
      <w:tr w:rsidR="004D72CE" w:rsidRPr="00776407" w14:paraId="3BD20C43" w14:textId="77777777" w:rsidTr="00876969">
        <w:trPr>
          <w:cantSplit/>
        </w:trPr>
        <w:tc>
          <w:tcPr>
            <w:tcW w:w="4678" w:type="dxa"/>
            <w:gridSpan w:val="2"/>
          </w:tcPr>
          <w:p w14:paraId="08A850CB"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España</w:t>
            </w:r>
          </w:p>
          <w:p w14:paraId="3C302F99"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Actavis Group PTC ehf.</w:t>
            </w:r>
          </w:p>
          <w:p w14:paraId="1F9ECEBC"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Islandia</w:t>
            </w:r>
          </w:p>
          <w:p w14:paraId="2A6DC715"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+354 5503300</w:t>
            </w:r>
          </w:p>
          <w:p w14:paraId="507B40BA" w14:textId="77777777" w:rsidR="004D72CE" w:rsidRPr="00776407" w:rsidRDefault="004D72CE" w:rsidP="00876969">
            <w:pPr>
              <w:pStyle w:val="KeinLeerraum"/>
              <w:rPr>
                <w:color w:val="000000" w:themeColor="text1"/>
                <w:sz w:val="22"/>
                <w:szCs w:val="22"/>
              </w:rPr>
            </w:pPr>
          </w:p>
        </w:tc>
        <w:tc>
          <w:tcPr>
            <w:tcW w:w="4678" w:type="dxa"/>
          </w:tcPr>
          <w:p w14:paraId="236F0014" w14:textId="77777777" w:rsidR="004D72CE" w:rsidRPr="00776407" w:rsidRDefault="004D72CE" w:rsidP="00876969">
            <w:pPr>
              <w:pStyle w:val="KeinLeerraum"/>
              <w:rPr>
                <w:b/>
                <w:bCs/>
                <w:i/>
                <w:iCs/>
                <w:color w:val="000000" w:themeColor="text1"/>
                <w:sz w:val="22"/>
                <w:szCs w:val="22"/>
              </w:rPr>
            </w:pPr>
            <w:r w:rsidRPr="00776407">
              <w:rPr>
                <w:b/>
                <w:color w:val="000000" w:themeColor="text1"/>
                <w:sz w:val="22"/>
                <w:szCs w:val="22"/>
              </w:rPr>
              <w:t>Polska</w:t>
            </w:r>
          </w:p>
          <w:p w14:paraId="7462D74E" w14:textId="77777777" w:rsidR="004D72CE" w:rsidRPr="00776407" w:rsidRDefault="004D72CE" w:rsidP="00876969">
            <w:pPr>
              <w:rPr>
                <w:color w:val="000000" w:themeColor="text1"/>
                <w:sz w:val="22"/>
                <w:szCs w:val="22"/>
              </w:rPr>
            </w:pPr>
            <w:r w:rsidRPr="00776407">
              <w:rPr>
                <w:color w:val="000000" w:themeColor="text1"/>
                <w:sz w:val="22"/>
                <w:szCs w:val="22"/>
              </w:rPr>
              <w:t>Teva Pharmaceuticals Polska Sp. z o.o.</w:t>
            </w:r>
          </w:p>
          <w:p w14:paraId="0EEAB596" w14:textId="77777777" w:rsidR="004D72CE" w:rsidRPr="00776407" w:rsidRDefault="004D72CE" w:rsidP="00876969">
            <w:pPr>
              <w:numPr>
                <w:ilvl w:val="12"/>
                <w:numId w:val="0"/>
              </w:numPr>
              <w:rPr>
                <w:color w:val="000000" w:themeColor="text1"/>
                <w:sz w:val="22"/>
                <w:szCs w:val="22"/>
                <w:lang w:eastAsia="is-IS"/>
              </w:rPr>
            </w:pPr>
            <w:r w:rsidRPr="00776407">
              <w:rPr>
                <w:color w:val="000000" w:themeColor="text1"/>
                <w:sz w:val="22"/>
                <w:szCs w:val="22"/>
              </w:rPr>
              <w:t>Tel: +48 223459300</w:t>
            </w:r>
          </w:p>
          <w:p w14:paraId="5D4504B2" w14:textId="77777777" w:rsidR="004D72CE" w:rsidRPr="00776407" w:rsidRDefault="004D72CE" w:rsidP="00876969">
            <w:pPr>
              <w:pStyle w:val="KeinLeerraum"/>
              <w:rPr>
                <w:color w:val="000000" w:themeColor="text1"/>
                <w:sz w:val="22"/>
                <w:szCs w:val="22"/>
              </w:rPr>
            </w:pPr>
          </w:p>
        </w:tc>
      </w:tr>
      <w:tr w:rsidR="004D72CE" w:rsidRPr="00776407" w14:paraId="77C28599" w14:textId="77777777" w:rsidTr="00876969">
        <w:trPr>
          <w:cantSplit/>
        </w:trPr>
        <w:tc>
          <w:tcPr>
            <w:tcW w:w="4678" w:type="dxa"/>
            <w:gridSpan w:val="2"/>
          </w:tcPr>
          <w:p w14:paraId="042D39E4"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France</w:t>
            </w:r>
          </w:p>
          <w:p w14:paraId="5612813F"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1EF5282D"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Islande</w:t>
            </w:r>
          </w:p>
          <w:p w14:paraId="3E131B77" w14:textId="77777777" w:rsidR="004D72CE" w:rsidRPr="00776407" w:rsidRDefault="004D72CE" w:rsidP="00876969">
            <w:pPr>
              <w:pStyle w:val="KeinLeerraum"/>
              <w:rPr>
                <w:color w:val="000000" w:themeColor="text1"/>
                <w:sz w:val="22"/>
                <w:szCs w:val="22"/>
              </w:rPr>
            </w:pPr>
            <w:r w:rsidRPr="00776407">
              <w:rPr>
                <w:color w:val="000000" w:themeColor="text1"/>
                <w:sz w:val="22"/>
                <w:szCs w:val="22"/>
                <w:lang w:eastAsia="en-GB"/>
              </w:rPr>
              <w:t>Tél</w:t>
            </w:r>
            <w:r w:rsidRPr="00776407">
              <w:rPr>
                <w:noProof/>
                <w:color w:val="000000" w:themeColor="text1"/>
                <w:sz w:val="22"/>
                <w:szCs w:val="22"/>
              </w:rPr>
              <w:t>:</w:t>
            </w:r>
            <w:r w:rsidRPr="00776407">
              <w:rPr>
                <w:color w:val="000000" w:themeColor="text1"/>
                <w:sz w:val="22"/>
                <w:szCs w:val="22"/>
              </w:rPr>
              <w:t xml:space="preserve"> +354 5503300</w:t>
            </w:r>
          </w:p>
          <w:p w14:paraId="7E118B41" w14:textId="77777777" w:rsidR="004D72CE" w:rsidRPr="00776407" w:rsidRDefault="004D72CE" w:rsidP="00876969">
            <w:pPr>
              <w:pStyle w:val="KeinLeerraum"/>
              <w:rPr>
                <w:b/>
                <w:color w:val="000000" w:themeColor="text1"/>
                <w:sz w:val="22"/>
                <w:szCs w:val="22"/>
              </w:rPr>
            </w:pPr>
          </w:p>
        </w:tc>
        <w:tc>
          <w:tcPr>
            <w:tcW w:w="4678" w:type="dxa"/>
          </w:tcPr>
          <w:p w14:paraId="02183374"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Portugal</w:t>
            </w:r>
          </w:p>
          <w:p w14:paraId="757A9FC3" w14:textId="77777777" w:rsidR="004D72CE" w:rsidRPr="00776407" w:rsidRDefault="004D72CE" w:rsidP="00876969">
            <w:pPr>
              <w:pStyle w:val="KeinLeerraum"/>
              <w:rPr>
                <w:iCs/>
                <w:color w:val="000000" w:themeColor="text1"/>
                <w:sz w:val="22"/>
                <w:szCs w:val="22"/>
              </w:rPr>
            </w:pPr>
            <w:r w:rsidRPr="00776407">
              <w:rPr>
                <w:iCs/>
                <w:color w:val="000000" w:themeColor="text1"/>
                <w:sz w:val="22"/>
                <w:szCs w:val="22"/>
              </w:rPr>
              <w:t>Actavis Group PTC ehf.</w:t>
            </w:r>
          </w:p>
          <w:p w14:paraId="7C4FE5A3"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Islândia</w:t>
            </w:r>
          </w:p>
          <w:p w14:paraId="2029A144"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Tel: +354 5503300</w:t>
            </w:r>
          </w:p>
          <w:p w14:paraId="781C7BB3" w14:textId="77777777" w:rsidR="004D72CE" w:rsidRPr="00776407" w:rsidRDefault="004D72CE" w:rsidP="00876969">
            <w:pPr>
              <w:pStyle w:val="KeinLeerraum"/>
              <w:rPr>
                <w:color w:val="000000" w:themeColor="text1"/>
                <w:sz w:val="22"/>
                <w:szCs w:val="22"/>
              </w:rPr>
            </w:pPr>
          </w:p>
        </w:tc>
      </w:tr>
      <w:tr w:rsidR="004D72CE" w:rsidRPr="00776407" w14:paraId="20FB51F5" w14:textId="77777777" w:rsidTr="00876969">
        <w:trPr>
          <w:cantSplit/>
        </w:trPr>
        <w:tc>
          <w:tcPr>
            <w:tcW w:w="4678" w:type="dxa"/>
            <w:gridSpan w:val="2"/>
          </w:tcPr>
          <w:p w14:paraId="7C8C3D48" w14:textId="77777777" w:rsidR="004D72CE" w:rsidRPr="00776407" w:rsidRDefault="004D72CE" w:rsidP="00876969">
            <w:pPr>
              <w:tabs>
                <w:tab w:val="left" w:pos="-720"/>
                <w:tab w:val="left" w:pos="4536"/>
              </w:tabs>
              <w:suppressAutoHyphens/>
              <w:ind w:right="567"/>
              <w:rPr>
                <w:b/>
                <w:noProof/>
                <w:color w:val="000000" w:themeColor="text1"/>
                <w:sz w:val="22"/>
                <w:szCs w:val="22"/>
              </w:rPr>
            </w:pPr>
            <w:r w:rsidRPr="00776407">
              <w:rPr>
                <w:color w:val="000000" w:themeColor="text1"/>
                <w:sz w:val="22"/>
                <w:szCs w:val="22"/>
              </w:rPr>
              <w:br w:type="page"/>
            </w:r>
            <w:r w:rsidRPr="00776407">
              <w:rPr>
                <w:b/>
                <w:noProof/>
                <w:color w:val="000000" w:themeColor="text1"/>
                <w:sz w:val="22"/>
                <w:szCs w:val="22"/>
              </w:rPr>
              <w:t>Hrvatska</w:t>
            </w:r>
          </w:p>
          <w:p w14:paraId="2B17F95B" w14:textId="77777777" w:rsidR="004D72CE" w:rsidRPr="00776407" w:rsidRDefault="004D72CE" w:rsidP="00876969">
            <w:pPr>
              <w:tabs>
                <w:tab w:val="left" w:pos="-720"/>
                <w:tab w:val="left" w:pos="4536"/>
              </w:tabs>
              <w:suppressAutoHyphens/>
              <w:ind w:right="567"/>
              <w:rPr>
                <w:color w:val="000000" w:themeColor="text1"/>
                <w:sz w:val="22"/>
                <w:szCs w:val="22"/>
              </w:rPr>
            </w:pPr>
            <w:r w:rsidRPr="00776407">
              <w:rPr>
                <w:color w:val="000000" w:themeColor="text1"/>
                <w:sz w:val="22"/>
                <w:szCs w:val="22"/>
              </w:rPr>
              <w:t>Pliva Hrvatska d.o.o.</w:t>
            </w:r>
          </w:p>
          <w:p w14:paraId="51C5D7D2"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+385 13720000</w:t>
            </w:r>
          </w:p>
          <w:p w14:paraId="2DF5833C" w14:textId="77777777" w:rsidR="004D72CE" w:rsidRPr="00776407" w:rsidRDefault="004D72CE" w:rsidP="00876969">
            <w:pPr>
              <w:pStyle w:val="KeinLeerraum"/>
              <w:rPr>
                <w:color w:val="000000" w:themeColor="text1"/>
                <w:sz w:val="22"/>
                <w:szCs w:val="22"/>
              </w:rPr>
            </w:pPr>
          </w:p>
        </w:tc>
        <w:tc>
          <w:tcPr>
            <w:tcW w:w="4678" w:type="dxa"/>
          </w:tcPr>
          <w:p w14:paraId="3EB85682"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România</w:t>
            </w:r>
          </w:p>
          <w:p w14:paraId="40DB9E88"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Pharmaceuticals S.R.L.</w:t>
            </w:r>
          </w:p>
          <w:p w14:paraId="445D9110"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w:t>
            </w:r>
            <w:r w:rsidRPr="00776407">
              <w:rPr>
                <w:noProof/>
                <w:color w:val="000000" w:themeColor="text1"/>
                <w:sz w:val="22"/>
                <w:szCs w:val="22"/>
              </w:rPr>
              <w:t>40 212306524</w:t>
            </w:r>
          </w:p>
          <w:p w14:paraId="5492DB7E" w14:textId="77777777" w:rsidR="004D72CE" w:rsidRPr="00776407" w:rsidRDefault="004D72CE" w:rsidP="00876969">
            <w:pPr>
              <w:pStyle w:val="KeinLeerraum"/>
              <w:rPr>
                <w:color w:val="000000" w:themeColor="text1"/>
                <w:sz w:val="22"/>
                <w:szCs w:val="22"/>
              </w:rPr>
            </w:pPr>
          </w:p>
        </w:tc>
      </w:tr>
      <w:tr w:rsidR="004D72CE" w:rsidRPr="00776407" w14:paraId="5D63194B" w14:textId="77777777" w:rsidTr="00876969">
        <w:trPr>
          <w:cantSplit/>
        </w:trPr>
        <w:tc>
          <w:tcPr>
            <w:tcW w:w="4678" w:type="dxa"/>
            <w:gridSpan w:val="2"/>
          </w:tcPr>
          <w:p w14:paraId="6483EE08"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Ireland</w:t>
            </w:r>
          </w:p>
          <w:p w14:paraId="344F946E"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Pharmaceuticals Ireland</w:t>
            </w:r>
          </w:p>
          <w:p w14:paraId="6BFE0C89" w14:textId="0B26E7D9" w:rsidR="004D72CE" w:rsidRPr="00776407" w:rsidRDefault="004D72CE" w:rsidP="00876969">
            <w:pPr>
              <w:pStyle w:val="KeinLeerraum"/>
              <w:rPr>
                <w:color w:val="000000" w:themeColor="text1"/>
                <w:sz w:val="22"/>
                <w:szCs w:val="22"/>
              </w:rPr>
            </w:pPr>
            <w:r w:rsidRPr="00776407">
              <w:rPr>
                <w:color w:val="000000" w:themeColor="text1"/>
                <w:sz w:val="22"/>
                <w:szCs w:val="22"/>
              </w:rPr>
              <w:t>Tel: +353 19127700</w:t>
            </w:r>
          </w:p>
          <w:p w14:paraId="0C33D60A" w14:textId="77777777" w:rsidR="004D72CE" w:rsidRPr="00776407" w:rsidRDefault="004D72CE" w:rsidP="00876969">
            <w:pPr>
              <w:pStyle w:val="KeinLeerraum"/>
              <w:rPr>
                <w:color w:val="000000" w:themeColor="text1"/>
                <w:sz w:val="22"/>
                <w:szCs w:val="22"/>
              </w:rPr>
            </w:pPr>
          </w:p>
        </w:tc>
        <w:tc>
          <w:tcPr>
            <w:tcW w:w="4678" w:type="dxa"/>
          </w:tcPr>
          <w:p w14:paraId="3BA6F142"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Slovenija</w:t>
            </w:r>
          </w:p>
          <w:p w14:paraId="0E825097"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Pliva Ljubljana d.o.o.</w:t>
            </w:r>
          </w:p>
          <w:p w14:paraId="385A5BA4"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+386 15890390</w:t>
            </w:r>
          </w:p>
          <w:p w14:paraId="7D7A718D" w14:textId="77777777" w:rsidR="004D72CE" w:rsidRPr="00776407" w:rsidRDefault="004D72CE" w:rsidP="00876969">
            <w:pPr>
              <w:pStyle w:val="KeinLeerraum"/>
              <w:rPr>
                <w:b/>
                <w:color w:val="000000" w:themeColor="text1"/>
                <w:sz w:val="22"/>
                <w:szCs w:val="22"/>
              </w:rPr>
            </w:pPr>
          </w:p>
        </w:tc>
      </w:tr>
      <w:tr w:rsidR="004D72CE" w:rsidRPr="00776407" w14:paraId="58C95FA1" w14:textId="77777777" w:rsidTr="00876969">
        <w:trPr>
          <w:cantSplit/>
        </w:trPr>
        <w:tc>
          <w:tcPr>
            <w:tcW w:w="4678" w:type="dxa"/>
            <w:gridSpan w:val="2"/>
          </w:tcPr>
          <w:p w14:paraId="3DCE41D1"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Ísland</w:t>
            </w:r>
          </w:p>
          <w:p w14:paraId="2CBFB429"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516F5C70"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Sími: +354 5503300</w:t>
            </w:r>
          </w:p>
          <w:p w14:paraId="383A22D5" w14:textId="77777777" w:rsidR="004D72CE" w:rsidRPr="00776407" w:rsidRDefault="004D72CE" w:rsidP="00876969">
            <w:pPr>
              <w:pStyle w:val="KeinLeerraum"/>
              <w:rPr>
                <w:b/>
                <w:color w:val="000000" w:themeColor="text1"/>
                <w:sz w:val="22"/>
                <w:szCs w:val="22"/>
              </w:rPr>
            </w:pPr>
          </w:p>
        </w:tc>
        <w:tc>
          <w:tcPr>
            <w:tcW w:w="4678" w:type="dxa"/>
          </w:tcPr>
          <w:p w14:paraId="29571FAB"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Slovenská republika</w:t>
            </w:r>
          </w:p>
          <w:p w14:paraId="0E66B83E"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TEVA Pharmaceuticals Slovakia s.r.o.</w:t>
            </w:r>
          </w:p>
          <w:p w14:paraId="15B6E331"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+421 2</w:t>
            </w:r>
            <w:r w:rsidRPr="00776407">
              <w:rPr>
                <w:noProof/>
                <w:color w:val="000000" w:themeColor="text1"/>
                <w:sz w:val="22"/>
                <w:szCs w:val="22"/>
              </w:rPr>
              <w:t>57267911</w:t>
            </w:r>
          </w:p>
          <w:p w14:paraId="243678EA" w14:textId="77777777" w:rsidR="004D72CE" w:rsidRPr="00776407" w:rsidRDefault="004D72CE" w:rsidP="00876969">
            <w:pPr>
              <w:pStyle w:val="KeinLeerraum"/>
              <w:rPr>
                <w:color w:val="000000" w:themeColor="text1"/>
                <w:sz w:val="22"/>
                <w:szCs w:val="22"/>
              </w:rPr>
            </w:pPr>
          </w:p>
        </w:tc>
      </w:tr>
      <w:tr w:rsidR="004D72CE" w:rsidRPr="00776407" w14:paraId="3030070C" w14:textId="77777777" w:rsidTr="00876969">
        <w:trPr>
          <w:cantSplit/>
        </w:trPr>
        <w:tc>
          <w:tcPr>
            <w:tcW w:w="4678" w:type="dxa"/>
            <w:gridSpan w:val="2"/>
          </w:tcPr>
          <w:p w14:paraId="40668D4A"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Italia</w:t>
            </w:r>
          </w:p>
          <w:p w14:paraId="394715A4"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Group PTC ehf.</w:t>
            </w:r>
          </w:p>
          <w:p w14:paraId="77161289"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Islanda</w:t>
            </w:r>
          </w:p>
          <w:p w14:paraId="24D2096F" w14:textId="77777777" w:rsidR="004D72CE" w:rsidRPr="00776407" w:rsidRDefault="004D72CE" w:rsidP="00876969">
            <w:pPr>
              <w:pStyle w:val="KeinLeerraum"/>
              <w:rPr>
                <w:color w:val="000000" w:themeColor="text1"/>
                <w:sz w:val="22"/>
                <w:szCs w:val="22"/>
              </w:rPr>
            </w:pPr>
            <w:r w:rsidRPr="00776407">
              <w:rPr>
                <w:noProof/>
                <w:color w:val="000000" w:themeColor="text1"/>
                <w:sz w:val="22"/>
                <w:szCs w:val="22"/>
              </w:rPr>
              <w:t>Tel: +354 5503300</w:t>
            </w:r>
          </w:p>
          <w:p w14:paraId="28C09DF3" w14:textId="77777777" w:rsidR="004D72CE" w:rsidRPr="00776407" w:rsidRDefault="004D72CE" w:rsidP="00876969">
            <w:pPr>
              <w:pStyle w:val="KeinLeerraum"/>
              <w:rPr>
                <w:b/>
                <w:color w:val="000000" w:themeColor="text1"/>
                <w:sz w:val="22"/>
                <w:szCs w:val="22"/>
              </w:rPr>
            </w:pPr>
          </w:p>
        </w:tc>
        <w:tc>
          <w:tcPr>
            <w:tcW w:w="4678" w:type="dxa"/>
          </w:tcPr>
          <w:p w14:paraId="007836B8" w14:textId="77777777" w:rsidR="004D72CE" w:rsidRPr="00776407" w:rsidRDefault="004D72CE" w:rsidP="00876969">
            <w:pPr>
              <w:pStyle w:val="KeinLeerraum"/>
              <w:rPr>
                <w:color w:val="000000" w:themeColor="text1"/>
                <w:sz w:val="22"/>
                <w:szCs w:val="22"/>
              </w:rPr>
            </w:pPr>
            <w:r w:rsidRPr="00776407">
              <w:rPr>
                <w:b/>
                <w:color w:val="000000" w:themeColor="text1"/>
                <w:sz w:val="22"/>
                <w:szCs w:val="22"/>
              </w:rPr>
              <w:t>Suomi/Finland</w:t>
            </w:r>
          </w:p>
          <w:p w14:paraId="1ED7D03E" w14:textId="6E9934B0" w:rsidR="004D72CE" w:rsidRPr="00776407" w:rsidRDefault="004D72CE" w:rsidP="00876969">
            <w:pPr>
              <w:pStyle w:val="KeinLeerraum"/>
              <w:rPr>
                <w:color w:val="000000" w:themeColor="text1"/>
                <w:sz w:val="22"/>
                <w:szCs w:val="22"/>
              </w:rPr>
            </w:pPr>
            <w:r w:rsidRPr="00776407">
              <w:rPr>
                <w:color w:val="000000" w:themeColor="text1"/>
                <w:sz w:val="22"/>
                <w:szCs w:val="22"/>
              </w:rPr>
              <w:t>Teva Finland Oy</w:t>
            </w:r>
          </w:p>
          <w:p w14:paraId="585C921F"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Puh/Tel: +358 201805900</w:t>
            </w:r>
          </w:p>
          <w:p w14:paraId="725E8C0F" w14:textId="77777777" w:rsidR="004D72CE" w:rsidRPr="00776407" w:rsidRDefault="004D72CE" w:rsidP="00876969">
            <w:pPr>
              <w:pStyle w:val="KeinLeerraum"/>
              <w:rPr>
                <w:b/>
                <w:color w:val="000000" w:themeColor="text1"/>
                <w:sz w:val="22"/>
                <w:szCs w:val="22"/>
              </w:rPr>
            </w:pPr>
          </w:p>
        </w:tc>
      </w:tr>
      <w:tr w:rsidR="004D72CE" w:rsidRPr="00776407" w14:paraId="7A9D8AB7" w14:textId="77777777" w:rsidTr="00876969">
        <w:trPr>
          <w:cantSplit/>
        </w:trPr>
        <w:tc>
          <w:tcPr>
            <w:tcW w:w="4678" w:type="dxa"/>
            <w:gridSpan w:val="2"/>
          </w:tcPr>
          <w:p w14:paraId="3D8B2AE8"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Κύπρος</w:t>
            </w:r>
          </w:p>
          <w:p w14:paraId="1EF9CE11"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Specifar A.B.E.E.</w:t>
            </w:r>
          </w:p>
          <w:p w14:paraId="70631619"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Ελλάδα</w:t>
            </w:r>
          </w:p>
          <w:p w14:paraId="2453B891" w14:textId="0687415F" w:rsidR="004D72CE" w:rsidRPr="00776407" w:rsidRDefault="004D72CE" w:rsidP="00876969">
            <w:pPr>
              <w:pStyle w:val="KeinLeerraum"/>
              <w:rPr>
                <w:color w:val="000000" w:themeColor="text1"/>
                <w:sz w:val="22"/>
                <w:szCs w:val="22"/>
              </w:rPr>
            </w:pPr>
            <w:r w:rsidRPr="00776407">
              <w:rPr>
                <w:color w:val="000000" w:themeColor="text1"/>
                <w:sz w:val="22"/>
                <w:szCs w:val="22"/>
              </w:rPr>
              <w:t>Τηλ: +30 2118805000</w:t>
            </w:r>
          </w:p>
          <w:p w14:paraId="3ADC5357" w14:textId="77777777" w:rsidR="004D72CE" w:rsidRPr="00776407" w:rsidRDefault="004D72CE" w:rsidP="00876969">
            <w:pPr>
              <w:pStyle w:val="KeinLeerraum"/>
              <w:rPr>
                <w:color w:val="000000" w:themeColor="text1"/>
                <w:sz w:val="22"/>
                <w:szCs w:val="22"/>
              </w:rPr>
            </w:pPr>
          </w:p>
        </w:tc>
        <w:tc>
          <w:tcPr>
            <w:tcW w:w="4678" w:type="dxa"/>
          </w:tcPr>
          <w:p w14:paraId="31760114"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Sverige</w:t>
            </w:r>
          </w:p>
          <w:p w14:paraId="17143941"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Teva Sweden AB</w:t>
            </w:r>
          </w:p>
          <w:p w14:paraId="7DE5360C"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+46 42121100</w:t>
            </w:r>
          </w:p>
          <w:p w14:paraId="5D57567B" w14:textId="77777777" w:rsidR="004D72CE" w:rsidRPr="00776407" w:rsidRDefault="004D72CE" w:rsidP="00876969">
            <w:pPr>
              <w:pStyle w:val="KeinLeerraum"/>
              <w:rPr>
                <w:color w:val="000000" w:themeColor="text1"/>
                <w:sz w:val="22"/>
                <w:szCs w:val="22"/>
              </w:rPr>
            </w:pPr>
          </w:p>
        </w:tc>
      </w:tr>
      <w:tr w:rsidR="004D72CE" w:rsidRPr="00776407" w14:paraId="62219502" w14:textId="77777777" w:rsidTr="00876969">
        <w:trPr>
          <w:cantSplit/>
        </w:trPr>
        <w:tc>
          <w:tcPr>
            <w:tcW w:w="4678" w:type="dxa"/>
            <w:gridSpan w:val="2"/>
          </w:tcPr>
          <w:p w14:paraId="08DF8D1D" w14:textId="77777777" w:rsidR="004D72CE" w:rsidRPr="00776407" w:rsidRDefault="004D72CE" w:rsidP="00876969">
            <w:pPr>
              <w:pStyle w:val="KeinLeerraum"/>
              <w:rPr>
                <w:b/>
                <w:bCs/>
                <w:color w:val="000000" w:themeColor="text1"/>
                <w:sz w:val="22"/>
                <w:szCs w:val="22"/>
                <w:lang w:eastAsia="en-GB"/>
              </w:rPr>
            </w:pPr>
            <w:r w:rsidRPr="00776407">
              <w:rPr>
                <w:b/>
                <w:bCs/>
                <w:color w:val="000000" w:themeColor="text1"/>
                <w:sz w:val="22"/>
                <w:szCs w:val="22"/>
                <w:lang w:eastAsia="en-GB"/>
              </w:rPr>
              <w:t>Latvija</w:t>
            </w:r>
          </w:p>
          <w:p w14:paraId="033543F7" w14:textId="0DE38F8A" w:rsidR="004D72CE" w:rsidRPr="00776407" w:rsidRDefault="004D72CE" w:rsidP="00876969">
            <w:pPr>
              <w:rPr>
                <w:color w:val="000000" w:themeColor="text1"/>
                <w:sz w:val="22"/>
                <w:szCs w:val="22"/>
                <w:lang w:eastAsia="en-GB"/>
              </w:rPr>
            </w:pPr>
            <w:r w:rsidRPr="00776407">
              <w:rPr>
                <w:color w:val="000000" w:themeColor="text1"/>
                <w:sz w:val="22"/>
                <w:szCs w:val="22"/>
                <w:lang w:eastAsia="en-GB"/>
              </w:rPr>
              <w:t>UAB Teva Baltics filiāle Latvijā</w:t>
            </w:r>
          </w:p>
          <w:p w14:paraId="2D7D1793" w14:textId="77777777" w:rsidR="004D72CE" w:rsidRPr="00776407" w:rsidRDefault="004D72CE" w:rsidP="00876969">
            <w:pPr>
              <w:pStyle w:val="KeinLeerraum"/>
              <w:rPr>
                <w:color w:val="000000" w:themeColor="text1"/>
                <w:sz w:val="22"/>
                <w:szCs w:val="22"/>
                <w:lang w:eastAsia="en-GB"/>
              </w:rPr>
            </w:pPr>
            <w:r w:rsidRPr="00776407">
              <w:rPr>
                <w:color w:val="000000" w:themeColor="text1"/>
                <w:sz w:val="22"/>
                <w:szCs w:val="22"/>
                <w:lang w:eastAsia="en-GB"/>
              </w:rPr>
              <w:t>Tel: +371 67323666</w:t>
            </w:r>
          </w:p>
          <w:p w14:paraId="32FE28C3" w14:textId="77777777" w:rsidR="004D72CE" w:rsidRPr="00776407" w:rsidRDefault="004D72CE" w:rsidP="00876969">
            <w:pPr>
              <w:pStyle w:val="KeinLeerraum"/>
              <w:rPr>
                <w:color w:val="000000" w:themeColor="text1"/>
                <w:sz w:val="22"/>
                <w:szCs w:val="22"/>
              </w:rPr>
            </w:pPr>
          </w:p>
        </w:tc>
        <w:tc>
          <w:tcPr>
            <w:tcW w:w="4678" w:type="dxa"/>
          </w:tcPr>
          <w:p w14:paraId="5B6EA0D2" w14:textId="77777777" w:rsidR="004D72CE" w:rsidRPr="00776407" w:rsidRDefault="004D72CE" w:rsidP="00876969">
            <w:pPr>
              <w:pStyle w:val="KeinLeerraum"/>
              <w:rPr>
                <w:b/>
                <w:color w:val="000000" w:themeColor="text1"/>
                <w:sz w:val="22"/>
                <w:szCs w:val="22"/>
              </w:rPr>
            </w:pPr>
            <w:r w:rsidRPr="00776407">
              <w:rPr>
                <w:b/>
                <w:color w:val="000000" w:themeColor="text1"/>
                <w:sz w:val="22"/>
                <w:szCs w:val="22"/>
              </w:rPr>
              <w:t>United Kingdom</w:t>
            </w:r>
          </w:p>
          <w:p w14:paraId="3E1C8C47"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Actavis UK Limited</w:t>
            </w:r>
          </w:p>
          <w:p w14:paraId="683E6086" w14:textId="77777777" w:rsidR="004D72CE" w:rsidRPr="00776407" w:rsidRDefault="004D72CE" w:rsidP="00876969">
            <w:pPr>
              <w:pStyle w:val="KeinLeerraum"/>
              <w:rPr>
                <w:color w:val="000000" w:themeColor="text1"/>
                <w:sz w:val="22"/>
                <w:szCs w:val="22"/>
              </w:rPr>
            </w:pPr>
            <w:r w:rsidRPr="00776407">
              <w:rPr>
                <w:color w:val="000000" w:themeColor="text1"/>
                <w:sz w:val="22"/>
                <w:szCs w:val="22"/>
              </w:rPr>
              <w:t>Tel: +44 1271385257</w:t>
            </w:r>
          </w:p>
          <w:p w14:paraId="3C09E1A0" w14:textId="77777777" w:rsidR="004D72CE" w:rsidRPr="00776407" w:rsidRDefault="004D72CE" w:rsidP="00876969">
            <w:pPr>
              <w:pStyle w:val="KeinLeerraum"/>
              <w:rPr>
                <w:color w:val="000000" w:themeColor="text1"/>
                <w:sz w:val="22"/>
                <w:szCs w:val="22"/>
              </w:rPr>
            </w:pPr>
          </w:p>
        </w:tc>
      </w:tr>
    </w:tbl>
    <w:p w14:paraId="3D5E5E6B" w14:textId="77777777" w:rsidR="004D72CE" w:rsidRPr="00776407" w:rsidRDefault="004D72CE" w:rsidP="004D72CE">
      <w:pPr>
        <w:rPr>
          <w:color w:val="000000" w:themeColor="text1"/>
          <w:sz w:val="22"/>
          <w:szCs w:val="22"/>
        </w:rPr>
      </w:pPr>
    </w:p>
    <w:p w14:paraId="7AABC97C" w14:textId="77777777" w:rsidR="00C6414B" w:rsidRPr="00776407" w:rsidRDefault="00C6414B" w:rsidP="00C6414B">
      <w:pPr>
        <w:autoSpaceDE w:val="0"/>
        <w:autoSpaceDN w:val="0"/>
        <w:adjustRightInd w:val="0"/>
        <w:contextualSpacing/>
        <w:rPr>
          <w:b/>
          <w:bCs/>
          <w:sz w:val="22"/>
          <w:szCs w:val="22"/>
        </w:rPr>
      </w:pPr>
      <w:r w:rsidRPr="00776407">
        <w:rPr>
          <w:b/>
          <w:bCs/>
          <w:sz w:val="22"/>
          <w:szCs w:val="22"/>
        </w:rPr>
        <w:t>Šis pakuotės lapelis paskutinį kartą peržiūrėtas</w:t>
      </w:r>
    </w:p>
    <w:p w14:paraId="2B5DA231" w14:textId="77777777" w:rsidR="00C6414B" w:rsidRPr="00776407" w:rsidRDefault="00C6414B" w:rsidP="00C6414B">
      <w:pPr>
        <w:autoSpaceDE w:val="0"/>
        <w:autoSpaceDN w:val="0"/>
        <w:adjustRightInd w:val="0"/>
        <w:contextualSpacing/>
        <w:rPr>
          <w:bCs/>
          <w:sz w:val="22"/>
          <w:szCs w:val="22"/>
        </w:rPr>
      </w:pPr>
    </w:p>
    <w:p w14:paraId="42240D4A" w14:textId="77777777" w:rsidR="00C6414B" w:rsidRPr="00776407" w:rsidRDefault="00C6414B" w:rsidP="00C6414B">
      <w:pPr>
        <w:autoSpaceDE w:val="0"/>
        <w:autoSpaceDN w:val="0"/>
        <w:adjustRightInd w:val="0"/>
        <w:rPr>
          <w:rFonts w:eastAsia="Calibri"/>
          <w:color w:val="000000"/>
          <w:sz w:val="22"/>
          <w:szCs w:val="22"/>
        </w:rPr>
      </w:pPr>
      <w:r w:rsidRPr="00776407">
        <w:rPr>
          <w:rFonts w:eastAsia="Calibri"/>
          <w:b/>
          <w:bCs/>
          <w:color w:val="000000"/>
          <w:sz w:val="22"/>
          <w:szCs w:val="22"/>
        </w:rPr>
        <w:t xml:space="preserve">Kiti informacijos šaltiniai </w:t>
      </w:r>
    </w:p>
    <w:p w14:paraId="58C62D93" w14:textId="7CA5C0F4" w:rsidR="00A877B5" w:rsidRPr="00776407" w:rsidRDefault="00C6414B" w:rsidP="00391C78">
      <w:pPr>
        <w:autoSpaceDE w:val="0"/>
        <w:autoSpaceDN w:val="0"/>
        <w:adjustRightInd w:val="0"/>
        <w:rPr>
          <w:b/>
          <w:sz w:val="22"/>
          <w:szCs w:val="22"/>
        </w:rPr>
      </w:pPr>
      <w:r w:rsidRPr="00776407">
        <w:rPr>
          <w:rFonts w:eastAsia="Calibri"/>
          <w:color w:val="000000"/>
          <w:sz w:val="22"/>
          <w:szCs w:val="22"/>
        </w:rPr>
        <w:t xml:space="preserve">Išsami informacija apie šį vaistą pateikiama Europos vaistų agentūros tinklalapyje </w:t>
      </w:r>
      <w:hyperlink r:id="rId25" w:history="1">
        <w:r w:rsidRPr="00776407">
          <w:rPr>
            <w:rStyle w:val="Hyperlink"/>
            <w:rFonts w:eastAsia="Calibri"/>
            <w:sz w:val="22"/>
            <w:szCs w:val="22"/>
          </w:rPr>
          <w:t>http://www.ema.europa.eu</w:t>
        </w:r>
      </w:hyperlink>
      <w:r w:rsidR="00121DA9" w:rsidRPr="00776407">
        <w:rPr>
          <w:rFonts w:eastAsia="Calibri"/>
          <w:color w:val="000000"/>
          <w:sz w:val="22"/>
          <w:szCs w:val="22"/>
        </w:rPr>
        <w:t>.</w:t>
      </w:r>
    </w:p>
    <w:sectPr w:rsidR="00A877B5" w:rsidRPr="00776407" w:rsidSect="00C034BF">
      <w:footerReference w:type="default" r:id="rId26"/>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0F2376" w15:done="0"/>
  <w15:commentEx w15:paraId="205D2355" w15:done="0"/>
  <w15:commentEx w15:paraId="582DADE5" w15:done="0"/>
  <w15:commentEx w15:paraId="6B6872BA" w15:done="0"/>
  <w15:commentEx w15:paraId="7F2CFADB" w15:done="0"/>
  <w15:commentEx w15:paraId="3D75B33F" w15:done="0"/>
  <w15:commentEx w15:paraId="4A746899" w15:done="0"/>
  <w15:commentEx w15:paraId="4455189E" w15:done="0"/>
  <w15:commentEx w15:paraId="40B7BB46" w15:done="0"/>
  <w15:commentEx w15:paraId="084EED18" w15:done="0"/>
  <w15:commentEx w15:paraId="40AED6E7" w15:done="0"/>
  <w15:commentEx w15:paraId="03DC78E5" w15:done="0"/>
  <w15:commentEx w15:paraId="74A1019F" w15:done="0"/>
  <w15:commentEx w15:paraId="4A5000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0F2376" w16cid:durableId="22A896F5"/>
  <w16cid:commentId w16cid:paraId="205D2355" w16cid:durableId="22A9B30D"/>
  <w16cid:commentId w16cid:paraId="582DADE5" w16cid:durableId="22A9AE03"/>
  <w16cid:commentId w16cid:paraId="6B6872BA" w16cid:durableId="22A9AE50"/>
  <w16cid:commentId w16cid:paraId="7F2CFADB" w16cid:durableId="22A9AFF3"/>
  <w16cid:commentId w16cid:paraId="3D75B33F" w16cid:durableId="22A8928D"/>
  <w16cid:commentId w16cid:paraId="4A746899" w16cid:durableId="22A9B4C1"/>
  <w16cid:commentId w16cid:paraId="4455189E" w16cid:durableId="22A9B509"/>
  <w16cid:commentId w16cid:paraId="40B7BB46" w16cid:durableId="22A9B567"/>
  <w16cid:commentId w16cid:paraId="084EED18" w16cid:durableId="22A9B59E"/>
  <w16cid:commentId w16cid:paraId="40AED6E7" w16cid:durableId="22A9B602"/>
  <w16cid:commentId w16cid:paraId="03DC78E5" w16cid:durableId="22A9B632"/>
  <w16cid:commentId w16cid:paraId="74A1019F" w16cid:durableId="22A9B696"/>
  <w16cid:commentId w16cid:paraId="4A500011" w16cid:durableId="22A9B6C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6FBCCD" w14:textId="77777777" w:rsidR="005C6B16" w:rsidRDefault="005C6B16" w:rsidP="008144B1">
      <w:r>
        <w:separator/>
      </w:r>
    </w:p>
  </w:endnote>
  <w:endnote w:type="continuationSeparator" w:id="0">
    <w:p w14:paraId="277DA26E" w14:textId="77777777" w:rsidR="005C6B16" w:rsidRDefault="005C6B16" w:rsidP="00814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9B442" w14:textId="77777777" w:rsidR="00B03979" w:rsidRPr="000407C1" w:rsidRDefault="00B03979">
    <w:pPr>
      <w:pStyle w:val="Fuzeile"/>
      <w:jc w:val="center"/>
      <w:rPr>
        <w:rFonts w:asciiTheme="minorBidi" w:hAnsiTheme="minorBidi" w:cstheme="minorBidi"/>
        <w:sz w:val="16"/>
        <w:szCs w:val="16"/>
      </w:rPr>
    </w:pPr>
    <w:r w:rsidRPr="000407C1">
      <w:rPr>
        <w:rFonts w:asciiTheme="minorBidi" w:hAnsiTheme="minorBidi" w:cstheme="minorBidi"/>
        <w:sz w:val="16"/>
        <w:szCs w:val="16"/>
      </w:rPr>
      <w:fldChar w:fldCharType="begin"/>
    </w:r>
    <w:r w:rsidRPr="000407C1">
      <w:rPr>
        <w:rFonts w:asciiTheme="minorBidi" w:hAnsiTheme="minorBidi" w:cstheme="minorBidi"/>
        <w:sz w:val="16"/>
        <w:szCs w:val="16"/>
      </w:rPr>
      <w:instrText xml:space="preserve"> PAGE   \* MERGEFORMAT </w:instrText>
    </w:r>
    <w:r w:rsidRPr="000407C1">
      <w:rPr>
        <w:rFonts w:asciiTheme="minorBidi" w:hAnsiTheme="minorBidi" w:cstheme="minorBidi"/>
        <w:sz w:val="16"/>
        <w:szCs w:val="16"/>
      </w:rPr>
      <w:fldChar w:fldCharType="separate"/>
    </w:r>
    <w:r w:rsidR="00881EFD">
      <w:rPr>
        <w:rFonts w:asciiTheme="minorBidi" w:hAnsiTheme="minorBidi" w:cstheme="minorBidi"/>
        <w:noProof/>
        <w:sz w:val="16"/>
        <w:szCs w:val="16"/>
      </w:rPr>
      <w:t>2</w:t>
    </w:r>
    <w:r w:rsidRPr="000407C1">
      <w:rPr>
        <w:rFonts w:asciiTheme="minorBidi" w:hAnsiTheme="minorBidi" w:cstheme="minorBidi"/>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D1410" w14:textId="77777777" w:rsidR="005C6B16" w:rsidRDefault="005C6B16" w:rsidP="008144B1">
      <w:r>
        <w:separator/>
      </w:r>
    </w:p>
  </w:footnote>
  <w:footnote w:type="continuationSeparator" w:id="0">
    <w:p w14:paraId="3826BE46" w14:textId="77777777" w:rsidR="005C6B16" w:rsidRDefault="005C6B16" w:rsidP="00814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ECA100"/>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3CFA915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7174D3E8"/>
    <w:lvl w:ilvl="0">
      <w:start w:val="1"/>
      <w:numFmt w:val="decimal"/>
      <w:pStyle w:val="Listennummer3"/>
      <w:lvlText w:val="%1."/>
      <w:lvlJc w:val="left"/>
      <w:pPr>
        <w:tabs>
          <w:tab w:val="num" w:pos="926"/>
        </w:tabs>
        <w:ind w:left="926" w:hanging="360"/>
      </w:pPr>
    </w:lvl>
  </w:abstractNum>
  <w:abstractNum w:abstractNumId="3">
    <w:nsid w:val="FFFFFF82"/>
    <w:multiLevelType w:val="singleLevel"/>
    <w:tmpl w:val="E0CCB22C"/>
    <w:lvl w:ilvl="0">
      <w:start w:val="1"/>
      <w:numFmt w:val="bullet"/>
      <w:pStyle w:val="Aufzhlungszeichen3"/>
      <w:lvlText w:val=""/>
      <w:lvlJc w:val="left"/>
      <w:pPr>
        <w:tabs>
          <w:tab w:val="num" w:pos="926"/>
        </w:tabs>
        <w:ind w:left="926" w:hanging="360"/>
      </w:pPr>
      <w:rPr>
        <w:rFonts w:ascii="Symbol" w:hAnsi="Symbol" w:hint="default"/>
      </w:rPr>
    </w:lvl>
  </w:abstractNum>
  <w:abstractNum w:abstractNumId="4">
    <w:nsid w:val="FFFFFF83"/>
    <w:multiLevelType w:val="singleLevel"/>
    <w:tmpl w:val="C26C59BC"/>
    <w:lvl w:ilvl="0">
      <w:start w:val="1"/>
      <w:numFmt w:val="bullet"/>
      <w:pStyle w:val="Aufzhlungszeichen2"/>
      <w:lvlText w:val=""/>
      <w:lvlJc w:val="left"/>
      <w:pPr>
        <w:tabs>
          <w:tab w:val="num" w:pos="643"/>
        </w:tabs>
        <w:ind w:left="643" w:hanging="360"/>
      </w:pPr>
      <w:rPr>
        <w:rFonts w:ascii="Symbol" w:hAnsi="Symbol" w:hint="default"/>
      </w:rPr>
    </w:lvl>
  </w:abstractNum>
  <w:abstractNum w:abstractNumId="5">
    <w:nsid w:val="FFFFFF88"/>
    <w:multiLevelType w:val="singleLevel"/>
    <w:tmpl w:val="A8728EFC"/>
    <w:lvl w:ilvl="0">
      <w:start w:val="1"/>
      <w:numFmt w:val="decimal"/>
      <w:pStyle w:val="Listennummer"/>
      <w:lvlText w:val="%1."/>
      <w:lvlJc w:val="left"/>
      <w:pPr>
        <w:tabs>
          <w:tab w:val="num" w:pos="360"/>
        </w:tabs>
        <w:ind w:left="360" w:hanging="360"/>
      </w:pPr>
    </w:lvl>
  </w:abstractNum>
  <w:abstractNum w:abstractNumId="6">
    <w:nsid w:val="FFFFFF89"/>
    <w:multiLevelType w:val="singleLevel"/>
    <w:tmpl w:val="AACE4C78"/>
    <w:lvl w:ilvl="0">
      <w:start w:val="1"/>
      <w:numFmt w:val="bullet"/>
      <w:pStyle w:val="Aufzhlungszeichen"/>
      <w:lvlText w:val=""/>
      <w:lvlJc w:val="left"/>
      <w:pPr>
        <w:tabs>
          <w:tab w:val="num" w:pos="360"/>
        </w:tabs>
        <w:ind w:left="360" w:hanging="360"/>
      </w:pPr>
      <w:rPr>
        <w:rFonts w:ascii="Symbol" w:hAnsi="Symbol" w:hint="default"/>
      </w:rPr>
    </w:lvl>
  </w:abstractNum>
  <w:abstractNum w:abstractNumId="7">
    <w:nsid w:val="014848E7"/>
    <w:multiLevelType w:val="hybridMultilevel"/>
    <w:tmpl w:val="3350DB54"/>
    <w:lvl w:ilvl="0" w:tplc="804445E0">
      <w:start w:val="7"/>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0D7A2611"/>
    <w:multiLevelType w:val="hybridMultilevel"/>
    <w:tmpl w:val="8FF40C0E"/>
    <w:lvl w:ilvl="0" w:tplc="9E3AB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A06EC6"/>
    <w:multiLevelType w:val="hybridMultilevel"/>
    <w:tmpl w:val="4558A6CC"/>
    <w:lvl w:ilvl="0" w:tplc="E40C3C02">
      <w:start w:val="17"/>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54D59"/>
    <w:multiLevelType w:val="hybridMultilevel"/>
    <w:tmpl w:val="3252CE30"/>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EA6A45"/>
    <w:multiLevelType w:val="multilevel"/>
    <w:tmpl w:val="3844F37E"/>
    <w:lvl w:ilvl="0">
      <w:start w:val="4"/>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12">
    <w:nsid w:val="1D742F4B"/>
    <w:multiLevelType w:val="hybridMultilevel"/>
    <w:tmpl w:val="DE7841B8"/>
    <w:lvl w:ilvl="0" w:tplc="B434E1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235801"/>
    <w:multiLevelType w:val="hybridMultilevel"/>
    <w:tmpl w:val="C2FA9AAC"/>
    <w:lvl w:ilvl="0" w:tplc="FFFFFFFF">
      <w:start w:val="1"/>
      <w:numFmt w:val="bullet"/>
      <w:pStyle w:val="Listennummer2"/>
      <w:lvlText w:val="-"/>
      <w:lvlJc w:val="left"/>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64441A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265E0E96"/>
    <w:multiLevelType w:val="hybridMultilevel"/>
    <w:tmpl w:val="4558A6CC"/>
    <w:lvl w:ilvl="0" w:tplc="E40C3C02">
      <w:start w:val="17"/>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870A22"/>
    <w:multiLevelType w:val="hybridMultilevel"/>
    <w:tmpl w:val="18D63420"/>
    <w:lvl w:ilvl="0" w:tplc="21F05BD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DF04AE"/>
    <w:multiLevelType w:val="hybridMultilevel"/>
    <w:tmpl w:val="1D5C9E80"/>
    <w:lvl w:ilvl="0" w:tplc="2124E06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2B626F"/>
    <w:multiLevelType w:val="multilevel"/>
    <w:tmpl w:val="1E0C027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2B447F1"/>
    <w:multiLevelType w:val="hybridMultilevel"/>
    <w:tmpl w:val="0D1893F6"/>
    <w:lvl w:ilvl="0" w:tplc="E4229886">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5FB6C65"/>
    <w:multiLevelType w:val="hybridMultilevel"/>
    <w:tmpl w:val="4558A6CC"/>
    <w:lvl w:ilvl="0" w:tplc="E40C3C02">
      <w:start w:val="17"/>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5F298E"/>
    <w:multiLevelType w:val="hybridMultilevel"/>
    <w:tmpl w:val="CB36673C"/>
    <w:lvl w:ilvl="0" w:tplc="E40C3C02">
      <w:start w:val="17"/>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407C81"/>
    <w:multiLevelType w:val="hybridMultilevel"/>
    <w:tmpl w:val="0ADE52C2"/>
    <w:lvl w:ilvl="0" w:tplc="E3608AC0">
      <w:start w:val="2"/>
      <w:numFmt w:val="bullet"/>
      <w:lvlText w:val="-"/>
      <w:lvlJc w:val="left"/>
      <w:pPr>
        <w:tabs>
          <w:tab w:val="num" w:pos="576"/>
        </w:tabs>
        <w:ind w:left="576" w:hanging="570"/>
      </w:pPr>
      <w:rPr>
        <w:rFonts w:hint="default"/>
        <w:b w:val="0"/>
        <w:i w:val="0"/>
      </w:rPr>
    </w:lvl>
    <w:lvl w:ilvl="1" w:tplc="FB76711C">
      <w:start w:val="1"/>
      <w:numFmt w:val="bullet"/>
      <w:lvlText w:val=""/>
      <w:lvlJc w:val="left"/>
      <w:pPr>
        <w:tabs>
          <w:tab w:val="num" w:pos="1440"/>
        </w:tabs>
        <w:ind w:left="1440" w:hanging="360"/>
      </w:pPr>
      <w:rPr>
        <w:rFonts w:ascii="Symbol" w:hAnsi="Symbol"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6913E0F"/>
    <w:multiLevelType w:val="hybridMultilevel"/>
    <w:tmpl w:val="F51AA8E4"/>
    <w:lvl w:ilvl="0" w:tplc="AB1E18D6">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nsid w:val="59B128AB"/>
    <w:multiLevelType w:val="hybridMultilevel"/>
    <w:tmpl w:val="54D4B030"/>
    <w:lvl w:ilvl="0" w:tplc="D0EEC934">
      <w:start w:val="1"/>
      <w:numFmt w:val="upperLetter"/>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961835"/>
    <w:multiLevelType w:val="hybridMultilevel"/>
    <w:tmpl w:val="5A04D7F0"/>
    <w:lvl w:ilvl="0" w:tplc="6E0E8E7A">
      <w:start w:val="1"/>
      <w:numFmt w:val="bullet"/>
      <w:pStyle w:val="Aufzhlungszeichen5"/>
      <w:lvlText w:val="-"/>
      <w:lvlJc w:val="left"/>
      <w:pPr>
        <w:tabs>
          <w:tab w:val="num" w:pos="0"/>
        </w:tabs>
        <w:ind w:left="0" w:firstLine="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3BC6446"/>
    <w:multiLevelType w:val="hybridMultilevel"/>
    <w:tmpl w:val="2B027492"/>
    <w:lvl w:ilvl="0" w:tplc="FFFFFFFF">
      <w:start w:val="1"/>
      <w:numFmt w:val="bullet"/>
      <w:pStyle w:val="Aufzhlungszeichen4"/>
      <w:lvlText w:val="-"/>
      <w:lvlJc w:val="left"/>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9B16643"/>
    <w:multiLevelType w:val="hybridMultilevel"/>
    <w:tmpl w:val="C6E00F44"/>
    <w:lvl w:ilvl="0" w:tplc="AB1E18D6">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nsid w:val="6D9825EA"/>
    <w:multiLevelType w:val="multilevel"/>
    <w:tmpl w:val="9D7ABC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13D02AA"/>
    <w:multiLevelType w:val="hybridMultilevel"/>
    <w:tmpl w:val="BA88AA38"/>
    <w:lvl w:ilvl="0" w:tplc="93D60A2C">
      <w:start w:val="2"/>
      <w:numFmt w:val="bullet"/>
      <w:lvlText w:val="-"/>
      <w:lvlJc w:val="left"/>
      <w:pPr>
        <w:tabs>
          <w:tab w:val="num" w:pos="573"/>
        </w:tabs>
        <w:ind w:left="573" w:hanging="573"/>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72B85D5A"/>
    <w:multiLevelType w:val="hybridMultilevel"/>
    <w:tmpl w:val="4558A6CC"/>
    <w:lvl w:ilvl="0" w:tplc="E40C3C02">
      <w:start w:val="17"/>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7E726D"/>
    <w:multiLevelType w:val="hybridMultilevel"/>
    <w:tmpl w:val="CEC62A32"/>
    <w:lvl w:ilvl="0" w:tplc="BCACC8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3475D2"/>
    <w:multiLevelType w:val="multilevel"/>
    <w:tmpl w:val="88F6A8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BA66B4C"/>
    <w:multiLevelType w:val="hybridMultilevel"/>
    <w:tmpl w:val="002AAFFC"/>
    <w:lvl w:ilvl="0" w:tplc="CE3668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2"/>
  </w:num>
  <w:num w:numId="3">
    <w:abstractNumId w:val="7"/>
  </w:num>
  <w:num w:numId="4">
    <w:abstractNumId w:val="10"/>
  </w:num>
  <w:num w:numId="5">
    <w:abstractNumId w:val="18"/>
  </w:num>
  <w:num w:numId="6">
    <w:abstractNumId w:val="12"/>
  </w:num>
  <w:num w:numId="7">
    <w:abstractNumId w:val="33"/>
  </w:num>
  <w:num w:numId="8">
    <w:abstractNumId w:val="31"/>
  </w:num>
  <w:num w:numId="9">
    <w:abstractNumId w:val="11"/>
  </w:num>
  <w:num w:numId="10">
    <w:abstractNumId w:val="8"/>
  </w:num>
  <w:num w:numId="11">
    <w:abstractNumId w:val="19"/>
  </w:num>
  <w:num w:numId="12">
    <w:abstractNumId w:val="17"/>
  </w:num>
  <w:num w:numId="13">
    <w:abstractNumId w:val="24"/>
  </w:num>
  <w:num w:numId="14">
    <w:abstractNumId w:val="15"/>
  </w:num>
  <w:num w:numId="15">
    <w:abstractNumId w:val="21"/>
  </w:num>
  <w:num w:numId="16">
    <w:abstractNumId w:val="9"/>
  </w:num>
  <w:num w:numId="17">
    <w:abstractNumId w:val="30"/>
  </w:num>
  <w:num w:numId="18">
    <w:abstractNumId w:val="20"/>
  </w:num>
  <w:num w:numId="19">
    <w:abstractNumId w:val="25"/>
  </w:num>
  <w:num w:numId="20">
    <w:abstractNumId w:val="22"/>
  </w:num>
  <w:num w:numId="21">
    <w:abstractNumId w:val="26"/>
  </w:num>
  <w:num w:numId="22">
    <w:abstractNumId w:val="13"/>
  </w:num>
  <w:num w:numId="23">
    <w:abstractNumId w:val="6"/>
  </w:num>
  <w:num w:numId="24">
    <w:abstractNumId w:val="4"/>
  </w:num>
  <w:num w:numId="25">
    <w:abstractNumId w:val="3"/>
  </w:num>
  <w:num w:numId="26">
    <w:abstractNumId w:val="5"/>
  </w:num>
  <w:num w:numId="27">
    <w:abstractNumId w:val="2"/>
  </w:num>
  <w:num w:numId="28">
    <w:abstractNumId w:val="1"/>
  </w:num>
  <w:num w:numId="29">
    <w:abstractNumId w:val="0"/>
  </w:num>
  <w:num w:numId="30">
    <w:abstractNumId w:val="28"/>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num>
  <w:num w:numId="48">
    <w:abstractNumId w:val="23"/>
  </w:num>
  <w:num w:numId="49">
    <w:abstractNumId w:val="29"/>
  </w:num>
  <w:num w:numId="50">
    <w:abstractNumId w:val="14"/>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nslator">
    <w15:presenceInfo w15:providerId="None" w15:userId="transl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BF9"/>
    <w:rsid w:val="00007582"/>
    <w:rsid w:val="0001203D"/>
    <w:rsid w:val="00021F50"/>
    <w:rsid w:val="00024AE0"/>
    <w:rsid w:val="00026DF5"/>
    <w:rsid w:val="00027650"/>
    <w:rsid w:val="00033C8F"/>
    <w:rsid w:val="000407C1"/>
    <w:rsid w:val="00040CD4"/>
    <w:rsid w:val="000460E3"/>
    <w:rsid w:val="000509C9"/>
    <w:rsid w:val="000536DF"/>
    <w:rsid w:val="00054762"/>
    <w:rsid w:val="000642DB"/>
    <w:rsid w:val="00064B45"/>
    <w:rsid w:val="0006564F"/>
    <w:rsid w:val="00066458"/>
    <w:rsid w:val="00070733"/>
    <w:rsid w:val="00072EB7"/>
    <w:rsid w:val="00082246"/>
    <w:rsid w:val="00083B43"/>
    <w:rsid w:val="000928AE"/>
    <w:rsid w:val="00092908"/>
    <w:rsid w:val="00094061"/>
    <w:rsid w:val="000A0EAC"/>
    <w:rsid w:val="000A54FE"/>
    <w:rsid w:val="000B03BF"/>
    <w:rsid w:val="000B4ECB"/>
    <w:rsid w:val="000C01E8"/>
    <w:rsid w:val="000C2316"/>
    <w:rsid w:val="000C2D09"/>
    <w:rsid w:val="000C7920"/>
    <w:rsid w:val="000D0E34"/>
    <w:rsid w:val="000D5B80"/>
    <w:rsid w:val="000E1699"/>
    <w:rsid w:val="000E2A5E"/>
    <w:rsid w:val="000E62A8"/>
    <w:rsid w:val="000F775C"/>
    <w:rsid w:val="000F784B"/>
    <w:rsid w:val="00102A19"/>
    <w:rsid w:val="00106130"/>
    <w:rsid w:val="001078E6"/>
    <w:rsid w:val="00111A4F"/>
    <w:rsid w:val="001205B8"/>
    <w:rsid w:val="00121DA9"/>
    <w:rsid w:val="001228D5"/>
    <w:rsid w:val="0012790D"/>
    <w:rsid w:val="00131D7A"/>
    <w:rsid w:val="001343BF"/>
    <w:rsid w:val="0013685B"/>
    <w:rsid w:val="001422D9"/>
    <w:rsid w:val="00144749"/>
    <w:rsid w:val="00145DC4"/>
    <w:rsid w:val="00154F10"/>
    <w:rsid w:val="0016274E"/>
    <w:rsid w:val="001642BC"/>
    <w:rsid w:val="00170CE6"/>
    <w:rsid w:val="00171C6B"/>
    <w:rsid w:val="00171DC7"/>
    <w:rsid w:val="00183F4D"/>
    <w:rsid w:val="001878C1"/>
    <w:rsid w:val="00190382"/>
    <w:rsid w:val="00191231"/>
    <w:rsid w:val="00192A97"/>
    <w:rsid w:val="00192DB3"/>
    <w:rsid w:val="00195547"/>
    <w:rsid w:val="00195787"/>
    <w:rsid w:val="00195FD2"/>
    <w:rsid w:val="001963AD"/>
    <w:rsid w:val="0019774C"/>
    <w:rsid w:val="001A3E6A"/>
    <w:rsid w:val="001B7861"/>
    <w:rsid w:val="001C0A4F"/>
    <w:rsid w:val="001C1204"/>
    <w:rsid w:val="001C2A8A"/>
    <w:rsid w:val="001C30BF"/>
    <w:rsid w:val="001C543E"/>
    <w:rsid w:val="001D2F82"/>
    <w:rsid w:val="001F0C4B"/>
    <w:rsid w:val="001F2F5E"/>
    <w:rsid w:val="00200F51"/>
    <w:rsid w:val="00205141"/>
    <w:rsid w:val="0021616D"/>
    <w:rsid w:val="002164A0"/>
    <w:rsid w:val="00216706"/>
    <w:rsid w:val="00217A90"/>
    <w:rsid w:val="002219CE"/>
    <w:rsid w:val="00225D01"/>
    <w:rsid w:val="002321BB"/>
    <w:rsid w:val="00232D69"/>
    <w:rsid w:val="0023389A"/>
    <w:rsid w:val="002373C2"/>
    <w:rsid w:val="0024085F"/>
    <w:rsid w:val="00260B87"/>
    <w:rsid w:val="00261EAE"/>
    <w:rsid w:val="00262CAF"/>
    <w:rsid w:val="002633B5"/>
    <w:rsid w:val="002657B6"/>
    <w:rsid w:val="00271550"/>
    <w:rsid w:val="00273D92"/>
    <w:rsid w:val="00274096"/>
    <w:rsid w:val="002752F4"/>
    <w:rsid w:val="002752F9"/>
    <w:rsid w:val="00276DBE"/>
    <w:rsid w:val="002811A3"/>
    <w:rsid w:val="00284B65"/>
    <w:rsid w:val="00285E9D"/>
    <w:rsid w:val="00287966"/>
    <w:rsid w:val="00287D47"/>
    <w:rsid w:val="002A1779"/>
    <w:rsid w:val="002A385D"/>
    <w:rsid w:val="002A5C86"/>
    <w:rsid w:val="002B117F"/>
    <w:rsid w:val="002B37BE"/>
    <w:rsid w:val="002B5DAD"/>
    <w:rsid w:val="002B75A7"/>
    <w:rsid w:val="002B7610"/>
    <w:rsid w:val="002C1F12"/>
    <w:rsid w:val="002C37B0"/>
    <w:rsid w:val="002C6FB7"/>
    <w:rsid w:val="002D176C"/>
    <w:rsid w:val="002D2BD8"/>
    <w:rsid w:val="002D31F6"/>
    <w:rsid w:val="002E1EC0"/>
    <w:rsid w:val="002E4B40"/>
    <w:rsid w:val="002E515B"/>
    <w:rsid w:val="002E6D97"/>
    <w:rsid w:val="002F6124"/>
    <w:rsid w:val="002F743D"/>
    <w:rsid w:val="00304805"/>
    <w:rsid w:val="003050FE"/>
    <w:rsid w:val="00305597"/>
    <w:rsid w:val="00306FC4"/>
    <w:rsid w:val="00310C7A"/>
    <w:rsid w:val="00311E2A"/>
    <w:rsid w:val="0031536A"/>
    <w:rsid w:val="00315C7B"/>
    <w:rsid w:val="0031640A"/>
    <w:rsid w:val="00317612"/>
    <w:rsid w:val="00323F0E"/>
    <w:rsid w:val="00325C2F"/>
    <w:rsid w:val="00327533"/>
    <w:rsid w:val="00330595"/>
    <w:rsid w:val="003408A0"/>
    <w:rsid w:val="003412C3"/>
    <w:rsid w:val="00347EFA"/>
    <w:rsid w:val="003557DF"/>
    <w:rsid w:val="003562BF"/>
    <w:rsid w:val="00364DC6"/>
    <w:rsid w:val="00366A45"/>
    <w:rsid w:val="00370BD0"/>
    <w:rsid w:val="00370DB1"/>
    <w:rsid w:val="0037235E"/>
    <w:rsid w:val="00373378"/>
    <w:rsid w:val="00374878"/>
    <w:rsid w:val="0038072C"/>
    <w:rsid w:val="003847DB"/>
    <w:rsid w:val="00386705"/>
    <w:rsid w:val="00391C78"/>
    <w:rsid w:val="00391C9B"/>
    <w:rsid w:val="0039584A"/>
    <w:rsid w:val="003A3A61"/>
    <w:rsid w:val="003A4EC0"/>
    <w:rsid w:val="003A76FA"/>
    <w:rsid w:val="003B0365"/>
    <w:rsid w:val="003B21E0"/>
    <w:rsid w:val="003B4E57"/>
    <w:rsid w:val="003B62A3"/>
    <w:rsid w:val="003C1690"/>
    <w:rsid w:val="003C6310"/>
    <w:rsid w:val="003D045A"/>
    <w:rsid w:val="003D0667"/>
    <w:rsid w:val="003D0CE2"/>
    <w:rsid w:val="003D2361"/>
    <w:rsid w:val="003D44D4"/>
    <w:rsid w:val="003D51A9"/>
    <w:rsid w:val="003E3C5D"/>
    <w:rsid w:val="003E5EA9"/>
    <w:rsid w:val="003E69DE"/>
    <w:rsid w:val="003F39D6"/>
    <w:rsid w:val="003F65D3"/>
    <w:rsid w:val="004140FF"/>
    <w:rsid w:val="00420E99"/>
    <w:rsid w:val="004260C8"/>
    <w:rsid w:val="00430A5A"/>
    <w:rsid w:val="0043141D"/>
    <w:rsid w:val="00432879"/>
    <w:rsid w:val="004333E9"/>
    <w:rsid w:val="0043375D"/>
    <w:rsid w:val="00436F20"/>
    <w:rsid w:val="004448BA"/>
    <w:rsid w:val="00447E0D"/>
    <w:rsid w:val="0046425A"/>
    <w:rsid w:val="004666E6"/>
    <w:rsid w:val="004709C1"/>
    <w:rsid w:val="004726D8"/>
    <w:rsid w:val="00475F83"/>
    <w:rsid w:val="004840D0"/>
    <w:rsid w:val="0048586F"/>
    <w:rsid w:val="00493541"/>
    <w:rsid w:val="004A04B5"/>
    <w:rsid w:val="004A0761"/>
    <w:rsid w:val="004A31E5"/>
    <w:rsid w:val="004A5CA2"/>
    <w:rsid w:val="004B1629"/>
    <w:rsid w:val="004B1711"/>
    <w:rsid w:val="004B5470"/>
    <w:rsid w:val="004B600B"/>
    <w:rsid w:val="004C0573"/>
    <w:rsid w:val="004D208D"/>
    <w:rsid w:val="004D21A9"/>
    <w:rsid w:val="004D4E42"/>
    <w:rsid w:val="004D6E74"/>
    <w:rsid w:val="004D72CE"/>
    <w:rsid w:val="004E0A19"/>
    <w:rsid w:val="004E5BF2"/>
    <w:rsid w:val="004E7E09"/>
    <w:rsid w:val="004F350D"/>
    <w:rsid w:val="004F6125"/>
    <w:rsid w:val="00500213"/>
    <w:rsid w:val="005036B8"/>
    <w:rsid w:val="00504412"/>
    <w:rsid w:val="005148CC"/>
    <w:rsid w:val="005150AA"/>
    <w:rsid w:val="00522D87"/>
    <w:rsid w:val="00525167"/>
    <w:rsid w:val="00532218"/>
    <w:rsid w:val="0053354B"/>
    <w:rsid w:val="00534A75"/>
    <w:rsid w:val="00552116"/>
    <w:rsid w:val="00553EC5"/>
    <w:rsid w:val="00555D68"/>
    <w:rsid w:val="005625D5"/>
    <w:rsid w:val="0056584E"/>
    <w:rsid w:val="00581029"/>
    <w:rsid w:val="00581CE4"/>
    <w:rsid w:val="00585580"/>
    <w:rsid w:val="005877FC"/>
    <w:rsid w:val="005921CC"/>
    <w:rsid w:val="00597153"/>
    <w:rsid w:val="005A0B4C"/>
    <w:rsid w:val="005A679E"/>
    <w:rsid w:val="005B019C"/>
    <w:rsid w:val="005B188E"/>
    <w:rsid w:val="005B6181"/>
    <w:rsid w:val="005C0037"/>
    <w:rsid w:val="005C51F0"/>
    <w:rsid w:val="005C6B16"/>
    <w:rsid w:val="005D0069"/>
    <w:rsid w:val="005D285A"/>
    <w:rsid w:val="005D54ED"/>
    <w:rsid w:val="005E0DC5"/>
    <w:rsid w:val="005F076F"/>
    <w:rsid w:val="005F3F6E"/>
    <w:rsid w:val="006000D8"/>
    <w:rsid w:val="00602A09"/>
    <w:rsid w:val="00603CA2"/>
    <w:rsid w:val="00603F33"/>
    <w:rsid w:val="006113A0"/>
    <w:rsid w:val="0061599A"/>
    <w:rsid w:val="00617AA7"/>
    <w:rsid w:val="0062391E"/>
    <w:rsid w:val="00632436"/>
    <w:rsid w:val="00632B0B"/>
    <w:rsid w:val="006358E3"/>
    <w:rsid w:val="006406B3"/>
    <w:rsid w:val="006565FC"/>
    <w:rsid w:val="0066357D"/>
    <w:rsid w:val="00667361"/>
    <w:rsid w:val="00667829"/>
    <w:rsid w:val="00667999"/>
    <w:rsid w:val="00672AD4"/>
    <w:rsid w:val="006741F3"/>
    <w:rsid w:val="0067711E"/>
    <w:rsid w:val="00681D65"/>
    <w:rsid w:val="00684498"/>
    <w:rsid w:val="00695BE9"/>
    <w:rsid w:val="00696E01"/>
    <w:rsid w:val="006A0825"/>
    <w:rsid w:val="006A42FC"/>
    <w:rsid w:val="006A530F"/>
    <w:rsid w:val="006A5E0F"/>
    <w:rsid w:val="006A7898"/>
    <w:rsid w:val="006B44B3"/>
    <w:rsid w:val="006B452E"/>
    <w:rsid w:val="006B5E0A"/>
    <w:rsid w:val="006B6E8B"/>
    <w:rsid w:val="006C135D"/>
    <w:rsid w:val="006C4DB6"/>
    <w:rsid w:val="006C63C5"/>
    <w:rsid w:val="006D07C3"/>
    <w:rsid w:val="006D099C"/>
    <w:rsid w:val="006D2AFF"/>
    <w:rsid w:val="006D52A1"/>
    <w:rsid w:val="006E42DC"/>
    <w:rsid w:val="006F19EC"/>
    <w:rsid w:val="006F61D0"/>
    <w:rsid w:val="0070050C"/>
    <w:rsid w:val="0070142A"/>
    <w:rsid w:val="00710434"/>
    <w:rsid w:val="0071648A"/>
    <w:rsid w:val="00716E84"/>
    <w:rsid w:val="0072070C"/>
    <w:rsid w:val="00731663"/>
    <w:rsid w:val="00733040"/>
    <w:rsid w:val="007415EF"/>
    <w:rsid w:val="0075154D"/>
    <w:rsid w:val="00754AB6"/>
    <w:rsid w:val="00756150"/>
    <w:rsid w:val="00756BA1"/>
    <w:rsid w:val="007578C4"/>
    <w:rsid w:val="007617F0"/>
    <w:rsid w:val="00767C3D"/>
    <w:rsid w:val="007729E8"/>
    <w:rsid w:val="00775CC3"/>
    <w:rsid w:val="00776407"/>
    <w:rsid w:val="00777B20"/>
    <w:rsid w:val="00786515"/>
    <w:rsid w:val="00794E62"/>
    <w:rsid w:val="00797939"/>
    <w:rsid w:val="007A0273"/>
    <w:rsid w:val="007A0F0A"/>
    <w:rsid w:val="007A3FD7"/>
    <w:rsid w:val="007A7094"/>
    <w:rsid w:val="007B329C"/>
    <w:rsid w:val="007C0307"/>
    <w:rsid w:val="007C0B6C"/>
    <w:rsid w:val="007C2054"/>
    <w:rsid w:val="007C2B8D"/>
    <w:rsid w:val="007C7B48"/>
    <w:rsid w:val="007E026D"/>
    <w:rsid w:val="007E0982"/>
    <w:rsid w:val="007E1376"/>
    <w:rsid w:val="007E19C7"/>
    <w:rsid w:val="007E2554"/>
    <w:rsid w:val="007E5790"/>
    <w:rsid w:val="007E742E"/>
    <w:rsid w:val="007F4579"/>
    <w:rsid w:val="007F47A9"/>
    <w:rsid w:val="0080274B"/>
    <w:rsid w:val="0081105A"/>
    <w:rsid w:val="008144B1"/>
    <w:rsid w:val="008145E3"/>
    <w:rsid w:val="00827A9C"/>
    <w:rsid w:val="00834C98"/>
    <w:rsid w:val="00834EF6"/>
    <w:rsid w:val="008404A7"/>
    <w:rsid w:val="00841345"/>
    <w:rsid w:val="008544A3"/>
    <w:rsid w:val="00857144"/>
    <w:rsid w:val="008576D0"/>
    <w:rsid w:val="00857DCC"/>
    <w:rsid w:val="00861F83"/>
    <w:rsid w:val="00864BE6"/>
    <w:rsid w:val="00876B8C"/>
    <w:rsid w:val="00877577"/>
    <w:rsid w:val="00881EFD"/>
    <w:rsid w:val="00890924"/>
    <w:rsid w:val="008909BB"/>
    <w:rsid w:val="0089202A"/>
    <w:rsid w:val="00893547"/>
    <w:rsid w:val="0089413D"/>
    <w:rsid w:val="008A75C7"/>
    <w:rsid w:val="008B046E"/>
    <w:rsid w:val="008B4D9B"/>
    <w:rsid w:val="008C1131"/>
    <w:rsid w:val="008C1232"/>
    <w:rsid w:val="008C181B"/>
    <w:rsid w:val="008D47B5"/>
    <w:rsid w:val="008D59D8"/>
    <w:rsid w:val="008D63D9"/>
    <w:rsid w:val="008D7F73"/>
    <w:rsid w:val="008E1119"/>
    <w:rsid w:val="008E19E0"/>
    <w:rsid w:val="008E7156"/>
    <w:rsid w:val="008F0E35"/>
    <w:rsid w:val="008F5387"/>
    <w:rsid w:val="00900125"/>
    <w:rsid w:val="0090427D"/>
    <w:rsid w:val="009050B3"/>
    <w:rsid w:val="00911A0F"/>
    <w:rsid w:val="009156D1"/>
    <w:rsid w:val="009210AE"/>
    <w:rsid w:val="009335E4"/>
    <w:rsid w:val="00933B52"/>
    <w:rsid w:val="00933DE5"/>
    <w:rsid w:val="0093512A"/>
    <w:rsid w:val="00940F53"/>
    <w:rsid w:val="009418F8"/>
    <w:rsid w:val="00942416"/>
    <w:rsid w:val="00944055"/>
    <w:rsid w:val="00951066"/>
    <w:rsid w:val="00951DF9"/>
    <w:rsid w:val="00953E23"/>
    <w:rsid w:val="00954992"/>
    <w:rsid w:val="00955470"/>
    <w:rsid w:val="00955C83"/>
    <w:rsid w:val="009574C6"/>
    <w:rsid w:val="00970927"/>
    <w:rsid w:val="009709D6"/>
    <w:rsid w:val="00972710"/>
    <w:rsid w:val="009739FE"/>
    <w:rsid w:val="0097551E"/>
    <w:rsid w:val="00991BB0"/>
    <w:rsid w:val="009A486B"/>
    <w:rsid w:val="009A5433"/>
    <w:rsid w:val="009B122D"/>
    <w:rsid w:val="009B2533"/>
    <w:rsid w:val="009C52C2"/>
    <w:rsid w:val="009C79AD"/>
    <w:rsid w:val="009C7BA4"/>
    <w:rsid w:val="009D0CB8"/>
    <w:rsid w:val="009D11E6"/>
    <w:rsid w:val="009D7023"/>
    <w:rsid w:val="009E087C"/>
    <w:rsid w:val="009E27D6"/>
    <w:rsid w:val="009E32CD"/>
    <w:rsid w:val="009E7E37"/>
    <w:rsid w:val="009F4021"/>
    <w:rsid w:val="009F7F9F"/>
    <w:rsid w:val="00A0488C"/>
    <w:rsid w:val="00A07FC0"/>
    <w:rsid w:val="00A12A08"/>
    <w:rsid w:val="00A148B1"/>
    <w:rsid w:val="00A1527C"/>
    <w:rsid w:val="00A176FE"/>
    <w:rsid w:val="00A23534"/>
    <w:rsid w:val="00A23593"/>
    <w:rsid w:val="00A25165"/>
    <w:rsid w:val="00A26828"/>
    <w:rsid w:val="00A30D94"/>
    <w:rsid w:val="00A32AAA"/>
    <w:rsid w:val="00A341D0"/>
    <w:rsid w:val="00A348F6"/>
    <w:rsid w:val="00A35981"/>
    <w:rsid w:val="00A37C41"/>
    <w:rsid w:val="00A4072B"/>
    <w:rsid w:val="00A43A19"/>
    <w:rsid w:val="00A44158"/>
    <w:rsid w:val="00A445A3"/>
    <w:rsid w:val="00A50467"/>
    <w:rsid w:val="00A5258E"/>
    <w:rsid w:val="00A52D60"/>
    <w:rsid w:val="00A56718"/>
    <w:rsid w:val="00A6153D"/>
    <w:rsid w:val="00A61F4D"/>
    <w:rsid w:val="00A671A5"/>
    <w:rsid w:val="00A70AC7"/>
    <w:rsid w:val="00A72CD3"/>
    <w:rsid w:val="00A74CEF"/>
    <w:rsid w:val="00A817B5"/>
    <w:rsid w:val="00A83B7F"/>
    <w:rsid w:val="00A85905"/>
    <w:rsid w:val="00A877B5"/>
    <w:rsid w:val="00A90A07"/>
    <w:rsid w:val="00A918FD"/>
    <w:rsid w:val="00A93ED3"/>
    <w:rsid w:val="00AA08DE"/>
    <w:rsid w:val="00AA4A43"/>
    <w:rsid w:val="00AB0D9E"/>
    <w:rsid w:val="00AB2221"/>
    <w:rsid w:val="00AB3AB1"/>
    <w:rsid w:val="00AB51CF"/>
    <w:rsid w:val="00AB63C1"/>
    <w:rsid w:val="00AC438A"/>
    <w:rsid w:val="00AD537D"/>
    <w:rsid w:val="00AE75C0"/>
    <w:rsid w:val="00B00B46"/>
    <w:rsid w:val="00B021FB"/>
    <w:rsid w:val="00B03979"/>
    <w:rsid w:val="00B11495"/>
    <w:rsid w:val="00B123BE"/>
    <w:rsid w:val="00B12D56"/>
    <w:rsid w:val="00B16B08"/>
    <w:rsid w:val="00B203CC"/>
    <w:rsid w:val="00B21D22"/>
    <w:rsid w:val="00B23377"/>
    <w:rsid w:val="00B25A2A"/>
    <w:rsid w:val="00B324D1"/>
    <w:rsid w:val="00B34E72"/>
    <w:rsid w:val="00B36B15"/>
    <w:rsid w:val="00B37779"/>
    <w:rsid w:val="00B41869"/>
    <w:rsid w:val="00B41AF8"/>
    <w:rsid w:val="00B42F6D"/>
    <w:rsid w:val="00B4566D"/>
    <w:rsid w:val="00B47CFC"/>
    <w:rsid w:val="00B53FB5"/>
    <w:rsid w:val="00B616F2"/>
    <w:rsid w:val="00B824AE"/>
    <w:rsid w:val="00B85195"/>
    <w:rsid w:val="00B93D33"/>
    <w:rsid w:val="00B973CA"/>
    <w:rsid w:val="00BA110E"/>
    <w:rsid w:val="00BA6158"/>
    <w:rsid w:val="00BA63C8"/>
    <w:rsid w:val="00BB5F74"/>
    <w:rsid w:val="00BC26C4"/>
    <w:rsid w:val="00BC3DAD"/>
    <w:rsid w:val="00BC75A7"/>
    <w:rsid w:val="00BD21E4"/>
    <w:rsid w:val="00BD37BC"/>
    <w:rsid w:val="00BD4BC1"/>
    <w:rsid w:val="00BD5BB1"/>
    <w:rsid w:val="00BE347C"/>
    <w:rsid w:val="00BE3C08"/>
    <w:rsid w:val="00BF6A72"/>
    <w:rsid w:val="00C014CA"/>
    <w:rsid w:val="00C03297"/>
    <w:rsid w:val="00C034BF"/>
    <w:rsid w:val="00C10FE8"/>
    <w:rsid w:val="00C13BDD"/>
    <w:rsid w:val="00C14851"/>
    <w:rsid w:val="00C17BF9"/>
    <w:rsid w:val="00C21975"/>
    <w:rsid w:val="00C2232D"/>
    <w:rsid w:val="00C3171F"/>
    <w:rsid w:val="00C35C16"/>
    <w:rsid w:val="00C36538"/>
    <w:rsid w:val="00C435F2"/>
    <w:rsid w:val="00C4655D"/>
    <w:rsid w:val="00C603F4"/>
    <w:rsid w:val="00C62C07"/>
    <w:rsid w:val="00C6414B"/>
    <w:rsid w:val="00C7087C"/>
    <w:rsid w:val="00C73DBE"/>
    <w:rsid w:val="00C7429F"/>
    <w:rsid w:val="00C742B3"/>
    <w:rsid w:val="00C825D0"/>
    <w:rsid w:val="00C83939"/>
    <w:rsid w:val="00C9065C"/>
    <w:rsid w:val="00C939D2"/>
    <w:rsid w:val="00C93D66"/>
    <w:rsid w:val="00C948C1"/>
    <w:rsid w:val="00C97C0E"/>
    <w:rsid w:val="00CA4D0A"/>
    <w:rsid w:val="00CB0738"/>
    <w:rsid w:val="00CB0B2A"/>
    <w:rsid w:val="00CB3B29"/>
    <w:rsid w:val="00CC1EF0"/>
    <w:rsid w:val="00CD0BB5"/>
    <w:rsid w:val="00CD46B9"/>
    <w:rsid w:val="00CE0D74"/>
    <w:rsid w:val="00CE151A"/>
    <w:rsid w:val="00CE1B71"/>
    <w:rsid w:val="00CE5B16"/>
    <w:rsid w:val="00CE5D30"/>
    <w:rsid w:val="00CF0652"/>
    <w:rsid w:val="00CF3DA0"/>
    <w:rsid w:val="00CF6CF3"/>
    <w:rsid w:val="00D06566"/>
    <w:rsid w:val="00D1017C"/>
    <w:rsid w:val="00D121CD"/>
    <w:rsid w:val="00D13986"/>
    <w:rsid w:val="00D154BB"/>
    <w:rsid w:val="00D23EE1"/>
    <w:rsid w:val="00D27BD5"/>
    <w:rsid w:val="00D3042C"/>
    <w:rsid w:val="00D3182C"/>
    <w:rsid w:val="00D328B8"/>
    <w:rsid w:val="00D36AFF"/>
    <w:rsid w:val="00D37C4A"/>
    <w:rsid w:val="00D4021B"/>
    <w:rsid w:val="00D440E0"/>
    <w:rsid w:val="00D44DD8"/>
    <w:rsid w:val="00D47212"/>
    <w:rsid w:val="00D47CF6"/>
    <w:rsid w:val="00D50475"/>
    <w:rsid w:val="00D5184F"/>
    <w:rsid w:val="00D5740D"/>
    <w:rsid w:val="00D6149A"/>
    <w:rsid w:val="00D63A4B"/>
    <w:rsid w:val="00D641E4"/>
    <w:rsid w:val="00D65422"/>
    <w:rsid w:val="00D65A4D"/>
    <w:rsid w:val="00D67242"/>
    <w:rsid w:val="00D67F3C"/>
    <w:rsid w:val="00D706E2"/>
    <w:rsid w:val="00D71C6C"/>
    <w:rsid w:val="00D736D7"/>
    <w:rsid w:val="00D81F91"/>
    <w:rsid w:val="00D870FD"/>
    <w:rsid w:val="00D91E50"/>
    <w:rsid w:val="00D92E53"/>
    <w:rsid w:val="00D934F6"/>
    <w:rsid w:val="00DC25BF"/>
    <w:rsid w:val="00DC3050"/>
    <w:rsid w:val="00DC5C62"/>
    <w:rsid w:val="00DD0D4E"/>
    <w:rsid w:val="00DD267D"/>
    <w:rsid w:val="00DD45A9"/>
    <w:rsid w:val="00DD6D6A"/>
    <w:rsid w:val="00DE2014"/>
    <w:rsid w:val="00DE3198"/>
    <w:rsid w:val="00DF1ECD"/>
    <w:rsid w:val="00E01A4B"/>
    <w:rsid w:val="00E020E9"/>
    <w:rsid w:val="00E057AA"/>
    <w:rsid w:val="00E05C8F"/>
    <w:rsid w:val="00E2194B"/>
    <w:rsid w:val="00E22687"/>
    <w:rsid w:val="00E23717"/>
    <w:rsid w:val="00E31147"/>
    <w:rsid w:val="00E34347"/>
    <w:rsid w:val="00E36427"/>
    <w:rsid w:val="00E371EB"/>
    <w:rsid w:val="00E44316"/>
    <w:rsid w:val="00E46C2D"/>
    <w:rsid w:val="00E47C6C"/>
    <w:rsid w:val="00E504DF"/>
    <w:rsid w:val="00E51881"/>
    <w:rsid w:val="00E523F2"/>
    <w:rsid w:val="00E6012D"/>
    <w:rsid w:val="00E63AC4"/>
    <w:rsid w:val="00E74B6F"/>
    <w:rsid w:val="00E809A2"/>
    <w:rsid w:val="00E83812"/>
    <w:rsid w:val="00E83B7B"/>
    <w:rsid w:val="00E93356"/>
    <w:rsid w:val="00E94C07"/>
    <w:rsid w:val="00E9766E"/>
    <w:rsid w:val="00EA0CA9"/>
    <w:rsid w:val="00EA11C5"/>
    <w:rsid w:val="00EA15F0"/>
    <w:rsid w:val="00EA2D8D"/>
    <w:rsid w:val="00EA3736"/>
    <w:rsid w:val="00EA6C95"/>
    <w:rsid w:val="00EB1CCD"/>
    <w:rsid w:val="00EB2D8F"/>
    <w:rsid w:val="00EB5D02"/>
    <w:rsid w:val="00EB788B"/>
    <w:rsid w:val="00EC0FFB"/>
    <w:rsid w:val="00EC3468"/>
    <w:rsid w:val="00EC4133"/>
    <w:rsid w:val="00EC4F58"/>
    <w:rsid w:val="00ED3181"/>
    <w:rsid w:val="00ED327F"/>
    <w:rsid w:val="00ED623E"/>
    <w:rsid w:val="00EE357A"/>
    <w:rsid w:val="00F02F4E"/>
    <w:rsid w:val="00F0321E"/>
    <w:rsid w:val="00F076A0"/>
    <w:rsid w:val="00F12DDA"/>
    <w:rsid w:val="00F1333E"/>
    <w:rsid w:val="00F13ABF"/>
    <w:rsid w:val="00F1551B"/>
    <w:rsid w:val="00F23A11"/>
    <w:rsid w:val="00F24F4D"/>
    <w:rsid w:val="00F268C8"/>
    <w:rsid w:val="00F26B6A"/>
    <w:rsid w:val="00F303FB"/>
    <w:rsid w:val="00F30585"/>
    <w:rsid w:val="00F30EAC"/>
    <w:rsid w:val="00F4617B"/>
    <w:rsid w:val="00F54C78"/>
    <w:rsid w:val="00F6125C"/>
    <w:rsid w:val="00F6214E"/>
    <w:rsid w:val="00F70F32"/>
    <w:rsid w:val="00F7316A"/>
    <w:rsid w:val="00F73F9E"/>
    <w:rsid w:val="00F82CC8"/>
    <w:rsid w:val="00F85950"/>
    <w:rsid w:val="00F86927"/>
    <w:rsid w:val="00F943FD"/>
    <w:rsid w:val="00FA14D8"/>
    <w:rsid w:val="00FB366B"/>
    <w:rsid w:val="00FB56CD"/>
    <w:rsid w:val="00FB70EB"/>
    <w:rsid w:val="00FC39B6"/>
    <w:rsid w:val="00FC4878"/>
    <w:rsid w:val="00FC4EA1"/>
    <w:rsid w:val="00FC56B4"/>
    <w:rsid w:val="00FC70AF"/>
    <w:rsid w:val="00FD02D9"/>
    <w:rsid w:val="00FD4678"/>
    <w:rsid w:val="00FE17CD"/>
    <w:rsid w:val="00FE3866"/>
    <w:rsid w:val="00FE685C"/>
    <w:rsid w:val="00FF44E8"/>
    <w:rsid w:val="00FF45C4"/>
    <w:rsid w:val="00FF4D7F"/>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page number" w:uiPriority="0"/>
    <w:lsdException w:name="endnote text" w:uiPriority="0"/>
    <w:lsdException w:name="List Bullet 4" w:uiPriority="0"/>
    <w:lsdException w:name="List Bullet 5" w:uiPriority="0"/>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5422"/>
    <w:rPr>
      <w:rFonts w:ascii="Times New Roman" w:eastAsia="Times New Roman" w:hAnsi="Times New Roman"/>
      <w:sz w:val="24"/>
      <w:szCs w:val="24"/>
      <w:lang w:val="lt-LT"/>
    </w:rPr>
  </w:style>
  <w:style w:type="paragraph" w:styleId="berschrift1">
    <w:name w:val="heading 1"/>
    <w:basedOn w:val="Standard"/>
    <w:next w:val="Standard"/>
    <w:link w:val="berschrift1Zchn"/>
    <w:uiPriority w:val="9"/>
    <w:qFormat/>
    <w:rsid w:val="004B1629"/>
    <w:pPr>
      <w:keepNext/>
      <w:spacing w:before="240" w:after="60"/>
      <w:outlineLvl w:val="0"/>
    </w:pPr>
    <w:rPr>
      <w:rFonts w:ascii="Cambria" w:eastAsia="Malgun Gothic" w:hAnsi="Cambria"/>
      <w:b/>
      <w:bCs/>
      <w:kern w:val="32"/>
      <w:sz w:val="32"/>
      <w:szCs w:val="32"/>
    </w:rPr>
  </w:style>
  <w:style w:type="paragraph" w:styleId="berschrift2">
    <w:name w:val="heading 2"/>
    <w:basedOn w:val="Standard"/>
    <w:next w:val="Standard"/>
    <w:link w:val="berschrift2Zchn"/>
    <w:uiPriority w:val="99"/>
    <w:qFormat/>
    <w:rsid w:val="006358E3"/>
    <w:pPr>
      <w:keepNext/>
      <w:tabs>
        <w:tab w:val="left" w:pos="567"/>
      </w:tabs>
      <w:spacing w:before="240" w:after="60" w:line="260" w:lineRule="exact"/>
      <w:outlineLvl w:val="1"/>
    </w:pPr>
    <w:rPr>
      <w:rFonts w:ascii="Helvetica" w:eastAsia="SimSun" w:hAnsi="Helvetica"/>
      <w:b/>
      <w:i/>
      <w:szCs w:val="20"/>
      <w:lang w:val="en-GB" w:eastAsia="x-none"/>
    </w:rPr>
  </w:style>
  <w:style w:type="paragraph" w:styleId="berschrift3">
    <w:name w:val="heading 3"/>
    <w:basedOn w:val="Standard"/>
    <w:next w:val="Standard"/>
    <w:link w:val="berschrift3Zchn"/>
    <w:uiPriority w:val="9"/>
    <w:semiHidden/>
    <w:unhideWhenUsed/>
    <w:qFormat/>
    <w:rsid w:val="004B1629"/>
    <w:pPr>
      <w:keepNext/>
      <w:spacing w:before="240" w:after="60"/>
      <w:outlineLvl w:val="2"/>
    </w:pPr>
    <w:rPr>
      <w:rFonts w:ascii="Cambria" w:eastAsia="Malgun Gothic" w:hAnsi="Cambria"/>
      <w:b/>
      <w:bCs/>
      <w:sz w:val="26"/>
      <w:szCs w:val="26"/>
    </w:rPr>
  </w:style>
  <w:style w:type="paragraph" w:styleId="berschrift4">
    <w:name w:val="heading 4"/>
    <w:basedOn w:val="Standard"/>
    <w:next w:val="Standard"/>
    <w:link w:val="berschrift4Zchn"/>
    <w:uiPriority w:val="9"/>
    <w:semiHidden/>
    <w:unhideWhenUsed/>
    <w:qFormat/>
    <w:rsid w:val="004B1629"/>
    <w:pPr>
      <w:keepNext/>
      <w:spacing w:before="240" w:after="60"/>
      <w:outlineLvl w:val="3"/>
    </w:pPr>
    <w:rPr>
      <w:rFonts w:ascii="Calibri" w:eastAsia="Malgun Gothic" w:hAnsi="Calibri"/>
      <w:b/>
      <w:bCs/>
      <w:sz w:val="28"/>
      <w:szCs w:val="28"/>
    </w:rPr>
  </w:style>
  <w:style w:type="paragraph" w:styleId="berschrift5">
    <w:name w:val="heading 5"/>
    <w:basedOn w:val="Standard"/>
    <w:next w:val="Standard"/>
    <w:link w:val="berschrift5Zchn"/>
    <w:uiPriority w:val="9"/>
    <w:semiHidden/>
    <w:unhideWhenUsed/>
    <w:qFormat/>
    <w:rsid w:val="004B1629"/>
    <w:pPr>
      <w:spacing w:before="240" w:after="60"/>
      <w:outlineLvl w:val="4"/>
    </w:pPr>
    <w:rPr>
      <w:rFonts w:ascii="Calibri" w:eastAsia="Malgun Gothic" w:hAnsi="Calibri"/>
      <w:b/>
      <w:bCs/>
      <w:i/>
      <w:iCs/>
      <w:sz w:val="26"/>
      <w:szCs w:val="26"/>
    </w:rPr>
  </w:style>
  <w:style w:type="paragraph" w:styleId="berschrift6">
    <w:name w:val="heading 6"/>
    <w:basedOn w:val="Standard"/>
    <w:next w:val="Standard"/>
    <w:link w:val="berschrift6Zchn"/>
    <w:uiPriority w:val="9"/>
    <w:semiHidden/>
    <w:unhideWhenUsed/>
    <w:qFormat/>
    <w:rsid w:val="004B1629"/>
    <w:pPr>
      <w:spacing w:before="240" w:after="60"/>
      <w:outlineLvl w:val="5"/>
    </w:pPr>
    <w:rPr>
      <w:rFonts w:ascii="Calibri" w:eastAsia="Malgun Gothic" w:hAnsi="Calibri"/>
      <w:b/>
      <w:bCs/>
      <w:sz w:val="22"/>
      <w:szCs w:val="22"/>
    </w:rPr>
  </w:style>
  <w:style w:type="paragraph" w:styleId="berschrift7">
    <w:name w:val="heading 7"/>
    <w:basedOn w:val="Standard"/>
    <w:next w:val="Standard"/>
    <w:link w:val="berschrift7Zchn"/>
    <w:uiPriority w:val="9"/>
    <w:semiHidden/>
    <w:unhideWhenUsed/>
    <w:qFormat/>
    <w:rsid w:val="004B1629"/>
    <w:pPr>
      <w:spacing w:before="240" w:after="60"/>
      <w:outlineLvl w:val="6"/>
    </w:pPr>
    <w:rPr>
      <w:rFonts w:ascii="Calibri" w:eastAsia="Malgun Gothic" w:hAnsi="Calibri"/>
    </w:rPr>
  </w:style>
  <w:style w:type="paragraph" w:styleId="berschrift8">
    <w:name w:val="heading 8"/>
    <w:basedOn w:val="Standard"/>
    <w:next w:val="Standard"/>
    <w:link w:val="berschrift8Zchn"/>
    <w:uiPriority w:val="9"/>
    <w:semiHidden/>
    <w:unhideWhenUsed/>
    <w:qFormat/>
    <w:rsid w:val="004B1629"/>
    <w:pPr>
      <w:spacing w:before="240" w:after="60"/>
      <w:outlineLvl w:val="7"/>
    </w:pPr>
    <w:rPr>
      <w:rFonts w:ascii="Calibri" w:eastAsia="Malgun Gothic" w:hAnsi="Calibri"/>
      <w:i/>
      <w:iCs/>
    </w:rPr>
  </w:style>
  <w:style w:type="paragraph" w:styleId="berschrift9">
    <w:name w:val="heading 9"/>
    <w:basedOn w:val="Standard"/>
    <w:next w:val="Standard"/>
    <w:link w:val="berschrift9Zchn"/>
    <w:uiPriority w:val="9"/>
    <w:semiHidden/>
    <w:unhideWhenUsed/>
    <w:qFormat/>
    <w:rsid w:val="004B1629"/>
    <w:pPr>
      <w:spacing w:before="240" w:after="60"/>
      <w:outlineLvl w:val="8"/>
    </w:pPr>
    <w:rPr>
      <w:rFonts w:ascii="Cambria" w:eastAsia="Malgun Gothic"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7729E8"/>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144749"/>
    <w:pPr>
      <w:ind w:left="720"/>
      <w:contextualSpacing/>
    </w:pPr>
  </w:style>
  <w:style w:type="paragraph" w:styleId="KeinLeerraum">
    <w:name w:val="No Spacing"/>
    <w:uiPriority w:val="1"/>
    <w:qFormat/>
    <w:rsid w:val="008C1232"/>
    <w:rPr>
      <w:rFonts w:ascii="Times New Roman" w:eastAsia="Times New Roman" w:hAnsi="Times New Roman"/>
      <w:sz w:val="24"/>
      <w:szCs w:val="24"/>
      <w:lang w:val="lt-LT"/>
    </w:rPr>
  </w:style>
  <w:style w:type="character" w:styleId="Hyperlink">
    <w:name w:val="Hyperlink"/>
    <w:unhideWhenUsed/>
    <w:rsid w:val="003E69DE"/>
    <w:rPr>
      <w:color w:val="0000FF"/>
      <w:u w:val="single"/>
    </w:rPr>
  </w:style>
  <w:style w:type="character" w:customStyle="1" w:styleId="berschrift2Zchn">
    <w:name w:val="Überschrift 2 Zchn"/>
    <w:link w:val="berschrift2"/>
    <w:uiPriority w:val="99"/>
    <w:rsid w:val="006358E3"/>
    <w:rPr>
      <w:rFonts w:ascii="Helvetica" w:eastAsia="SimSun" w:hAnsi="Helvetica" w:cs="Times New Roman"/>
      <w:b/>
      <w:i/>
      <w:sz w:val="24"/>
      <w:szCs w:val="20"/>
      <w:lang w:val="en-GB"/>
    </w:rPr>
  </w:style>
  <w:style w:type="paragraph" w:styleId="Kopfzeile">
    <w:name w:val="header"/>
    <w:basedOn w:val="Standard"/>
    <w:link w:val="KopfzeileZchn"/>
    <w:uiPriority w:val="99"/>
    <w:unhideWhenUsed/>
    <w:rsid w:val="008144B1"/>
    <w:pPr>
      <w:tabs>
        <w:tab w:val="center" w:pos="4680"/>
        <w:tab w:val="right" w:pos="9360"/>
      </w:tabs>
    </w:pPr>
    <w:rPr>
      <w:lang w:eastAsia="x-none"/>
    </w:rPr>
  </w:style>
  <w:style w:type="character" w:customStyle="1" w:styleId="BTEMEASMCAChar">
    <w:name w:val="BT EMEA_SMCA Char"/>
    <w:uiPriority w:val="99"/>
    <w:locked/>
    <w:rsid w:val="00EB1CCD"/>
    <w:rPr>
      <w:rFonts w:ascii="Times New Roman" w:eastAsia="SimSun" w:hAnsi="Times New Roman"/>
      <w:sz w:val="22"/>
      <w:szCs w:val="22"/>
      <w:lang w:val="lt-LT" w:eastAsia="x-none"/>
    </w:rPr>
  </w:style>
  <w:style w:type="paragraph" w:styleId="Sprechblasentext">
    <w:name w:val="Balloon Text"/>
    <w:basedOn w:val="Standard"/>
    <w:link w:val="SprechblasentextZchn"/>
    <w:uiPriority w:val="99"/>
    <w:semiHidden/>
    <w:unhideWhenUsed/>
    <w:rsid w:val="00552116"/>
    <w:rPr>
      <w:rFonts w:ascii="Tahoma" w:hAnsi="Tahoma"/>
      <w:sz w:val="16"/>
      <w:szCs w:val="16"/>
      <w:lang w:eastAsia="x-none"/>
    </w:rPr>
  </w:style>
  <w:style w:type="character" w:customStyle="1" w:styleId="SprechblasentextZchn">
    <w:name w:val="Sprechblasentext Zchn"/>
    <w:link w:val="Sprechblasentext"/>
    <w:uiPriority w:val="99"/>
    <w:semiHidden/>
    <w:rsid w:val="00552116"/>
    <w:rPr>
      <w:rFonts w:ascii="Tahoma" w:eastAsia="Times New Roman" w:hAnsi="Tahoma" w:cs="Tahoma"/>
      <w:sz w:val="16"/>
      <w:szCs w:val="16"/>
      <w:lang w:val="lt-LT"/>
    </w:rPr>
  </w:style>
  <w:style w:type="character" w:styleId="Kommentarzeichen">
    <w:name w:val="annotation reference"/>
    <w:semiHidden/>
    <w:unhideWhenUsed/>
    <w:rsid w:val="00F30EAC"/>
    <w:rPr>
      <w:sz w:val="16"/>
      <w:szCs w:val="16"/>
    </w:rPr>
  </w:style>
  <w:style w:type="paragraph" w:styleId="Kommentartext">
    <w:name w:val="annotation text"/>
    <w:basedOn w:val="Standard"/>
    <w:link w:val="KommentartextZchn"/>
    <w:uiPriority w:val="99"/>
    <w:semiHidden/>
    <w:unhideWhenUsed/>
    <w:rsid w:val="00F30EAC"/>
    <w:rPr>
      <w:sz w:val="20"/>
      <w:szCs w:val="20"/>
      <w:lang w:eastAsia="x-none"/>
    </w:rPr>
  </w:style>
  <w:style w:type="character" w:customStyle="1" w:styleId="KommentartextZchn">
    <w:name w:val="Kommentartext Zchn"/>
    <w:link w:val="Kommentartext"/>
    <w:uiPriority w:val="99"/>
    <w:semiHidden/>
    <w:rsid w:val="00F30EAC"/>
    <w:rPr>
      <w:rFonts w:ascii="Times New Roman" w:eastAsia="Times New Roman" w:hAnsi="Times New Roman" w:cs="Times New Roman"/>
      <w:sz w:val="20"/>
      <w:szCs w:val="20"/>
      <w:lang w:val="lt-LT"/>
    </w:rPr>
  </w:style>
  <w:style w:type="paragraph" w:styleId="Kommentarthema">
    <w:name w:val="annotation subject"/>
    <w:basedOn w:val="Kommentartext"/>
    <w:next w:val="Kommentartext"/>
    <w:link w:val="KommentarthemaZchn"/>
    <w:uiPriority w:val="99"/>
    <w:semiHidden/>
    <w:unhideWhenUsed/>
    <w:rsid w:val="00F30EAC"/>
    <w:rPr>
      <w:b/>
      <w:bCs/>
    </w:rPr>
  </w:style>
  <w:style w:type="character" w:customStyle="1" w:styleId="KommentarthemaZchn">
    <w:name w:val="Kommentarthema Zchn"/>
    <w:link w:val="Kommentarthema"/>
    <w:uiPriority w:val="99"/>
    <w:semiHidden/>
    <w:rsid w:val="00F30EAC"/>
    <w:rPr>
      <w:rFonts w:ascii="Times New Roman" w:eastAsia="Times New Roman" w:hAnsi="Times New Roman" w:cs="Times New Roman"/>
      <w:b/>
      <w:bCs/>
      <w:sz w:val="20"/>
      <w:szCs w:val="20"/>
      <w:lang w:val="lt-LT"/>
    </w:rPr>
  </w:style>
  <w:style w:type="paragraph" w:styleId="berarbeitung">
    <w:name w:val="Revision"/>
    <w:hidden/>
    <w:uiPriority w:val="99"/>
    <w:semiHidden/>
    <w:rsid w:val="00192DB3"/>
    <w:rPr>
      <w:rFonts w:ascii="Times New Roman" w:eastAsia="Times New Roman" w:hAnsi="Times New Roman"/>
      <w:sz w:val="24"/>
      <w:szCs w:val="24"/>
      <w:lang w:val="lt-LT"/>
    </w:rPr>
  </w:style>
  <w:style w:type="paragraph" w:customStyle="1" w:styleId="NormalParagraphStyle">
    <w:name w:val="NormalParagraphStyle"/>
    <w:basedOn w:val="Standard"/>
    <w:rsid w:val="00FC4EA1"/>
    <w:pPr>
      <w:widowControl w:val="0"/>
      <w:autoSpaceDE w:val="0"/>
      <w:autoSpaceDN w:val="0"/>
      <w:adjustRightInd w:val="0"/>
      <w:spacing w:line="288" w:lineRule="auto"/>
      <w:textAlignment w:val="center"/>
    </w:pPr>
    <w:rPr>
      <w:rFonts w:ascii="Times-Roman" w:hAnsi="Times-Roman"/>
      <w:color w:val="000000"/>
      <w:lang w:val="en-GB"/>
    </w:rPr>
  </w:style>
  <w:style w:type="character" w:customStyle="1" w:styleId="KopfzeileZchn">
    <w:name w:val="Kopfzeile Zchn"/>
    <w:link w:val="Kopfzeile"/>
    <w:uiPriority w:val="99"/>
    <w:rsid w:val="008144B1"/>
    <w:rPr>
      <w:rFonts w:ascii="Times New Roman" w:eastAsia="Times New Roman" w:hAnsi="Times New Roman"/>
      <w:sz w:val="24"/>
      <w:szCs w:val="24"/>
      <w:lang w:val="lt-LT"/>
    </w:rPr>
  </w:style>
  <w:style w:type="paragraph" w:styleId="Fuzeile">
    <w:name w:val="footer"/>
    <w:basedOn w:val="Standard"/>
    <w:link w:val="FuzeileZchn"/>
    <w:unhideWhenUsed/>
    <w:rsid w:val="008144B1"/>
    <w:pPr>
      <w:tabs>
        <w:tab w:val="center" w:pos="4680"/>
        <w:tab w:val="right" w:pos="9360"/>
      </w:tabs>
    </w:pPr>
    <w:rPr>
      <w:lang w:eastAsia="x-none"/>
    </w:rPr>
  </w:style>
  <w:style w:type="character" w:customStyle="1" w:styleId="FuzeileZchn">
    <w:name w:val="Fußzeile Zchn"/>
    <w:link w:val="Fuzeile"/>
    <w:uiPriority w:val="99"/>
    <w:rsid w:val="008144B1"/>
    <w:rPr>
      <w:rFonts w:ascii="Times New Roman" w:eastAsia="Times New Roman" w:hAnsi="Times New Roman"/>
      <w:sz w:val="24"/>
      <w:szCs w:val="24"/>
      <w:lang w:val="lt-LT"/>
    </w:rPr>
  </w:style>
  <w:style w:type="numbering" w:customStyle="1" w:styleId="NoList1">
    <w:name w:val="No List1"/>
    <w:next w:val="KeineListe"/>
    <w:uiPriority w:val="99"/>
    <w:semiHidden/>
    <w:unhideWhenUsed/>
    <w:rsid w:val="002D2BD8"/>
  </w:style>
  <w:style w:type="table" w:styleId="Tabellenraster">
    <w:name w:val="Table Grid"/>
    <w:basedOn w:val="NormaleTabelle"/>
    <w:uiPriority w:val="59"/>
    <w:rsid w:val="002D2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rsid w:val="002D2BD8"/>
  </w:style>
  <w:style w:type="character" w:styleId="Zeilennummer">
    <w:name w:val="line number"/>
    <w:uiPriority w:val="99"/>
    <w:semiHidden/>
    <w:unhideWhenUsed/>
    <w:rsid w:val="002D2BD8"/>
  </w:style>
  <w:style w:type="character" w:styleId="BesuchterHyperlink">
    <w:name w:val="FollowedHyperlink"/>
    <w:uiPriority w:val="99"/>
    <w:semiHidden/>
    <w:unhideWhenUsed/>
    <w:rsid w:val="00D440E0"/>
    <w:rPr>
      <w:color w:val="800080"/>
      <w:u w:val="single"/>
    </w:rPr>
  </w:style>
  <w:style w:type="paragraph" w:styleId="Endnotentext">
    <w:name w:val="endnote text"/>
    <w:basedOn w:val="Standard"/>
    <w:link w:val="EndnotentextZchn"/>
    <w:unhideWhenUsed/>
    <w:rsid w:val="00217A90"/>
    <w:rPr>
      <w:sz w:val="20"/>
      <w:szCs w:val="20"/>
    </w:rPr>
  </w:style>
  <w:style w:type="character" w:customStyle="1" w:styleId="EndnotentextZchn">
    <w:name w:val="Endnotentext Zchn"/>
    <w:link w:val="Endnotentext"/>
    <w:rsid w:val="00217A90"/>
    <w:rPr>
      <w:rFonts w:ascii="Times New Roman" w:eastAsia="Times New Roman" w:hAnsi="Times New Roman"/>
      <w:lang w:eastAsia="en-US"/>
    </w:rPr>
  </w:style>
  <w:style w:type="paragraph" w:customStyle="1" w:styleId="Text">
    <w:name w:val="Text"/>
    <w:basedOn w:val="Standard"/>
    <w:link w:val="TextChar"/>
    <w:rsid w:val="00C742B3"/>
    <w:pPr>
      <w:spacing w:before="120"/>
      <w:jc w:val="both"/>
    </w:pPr>
    <w:rPr>
      <w:szCs w:val="20"/>
    </w:rPr>
  </w:style>
  <w:style w:type="character" w:customStyle="1" w:styleId="TextChar">
    <w:name w:val="Text Char"/>
    <w:link w:val="Text"/>
    <w:rsid w:val="00C742B3"/>
    <w:rPr>
      <w:rFonts w:ascii="Times New Roman" w:eastAsia="Times New Roman" w:hAnsi="Times New Roman"/>
      <w:sz w:val="24"/>
      <w:lang w:eastAsia="en-US"/>
    </w:rPr>
  </w:style>
  <w:style w:type="paragraph" w:styleId="Aufzhlungszeichen5">
    <w:name w:val="List Bullet 5"/>
    <w:basedOn w:val="Standard"/>
    <w:rsid w:val="00F4617B"/>
    <w:pPr>
      <w:numPr>
        <w:numId w:val="19"/>
      </w:numPr>
      <w:tabs>
        <w:tab w:val="left" w:pos="567"/>
      </w:tabs>
      <w:spacing w:line="260" w:lineRule="exact"/>
    </w:pPr>
    <w:rPr>
      <w:sz w:val="22"/>
      <w:szCs w:val="20"/>
    </w:rPr>
  </w:style>
  <w:style w:type="paragraph" w:customStyle="1" w:styleId="Listlevel2">
    <w:name w:val="List level 2"/>
    <w:basedOn w:val="Standard"/>
    <w:rsid w:val="00F4617B"/>
    <w:pPr>
      <w:spacing w:before="40" w:after="20"/>
      <w:ind w:left="850" w:hanging="425"/>
    </w:pPr>
    <w:rPr>
      <w:szCs w:val="20"/>
    </w:rPr>
  </w:style>
  <w:style w:type="paragraph" w:styleId="Aufzhlungszeichen4">
    <w:name w:val="List Bullet 4"/>
    <w:basedOn w:val="Standard"/>
    <w:rsid w:val="00F4617B"/>
    <w:pPr>
      <w:numPr>
        <w:numId w:val="21"/>
      </w:numPr>
      <w:tabs>
        <w:tab w:val="left" w:pos="567"/>
      </w:tabs>
      <w:spacing w:line="260" w:lineRule="exact"/>
    </w:pPr>
    <w:rPr>
      <w:sz w:val="22"/>
      <w:szCs w:val="20"/>
    </w:rPr>
  </w:style>
  <w:style w:type="paragraph" w:styleId="Listennummer2">
    <w:name w:val="List Number 2"/>
    <w:basedOn w:val="Standard"/>
    <w:rsid w:val="00F4617B"/>
    <w:pPr>
      <w:numPr>
        <w:numId w:val="22"/>
      </w:numPr>
      <w:tabs>
        <w:tab w:val="left" w:pos="567"/>
      </w:tabs>
      <w:spacing w:line="260" w:lineRule="exact"/>
    </w:pPr>
    <w:rPr>
      <w:sz w:val="22"/>
      <w:szCs w:val="20"/>
    </w:rPr>
  </w:style>
  <w:style w:type="paragraph" w:customStyle="1" w:styleId="TitleA">
    <w:name w:val="Title A"/>
    <w:basedOn w:val="Standard"/>
    <w:rsid w:val="00667999"/>
    <w:pPr>
      <w:tabs>
        <w:tab w:val="left" w:pos="567"/>
      </w:tabs>
      <w:autoSpaceDE w:val="0"/>
      <w:autoSpaceDN w:val="0"/>
      <w:adjustRightInd w:val="0"/>
      <w:jc w:val="center"/>
    </w:pPr>
    <w:rPr>
      <w:b/>
      <w:bCs/>
      <w:sz w:val="22"/>
      <w:szCs w:val="22"/>
      <w:lang w:val="fr-FR" w:eastAsia="fr-FR"/>
    </w:rPr>
  </w:style>
  <w:style w:type="paragraph" w:customStyle="1" w:styleId="TitleB">
    <w:name w:val="Title B"/>
    <w:basedOn w:val="Standard"/>
    <w:qFormat/>
    <w:rsid w:val="00667999"/>
    <w:pPr>
      <w:keepNext/>
      <w:widowControl w:val="0"/>
      <w:autoSpaceDE w:val="0"/>
      <w:autoSpaceDN w:val="0"/>
      <w:adjustRightInd w:val="0"/>
      <w:spacing w:before="280" w:after="220"/>
      <w:ind w:left="540" w:right="120" w:hanging="540"/>
    </w:pPr>
    <w:rPr>
      <w:rFonts w:eastAsia="SimSun"/>
      <w:b/>
      <w:bCs/>
      <w:sz w:val="22"/>
      <w:szCs w:val="20"/>
      <w:lang w:val="fr-FR" w:eastAsia="zh-CN"/>
    </w:rPr>
  </w:style>
  <w:style w:type="paragraph" w:styleId="Abbildungsverzeichnis">
    <w:name w:val="table of figures"/>
    <w:basedOn w:val="Standard"/>
    <w:next w:val="Standard"/>
    <w:uiPriority w:val="99"/>
    <w:semiHidden/>
    <w:unhideWhenUsed/>
    <w:rsid w:val="004B1629"/>
  </w:style>
  <w:style w:type="paragraph" w:styleId="Anrede">
    <w:name w:val="Salutation"/>
    <w:basedOn w:val="Standard"/>
    <w:next w:val="Standard"/>
    <w:link w:val="AnredeZchn"/>
    <w:uiPriority w:val="99"/>
    <w:semiHidden/>
    <w:unhideWhenUsed/>
    <w:rsid w:val="004B1629"/>
  </w:style>
  <w:style w:type="character" w:customStyle="1" w:styleId="AnredeZchn">
    <w:name w:val="Anrede Zchn"/>
    <w:link w:val="Anrede"/>
    <w:uiPriority w:val="99"/>
    <w:semiHidden/>
    <w:rsid w:val="004B1629"/>
    <w:rPr>
      <w:rFonts w:ascii="Times New Roman" w:eastAsia="Times New Roman" w:hAnsi="Times New Roman"/>
      <w:sz w:val="24"/>
      <w:szCs w:val="24"/>
      <w:lang w:val="lt-LT" w:eastAsia="en-US"/>
    </w:rPr>
  </w:style>
  <w:style w:type="paragraph" w:styleId="Aufzhlungszeichen">
    <w:name w:val="List Bullet"/>
    <w:basedOn w:val="Standard"/>
    <w:uiPriority w:val="99"/>
    <w:semiHidden/>
    <w:unhideWhenUsed/>
    <w:rsid w:val="004B1629"/>
    <w:pPr>
      <w:numPr>
        <w:numId w:val="23"/>
      </w:numPr>
      <w:contextualSpacing/>
    </w:pPr>
  </w:style>
  <w:style w:type="paragraph" w:styleId="Aufzhlungszeichen2">
    <w:name w:val="List Bullet 2"/>
    <w:basedOn w:val="Standard"/>
    <w:uiPriority w:val="99"/>
    <w:semiHidden/>
    <w:unhideWhenUsed/>
    <w:rsid w:val="004B1629"/>
    <w:pPr>
      <w:numPr>
        <w:numId w:val="24"/>
      </w:numPr>
      <w:contextualSpacing/>
    </w:pPr>
  </w:style>
  <w:style w:type="paragraph" w:styleId="Aufzhlungszeichen3">
    <w:name w:val="List Bullet 3"/>
    <w:basedOn w:val="Standard"/>
    <w:uiPriority w:val="99"/>
    <w:semiHidden/>
    <w:unhideWhenUsed/>
    <w:rsid w:val="004B1629"/>
    <w:pPr>
      <w:numPr>
        <w:numId w:val="25"/>
      </w:numPr>
      <w:contextualSpacing/>
    </w:pPr>
  </w:style>
  <w:style w:type="paragraph" w:styleId="Beschriftung">
    <w:name w:val="caption"/>
    <w:basedOn w:val="Standard"/>
    <w:next w:val="Standard"/>
    <w:uiPriority w:val="35"/>
    <w:semiHidden/>
    <w:unhideWhenUsed/>
    <w:qFormat/>
    <w:rsid w:val="004B1629"/>
    <w:rPr>
      <w:b/>
      <w:bCs/>
      <w:sz w:val="20"/>
      <w:szCs w:val="20"/>
    </w:rPr>
  </w:style>
  <w:style w:type="paragraph" w:styleId="Blocktext">
    <w:name w:val="Block Text"/>
    <w:basedOn w:val="Standard"/>
    <w:uiPriority w:val="99"/>
    <w:semiHidden/>
    <w:unhideWhenUsed/>
    <w:rsid w:val="004B1629"/>
    <w:pPr>
      <w:spacing w:after="120"/>
      <w:ind w:left="1440" w:right="1440"/>
    </w:pPr>
  </w:style>
  <w:style w:type="paragraph" w:styleId="Datum">
    <w:name w:val="Date"/>
    <w:basedOn w:val="Standard"/>
    <w:next w:val="Standard"/>
    <w:link w:val="DatumZchn"/>
    <w:uiPriority w:val="99"/>
    <w:semiHidden/>
    <w:unhideWhenUsed/>
    <w:rsid w:val="004B1629"/>
  </w:style>
  <w:style w:type="character" w:customStyle="1" w:styleId="DatumZchn">
    <w:name w:val="Datum Zchn"/>
    <w:link w:val="Datum"/>
    <w:uiPriority w:val="99"/>
    <w:semiHidden/>
    <w:rsid w:val="004B1629"/>
    <w:rPr>
      <w:rFonts w:ascii="Times New Roman" w:eastAsia="Times New Roman" w:hAnsi="Times New Roman"/>
      <w:sz w:val="24"/>
      <w:szCs w:val="24"/>
      <w:lang w:val="lt-LT" w:eastAsia="en-US"/>
    </w:rPr>
  </w:style>
  <w:style w:type="paragraph" w:styleId="Dokumentstruktur">
    <w:name w:val="Document Map"/>
    <w:basedOn w:val="Standard"/>
    <w:link w:val="DokumentstrukturZchn"/>
    <w:uiPriority w:val="99"/>
    <w:semiHidden/>
    <w:unhideWhenUsed/>
    <w:rsid w:val="004B1629"/>
    <w:rPr>
      <w:rFonts w:ascii="Tahoma" w:hAnsi="Tahoma" w:cs="Tahoma"/>
      <w:sz w:val="16"/>
      <w:szCs w:val="16"/>
    </w:rPr>
  </w:style>
  <w:style w:type="character" w:customStyle="1" w:styleId="DokumentstrukturZchn">
    <w:name w:val="Dokumentstruktur Zchn"/>
    <w:link w:val="Dokumentstruktur"/>
    <w:uiPriority w:val="99"/>
    <w:semiHidden/>
    <w:rsid w:val="004B1629"/>
    <w:rPr>
      <w:rFonts w:ascii="Tahoma" w:eastAsia="Times New Roman" w:hAnsi="Tahoma" w:cs="Tahoma"/>
      <w:sz w:val="16"/>
      <w:szCs w:val="16"/>
      <w:lang w:val="lt-LT" w:eastAsia="en-US"/>
    </w:rPr>
  </w:style>
  <w:style w:type="paragraph" w:styleId="E-Mail-Signatur">
    <w:name w:val="E-mail Signature"/>
    <w:basedOn w:val="Standard"/>
    <w:link w:val="E-Mail-SignaturZchn"/>
    <w:uiPriority w:val="99"/>
    <w:semiHidden/>
    <w:unhideWhenUsed/>
    <w:rsid w:val="004B1629"/>
  </w:style>
  <w:style w:type="character" w:customStyle="1" w:styleId="E-Mail-SignaturZchn">
    <w:name w:val="E-Mail-Signatur Zchn"/>
    <w:link w:val="E-Mail-Signatur"/>
    <w:uiPriority w:val="99"/>
    <w:semiHidden/>
    <w:rsid w:val="004B1629"/>
    <w:rPr>
      <w:rFonts w:ascii="Times New Roman" w:eastAsia="Times New Roman" w:hAnsi="Times New Roman"/>
      <w:sz w:val="24"/>
      <w:szCs w:val="24"/>
      <w:lang w:val="lt-LT" w:eastAsia="en-US"/>
    </w:rPr>
  </w:style>
  <w:style w:type="paragraph" w:styleId="Fu-Endnotenberschrift">
    <w:name w:val="Note Heading"/>
    <w:basedOn w:val="Standard"/>
    <w:next w:val="Standard"/>
    <w:link w:val="Fu-EndnotenberschriftZchn"/>
    <w:uiPriority w:val="99"/>
    <w:semiHidden/>
    <w:unhideWhenUsed/>
    <w:rsid w:val="004B1629"/>
  </w:style>
  <w:style w:type="character" w:customStyle="1" w:styleId="Fu-EndnotenberschriftZchn">
    <w:name w:val="Fuß/-Endnotenüberschrift Zchn"/>
    <w:link w:val="Fu-Endnotenberschrift"/>
    <w:uiPriority w:val="99"/>
    <w:semiHidden/>
    <w:rsid w:val="004B1629"/>
    <w:rPr>
      <w:rFonts w:ascii="Times New Roman" w:eastAsia="Times New Roman" w:hAnsi="Times New Roman"/>
      <w:sz w:val="24"/>
      <w:szCs w:val="24"/>
      <w:lang w:val="lt-LT" w:eastAsia="en-US"/>
    </w:rPr>
  </w:style>
  <w:style w:type="paragraph" w:styleId="Funotentext">
    <w:name w:val="footnote text"/>
    <w:basedOn w:val="Standard"/>
    <w:link w:val="FunotentextZchn"/>
    <w:uiPriority w:val="99"/>
    <w:semiHidden/>
    <w:unhideWhenUsed/>
    <w:rsid w:val="004B1629"/>
    <w:rPr>
      <w:sz w:val="20"/>
      <w:szCs w:val="20"/>
    </w:rPr>
  </w:style>
  <w:style w:type="character" w:customStyle="1" w:styleId="FunotentextZchn">
    <w:name w:val="Fußnotentext Zchn"/>
    <w:link w:val="Funotentext"/>
    <w:uiPriority w:val="99"/>
    <w:semiHidden/>
    <w:rsid w:val="004B1629"/>
    <w:rPr>
      <w:rFonts w:ascii="Times New Roman" w:eastAsia="Times New Roman" w:hAnsi="Times New Roman"/>
      <w:lang w:val="lt-LT" w:eastAsia="en-US"/>
    </w:rPr>
  </w:style>
  <w:style w:type="paragraph" w:styleId="Gruformel">
    <w:name w:val="Closing"/>
    <w:basedOn w:val="Standard"/>
    <w:link w:val="GruformelZchn"/>
    <w:uiPriority w:val="99"/>
    <w:semiHidden/>
    <w:unhideWhenUsed/>
    <w:rsid w:val="004B1629"/>
    <w:pPr>
      <w:ind w:left="4252"/>
    </w:pPr>
  </w:style>
  <w:style w:type="character" w:customStyle="1" w:styleId="GruformelZchn">
    <w:name w:val="Grußformel Zchn"/>
    <w:link w:val="Gruformel"/>
    <w:uiPriority w:val="99"/>
    <w:semiHidden/>
    <w:rsid w:val="004B1629"/>
    <w:rPr>
      <w:rFonts w:ascii="Times New Roman" w:eastAsia="Times New Roman" w:hAnsi="Times New Roman"/>
      <w:sz w:val="24"/>
      <w:szCs w:val="24"/>
      <w:lang w:val="lt-LT" w:eastAsia="en-US"/>
    </w:rPr>
  </w:style>
  <w:style w:type="paragraph" w:styleId="HTMLAdresse">
    <w:name w:val="HTML Address"/>
    <w:basedOn w:val="Standard"/>
    <w:link w:val="HTMLAdresseZchn"/>
    <w:uiPriority w:val="99"/>
    <w:semiHidden/>
    <w:unhideWhenUsed/>
    <w:rsid w:val="004B1629"/>
    <w:rPr>
      <w:i/>
      <w:iCs/>
    </w:rPr>
  </w:style>
  <w:style w:type="character" w:customStyle="1" w:styleId="HTMLAdresseZchn">
    <w:name w:val="HTML Adresse Zchn"/>
    <w:link w:val="HTMLAdresse"/>
    <w:uiPriority w:val="99"/>
    <w:semiHidden/>
    <w:rsid w:val="004B1629"/>
    <w:rPr>
      <w:rFonts w:ascii="Times New Roman" w:eastAsia="Times New Roman" w:hAnsi="Times New Roman"/>
      <w:i/>
      <w:iCs/>
      <w:sz w:val="24"/>
      <w:szCs w:val="24"/>
      <w:lang w:val="lt-LT" w:eastAsia="en-US"/>
    </w:rPr>
  </w:style>
  <w:style w:type="paragraph" w:styleId="HTMLVorformatiert">
    <w:name w:val="HTML Preformatted"/>
    <w:basedOn w:val="Standard"/>
    <w:link w:val="HTMLVorformatiertZchn"/>
    <w:uiPriority w:val="99"/>
    <w:semiHidden/>
    <w:unhideWhenUsed/>
    <w:rsid w:val="004B1629"/>
    <w:rPr>
      <w:rFonts w:ascii="Courier New" w:hAnsi="Courier New" w:cs="Courier New"/>
      <w:sz w:val="20"/>
      <w:szCs w:val="20"/>
    </w:rPr>
  </w:style>
  <w:style w:type="character" w:customStyle="1" w:styleId="HTMLVorformatiertZchn">
    <w:name w:val="HTML Vorformatiert Zchn"/>
    <w:link w:val="HTMLVorformatiert"/>
    <w:uiPriority w:val="99"/>
    <w:semiHidden/>
    <w:rsid w:val="004B1629"/>
    <w:rPr>
      <w:rFonts w:ascii="Courier New" w:eastAsia="Times New Roman" w:hAnsi="Courier New" w:cs="Courier New"/>
      <w:lang w:val="lt-LT" w:eastAsia="en-US"/>
    </w:rPr>
  </w:style>
  <w:style w:type="paragraph" w:styleId="Index1">
    <w:name w:val="index 1"/>
    <w:basedOn w:val="Standard"/>
    <w:next w:val="Standard"/>
    <w:autoRedefine/>
    <w:uiPriority w:val="99"/>
    <w:semiHidden/>
    <w:unhideWhenUsed/>
    <w:rsid w:val="004B1629"/>
    <w:pPr>
      <w:ind w:left="240" w:hanging="240"/>
    </w:pPr>
  </w:style>
  <w:style w:type="paragraph" w:styleId="Index2">
    <w:name w:val="index 2"/>
    <w:basedOn w:val="Standard"/>
    <w:next w:val="Standard"/>
    <w:autoRedefine/>
    <w:uiPriority w:val="99"/>
    <w:semiHidden/>
    <w:unhideWhenUsed/>
    <w:rsid w:val="004B1629"/>
    <w:pPr>
      <w:ind w:left="480" w:hanging="240"/>
    </w:pPr>
  </w:style>
  <w:style w:type="paragraph" w:styleId="Index3">
    <w:name w:val="index 3"/>
    <w:basedOn w:val="Standard"/>
    <w:next w:val="Standard"/>
    <w:autoRedefine/>
    <w:uiPriority w:val="99"/>
    <w:semiHidden/>
    <w:unhideWhenUsed/>
    <w:rsid w:val="004B1629"/>
    <w:pPr>
      <w:ind w:left="720" w:hanging="240"/>
    </w:pPr>
  </w:style>
  <w:style w:type="paragraph" w:styleId="Index4">
    <w:name w:val="index 4"/>
    <w:basedOn w:val="Standard"/>
    <w:next w:val="Standard"/>
    <w:autoRedefine/>
    <w:uiPriority w:val="99"/>
    <w:semiHidden/>
    <w:unhideWhenUsed/>
    <w:rsid w:val="004B1629"/>
    <w:pPr>
      <w:ind w:left="960" w:hanging="240"/>
    </w:pPr>
  </w:style>
  <w:style w:type="paragraph" w:styleId="Index5">
    <w:name w:val="index 5"/>
    <w:basedOn w:val="Standard"/>
    <w:next w:val="Standard"/>
    <w:autoRedefine/>
    <w:uiPriority w:val="99"/>
    <w:semiHidden/>
    <w:unhideWhenUsed/>
    <w:rsid w:val="004B1629"/>
    <w:pPr>
      <w:ind w:left="1200" w:hanging="240"/>
    </w:pPr>
  </w:style>
  <w:style w:type="paragraph" w:styleId="Index6">
    <w:name w:val="index 6"/>
    <w:basedOn w:val="Standard"/>
    <w:next w:val="Standard"/>
    <w:autoRedefine/>
    <w:uiPriority w:val="99"/>
    <w:semiHidden/>
    <w:unhideWhenUsed/>
    <w:rsid w:val="004B1629"/>
    <w:pPr>
      <w:ind w:left="1440" w:hanging="240"/>
    </w:pPr>
  </w:style>
  <w:style w:type="paragraph" w:styleId="Index7">
    <w:name w:val="index 7"/>
    <w:basedOn w:val="Standard"/>
    <w:next w:val="Standard"/>
    <w:autoRedefine/>
    <w:uiPriority w:val="99"/>
    <w:semiHidden/>
    <w:unhideWhenUsed/>
    <w:rsid w:val="004B1629"/>
    <w:pPr>
      <w:ind w:left="1680" w:hanging="240"/>
    </w:pPr>
  </w:style>
  <w:style w:type="paragraph" w:styleId="Index8">
    <w:name w:val="index 8"/>
    <w:basedOn w:val="Standard"/>
    <w:next w:val="Standard"/>
    <w:autoRedefine/>
    <w:uiPriority w:val="99"/>
    <w:semiHidden/>
    <w:unhideWhenUsed/>
    <w:rsid w:val="004B1629"/>
    <w:pPr>
      <w:ind w:left="1920" w:hanging="240"/>
    </w:pPr>
  </w:style>
  <w:style w:type="paragraph" w:styleId="Index9">
    <w:name w:val="index 9"/>
    <w:basedOn w:val="Standard"/>
    <w:next w:val="Standard"/>
    <w:autoRedefine/>
    <w:uiPriority w:val="99"/>
    <w:semiHidden/>
    <w:unhideWhenUsed/>
    <w:rsid w:val="004B1629"/>
    <w:pPr>
      <w:ind w:left="2160" w:hanging="240"/>
    </w:pPr>
  </w:style>
  <w:style w:type="paragraph" w:styleId="Indexberschrift">
    <w:name w:val="index heading"/>
    <w:basedOn w:val="Standard"/>
    <w:next w:val="Index1"/>
    <w:uiPriority w:val="99"/>
    <w:semiHidden/>
    <w:unhideWhenUsed/>
    <w:rsid w:val="004B1629"/>
    <w:rPr>
      <w:rFonts w:ascii="Cambria" w:eastAsia="Malgun Gothic" w:hAnsi="Cambria"/>
      <w:b/>
      <w:bCs/>
    </w:rPr>
  </w:style>
  <w:style w:type="character" w:customStyle="1" w:styleId="berschrift1Zchn">
    <w:name w:val="Überschrift 1 Zchn"/>
    <w:link w:val="berschrift1"/>
    <w:uiPriority w:val="9"/>
    <w:rsid w:val="004B1629"/>
    <w:rPr>
      <w:rFonts w:ascii="Cambria" w:eastAsia="Malgun Gothic" w:hAnsi="Cambria" w:cs="Times New Roman"/>
      <w:b/>
      <w:bCs/>
      <w:kern w:val="32"/>
      <w:sz w:val="32"/>
      <w:szCs w:val="32"/>
      <w:lang w:val="lt-LT" w:eastAsia="en-US"/>
    </w:rPr>
  </w:style>
  <w:style w:type="paragraph" w:styleId="Inhaltsverzeichnisberschrift">
    <w:name w:val="TOC Heading"/>
    <w:basedOn w:val="berschrift1"/>
    <w:next w:val="Standard"/>
    <w:uiPriority w:val="39"/>
    <w:semiHidden/>
    <w:unhideWhenUsed/>
    <w:qFormat/>
    <w:rsid w:val="004B1629"/>
    <w:pPr>
      <w:outlineLvl w:val="9"/>
    </w:pPr>
  </w:style>
  <w:style w:type="paragraph" w:styleId="IntensivesZitat">
    <w:name w:val="Intense Quote"/>
    <w:basedOn w:val="Standard"/>
    <w:next w:val="Standard"/>
    <w:link w:val="IntensivesZitatZchn"/>
    <w:uiPriority w:val="30"/>
    <w:qFormat/>
    <w:rsid w:val="004B1629"/>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4B1629"/>
    <w:rPr>
      <w:rFonts w:ascii="Times New Roman" w:eastAsia="Times New Roman" w:hAnsi="Times New Roman"/>
      <w:b/>
      <w:bCs/>
      <w:i/>
      <w:iCs/>
      <w:color w:val="4F81BD"/>
      <w:sz w:val="24"/>
      <w:szCs w:val="24"/>
      <w:lang w:val="lt-LT" w:eastAsia="en-US"/>
    </w:rPr>
  </w:style>
  <w:style w:type="paragraph" w:styleId="Liste">
    <w:name w:val="List"/>
    <w:basedOn w:val="Standard"/>
    <w:uiPriority w:val="99"/>
    <w:semiHidden/>
    <w:unhideWhenUsed/>
    <w:rsid w:val="004B1629"/>
    <w:pPr>
      <w:ind w:left="283" w:hanging="283"/>
      <w:contextualSpacing/>
    </w:pPr>
  </w:style>
  <w:style w:type="paragraph" w:styleId="Liste2">
    <w:name w:val="List 2"/>
    <w:basedOn w:val="Standard"/>
    <w:uiPriority w:val="99"/>
    <w:semiHidden/>
    <w:unhideWhenUsed/>
    <w:rsid w:val="004B1629"/>
    <w:pPr>
      <w:ind w:left="566" w:hanging="283"/>
      <w:contextualSpacing/>
    </w:pPr>
  </w:style>
  <w:style w:type="paragraph" w:styleId="Liste3">
    <w:name w:val="List 3"/>
    <w:basedOn w:val="Standard"/>
    <w:uiPriority w:val="99"/>
    <w:semiHidden/>
    <w:unhideWhenUsed/>
    <w:rsid w:val="004B1629"/>
    <w:pPr>
      <w:ind w:left="849" w:hanging="283"/>
      <w:contextualSpacing/>
    </w:pPr>
  </w:style>
  <w:style w:type="paragraph" w:styleId="Liste4">
    <w:name w:val="List 4"/>
    <w:basedOn w:val="Standard"/>
    <w:uiPriority w:val="99"/>
    <w:semiHidden/>
    <w:unhideWhenUsed/>
    <w:rsid w:val="004B1629"/>
    <w:pPr>
      <w:ind w:left="1132" w:hanging="283"/>
      <w:contextualSpacing/>
    </w:pPr>
  </w:style>
  <w:style w:type="paragraph" w:styleId="Liste5">
    <w:name w:val="List 5"/>
    <w:basedOn w:val="Standard"/>
    <w:uiPriority w:val="99"/>
    <w:semiHidden/>
    <w:unhideWhenUsed/>
    <w:rsid w:val="004B1629"/>
    <w:pPr>
      <w:ind w:left="1415" w:hanging="283"/>
      <w:contextualSpacing/>
    </w:pPr>
  </w:style>
  <w:style w:type="paragraph" w:styleId="Listenfortsetzung">
    <w:name w:val="List Continue"/>
    <w:basedOn w:val="Standard"/>
    <w:uiPriority w:val="99"/>
    <w:semiHidden/>
    <w:unhideWhenUsed/>
    <w:rsid w:val="004B1629"/>
    <w:pPr>
      <w:spacing w:after="120"/>
      <w:ind w:left="283"/>
      <w:contextualSpacing/>
    </w:pPr>
  </w:style>
  <w:style w:type="paragraph" w:styleId="Listenfortsetzung2">
    <w:name w:val="List Continue 2"/>
    <w:basedOn w:val="Standard"/>
    <w:uiPriority w:val="99"/>
    <w:semiHidden/>
    <w:unhideWhenUsed/>
    <w:rsid w:val="004B1629"/>
    <w:pPr>
      <w:spacing w:after="120"/>
      <w:ind w:left="566"/>
      <w:contextualSpacing/>
    </w:pPr>
  </w:style>
  <w:style w:type="paragraph" w:styleId="Listenfortsetzung3">
    <w:name w:val="List Continue 3"/>
    <w:basedOn w:val="Standard"/>
    <w:uiPriority w:val="99"/>
    <w:semiHidden/>
    <w:unhideWhenUsed/>
    <w:rsid w:val="004B1629"/>
    <w:pPr>
      <w:spacing w:after="120"/>
      <w:ind w:left="849"/>
      <w:contextualSpacing/>
    </w:pPr>
  </w:style>
  <w:style w:type="paragraph" w:styleId="Listenfortsetzung4">
    <w:name w:val="List Continue 4"/>
    <w:basedOn w:val="Standard"/>
    <w:uiPriority w:val="99"/>
    <w:semiHidden/>
    <w:unhideWhenUsed/>
    <w:rsid w:val="004B1629"/>
    <w:pPr>
      <w:spacing w:after="120"/>
      <w:ind w:left="1132"/>
      <w:contextualSpacing/>
    </w:pPr>
  </w:style>
  <w:style w:type="paragraph" w:styleId="Listenfortsetzung5">
    <w:name w:val="List Continue 5"/>
    <w:basedOn w:val="Standard"/>
    <w:uiPriority w:val="99"/>
    <w:semiHidden/>
    <w:unhideWhenUsed/>
    <w:rsid w:val="004B1629"/>
    <w:pPr>
      <w:spacing w:after="120"/>
      <w:ind w:left="1415"/>
      <w:contextualSpacing/>
    </w:pPr>
  </w:style>
  <w:style w:type="paragraph" w:styleId="Listennummer">
    <w:name w:val="List Number"/>
    <w:basedOn w:val="Standard"/>
    <w:uiPriority w:val="99"/>
    <w:semiHidden/>
    <w:unhideWhenUsed/>
    <w:rsid w:val="004B1629"/>
    <w:pPr>
      <w:numPr>
        <w:numId w:val="26"/>
      </w:numPr>
      <w:contextualSpacing/>
    </w:pPr>
  </w:style>
  <w:style w:type="paragraph" w:styleId="Listennummer3">
    <w:name w:val="List Number 3"/>
    <w:basedOn w:val="Standard"/>
    <w:uiPriority w:val="99"/>
    <w:semiHidden/>
    <w:unhideWhenUsed/>
    <w:rsid w:val="004B1629"/>
    <w:pPr>
      <w:numPr>
        <w:numId w:val="27"/>
      </w:numPr>
      <w:contextualSpacing/>
    </w:pPr>
  </w:style>
  <w:style w:type="paragraph" w:styleId="Listennummer4">
    <w:name w:val="List Number 4"/>
    <w:basedOn w:val="Standard"/>
    <w:uiPriority w:val="99"/>
    <w:semiHidden/>
    <w:unhideWhenUsed/>
    <w:rsid w:val="004B1629"/>
    <w:pPr>
      <w:numPr>
        <w:numId w:val="28"/>
      </w:numPr>
      <w:contextualSpacing/>
    </w:pPr>
  </w:style>
  <w:style w:type="paragraph" w:styleId="Listennummer5">
    <w:name w:val="List Number 5"/>
    <w:basedOn w:val="Standard"/>
    <w:uiPriority w:val="99"/>
    <w:semiHidden/>
    <w:unhideWhenUsed/>
    <w:rsid w:val="004B1629"/>
    <w:pPr>
      <w:numPr>
        <w:numId w:val="29"/>
      </w:numPr>
      <w:contextualSpacing/>
    </w:pPr>
  </w:style>
  <w:style w:type="paragraph" w:styleId="Literaturverzeichnis">
    <w:name w:val="Bibliography"/>
    <w:basedOn w:val="Standard"/>
    <w:next w:val="Standard"/>
    <w:uiPriority w:val="37"/>
    <w:semiHidden/>
    <w:unhideWhenUsed/>
    <w:rsid w:val="004B1629"/>
  </w:style>
  <w:style w:type="paragraph" w:styleId="Makrotext">
    <w:name w:val="macro"/>
    <w:link w:val="MakrotextZchn"/>
    <w:uiPriority w:val="99"/>
    <w:semiHidden/>
    <w:unhideWhenUsed/>
    <w:rsid w:val="004B162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lt-LT"/>
    </w:rPr>
  </w:style>
  <w:style w:type="character" w:customStyle="1" w:styleId="MakrotextZchn">
    <w:name w:val="Makrotext Zchn"/>
    <w:link w:val="Makrotext"/>
    <w:uiPriority w:val="99"/>
    <w:semiHidden/>
    <w:rsid w:val="004B1629"/>
    <w:rPr>
      <w:rFonts w:ascii="Courier New" w:eastAsia="Times New Roman" w:hAnsi="Courier New" w:cs="Courier New"/>
      <w:lang w:val="lt-LT" w:eastAsia="en-US"/>
    </w:rPr>
  </w:style>
  <w:style w:type="paragraph" w:styleId="Nachrichtenkopf">
    <w:name w:val="Message Header"/>
    <w:basedOn w:val="Standard"/>
    <w:link w:val="NachrichtenkopfZchn"/>
    <w:uiPriority w:val="99"/>
    <w:semiHidden/>
    <w:unhideWhenUsed/>
    <w:rsid w:val="004B162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Malgun Gothic" w:hAnsi="Cambria"/>
    </w:rPr>
  </w:style>
  <w:style w:type="character" w:customStyle="1" w:styleId="NachrichtenkopfZchn">
    <w:name w:val="Nachrichtenkopf Zchn"/>
    <w:link w:val="Nachrichtenkopf"/>
    <w:uiPriority w:val="99"/>
    <w:semiHidden/>
    <w:rsid w:val="004B1629"/>
    <w:rPr>
      <w:rFonts w:ascii="Cambria" w:eastAsia="Malgun Gothic" w:hAnsi="Cambria" w:cs="Times New Roman"/>
      <w:sz w:val="24"/>
      <w:szCs w:val="24"/>
      <w:shd w:val="pct20" w:color="auto" w:fill="auto"/>
      <w:lang w:val="lt-LT" w:eastAsia="en-US"/>
    </w:rPr>
  </w:style>
  <w:style w:type="paragraph" w:styleId="NurText">
    <w:name w:val="Plain Text"/>
    <w:basedOn w:val="Standard"/>
    <w:link w:val="NurTextZchn"/>
    <w:uiPriority w:val="99"/>
    <w:semiHidden/>
    <w:unhideWhenUsed/>
    <w:rsid w:val="004B1629"/>
    <w:rPr>
      <w:rFonts w:ascii="Courier New" w:hAnsi="Courier New" w:cs="Courier New"/>
      <w:sz w:val="20"/>
      <w:szCs w:val="20"/>
    </w:rPr>
  </w:style>
  <w:style w:type="character" w:customStyle="1" w:styleId="NurTextZchn">
    <w:name w:val="Nur Text Zchn"/>
    <w:link w:val="NurText"/>
    <w:uiPriority w:val="99"/>
    <w:semiHidden/>
    <w:rsid w:val="004B1629"/>
    <w:rPr>
      <w:rFonts w:ascii="Courier New" w:eastAsia="Times New Roman" w:hAnsi="Courier New" w:cs="Courier New"/>
      <w:lang w:val="lt-LT" w:eastAsia="en-US"/>
    </w:rPr>
  </w:style>
  <w:style w:type="paragraph" w:styleId="Rechtsgrundlagenverzeichnis">
    <w:name w:val="table of authorities"/>
    <w:basedOn w:val="Standard"/>
    <w:next w:val="Standard"/>
    <w:uiPriority w:val="99"/>
    <w:semiHidden/>
    <w:unhideWhenUsed/>
    <w:rsid w:val="004B1629"/>
    <w:pPr>
      <w:ind w:left="240" w:hanging="240"/>
    </w:pPr>
  </w:style>
  <w:style w:type="paragraph" w:styleId="RGV-berschrift">
    <w:name w:val="toa heading"/>
    <w:basedOn w:val="Standard"/>
    <w:next w:val="Standard"/>
    <w:uiPriority w:val="99"/>
    <w:semiHidden/>
    <w:unhideWhenUsed/>
    <w:rsid w:val="004B1629"/>
    <w:pPr>
      <w:spacing w:before="120"/>
    </w:pPr>
    <w:rPr>
      <w:rFonts w:ascii="Cambria" w:eastAsia="Malgun Gothic" w:hAnsi="Cambria"/>
      <w:b/>
      <w:bCs/>
    </w:rPr>
  </w:style>
  <w:style w:type="paragraph" w:styleId="StandardWeb">
    <w:name w:val="Normal (Web)"/>
    <w:basedOn w:val="Standard"/>
    <w:uiPriority w:val="99"/>
    <w:semiHidden/>
    <w:unhideWhenUsed/>
    <w:rsid w:val="004B1629"/>
  </w:style>
  <w:style w:type="paragraph" w:styleId="Standardeinzug">
    <w:name w:val="Normal Indent"/>
    <w:basedOn w:val="Standard"/>
    <w:uiPriority w:val="99"/>
    <w:semiHidden/>
    <w:unhideWhenUsed/>
    <w:rsid w:val="004B1629"/>
    <w:pPr>
      <w:ind w:left="708"/>
    </w:pPr>
  </w:style>
  <w:style w:type="paragraph" w:styleId="Textkrper">
    <w:name w:val="Body Text"/>
    <w:basedOn w:val="Standard"/>
    <w:link w:val="TextkrperZchn"/>
    <w:uiPriority w:val="99"/>
    <w:semiHidden/>
    <w:unhideWhenUsed/>
    <w:rsid w:val="004B1629"/>
    <w:pPr>
      <w:spacing w:after="120"/>
    </w:pPr>
  </w:style>
  <w:style w:type="character" w:customStyle="1" w:styleId="TextkrperZchn">
    <w:name w:val="Textkörper Zchn"/>
    <w:link w:val="Textkrper"/>
    <w:uiPriority w:val="99"/>
    <w:semiHidden/>
    <w:rsid w:val="004B1629"/>
    <w:rPr>
      <w:rFonts w:ascii="Times New Roman" w:eastAsia="Times New Roman" w:hAnsi="Times New Roman"/>
      <w:sz w:val="24"/>
      <w:szCs w:val="24"/>
      <w:lang w:val="lt-LT" w:eastAsia="en-US"/>
    </w:rPr>
  </w:style>
  <w:style w:type="paragraph" w:styleId="Textkrper2">
    <w:name w:val="Body Text 2"/>
    <w:basedOn w:val="Standard"/>
    <w:link w:val="Textkrper2Zchn"/>
    <w:uiPriority w:val="99"/>
    <w:semiHidden/>
    <w:unhideWhenUsed/>
    <w:rsid w:val="004B1629"/>
    <w:pPr>
      <w:spacing w:after="120" w:line="480" w:lineRule="auto"/>
    </w:pPr>
  </w:style>
  <w:style w:type="character" w:customStyle="1" w:styleId="Textkrper2Zchn">
    <w:name w:val="Textkörper 2 Zchn"/>
    <w:link w:val="Textkrper2"/>
    <w:uiPriority w:val="99"/>
    <w:semiHidden/>
    <w:rsid w:val="004B1629"/>
    <w:rPr>
      <w:rFonts w:ascii="Times New Roman" w:eastAsia="Times New Roman" w:hAnsi="Times New Roman"/>
      <w:sz w:val="24"/>
      <w:szCs w:val="24"/>
      <w:lang w:val="lt-LT" w:eastAsia="en-US"/>
    </w:rPr>
  </w:style>
  <w:style w:type="paragraph" w:styleId="Textkrper3">
    <w:name w:val="Body Text 3"/>
    <w:basedOn w:val="Standard"/>
    <w:link w:val="Textkrper3Zchn"/>
    <w:uiPriority w:val="99"/>
    <w:semiHidden/>
    <w:unhideWhenUsed/>
    <w:rsid w:val="004B1629"/>
    <w:pPr>
      <w:spacing w:after="120"/>
    </w:pPr>
    <w:rPr>
      <w:sz w:val="16"/>
      <w:szCs w:val="16"/>
    </w:rPr>
  </w:style>
  <w:style w:type="character" w:customStyle="1" w:styleId="Textkrper3Zchn">
    <w:name w:val="Textkörper 3 Zchn"/>
    <w:link w:val="Textkrper3"/>
    <w:uiPriority w:val="99"/>
    <w:semiHidden/>
    <w:rsid w:val="004B1629"/>
    <w:rPr>
      <w:rFonts w:ascii="Times New Roman" w:eastAsia="Times New Roman" w:hAnsi="Times New Roman"/>
      <w:sz w:val="16"/>
      <w:szCs w:val="16"/>
      <w:lang w:val="lt-LT" w:eastAsia="en-US"/>
    </w:rPr>
  </w:style>
  <w:style w:type="paragraph" w:styleId="Textkrper-Einzug2">
    <w:name w:val="Body Text Indent 2"/>
    <w:basedOn w:val="Standard"/>
    <w:link w:val="Textkrper-Einzug2Zchn"/>
    <w:uiPriority w:val="99"/>
    <w:semiHidden/>
    <w:unhideWhenUsed/>
    <w:rsid w:val="004B1629"/>
    <w:pPr>
      <w:spacing w:after="120" w:line="480" w:lineRule="auto"/>
      <w:ind w:left="283"/>
    </w:pPr>
  </w:style>
  <w:style w:type="character" w:customStyle="1" w:styleId="Textkrper-Einzug2Zchn">
    <w:name w:val="Textkörper-Einzug 2 Zchn"/>
    <w:link w:val="Textkrper-Einzug2"/>
    <w:uiPriority w:val="99"/>
    <w:semiHidden/>
    <w:rsid w:val="004B1629"/>
    <w:rPr>
      <w:rFonts w:ascii="Times New Roman" w:eastAsia="Times New Roman" w:hAnsi="Times New Roman"/>
      <w:sz w:val="24"/>
      <w:szCs w:val="24"/>
      <w:lang w:val="lt-LT" w:eastAsia="en-US"/>
    </w:rPr>
  </w:style>
  <w:style w:type="paragraph" w:styleId="Textkrper-Einzug3">
    <w:name w:val="Body Text Indent 3"/>
    <w:basedOn w:val="Standard"/>
    <w:link w:val="Textkrper-Einzug3Zchn"/>
    <w:uiPriority w:val="99"/>
    <w:semiHidden/>
    <w:unhideWhenUsed/>
    <w:rsid w:val="004B1629"/>
    <w:pPr>
      <w:spacing w:after="120"/>
      <w:ind w:left="283"/>
    </w:pPr>
    <w:rPr>
      <w:sz w:val="16"/>
      <w:szCs w:val="16"/>
    </w:rPr>
  </w:style>
  <w:style w:type="character" w:customStyle="1" w:styleId="Textkrper-Einzug3Zchn">
    <w:name w:val="Textkörper-Einzug 3 Zchn"/>
    <w:link w:val="Textkrper-Einzug3"/>
    <w:uiPriority w:val="99"/>
    <w:semiHidden/>
    <w:rsid w:val="004B1629"/>
    <w:rPr>
      <w:rFonts w:ascii="Times New Roman" w:eastAsia="Times New Roman" w:hAnsi="Times New Roman"/>
      <w:sz w:val="16"/>
      <w:szCs w:val="16"/>
      <w:lang w:val="lt-LT" w:eastAsia="en-US"/>
    </w:rPr>
  </w:style>
  <w:style w:type="paragraph" w:styleId="Textkrper-Erstzeileneinzug">
    <w:name w:val="Body Text First Indent"/>
    <w:basedOn w:val="Textkrper"/>
    <w:link w:val="Textkrper-ErstzeileneinzugZchn"/>
    <w:uiPriority w:val="99"/>
    <w:semiHidden/>
    <w:unhideWhenUsed/>
    <w:rsid w:val="004B1629"/>
    <w:pPr>
      <w:ind w:firstLine="210"/>
    </w:pPr>
  </w:style>
  <w:style w:type="character" w:customStyle="1" w:styleId="Textkrper-ErstzeileneinzugZchn">
    <w:name w:val="Textkörper-Erstzeileneinzug Zchn"/>
    <w:link w:val="Textkrper-Erstzeileneinzug"/>
    <w:uiPriority w:val="99"/>
    <w:semiHidden/>
    <w:rsid w:val="004B1629"/>
    <w:rPr>
      <w:rFonts w:ascii="Times New Roman" w:eastAsia="Times New Roman" w:hAnsi="Times New Roman"/>
      <w:sz w:val="24"/>
      <w:szCs w:val="24"/>
      <w:lang w:val="lt-LT" w:eastAsia="en-US"/>
    </w:rPr>
  </w:style>
  <w:style w:type="paragraph" w:styleId="Textkrper-Zeileneinzug">
    <w:name w:val="Body Text Indent"/>
    <w:basedOn w:val="Standard"/>
    <w:link w:val="Textkrper-ZeileneinzugZchn"/>
    <w:uiPriority w:val="99"/>
    <w:semiHidden/>
    <w:unhideWhenUsed/>
    <w:rsid w:val="004B1629"/>
    <w:pPr>
      <w:spacing w:after="120"/>
      <w:ind w:left="283"/>
    </w:pPr>
  </w:style>
  <w:style w:type="character" w:customStyle="1" w:styleId="Textkrper-ZeileneinzugZchn">
    <w:name w:val="Textkörper-Zeileneinzug Zchn"/>
    <w:link w:val="Textkrper-Zeileneinzug"/>
    <w:uiPriority w:val="99"/>
    <w:semiHidden/>
    <w:rsid w:val="004B1629"/>
    <w:rPr>
      <w:rFonts w:ascii="Times New Roman" w:eastAsia="Times New Roman" w:hAnsi="Times New Roman"/>
      <w:sz w:val="24"/>
      <w:szCs w:val="24"/>
      <w:lang w:val="lt-LT" w:eastAsia="en-US"/>
    </w:rPr>
  </w:style>
  <w:style w:type="paragraph" w:styleId="Textkrper-Erstzeileneinzug2">
    <w:name w:val="Body Text First Indent 2"/>
    <w:basedOn w:val="Textkrper-Zeileneinzug"/>
    <w:link w:val="Textkrper-Erstzeileneinzug2Zchn"/>
    <w:uiPriority w:val="99"/>
    <w:semiHidden/>
    <w:unhideWhenUsed/>
    <w:rsid w:val="004B1629"/>
    <w:pPr>
      <w:ind w:firstLine="210"/>
    </w:pPr>
  </w:style>
  <w:style w:type="character" w:customStyle="1" w:styleId="Textkrper-Erstzeileneinzug2Zchn">
    <w:name w:val="Textkörper-Erstzeileneinzug 2 Zchn"/>
    <w:link w:val="Textkrper-Erstzeileneinzug2"/>
    <w:uiPriority w:val="99"/>
    <w:semiHidden/>
    <w:rsid w:val="004B1629"/>
    <w:rPr>
      <w:rFonts w:ascii="Times New Roman" w:eastAsia="Times New Roman" w:hAnsi="Times New Roman"/>
      <w:sz w:val="24"/>
      <w:szCs w:val="24"/>
      <w:lang w:val="lt-LT" w:eastAsia="en-US"/>
    </w:rPr>
  </w:style>
  <w:style w:type="paragraph" w:styleId="Titel">
    <w:name w:val="Title"/>
    <w:basedOn w:val="Standard"/>
    <w:next w:val="Standard"/>
    <w:link w:val="TitelZchn"/>
    <w:uiPriority w:val="10"/>
    <w:qFormat/>
    <w:rsid w:val="004B1629"/>
    <w:pPr>
      <w:spacing w:before="240" w:after="60"/>
      <w:jc w:val="center"/>
      <w:outlineLvl w:val="0"/>
    </w:pPr>
    <w:rPr>
      <w:rFonts w:ascii="Cambria" w:eastAsia="Malgun Gothic" w:hAnsi="Cambria"/>
      <w:b/>
      <w:bCs/>
      <w:kern w:val="28"/>
      <w:sz w:val="32"/>
      <w:szCs w:val="32"/>
    </w:rPr>
  </w:style>
  <w:style w:type="character" w:customStyle="1" w:styleId="TitelZchn">
    <w:name w:val="Titel Zchn"/>
    <w:link w:val="Titel"/>
    <w:uiPriority w:val="10"/>
    <w:rsid w:val="004B1629"/>
    <w:rPr>
      <w:rFonts w:ascii="Cambria" w:eastAsia="Malgun Gothic" w:hAnsi="Cambria" w:cs="Times New Roman"/>
      <w:b/>
      <w:bCs/>
      <w:kern w:val="28"/>
      <w:sz w:val="32"/>
      <w:szCs w:val="32"/>
      <w:lang w:val="lt-LT" w:eastAsia="en-US"/>
    </w:rPr>
  </w:style>
  <w:style w:type="character" w:customStyle="1" w:styleId="berschrift3Zchn">
    <w:name w:val="Überschrift 3 Zchn"/>
    <w:link w:val="berschrift3"/>
    <w:uiPriority w:val="9"/>
    <w:semiHidden/>
    <w:rsid w:val="004B1629"/>
    <w:rPr>
      <w:rFonts w:ascii="Cambria" w:eastAsia="Malgun Gothic" w:hAnsi="Cambria" w:cs="Times New Roman"/>
      <w:b/>
      <w:bCs/>
      <w:sz w:val="26"/>
      <w:szCs w:val="26"/>
      <w:lang w:val="lt-LT" w:eastAsia="en-US"/>
    </w:rPr>
  </w:style>
  <w:style w:type="character" w:customStyle="1" w:styleId="berschrift4Zchn">
    <w:name w:val="Überschrift 4 Zchn"/>
    <w:link w:val="berschrift4"/>
    <w:uiPriority w:val="9"/>
    <w:semiHidden/>
    <w:rsid w:val="004B1629"/>
    <w:rPr>
      <w:rFonts w:ascii="Calibri" w:eastAsia="Malgun Gothic" w:hAnsi="Calibri" w:cs="Times New Roman"/>
      <w:b/>
      <w:bCs/>
      <w:sz w:val="28"/>
      <w:szCs w:val="28"/>
      <w:lang w:val="lt-LT" w:eastAsia="en-US"/>
    </w:rPr>
  </w:style>
  <w:style w:type="character" w:customStyle="1" w:styleId="berschrift5Zchn">
    <w:name w:val="Überschrift 5 Zchn"/>
    <w:link w:val="berschrift5"/>
    <w:uiPriority w:val="9"/>
    <w:semiHidden/>
    <w:rsid w:val="004B1629"/>
    <w:rPr>
      <w:rFonts w:ascii="Calibri" w:eastAsia="Malgun Gothic" w:hAnsi="Calibri" w:cs="Times New Roman"/>
      <w:b/>
      <w:bCs/>
      <w:i/>
      <w:iCs/>
      <w:sz w:val="26"/>
      <w:szCs w:val="26"/>
      <w:lang w:val="lt-LT" w:eastAsia="en-US"/>
    </w:rPr>
  </w:style>
  <w:style w:type="character" w:customStyle="1" w:styleId="berschrift6Zchn">
    <w:name w:val="Überschrift 6 Zchn"/>
    <w:link w:val="berschrift6"/>
    <w:uiPriority w:val="9"/>
    <w:semiHidden/>
    <w:rsid w:val="004B1629"/>
    <w:rPr>
      <w:rFonts w:ascii="Calibri" w:eastAsia="Malgun Gothic" w:hAnsi="Calibri" w:cs="Times New Roman"/>
      <w:b/>
      <w:bCs/>
      <w:sz w:val="22"/>
      <w:szCs w:val="22"/>
      <w:lang w:val="lt-LT" w:eastAsia="en-US"/>
    </w:rPr>
  </w:style>
  <w:style w:type="character" w:customStyle="1" w:styleId="berschrift7Zchn">
    <w:name w:val="Überschrift 7 Zchn"/>
    <w:link w:val="berschrift7"/>
    <w:uiPriority w:val="9"/>
    <w:semiHidden/>
    <w:rsid w:val="004B1629"/>
    <w:rPr>
      <w:rFonts w:ascii="Calibri" w:eastAsia="Malgun Gothic" w:hAnsi="Calibri" w:cs="Times New Roman"/>
      <w:sz w:val="24"/>
      <w:szCs w:val="24"/>
      <w:lang w:val="lt-LT" w:eastAsia="en-US"/>
    </w:rPr>
  </w:style>
  <w:style w:type="character" w:customStyle="1" w:styleId="berschrift8Zchn">
    <w:name w:val="Überschrift 8 Zchn"/>
    <w:link w:val="berschrift8"/>
    <w:uiPriority w:val="9"/>
    <w:semiHidden/>
    <w:rsid w:val="004B1629"/>
    <w:rPr>
      <w:rFonts w:ascii="Calibri" w:eastAsia="Malgun Gothic" w:hAnsi="Calibri" w:cs="Times New Roman"/>
      <w:i/>
      <w:iCs/>
      <w:sz w:val="24"/>
      <w:szCs w:val="24"/>
      <w:lang w:val="lt-LT" w:eastAsia="en-US"/>
    </w:rPr>
  </w:style>
  <w:style w:type="character" w:customStyle="1" w:styleId="berschrift9Zchn">
    <w:name w:val="Überschrift 9 Zchn"/>
    <w:link w:val="berschrift9"/>
    <w:uiPriority w:val="9"/>
    <w:semiHidden/>
    <w:rsid w:val="004B1629"/>
    <w:rPr>
      <w:rFonts w:ascii="Cambria" w:eastAsia="Malgun Gothic" w:hAnsi="Cambria" w:cs="Times New Roman"/>
      <w:sz w:val="22"/>
      <w:szCs w:val="22"/>
      <w:lang w:val="lt-LT" w:eastAsia="en-US"/>
    </w:rPr>
  </w:style>
  <w:style w:type="paragraph" w:styleId="Umschlagabsenderadresse">
    <w:name w:val="envelope return"/>
    <w:basedOn w:val="Standard"/>
    <w:uiPriority w:val="99"/>
    <w:semiHidden/>
    <w:unhideWhenUsed/>
    <w:rsid w:val="004B1629"/>
    <w:rPr>
      <w:rFonts w:ascii="Cambria" w:eastAsia="Malgun Gothic" w:hAnsi="Cambria"/>
      <w:sz w:val="20"/>
      <w:szCs w:val="20"/>
    </w:rPr>
  </w:style>
  <w:style w:type="paragraph" w:styleId="Umschlagadresse">
    <w:name w:val="envelope address"/>
    <w:basedOn w:val="Standard"/>
    <w:uiPriority w:val="99"/>
    <w:semiHidden/>
    <w:unhideWhenUsed/>
    <w:rsid w:val="004B1629"/>
    <w:pPr>
      <w:framePr w:w="4320" w:h="2160" w:hRule="exact" w:hSpace="141" w:wrap="auto" w:hAnchor="page" w:xAlign="center" w:yAlign="bottom"/>
      <w:ind w:left="1"/>
    </w:pPr>
    <w:rPr>
      <w:rFonts w:ascii="Cambria" w:eastAsia="Malgun Gothic" w:hAnsi="Cambria"/>
    </w:rPr>
  </w:style>
  <w:style w:type="paragraph" w:styleId="Unterschrift">
    <w:name w:val="Signature"/>
    <w:basedOn w:val="Standard"/>
    <w:link w:val="UnterschriftZchn"/>
    <w:uiPriority w:val="99"/>
    <w:semiHidden/>
    <w:unhideWhenUsed/>
    <w:rsid w:val="004B1629"/>
    <w:pPr>
      <w:ind w:left="4252"/>
    </w:pPr>
  </w:style>
  <w:style w:type="character" w:customStyle="1" w:styleId="UnterschriftZchn">
    <w:name w:val="Unterschrift Zchn"/>
    <w:link w:val="Unterschrift"/>
    <w:uiPriority w:val="99"/>
    <w:semiHidden/>
    <w:rsid w:val="004B1629"/>
    <w:rPr>
      <w:rFonts w:ascii="Times New Roman" w:eastAsia="Times New Roman" w:hAnsi="Times New Roman"/>
      <w:sz w:val="24"/>
      <w:szCs w:val="24"/>
      <w:lang w:val="lt-LT" w:eastAsia="en-US"/>
    </w:rPr>
  </w:style>
  <w:style w:type="paragraph" w:styleId="Untertitel">
    <w:name w:val="Subtitle"/>
    <w:basedOn w:val="Standard"/>
    <w:next w:val="Standard"/>
    <w:link w:val="UntertitelZchn"/>
    <w:uiPriority w:val="11"/>
    <w:qFormat/>
    <w:rsid w:val="004B1629"/>
    <w:pPr>
      <w:spacing w:after="60"/>
      <w:jc w:val="center"/>
      <w:outlineLvl w:val="1"/>
    </w:pPr>
    <w:rPr>
      <w:rFonts w:ascii="Cambria" w:eastAsia="Malgun Gothic" w:hAnsi="Cambria"/>
    </w:rPr>
  </w:style>
  <w:style w:type="character" w:customStyle="1" w:styleId="UntertitelZchn">
    <w:name w:val="Untertitel Zchn"/>
    <w:link w:val="Untertitel"/>
    <w:uiPriority w:val="11"/>
    <w:rsid w:val="004B1629"/>
    <w:rPr>
      <w:rFonts w:ascii="Cambria" w:eastAsia="Malgun Gothic" w:hAnsi="Cambria" w:cs="Times New Roman"/>
      <w:sz w:val="24"/>
      <w:szCs w:val="24"/>
      <w:lang w:val="lt-LT" w:eastAsia="en-US"/>
    </w:rPr>
  </w:style>
  <w:style w:type="paragraph" w:styleId="Verzeichnis1">
    <w:name w:val="toc 1"/>
    <w:basedOn w:val="Standard"/>
    <w:next w:val="Standard"/>
    <w:autoRedefine/>
    <w:uiPriority w:val="39"/>
    <w:semiHidden/>
    <w:unhideWhenUsed/>
    <w:rsid w:val="004B1629"/>
  </w:style>
  <w:style w:type="paragraph" w:styleId="Verzeichnis2">
    <w:name w:val="toc 2"/>
    <w:basedOn w:val="Standard"/>
    <w:next w:val="Standard"/>
    <w:autoRedefine/>
    <w:uiPriority w:val="39"/>
    <w:semiHidden/>
    <w:unhideWhenUsed/>
    <w:rsid w:val="004B1629"/>
    <w:pPr>
      <w:ind w:left="240"/>
    </w:pPr>
  </w:style>
  <w:style w:type="paragraph" w:styleId="Verzeichnis3">
    <w:name w:val="toc 3"/>
    <w:basedOn w:val="Standard"/>
    <w:next w:val="Standard"/>
    <w:autoRedefine/>
    <w:uiPriority w:val="39"/>
    <w:semiHidden/>
    <w:unhideWhenUsed/>
    <w:rsid w:val="004B1629"/>
    <w:pPr>
      <w:ind w:left="480"/>
    </w:pPr>
  </w:style>
  <w:style w:type="paragraph" w:styleId="Verzeichnis4">
    <w:name w:val="toc 4"/>
    <w:basedOn w:val="Standard"/>
    <w:next w:val="Standard"/>
    <w:autoRedefine/>
    <w:uiPriority w:val="39"/>
    <w:semiHidden/>
    <w:unhideWhenUsed/>
    <w:rsid w:val="004B1629"/>
    <w:pPr>
      <w:ind w:left="720"/>
    </w:pPr>
  </w:style>
  <w:style w:type="paragraph" w:styleId="Verzeichnis5">
    <w:name w:val="toc 5"/>
    <w:basedOn w:val="Standard"/>
    <w:next w:val="Standard"/>
    <w:autoRedefine/>
    <w:uiPriority w:val="39"/>
    <w:semiHidden/>
    <w:unhideWhenUsed/>
    <w:rsid w:val="004B1629"/>
    <w:pPr>
      <w:ind w:left="960"/>
    </w:pPr>
  </w:style>
  <w:style w:type="paragraph" w:styleId="Verzeichnis6">
    <w:name w:val="toc 6"/>
    <w:basedOn w:val="Standard"/>
    <w:next w:val="Standard"/>
    <w:autoRedefine/>
    <w:uiPriority w:val="39"/>
    <w:semiHidden/>
    <w:unhideWhenUsed/>
    <w:rsid w:val="004B1629"/>
    <w:pPr>
      <w:ind w:left="1200"/>
    </w:pPr>
  </w:style>
  <w:style w:type="paragraph" w:styleId="Verzeichnis7">
    <w:name w:val="toc 7"/>
    <w:basedOn w:val="Standard"/>
    <w:next w:val="Standard"/>
    <w:autoRedefine/>
    <w:uiPriority w:val="39"/>
    <w:semiHidden/>
    <w:unhideWhenUsed/>
    <w:rsid w:val="004B1629"/>
    <w:pPr>
      <w:ind w:left="1440"/>
    </w:pPr>
  </w:style>
  <w:style w:type="paragraph" w:styleId="Verzeichnis8">
    <w:name w:val="toc 8"/>
    <w:basedOn w:val="Standard"/>
    <w:next w:val="Standard"/>
    <w:autoRedefine/>
    <w:uiPriority w:val="39"/>
    <w:semiHidden/>
    <w:unhideWhenUsed/>
    <w:rsid w:val="004B1629"/>
    <w:pPr>
      <w:ind w:left="1680"/>
    </w:pPr>
  </w:style>
  <w:style w:type="paragraph" w:styleId="Verzeichnis9">
    <w:name w:val="toc 9"/>
    <w:basedOn w:val="Standard"/>
    <w:next w:val="Standard"/>
    <w:autoRedefine/>
    <w:uiPriority w:val="39"/>
    <w:semiHidden/>
    <w:unhideWhenUsed/>
    <w:rsid w:val="004B1629"/>
    <w:pPr>
      <w:ind w:left="1920"/>
    </w:pPr>
  </w:style>
  <w:style w:type="paragraph" w:styleId="Zitat">
    <w:name w:val="Quote"/>
    <w:basedOn w:val="Standard"/>
    <w:next w:val="Standard"/>
    <w:link w:val="ZitatZchn"/>
    <w:uiPriority w:val="29"/>
    <w:qFormat/>
    <w:rsid w:val="004B1629"/>
    <w:rPr>
      <w:i/>
      <w:iCs/>
      <w:color w:val="000000"/>
    </w:rPr>
  </w:style>
  <w:style w:type="character" w:customStyle="1" w:styleId="ZitatZchn">
    <w:name w:val="Zitat Zchn"/>
    <w:link w:val="Zitat"/>
    <w:uiPriority w:val="29"/>
    <w:rsid w:val="004B1629"/>
    <w:rPr>
      <w:rFonts w:ascii="Times New Roman" w:eastAsia="Times New Roman" w:hAnsi="Times New Roman"/>
      <w:i/>
      <w:iCs/>
      <w:color w:val="000000"/>
      <w:sz w:val="24"/>
      <w:szCs w:val="24"/>
      <w:lang w:val="lt-LT" w:eastAsia="en-US"/>
    </w:rPr>
  </w:style>
  <w:style w:type="paragraph" w:customStyle="1" w:styleId="Listlevel1">
    <w:name w:val="List level 1"/>
    <w:basedOn w:val="Standard"/>
    <w:rsid w:val="00BD21E4"/>
    <w:pPr>
      <w:spacing w:before="40" w:after="20"/>
      <w:ind w:left="425" w:hanging="425"/>
    </w:pPr>
    <w:rPr>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page number" w:uiPriority="0"/>
    <w:lsdException w:name="endnote text" w:uiPriority="0"/>
    <w:lsdException w:name="List Bullet 4" w:uiPriority="0"/>
    <w:lsdException w:name="List Bullet 5" w:uiPriority="0"/>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5422"/>
    <w:rPr>
      <w:rFonts w:ascii="Times New Roman" w:eastAsia="Times New Roman" w:hAnsi="Times New Roman"/>
      <w:sz w:val="24"/>
      <w:szCs w:val="24"/>
      <w:lang w:val="lt-LT"/>
    </w:rPr>
  </w:style>
  <w:style w:type="paragraph" w:styleId="berschrift1">
    <w:name w:val="heading 1"/>
    <w:basedOn w:val="Standard"/>
    <w:next w:val="Standard"/>
    <w:link w:val="berschrift1Zchn"/>
    <w:uiPriority w:val="9"/>
    <w:qFormat/>
    <w:rsid w:val="004B1629"/>
    <w:pPr>
      <w:keepNext/>
      <w:spacing w:before="240" w:after="60"/>
      <w:outlineLvl w:val="0"/>
    </w:pPr>
    <w:rPr>
      <w:rFonts w:ascii="Cambria" w:eastAsia="Malgun Gothic" w:hAnsi="Cambria"/>
      <w:b/>
      <w:bCs/>
      <w:kern w:val="32"/>
      <w:sz w:val="32"/>
      <w:szCs w:val="32"/>
    </w:rPr>
  </w:style>
  <w:style w:type="paragraph" w:styleId="berschrift2">
    <w:name w:val="heading 2"/>
    <w:basedOn w:val="Standard"/>
    <w:next w:val="Standard"/>
    <w:link w:val="berschrift2Zchn"/>
    <w:uiPriority w:val="99"/>
    <w:qFormat/>
    <w:rsid w:val="006358E3"/>
    <w:pPr>
      <w:keepNext/>
      <w:tabs>
        <w:tab w:val="left" w:pos="567"/>
      </w:tabs>
      <w:spacing w:before="240" w:after="60" w:line="260" w:lineRule="exact"/>
      <w:outlineLvl w:val="1"/>
    </w:pPr>
    <w:rPr>
      <w:rFonts w:ascii="Helvetica" w:eastAsia="SimSun" w:hAnsi="Helvetica"/>
      <w:b/>
      <w:i/>
      <w:szCs w:val="20"/>
      <w:lang w:val="en-GB" w:eastAsia="x-none"/>
    </w:rPr>
  </w:style>
  <w:style w:type="paragraph" w:styleId="berschrift3">
    <w:name w:val="heading 3"/>
    <w:basedOn w:val="Standard"/>
    <w:next w:val="Standard"/>
    <w:link w:val="berschrift3Zchn"/>
    <w:uiPriority w:val="9"/>
    <w:semiHidden/>
    <w:unhideWhenUsed/>
    <w:qFormat/>
    <w:rsid w:val="004B1629"/>
    <w:pPr>
      <w:keepNext/>
      <w:spacing w:before="240" w:after="60"/>
      <w:outlineLvl w:val="2"/>
    </w:pPr>
    <w:rPr>
      <w:rFonts w:ascii="Cambria" w:eastAsia="Malgun Gothic" w:hAnsi="Cambria"/>
      <w:b/>
      <w:bCs/>
      <w:sz w:val="26"/>
      <w:szCs w:val="26"/>
    </w:rPr>
  </w:style>
  <w:style w:type="paragraph" w:styleId="berschrift4">
    <w:name w:val="heading 4"/>
    <w:basedOn w:val="Standard"/>
    <w:next w:val="Standard"/>
    <w:link w:val="berschrift4Zchn"/>
    <w:uiPriority w:val="9"/>
    <w:semiHidden/>
    <w:unhideWhenUsed/>
    <w:qFormat/>
    <w:rsid w:val="004B1629"/>
    <w:pPr>
      <w:keepNext/>
      <w:spacing w:before="240" w:after="60"/>
      <w:outlineLvl w:val="3"/>
    </w:pPr>
    <w:rPr>
      <w:rFonts w:ascii="Calibri" w:eastAsia="Malgun Gothic" w:hAnsi="Calibri"/>
      <w:b/>
      <w:bCs/>
      <w:sz w:val="28"/>
      <w:szCs w:val="28"/>
    </w:rPr>
  </w:style>
  <w:style w:type="paragraph" w:styleId="berschrift5">
    <w:name w:val="heading 5"/>
    <w:basedOn w:val="Standard"/>
    <w:next w:val="Standard"/>
    <w:link w:val="berschrift5Zchn"/>
    <w:uiPriority w:val="9"/>
    <w:semiHidden/>
    <w:unhideWhenUsed/>
    <w:qFormat/>
    <w:rsid w:val="004B1629"/>
    <w:pPr>
      <w:spacing w:before="240" w:after="60"/>
      <w:outlineLvl w:val="4"/>
    </w:pPr>
    <w:rPr>
      <w:rFonts w:ascii="Calibri" w:eastAsia="Malgun Gothic" w:hAnsi="Calibri"/>
      <w:b/>
      <w:bCs/>
      <w:i/>
      <w:iCs/>
      <w:sz w:val="26"/>
      <w:szCs w:val="26"/>
    </w:rPr>
  </w:style>
  <w:style w:type="paragraph" w:styleId="berschrift6">
    <w:name w:val="heading 6"/>
    <w:basedOn w:val="Standard"/>
    <w:next w:val="Standard"/>
    <w:link w:val="berschrift6Zchn"/>
    <w:uiPriority w:val="9"/>
    <w:semiHidden/>
    <w:unhideWhenUsed/>
    <w:qFormat/>
    <w:rsid w:val="004B1629"/>
    <w:pPr>
      <w:spacing w:before="240" w:after="60"/>
      <w:outlineLvl w:val="5"/>
    </w:pPr>
    <w:rPr>
      <w:rFonts w:ascii="Calibri" w:eastAsia="Malgun Gothic" w:hAnsi="Calibri"/>
      <w:b/>
      <w:bCs/>
      <w:sz w:val="22"/>
      <w:szCs w:val="22"/>
    </w:rPr>
  </w:style>
  <w:style w:type="paragraph" w:styleId="berschrift7">
    <w:name w:val="heading 7"/>
    <w:basedOn w:val="Standard"/>
    <w:next w:val="Standard"/>
    <w:link w:val="berschrift7Zchn"/>
    <w:uiPriority w:val="9"/>
    <w:semiHidden/>
    <w:unhideWhenUsed/>
    <w:qFormat/>
    <w:rsid w:val="004B1629"/>
    <w:pPr>
      <w:spacing w:before="240" w:after="60"/>
      <w:outlineLvl w:val="6"/>
    </w:pPr>
    <w:rPr>
      <w:rFonts w:ascii="Calibri" w:eastAsia="Malgun Gothic" w:hAnsi="Calibri"/>
    </w:rPr>
  </w:style>
  <w:style w:type="paragraph" w:styleId="berschrift8">
    <w:name w:val="heading 8"/>
    <w:basedOn w:val="Standard"/>
    <w:next w:val="Standard"/>
    <w:link w:val="berschrift8Zchn"/>
    <w:uiPriority w:val="9"/>
    <w:semiHidden/>
    <w:unhideWhenUsed/>
    <w:qFormat/>
    <w:rsid w:val="004B1629"/>
    <w:pPr>
      <w:spacing w:before="240" w:after="60"/>
      <w:outlineLvl w:val="7"/>
    </w:pPr>
    <w:rPr>
      <w:rFonts w:ascii="Calibri" w:eastAsia="Malgun Gothic" w:hAnsi="Calibri"/>
      <w:i/>
      <w:iCs/>
    </w:rPr>
  </w:style>
  <w:style w:type="paragraph" w:styleId="berschrift9">
    <w:name w:val="heading 9"/>
    <w:basedOn w:val="Standard"/>
    <w:next w:val="Standard"/>
    <w:link w:val="berschrift9Zchn"/>
    <w:uiPriority w:val="9"/>
    <w:semiHidden/>
    <w:unhideWhenUsed/>
    <w:qFormat/>
    <w:rsid w:val="004B1629"/>
    <w:pPr>
      <w:spacing w:before="240" w:after="60"/>
      <w:outlineLvl w:val="8"/>
    </w:pPr>
    <w:rPr>
      <w:rFonts w:ascii="Cambria" w:eastAsia="Malgun Gothic"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7729E8"/>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144749"/>
    <w:pPr>
      <w:ind w:left="720"/>
      <w:contextualSpacing/>
    </w:pPr>
  </w:style>
  <w:style w:type="paragraph" w:styleId="KeinLeerraum">
    <w:name w:val="No Spacing"/>
    <w:uiPriority w:val="1"/>
    <w:qFormat/>
    <w:rsid w:val="008C1232"/>
    <w:rPr>
      <w:rFonts w:ascii="Times New Roman" w:eastAsia="Times New Roman" w:hAnsi="Times New Roman"/>
      <w:sz w:val="24"/>
      <w:szCs w:val="24"/>
      <w:lang w:val="lt-LT"/>
    </w:rPr>
  </w:style>
  <w:style w:type="character" w:styleId="Hyperlink">
    <w:name w:val="Hyperlink"/>
    <w:unhideWhenUsed/>
    <w:rsid w:val="003E69DE"/>
    <w:rPr>
      <w:color w:val="0000FF"/>
      <w:u w:val="single"/>
    </w:rPr>
  </w:style>
  <w:style w:type="character" w:customStyle="1" w:styleId="berschrift2Zchn">
    <w:name w:val="Überschrift 2 Zchn"/>
    <w:link w:val="berschrift2"/>
    <w:uiPriority w:val="99"/>
    <w:rsid w:val="006358E3"/>
    <w:rPr>
      <w:rFonts w:ascii="Helvetica" w:eastAsia="SimSun" w:hAnsi="Helvetica" w:cs="Times New Roman"/>
      <w:b/>
      <w:i/>
      <w:sz w:val="24"/>
      <w:szCs w:val="20"/>
      <w:lang w:val="en-GB"/>
    </w:rPr>
  </w:style>
  <w:style w:type="paragraph" w:styleId="Kopfzeile">
    <w:name w:val="header"/>
    <w:basedOn w:val="Standard"/>
    <w:link w:val="KopfzeileZchn"/>
    <w:uiPriority w:val="99"/>
    <w:unhideWhenUsed/>
    <w:rsid w:val="008144B1"/>
    <w:pPr>
      <w:tabs>
        <w:tab w:val="center" w:pos="4680"/>
        <w:tab w:val="right" w:pos="9360"/>
      </w:tabs>
    </w:pPr>
    <w:rPr>
      <w:lang w:eastAsia="x-none"/>
    </w:rPr>
  </w:style>
  <w:style w:type="character" w:customStyle="1" w:styleId="BTEMEASMCAChar">
    <w:name w:val="BT EMEA_SMCA Char"/>
    <w:uiPriority w:val="99"/>
    <w:locked/>
    <w:rsid w:val="00EB1CCD"/>
    <w:rPr>
      <w:rFonts w:ascii="Times New Roman" w:eastAsia="SimSun" w:hAnsi="Times New Roman"/>
      <w:sz w:val="22"/>
      <w:szCs w:val="22"/>
      <w:lang w:val="lt-LT" w:eastAsia="x-none"/>
    </w:rPr>
  </w:style>
  <w:style w:type="paragraph" w:styleId="Sprechblasentext">
    <w:name w:val="Balloon Text"/>
    <w:basedOn w:val="Standard"/>
    <w:link w:val="SprechblasentextZchn"/>
    <w:uiPriority w:val="99"/>
    <w:semiHidden/>
    <w:unhideWhenUsed/>
    <w:rsid w:val="00552116"/>
    <w:rPr>
      <w:rFonts w:ascii="Tahoma" w:hAnsi="Tahoma"/>
      <w:sz w:val="16"/>
      <w:szCs w:val="16"/>
      <w:lang w:eastAsia="x-none"/>
    </w:rPr>
  </w:style>
  <w:style w:type="character" w:customStyle="1" w:styleId="SprechblasentextZchn">
    <w:name w:val="Sprechblasentext Zchn"/>
    <w:link w:val="Sprechblasentext"/>
    <w:uiPriority w:val="99"/>
    <w:semiHidden/>
    <w:rsid w:val="00552116"/>
    <w:rPr>
      <w:rFonts w:ascii="Tahoma" w:eastAsia="Times New Roman" w:hAnsi="Tahoma" w:cs="Tahoma"/>
      <w:sz w:val="16"/>
      <w:szCs w:val="16"/>
      <w:lang w:val="lt-LT"/>
    </w:rPr>
  </w:style>
  <w:style w:type="character" w:styleId="Kommentarzeichen">
    <w:name w:val="annotation reference"/>
    <w:semiHidden/>
    <w:unhideWhenUsed/>
    <w:rsid w:val="00F30EAC"/>
    <w:rPr>
      <w:sz w:val="16"/>
      <w:szCs w:val="16"/>
    </w:rPr>
  </w:style>
  <w:style w:type="paragraph" w:styleId="Kommentartext">
    <w:name w:val="annotation text"/>
    <w:basedOn w:val="Standard"/>
    <w:link w:val="KommentartextZchn"/>
    <w:uiPriority w:val="99"/>
    <w:semiHidden/>
    <w:unhideWhenUsed/>
    <w:rsid w:val="00F30EAC"/>
    <w:rPr>
      <w:sz w:val="20"/>
      <w:szCs w:val="20"/>
      <w:lang w:eastAsia="x-none"/>
    </w:rPr>
  </w:style>
  <w:style w:type="character" w:customStyle="1" w:styleId="KommentartextZchn">
    <w:name w:val="Kommentartext Zchn"/>
    <w:link w:val="Kommentartext"/>
    <w:uiPriority w:val="99"/>
    <w:semiHidden/>
    <w:rsid w:val="00F30EAC"/>
    <w:rPr>
      <w:rFonts w:ascii="Times New Roman" w:eastAsia="Times New Roman" w:hAnsi="Times New Roman" w:cs="Times New Roman"/>
      <w:sz w:val="20"/>
      <w:szCs w:val="20"/>
      <w:lang w:val="lt-LT"/>
    </w:rPr>
  </w:style>
  <w:style w:type="paragraph" w:styleId="Kommentarthema">
    <w:name w:val="annotation subject"/>
    <w:basedOn w:val="Kommentartext"/>
    <w:next w:val="Kommentartext"/>
    <w:link w:val="KommentarthemaZchn"/>
    <w:uiPriority w:val="99"/>
    <w:semiHidden/>
    <w:unhideWhenUsed/>
    <w:rsid w:val="00F30EAC"/>
    <w:rPr>
      <w:b/>
      <w:bCs/>
    </w:rPr>
  </w:style>
  <w:style w:type="character" w:customStyle="1" w:styleId="KommentarthemaZchn">
    <w:name w:val="Kommentarthema Zchn"/>
    <w:link w:val="Kommentarthema"/>
    <w:uiPriority w:val="99"/>
    <w:semiHidden/>
    <w:rsid w:val="00F30EAC"/>
    <w:rPr>
      <w:rFonts w:ascii="Times New Roman" w:eastAsia="Times New Roman" w:hAnsi="Times New Roman" w:cs="Times New Roman"/>
      <w:b/>
      <w:bCs/>
      <w:sz w:val="20"/>
      <w:szCs w:val="20"/>
      <w:lang w:val="lt-LT"/>
    </w:rPr>
  </w:style>
  <w:style w:type="paragraph" w:styleId="berarbeitung">
    <w:name w:val="Revision"/>
    <w:hidden/>
    <w:uiPriority w:val="99"/>
    <w:semiHidden/>
    <w:rsid w:val="00192DB3"/>
    <w:rPr>
      <w:rFonts w:ascii="Times New Roman" w:eastAsia="Times New Roman" w:hAnsi="Times New Roman"/>
      <w:sz w:val="24"/>
      <w:szCs w:val="24"/>
      <w:lang w:val="lt-LT"/>
    </w:rPr>
  </w:style>
  <w:style w:type="paragraph" w:customStyle="1" w:styleId="NormalParagraphStyle">
    <w:name w:val="NormalParagraphStyle"/>
    <w:basedOn w:val="Standard"/>
    <w:rsid w:val="00FC4EA1"/>
    <w:pPr>
      <w:widowControl w:val="0"/>
      <w:autoSpaceDE w:val="0"/>
      <w:autoSpaceDN w:val="0"/>
      <w:adjustRightInd w:val="0"/>
      <w:spacing w:line="288" w:lineRule="auto"/>
      <w:textAlignment w:val="center"/>
    </w:pPr>
    <w:rPr>
      <w:rFonts w:ascii="Times-Roman" w:hAnsi="Times-Roman"/>
      <w:color w:val="000000"/>
      <w:lang w:val="en-GB"/>
    </w:rPr>
  </w:style>
  <w:style w:type="character" w:customStyle="1" w:styleId="KopfzeileZchn">
    <w:name w:val="Kopfzeile Zchn"/>
    <w:link w:val="Kopfzeile"/>
    <w:uiPriority w:val="99"/>
    <w:rsid w:val="008144B1"/>
    <w:rPr>
      <w:rFonts w:ascii="Times New Roman" w:eastAsia="Times New Roman" w:hAnsi="Times New Roman"/>
      <w:sz w:val="24"/>
      <w:szCs w:val="24"/>
      <w:lang w:val="lt-LT"/>
    </w:rPr>
  </w:style>
  <w:style w:type="paragraph" w:styleId="Fuzeile">
    <w:name w:val="footer"/>
    <w:basedOn w:val="Standard"/>
    <w:link w:val="FuzeileZchn"/>
    <w:unhideWhenUsed/>
    <w:rsid w:val="008144B1"/>
    <w:pPr>
      <w:tabs>
        <w:tab w:val="center" w:pos="4680"/>
        <w:tab w:val="right" w:pos="9360"/>
      </w:tabs>
    </w:pPr>
    <w:rPr>
      <w:lang w:eastAsia="x-none"/>
    </w:rPr>
  </w:style>
  <w:style w:type="character" w:customStyle="1" w:styleId="FuzeileZchn">
    <w:name w:val="Fußzeile Zchn"/>
    <w:link w:val="Fuzeile"/>
    <w:uiPriority w:val="99"/>
    <w:rsid w:val="008144B1"/>
    <w:rPr>
      <w:rFonts w:ascii="Times New Roman" w:eastAsia="Times New Roman" w:hAnsi="Times New Roman"/>
      <w:sz w:val="24"/>
      <w:szCs w:val="24"/>
      <w:lang w:val="lt-LT"/>
    </w:rPr>
  </w:style>
  <w:style w:type="numbering" w:customStyle="1" w:styleId="NoList1">
    <w:name w:val="No List1"/>
    <w:next w:val="KeineListe"/>
    <w:uiPriority w:val="99"/>
    <w:semiHidden/>
    <w:unhideWhenUsed/>
    <w:rsid w:val="002D2BD8"/>
  </w:style>
  <w:style w:type="table" w:styleId="Tabellenraster">
    <w:name w:val="Table Grid"/>
    <w:basedOn w:val="NormaleTabelle"/>
    <w:uiPriority w:val="59"/>
    <w:rsid w:val="002D2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rsid w:val="002D2BD8"/>
  </w:style>
  <w:style w:type="character" w:styleId="Zeilennummer">
    <w:name w:val="line number"/>
    <w:uiPriority w:val="99"/>
    <w:semiHidden/>
    <w:unhideWhenUsed/>
    <w:rsid w:val="002D2BD8"/>
  </w:style>
  <w:style w:type="character" w:styleId="BesuchterHyperlink">
    <w:name w:val="FollowedHyperlink"/>
    <w:uiPriority w:val="99"/>
    <w:semiHidden/>
    <w:unhideWhenUsed/>
    <w:rsid w:val="00D440E0"/>
    <w:rPr>
      <w:color w:val="800080"/>
      <w:u w:val="single"/>
    </w:rPr>
  </w:style>
  <w:style w:type="paragraph" w:styleId="Endnotentext">
    <w:name w:val="endnote text"/>
    <w:basedOn w:val="Standard"/>
    <w:link w:val="EndnotentextZchn"/>
    <w:unhideWhenUsed/>
    <w:rsid w:val="00217A90"/>
    <w:rPr>
      <w:sz w:val="20"/>
      <w:szCs w:val="20"/>
    </w:rPr>
  </w:style>
  <w:style w:type="character" w:customStyle="1" w:styleId="EndnotentextZchn">
    <w:name w:val="Endnotentext Zchn"/>
    <w:link w:val="Endnotentext"/>
    <w:rsid w:val="00217A90"/>
    <w:rPr>
      <w:rFonts w:ascii="Times New Roman" w:eastAsia="Times New Roman" w:hAnsi="Times New Roman"/>
      <w:lang w:eastAsia="en-US"/>
    </w:rPr>
  </w:style>
  <w:style w:type="paragraph" w:customStyle="1" w:styleId="Text">
    <w:name w:val="Text"/>
    <w:basedOn w:val="Standard"/>
    <w:link w:val="TextChar"/>
    <w:rsid w:val="00C742B3"/>
    <w:pPr>
      <w:spacing w:before="120"/>
      <w:jc w:val="both"/>
    </w:pPr>
    <w:rPr>
      <w:szCs w:val="20"/>
    </w:rPr>
  </w:style>
  <w:style w:type="character" w:customStyle="1" w:styleId="TextChar">
    <w:name w:val="Text Char"/>
    <w:link w:val="Text"/>
    <w:rsid w:val="00C742B3"/>
    <w:rPr>
      <w:rFonts w:ascii="Times New Roman" w:eastAsia="Times New Roman" w:hAnsi="Times New Roman"/>
      <w:sz w:val="24"/>
      <w:lang w:eastAsia="en-US"/>
    </w:rPr>
  </w:style>
  <w:style w:type="paragraph" w:styleId="Aufzhlungszeichen5">
    <w:name w:val="List Bullet 5"/>
    <w:basedOn w:val="Standard"/>
    <w:rsid w:val="00F4617B"/>
    <w:pPr>
      <w:numPr>
        <w:numId w:val="19"/>
      </w:numPr>
      <w:tabs>
        <w:tab w:val="left" w:pos="567"/>
      </w:tabs>
      <w:spacing w:line="260" w:lineRule="exact"/>
    </w:pPr>
    <w:rPr>
      <w:sz w:val="22"/>
      <w:szCs w:val="20"/>
    </w:rPr>
  </w:style>
  <w:style w:type="paragraph" w:customStyle="1" w:styleId="Listlevel2">
    <w:name w:val="List level 2"/>
    <w:basedOn w:val="Standard"/>
    <w:rsid w:val="00F4617B"/>
    <w:pPr>
      <w:spacing w:before="40" w:after="20"/>
      <w:ind w:left="850" w:hanging="425"/>
    </w:pPr>
    <w:rPr>
      <w:szCs w:val="20"/>
    </w:rPr>
  </w:style>
  <w:style w:type="paragraph" w:styleId="Aufzhlungszeichen4">
    <w:name w:val="List Bullet 4"/>
    <w:basedOn w:val="Standard"/>
    <w:rsid w:val="00F4617B"/>
    <w:pPr>
      <w:numPr>
        <w:numId w:val="21"/>
      </w:numPr>
      <w:tabs>
        <w:tab w:val="left" w:pos="567"/>
      </w:tabs>
      <w:spacing w:line="260" w:lineRule="exact"/>
    </w:pPr>
    <w:rPr>
      <w:sz w:val="22"/>
      <w:szCs w:val="20"/>
    </w:rPr>
  </w:style>
  <w:style w:type="paragraph" w:styleId="Listennummer2">
    <w:name w:val="List Number 2"/>
    <w:basedOn w:val="Standard"/>
    <w:rsid w:val="00F4617B"/>
    <w:pPr>
      <w:numPr>
        <w:numId w:val="22"/>
      </w:numPr>
      <w:tabs>
        <w:tab w:val="left" w:pos="567"/>
      </w:tabs>
      <w:spacing w:line="260" w:lineRule="exact"/>
    </w:pPr>
    <w:rPr>
      <w:sz w:val="22"/>
      <w:szCs w:val="20"/>
    </w:rPr>
  </w:style>
  <w:style w:type="paragraph" w:customStyle="1" w:styleId="TitleA">
    <w:name w:val="Title A"/>
    <w:basedOn w:val="Standard"/>
    <w:rsid w:val="00667999"/>
    <w:pPr>
      <w:tabs>
        <w:tab w:val="left" w:pos="567"/>
      </w:tabs>
      <w:autoSpaceDE w:val="0"/>
      <w:autoSpaceDN w:val="0"/>
      <w:adjustRightInd w:val="0"/>
      <w:jc w:val="center"/>
    </w:pPr>
    <w:rPr>
      <w:b/>
      <w:bCs/>
      <w:sz w:val="22"/>
      <w:szCs w:val="22"/>
      <w:lang w:val="fr-FR" w:eastAsia="fr-FR"/>
    </w:rPr>
  </w:style>
  <w:style w:type="paragraph" w:customStyle="1" w:styleId="TitleB">
    <w:name w:val="Title B"/>
    <w:basedOn w:val="Standard"/>
    <w:qFormat/>
    <w:rsid w:val="00667999"/>
    <w:pPr>
      <w:keepNext/>
      <w:widowControl w:val="0"/>
      <w:autoSpaceDE w:val="0"/>
      <w:autoSpaceDN w:val="0"/>
      <w:adjustRightInd w:val="0"/>
      <w:spacing w:before="280" w:after="220"/>
      <w:ind w:left="540" w:right="120" w:hanging="540"/>
    </w:pPr>
    <w:rPr>
      <w:rFonts w:eastAsia="SimSun"/>
      <w:b/>
      <w:bCs/>
      <w:sz w:val="22"/>
      <w:szCs w:val="20"/>
      <w:lang w:val="fr-FR" w:eastAsia="zh-CN"/>
    </w:rPr>
  </w:style>
  <w:style w:type="paragraph" w:styleId="Abbildungsverzeichnis">
    <w:name w:val="table of figures"/>
    <w:basedOn w:val="Standard"/>
    <w:next w:val="Standard"/>
    <w:uiPriority w:val="99"/>
    <w:semiHidden/>
    <w:unhideWhenUsed/>
    <w:rsid w:val="004B1629"/>
  </w:style>
  <w:style w:type="paragraph" w:styleId="Anrede">
    <w:name w:val="Salutation"/>
    <w:basedOn w:val="Standard"/>
    <w:next w:val="Standard"/>
    <w:link w:val="AnredeZchn"/>
    <w:uiPriority w:val="99"/>
    <w:semiHidden/>
    <w:unhideWhenUsed/>
    <w:rsid w:val="004B1629"/>
  </w:style>
  <w:style w:type="character" w:customStyle="1" w:styleId="AnredeZchn">
    <w:name w:val="Anrede Zchn"/>
    <w:link w:val="Anrede"/>
    <w:uiPriority w:val="99"/>
    <w:semiHidden/>
    <w:rsid w:val="004B1629"/>
    <w:rPr>
      <w:rFonts w:ascii="Times New Roman" w:eastAsia="Times New Roman" w:hAnsi="Times New Roman"/>
      <w:sz w:val="24"/>
      <w:szCs w:val="24"/>
      <w:lang w:val="lt-LT" w:eastAsia="en-US"/>
    </w:rPr>
  </w:style>
  <w:style w:type="paragraph" w:styleId="Aufzhlungszeichen">
    <w:name w:val="List Bullet"/>
    <w:basedOn w:val="Standard"/>
    <w:uiPriority w:val="99"/>
    <w:semiHidden/>
    <w:unhideWhenUsed/>
    <w:rsid w:val="004B1629"/>
    <w:pPr>
      <w:numPr>
        <w:numId w:val="23"/>
      </w:numPr>
      <w:contextualSpacing/>
    </w:pPr>
  </w:style>
  <w:style w:type="paragraph" w:styleId="Aufzhlungszeichen2">
    <w:name w:val="List Bullet 2"/>
    <w:basedOn w:val="Standard"/>
    <w:uiPriority w:val="99"/>
    <w:semiHidden/>
    <w:unhideWhenUsed/>
    <w:rsid w:val="004B1629"/>
    <w:pPr>
      <w:numPr>
        <w:numId w:val="24"/>
      </w:numPr>
      <w:contextualSpacing/>
    </w:pPr>
  </w:style>
  <w:style w:type="paragraph" w:styleId="Aufzhlungszeichen3">
    <w:name w:val="List Bullet 3"/>
    <w:basedOn w:val="Standard"/>
    <w:uiPriority w:val="99"/>
    <w:semiHidden/>
    <w:unhideWhenUsed/>
    <w:rsid w:val="004B1629"/>
    <w:pPr>
      <w:numPr>
        <w:numId w:val="25"/>
      </w:numPr>
      <w:contextualSpacing/>
    </w:pPr>
  </w:style>
  <w:style w:type="paragraph" w:styleId="Beschriftung">
    <w:name w:val="caption"/>
    <w:basedOn w:val="Standard"/>
    <w:next w:val="Standard"/>
    <w:uiPriority w:val="35"/>
    <w:semiHidden/>
    <w:unhideWhenUsed/>
    <w:qFormat/>
    <w:rsid w:val="004B1629"/>
    <w:rPr>
      <w:b/>
      <w:bCs/>
      <w:sz w:val="20"/>
      <w:szCs w:val="20"/>
    </w:rPr>
  </w:style>
  <w:style w:type="paragraph" w:styleId="Blocktext">
    <w:name w:val="Block Text"/>
    <w:basedOn w:val="Standard"/>
    <w:uiPriority w:val="99"/>
    <w:semiHidden/>
    <w:unhideWhenUsed/>
    <w:rsid w:val="004B1629"/>
    <w:pPr>
      <w:spacing w:after="120"/>
      <w:ind w:left="1440" w:right="1440"/>
    </w:pPr>
  </w:style>
  <w:style w:type="paragraph" w:styleId="Datum">
    <w:name w:val="Date"/>
    <w:basedOn w:val="Standard"/>
    <w:next w:val="Standard"/>
    <w:link w:val="DatumZchn"/>
    <w:uiPriority w:val="99"/>
    <w:semiHidden/>
    <w:unhideWhenUsed/>
    <w:rsid w:val="004B1629"/>
  </w:style>
  <w:style w:type="character" w:customStyle="1" w:styleId="DatumZchn">
    <w:name w:val="Datum Zchn"/>
    <w:link w:val="Datum"/>
    <w:uiPriority w:val="99"/>
    <w:semiHidden/>
    <w:rsid w:val="004B1629"/>
    <w:rPr>
      <w:rFonts w:ascii="Times New Roman" w:eastAsia="Times New Roman" w:hAnsi="Times New Roman"/>
      <w:sz w:val="24"/>
      <w:szCs w:val="24"/>
      <w:lang w:val="lt-LT" w:eastAsia="en-US"/>
    </w:rPr>
  </w:style>
  <w:style w:type="paragraph" w:styleId="Dokumentstruktur">
    <w:name w:val="Document Map"/>
    <w:basedOn w:val="Standard"/>
    <w:link w:val="DokumentstrukturZchn"/>
    <w:uiPriority w:val="99"/>
    <w:semiHidden/>
    <w:unhideWhenUsed/>
    <w:rsid w:val="004B1629"/>
    <w:rPr>
      <w:rFonts w:ascii="Tahoma" w:hAnsi="Tahoma" w:cs="Tahoma"/>
      <w:sz w:val="16"/>
      <w:szCs w:val="16"/>
    </w:rPr>
  </w:style>
  <w:style w:type="character" w:customStyle="1" w:styleId="DokumentstrukturZchn">
    <w:name w:val="Dokumentstruktur Zchn"/>
    <w:link w:val="Dokumentstruktur"/>
    <w:uiPriority w:val="99"/>
    <w:semiHidden/>
    <w:rsid w:val="004B1629"/>
    <w:rPr>
      <w:rFonts w:ascii="Tahoma" w:eastAsia="Times New Roman" w:hAnsi="Tahoma" w:cs="Tahoma"/>
      <w:sz w:val="16"/>
      <w:szCs w:val="16"/>
      <w:lang w:val="lt-LT" w:eastAsia="en-US"/>
    </w:rPr>
  </w:style>
  <w:style w:type="paragraph" w:styleId="E-Mail-Signatur">
    <w:name w:val="E-mail Signature"/>
    <w:basedOn w:val="Standard"/>
    <w:link w:val="E-Mail-SignaturZchn"/>
    <w:uiPriority w:val="99"/>
    <w:semiHidden/>
    <w:unhideWhenUsed/>
    <w:rsid w:val="004B1629"/>
  </w:style>
  <w:style w:type="character" w:customStyle="1" w:styleId="E-Mail-SignaturZchn">
    <w:name w:val="E-Mail-Signatur Zchn"/>
    <w:link w:val="E-Mail-Signatur"/>
    <w:uiPriority w:val="99"/>
    <w:semiHidden/>
    <w:rsid w:val="004B1629"/>
    <w:rPr>
      <w:rFonts w:ascii="Times New Roman" w:eastAsia="Times New Roman" w:hAnsi="Times New Roman"/>
      <w:sz w:val="24"/>
      <w:szCs w:val="24"/>
      <w:lang w:val="lt-LT" w:eastAsia="en-US"/>
    </w:rPr>
  </w:style>
  <w:style w:type="paragraph" w:styleId="Fu-Endnotenberschrift">
    <w:name w:val="Note Heading"/>
    <w:basedOn w:val="Standard"/>
    <w:next w:val="Standard"/>
    <w:link w:val="Fu-EndnotenberschriftZchn"/>
    <w:uiPriority w:val="99"/>
    <w:semiHidden/>
    <w:unhideWhenUsed/>
    <w:rsid w:val="004B1629"/>
  </w:style>
  <w:style w:type="character" w:customStyle="1" w:styleId="Fu-EndnotenberschriftZchn">
    <w:name w:val="Fuß/-Endnotenüberschrift Zchn"/>
    <w:link w:val="Fu-Endnotenberschrift"/>
    <w:uiPriority w:val="99"/>
    <w:semiHidden/>
    <w:rsid w:val="004B1629"/>
    <w:rPr>
      <w:rFonts w:ascii="Times New Roman" w:eastAsia="Times New Roman" w:hAnsi="Times New Roman"/>
      <w:sz w:val="24"/>
      <w:szCs w:val="24"/>
      <w:lang w:val="lt-LT" w:eastAsia="en-US"/>
    </w:rPr>
  </w:style>
  <w:style w:type="paragraph" w:styleId="Funotentext">
    <w:name w:val="footnote text"/>
    <w:basedOn w:val="Standard"/>
    <w:link w:val="FunotentextZchn"/>
    <w:uiPriority w:val="99"/>
    <w:semiHidden/>
    <w:unhideWhenUsed/>
    <w:rsid w:val="004B1629"/>
    <w:rPr>
      <w:sz w:val="20"/>
      <w:szCs w:val="20"/>
    </w:rPr>
  </w:style>
  <w:style w:type="character" w:customStyle="1" w:styleId="FunotentextZchn">
    <w:name w:val="Fußnotentext Zchn"/>
    <w:link w:val="Funotentext"/>
    <w:uiPriority w:val="99"/>
    <w:semiHidden/>
    <w:rsid w:val="004B1629"/>
    <w:rPr>
      <w:rFonts w:ascii="Times New Roman" w:eastAsia="Times New Roman" w:hAnsi="Times New Roman"/>
      <w:lang w:val="lt-LT" w:eastAsia="en-US"/>
    </w:rPr>
  </w:style>
  <w:style w:type="paragraph" w:styleId="Gruformel">
    <w:name w:val="Closing"/>
    <w:basedOn w:val="Standard"/>
    <w:link w:val="GruformelZchn"/>
    <w:uiPriority w:val="99"/>
    <w:semiHidden/>
    <w:unhideWhenUsed/>
    <w:rsid w:val="004B1629"/>
    <w:pPr>
      <w:ind w:left="4252"/>
    </w:pPr>
  </w:style>
  <w:style w:type="character" w:customStyle="1" w:styleId="GruformelZchn">
    <w:name w:val="Grußformel Zchn"/>
    <w:link w:val="Gruformel"/>
    <w:uiPriority w:val="99"/>
    <w:semiHidden/>
    <w:rsid w:val="004B1629"/>
    <w:rPr>
      <w:rFonts w:ascii="Times New Roman" w:eastAsia="Times New Roman" w:hAnsi="Times New Roman"/>
      <w:sz w:val="24"/>
      <w:szCs w:val="24"/>
      <w:lang w:val="lt-LT" w:eastAsia="en-US"/>
    </w:rPr>
  </w:style>
  <w:style w:type="paragraph" w:styleId="HTMLAdresse">
    <w:name w:val="HTML Address"/>
    <w:basedOn w:val="Standard"/>
    <w:link w:val="HTMLAdresseZchn"/>
    <w:uiPriority w:val="99"/>
    <w:semiHidden/>
    <w:unhideWhenUsed/>
    <w:rsid w:val="004B1629"/>
    <w:rPr>
      <w:i/>
      <w:iCs/>
    </w:rPr>
  </w:style>
  <w:style w:type="character" w:customStyle="1" w:styleId="HTMLAdresseZchn">
    <w:name w:val="HTML Adresse Zchn"/>
    <w:link w:val="HTMLAdresse"/>
    <w:uiPriority w:val="99"/>
    <w:semiHidden/>
    <w:rsid w:val="004B1629"/>
    <w:rPr>
      <w:rFonts w:ascii="Times New Roman" w:eastAsia="Times New Roman" w:hAnsi="Times New Roman"/>
      <w:i/>
      <w:iCs/>
      <w:sz w:val="24"/>
      <w:szCs w:val="24"/>
      <w:lang w:val="lt-LT" w:eastAsia="en-US"/>
    </w:rPr>
  </w:style>
  <w:style w:type="paragraph" w:styleId="HTMLVorformatiert">
    <w:name w:val="HTML Preformatted"/>
    <w:basedOn w:val="Standard"/>
    <w:link w:val="HTMLVorformatiertZchn"/>
    <w:uiPriority w:val="99"/>
    <w:semiHidden/>
    <w:unhideWhenUsed/>
    <w:rsid w:val="004B1629"/>
    <w:rPr>
      <w:rFonts w:ascii="Courier New" w:hAnsi="Courier New" w:cs="Courier New"/>
      <w:sz w:val="20"/>
      <w:szCs w:val="20"/>
    </w:rPr>
  </w:style>
  <w:style w:type="character" w:customStyle="1" w:styleId="HTMLVorformatiertZchn">
    <w:name w:val="HTML Vorformatiert Zchn"/>
    <w:link w:val="HTMLVorformatiert"/>
    <w:uiPriority w:val="99"/>
    <w:semiHidden/>
    <w:rsid w:val="004B1629"/>
    <w:rPr>
      <w:rFonts w:ascii="Courier New" w:eastAsia="Times New Roman" w:hAnsi="Courier New" w:cs="Courier New"/>
      <w:lang w:val="lt-LT" w:eastAsia="en-US"/>
    </w:rPr>
  </w:style>
  <w:style w:type="paragraph" w:styleId="Index1">
    <w:name w:val="index 1"/>
    <w:basedOn w:val="Standard"/>
    <w:next w:val="Standard"/>
    <w:autoRedefine/>
    <w:uiPriority w:val="99"/>
    <w:semiHidden/>
    <w:unhideWhenUsed/>
    <w:rsid w:val="004B1629"/>
    <w:pPr>
      <w:ind w:left="240" w:hanging="240"/>
    </w:pPr>
  </w:style>
  <w:style w:type="paragraph" w:styleId="Index2">
    <w:name w:val="index 2"/>
    <w:basedOn w:val="Standard"/>
    <w:next w:val="Standard"/>
    <w:autoRedefine/>
    <w:uiPriority w:val="99"/>
    <w:semiHidden/>
    <w:unhideWhenUsed/>
    <w:rsid w:val="004B1629"/>
    <w:pPr>
      <w:ind w:left="480" w:hanging="240"/>
    </w:pPr>
  </w:style>
  <w:style w:type="paragraph" w:styleId="Index3">
    <w:name w:val="index 3"/>
    <w:basedOn w:val="Standard"/>
    <w:next w:val="Standard"/>
    <w:autoRedefine/>
    <w:uiPriority w:val="99"/>
    <w:semiHidden/>
    <w:unhideWhenUsed/>
    <w:rsid w:val="004B1629"/>
    <w:pPr>
      <w:ind w:left="720" w:hanging="240"/>
    </w:pPr>
  </w:style>
  <w:style w:type="paragraph" w:styleId="Index4">
    <w:name w:val="index 4"/>
    <w:basedOn w:val="Standard"/>
    <w:next w:val="Standard"/>
    <w:autoRedefine/>
    <w:uiPriority w:val="99"/>
    <w:semiHidden/>
    <w:unhideWhenUsed/>
    <w:rsid w:val="004B1629"/>
    <w:pPr>
      <w:ind w:left="960" w:hanging="240"/>
    </w:pPr>
  </w:style>
  <w:style w:type="paragraph" w:styleId="Index5">
    <w:name w:val="index 5"/>
    <w:basedOn w:val="Standard"/>
    <w:next w:val="Standard"/>
    <w:autoRedefine/>
    <w:uiPriority w:val="99"/>
    <w:semiHidden/>
    <w:unhideWhenUsed/>
    <w:rsid w:val="004B1629"/>
    <w:pPr>
      <w:ind w:left="1200" w:hanging="240"/>
    </w:pPr>
  </w:style>
  <w:style w:type="paragraph" w:styleId="Index6">
    <w:name w:val="index 6"/>
    <w:basedOn w:val="Standard"/>
    <w:next w:val="Standard"/>
    <w:autoRedefine/>
    <w:uiPriority w:val="99"/>
    <w:semiHidden/>
    <w:unhideWhenUsed/>
    <w:rsid w:val="004B1629"/>
    <w:pPr>
      <w:ind w:left="1440" w:hanging="240"/>
    </w:pPr>
  </w:style>
  <w:style w:type="paragraph" w:styleId="Index7">
    <w:name w:val="index 7"/>
    <w:basedOn w:val="Standard"/>
    <w:next w:val="Standard"/>
    <w:autoRedefine/>
    <w:uiPriority w:val="99"/>
    <w:semiHidden/>
    <w:unhideWhenUsed/>
    <w:rsid w:val="004B1629"/>
    <w:pPr>
      <w:ind w:left="1680" w:hanging="240"/>
    </w:pPr>
  </w:style>
  <w:style w:type="paragraph" w:styleId="Index8">
    <w:name w:val="index 8"/>
    <w:basedOn w:val="Standard"/>
    <w:next w:val="Standard"/>
    <w:autoRedefine/>
    <w:uiPriority w:val="99"/>
    <w:semiHidden/>
    <w:unhideWhenUsed/>
    <w:rsid w:val="004B1629"/>
    <w:pPr>
      <w:ind w:left="1920" w:hanging="240"/>
    </w:pPr>
  </w:style>
  <w:style w:type="paragraph" w:styleId="Index9">
    <w:name w:val="index 9"/>
    <w:basedOn w:val="Standard"/>
    <w:next w:val="Standard"/>
    <w:autoRedefine/>
    <w:uiPriority w:val="99"/>
    <w:semiHidden/>
    <w:unhideWhenUsed/>
    <w:rsid w:val="004B1629"/>
    <w:pPr>
      <w:ind w:left="2160" w:hanging="240"/>
    </w:pPr>
  </w:style>
  <w:style w:type="paragraph" w:styleId="Indexberschrift">
    <w:name w:val="index heading"/>
    <w:basedOn w:val="Standard"/>
    <w:next w:val="Index1"/>
    <w:uiPriority w:val="99"/>
    <w:semiHidden/>
    <w:unhideWhenUsed/>
    <w:rsid w:val="004B1629"/>
    <w:rPr>
      <w:rFonts w:ascii="Cambria" w:eastAsia="Malgun Gothic" w:hAnsi="Cambria"/>
      <w:b/>
      <w:bCs/>
    </w:rPr>
  </w:style>
  <w:style w:type="character" w:customStyle="1" w:styleId="berschrift1Zchn">
    <w:name w:val="Überschrift 1 Zchn"/>
    <w:link w:val="berschrift1"/>
    <w:uiPriority w:val="9"/>
    <w:rsid w:val="004B1629"/>
    <w:rPr>
      <w:rFonts w:ascii="Cambria" w:eastAsia="Malgun Gothic" w:hAnsi="Cambria" w:cs="Times New Roman"/>
      <w:b/>
      <w:bCs/>
      <w:kern w:val="32"/>
      <w:sz w:val="32"/>
      <w:szCs w:val="32"/>
      <w:lang w:val="lt-LT" w:eastAsia="en-US"/>
    </w:rPr>
  </w:style>
  <w:style w:type="paragraph" w:styleId="Inhaltsverzeichnisberschrift">
    <w:name w:val="TOC Heading"/>
    <w:basedOn w:val="berschrift1"/>
    <w:next w:val="Standard"/>
    <w:uiPriority w:val="39"/>
    <w:semiHidden/>
    <w:unhideWhenUsed/>
    <w:qFormat/>
    <w:rsid w:val="004B1629"/>
    <w:pPr>
      <w:outlineLvl w:val="9"/>
    </w:pPr>
  </w:style>
  <w:style w:type="paragraph" w:styleId="IntensivesZitat">
    <w:name w:val="Intense Quote"/>
    <w:basedOn w:val="Standard"/>
    <w:next w:val="Standard"/>
    <w:link w:val="IntensivesZitatZchn"/>
    <w:uiPriority w:val="30"/>
    <w:qFormat/>
    <w:rsid w:val="004B1629"/>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4B1629"/>
    <w:rPr>
      <w:rFonts w:ascii="Times New Roman" w:eastAsia="Times New Roman" w:hAnsi="Times New Roman"/>
      <w:b/>
      <w:bCs/>
      <w:i/>
      <w:iCs/>
      <w:color w:val="4F81BD"/>
      <w:sz w:val="24"/>
      <w:szCs w:val="24"/>
      <w:lang w:val="lt-LT" w:eastAsia="en-US"/>
    </w:rPr>
  </w:style>
  <w:style w:type="paragraph" w:styleId="Liste">
    <w:name w:val="List"/>
    <w:basedOn w:val="Standard"/>
    <w:uiPriority w:val="99"/>
    <w:semiHidden/>
    <w:unhideWhenUsed/>
    <w:rsid w:val="004B1629"/>
    <w:pPr>
      <w:ind w:left="283" w:hanging="283"/>
      <w:contextualSpacing/>
    </w:pPr>
  </w:style>
  <w:style w:type="paragraph" w:styleId="Liste2">
    <w:name w:val="List 2"/>
    <w:basedOn w:val="Standard"/>
    <w:uiPriority w:val="99"/>
    <w:semiHidden/>
    <w:unhideWhenUsed/>
    <w:rsid w:val="004B1629"/>
    <w:pPr>
      <w:ind w:left="566" w:hanging="283"/>
      <w:contextualSpacing/>
    </w:pPr>
  </w:style>
  <w:style w:type="paragraph" w:styleId="Liste3">
    <w:name w:val="List 3"/>
    <w:basedOn w:val="Standard"/>
    <w:uiPriority w:val="99"/>
    <w:semiHidden/>
    <w:unhideWhenUsed/>
    <w:rsid w:val="004B1629"/>
    <w:pPr>
      <w:ind w:left="849" w:hanging="283"/>
      <w:contextualSpacing/>
    </w:pPr>
  </w:style>
  <w:style w:type="paragraph" w:styleId="Liste4">
    <w:name w:val="List 4"/>
    <w:basedOn w:val="Standard"/>
    <w:uiPriority w:val="99"/>
    <w:semiHidden/>
    <w:unhideWhenUsed/>
    <w:rsid w:val="004B1629"/>
    <w:pPr>
      <w:ind w:left="1132" w:hanging="283"/>
      <w:contextualSpacing/>
    </w:pPr>
  </w:style>
  <w:style w:type="paragraph" w:styleId="Liste5">
    <w:name w:val="List 5"/>
    <w:basedOn w:val="Standard"/>
    <w:uiPriority w:val="99"/>
    <w:semiHidden/>
    <w:unhideWhenUsed/>
    <w:rsid w:val="004B1629"/>
    <w:pPr>
      <w:ind w:left="1415" w:hanging="283"/>
      <w:contextualSpacing/>
    </w:pPr>
  </w:style>
  <w:style w:type="paragraph" w:styleId="Listenfortsetzung">
    <w:name w:val="List Continue"/>
    <w:basedOn w:val="Standard"/>
    <w:uiPriority w:val="99"/>
    <w:semiHidden/>
    <w:unhideWhenUsed/>
    <w:rsid w:val="004B1629"/>
    <w:pPr>
      <w:spacing w:after="120"/>
      <w:ind w:left="283"/>
      <w:contextualSpacing/>
    </w:pPr>
  </w:style>
  <w:style w:type="paragraph" w:styleId="Listenfortsetzung2">
    <w:name w:val="List Continue 2"/>
    <w:basedOn w:val="Standard"/>
    <w:uiPriority w:val="99"/>
    <w:semiHidden/>
    <w:unhideWhenUsed/>
    <w:rsid w:val="004B1629"/>
    <w:pPr>
      <w:spacing w:after="120"/>
      <w:ind w:left="566"/>
      <w:contextualSpacing/>
    </w:pPr>
  </w:style>
  <w:style w:type="paragraph" w:styleId="Listenfortsetzung3">
    <w:name w:val="List Continue 3"/>
    <w:basedOn w:val="Standard"/>
    <w:uiPriority w:val="99"/>
    <w:semiHidden/>
    <w:unhideWhenUsed/>
    <w:rsid w:val="004B1629"/>
    <w:pPr>
      <w:spacing w:after="120"/>
      <w:ind w:left="849"/>
      <w:contextualSpacing/>
    </w:pPr>
  </w:style>
  <w:style w:type="paragraph" w:styleId="Listenfortsetzung4">
    <w:name w:val="List Continue 4"/>
    <w:basedOn w:val="Standard"/>
    <w:uiPriority w:val="99"/>
    <w:semiHidden/>
    <w:unhideWhenUsed/>
    <w:rsid w:val="004B1629"/>
    <w:pPr>
      <w:spacing w:after="120"/>
      <w:ind w:left="1132"/>
      <w:contextualSpacing/>
    </w:pPr>
  </w:style>
  <w:style w:type="paragraph" w:styleId="Listenfortsetzung5">
    <w:name w:val="List Continue 5"/>
    <w:basedOn w:val="Standard"/>
    <w:uiPriority w:val="99"/>
    <w:semiHidden/>
    <w:unhideWhenUsed/>
    <w:rsid w:val="004B1629"/>
    <w:pPr>
      <w:spacing w:after="120"/>
      <w:ind w:left="1415"/>
      <w:contextualSpacing/>
    </w:pPr>
  </w:style>
  <w:style w:type="paragraph" w:styleId="Listennummer">
    <w:name w:val="List Number"/>
    <w:basedOn w:val="Standard"/>
    <w:uiPriority w:val="99"/>
    <w:semiHidden/>
    <w:unhideWhenUsed/>
    <w:rsid w:val="004B1629"/>
    <w:pPr>
      <w:numPr>
        <w:numId w:val="26"/>
      </w:numPr>
      <w:contextualSpacing/>
    </w:pPr>
  </w:style>
  <w:style w:type="paragraph" w:styleId="Listennummer3">
    <w:name w:val="List Number 3"/>
    <w:basedOn w:val="Standard"/>
    <w:uiPriority w:val="99"/>
    <w:semiHidden/>
    <w:unhideWhenUsed/>
    <w:rsid w:val="004B1629"/>
    <w:pPr>
      <w:numPr>
        <w:numId w:val="27"/>
      </w:numPr>
      <w:contextualSpacing/>
    </w:pPr>
  </w:style>
  <w:style w:type="paragraph" w:styleId="Listennummer4">
    <w:name w:val="List Number 4"/>
    <w:basedOn w:val="Standard"/>
    <w:uiPriority w:val="99"/>
    <w:semiHidden/>
    <w:unhideWhenUsed/>
    <w:rsid w:val="004B1629"/>
    <w:pPr>
      <w:numPr>
        <w:numId w:val="28"/>
      </w:numPr>
      <w:contextualSpacing/>
    </w:pPr>
  </w:style>
  <w:style w:type="paragraph" w:styleId="Listennummer5">
    <w:name w:val="List Number 5"/>
    <w:basedOn w:val="Standard"/>
    <w:uiPriority w:val="99"/>
    <w:semiHidden/>
    <w:unhideWhenUsed/>
    <w:rsid w:val="004B1629"/>
    <w:pPr>
      <w:numPr>
        <w:numId w:val="29"/>
      </w:numPr>
      <w:contextualSpacing/>
    </w:pPr>
  </w:style>
  <w:style w:type="paragraph" w:styleId="Literaturverzeichnis">
    <w:name w:val="Bibliography"/>
    <w:basedOn w:val="Standard"/>
    <w:next w:val="Standard"/>
    <w:uiPriority w:val="37"/>
    <w:semiHidden/>
    <w:unhideWhenUsed/>
    <w:rsid w:val="004B1629"/>
  </w:style>
  <w:style w:type="paragraph" w:styleId="Makrotext">
    <w:name w:val="macro"/>
    <w:link w:val="MakrotextZchn"/>
    <w:uiPriority w:val="99"/>
    <w:semiHidden/>
    <w:unhideWhenUsed/>
    <w:rsid w:val="004B162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lt-LT"/>
    </w:rPr>
  </w:style>
  <w:style w:type="character" w:customStyle="1" w:styleId="MakrotextZchn">
    <w:name w:val="Makrotext Zchn"/>
    <w:link w:val="Makrotext"/>
    <w:uiPriority w:val="99"/>
    <w:semiHidden/>
    <w:rsid w:val="004B1629"/>
    <w:rPr>
      <w:rFonts w:ascii="Courier New" w:eastAsia="Times New Roman" w:hAnsi="Courier New" w:cs="Courier New"/>
      <w:lang w:val="lt-LT" w:eastAsia="en-US"/>
    </w:rPr>
  </w:style>
  <w:style w:type="paragraph" w:styleId="Nachrichtenkopf">
    <w:name w:val="Message Header"/>
    <w:basedOn w:val="Standard"/>
    <w:link w:val="NachrichtenkopfZchn"/>
    <w:uiPriority w:val="99"/>
    <w:semiHidden/>
    <w:unhideWhenUsed/>
    <w:rsid w:val="004B162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Malgun Gothic" w:hAnsi="Cambria"/>
    </w:rPr>
  </w:style>
  <w:style w:type="character" w:customStyle="1" w:styleId="NachrichtenkopfZchn">
    <w:name w:val="Nachrichtenkopf Zchn"/>
    <w:link w:val="Nachrichtenkopf"/>
    <w:uiPriority w:val="99"/>
    <w:semiHidden/>
    <w:rsid w:val="004B1629"/>
    <w:rPr>
      <w:rFonts w:ascii="Cambria" w:eastAsia="Malgun Gothic" w:hAnsi="Cambria" w:cs="Times New Roman"/>
      <w:sz w:val="24"/>
      <w:szCs w:val="24"/>
      <w:shd w:val="pct20" w:color="auto" w:fill="auto"/>
      <w:lang w:val="lt-LT" w:eastAsia="en-US"/>
    </w:rPr>
  </w:style>
  <w:style w:type="paragraph" w:styleId="NurText">
    <w:name w:val="Plain Text"/>
    <w:basedOn w:val="Standard"/>
    <w:link w:val="NurTextZchn"/>
    <w:uiPriority w:val="99"/>
    <w:semiHidden/>
    <w:unhideWhenUsed/>
    <w:rsid w:val="004B1629"/>
    <w:rPr>
      <w:rFonts w:ascii="Courier New" w:hAnsi="Courier New" w:cs="Courier New"/>
      <w:sz w:val="20"/>
      <w:szCs w:val="20"/>
    </w:rPr>
  </w:style>
  <w:style w:type="character" w:customStyle="1" w:styleId="NurTextZchn">
    <w:name w:val="Nur Text Zchn"/>
    <w:link w:val="NurText"/>
    <w:uiPriority w:val="99"/>
    <w:semiHidden/>
    <w:rsid w:val="004B1629"/>
    <w:rPr>
      <w:rFonts w:ascii="Courier New" w:eastAsia="Times New Roman" w:hAnsi="Courier New" w:cs="Courier New"/>
      <w:lang w:val="lt-LT" w:eastAsia="en-US"/>
    </w:rPr>
  </w:style>
  <w:style w:type="paragraph" w:styleId="Rechtsgrundlagenverzeichnis">
    <w:name w:val="table of authorities"/>
    <w:basedOn w:val="Standard"/>
    <w:next w:val="Standard"/>
    <w:uiPriority w:val="99"/>
    <w:semiHidden/>
    <w:unhideWhenUsed/>
    <w:rsid w:val="004B1629"/>
    <w:pPr>
      <w:ind w:left="240" w:hanging="240"/>
    </w:pPr>
  </w:style>
  <w:style w:type="paragraph" w:styleId="RGV-berschrift">
    <w:name w:val="toa heading"/>
    <w:basedOn w:val="Standard"/>
    <w:next w:val="Standard"/>
    <w:uiPriority w:val="99"/>
    <w:semiHidden/>
    <w:unhideWhenUsed/>
    <w:rsid w:val="004B1629"/>
    <w:pPr>
      <w:spacing w:before="120"/>
    </w:pPr>
    <w:rPr>
      <w:rFonts w:ascii="Cambria" w:eastAsia="Malgun Gothic" w:hAnsi="Cambria"/>
      <w:b/>
      <w:bCs/>
    </w:rPr>
  </w:style>
  <w:style w:type="paragraph" w:styleId="StandardWeb">
    <w:name w:val="Normal (Web)"/>
    <w:basedOn w:val="Standard"/>
    <w:uiPriority w:val="99"/>
    <w:semiHidden/>
    <w:unhideWhenUsed/>
    <w:rsid w:val="004B1629"/>
  </w:style>
  <w:style w:type="paragraph" w:styleId="Standardeinzug">
    <w:name w:val="Normal Indent"/>
    <w:basedOn w:val="Standard"/>
    <w:uiPriority w:val="99"/>
    <w:semiHidden/>
    <w:unhideWhenUsed/>
    <w:rsid w:val="004B1629"/>
    <w:pPr>
      <w:ind w:left="708"/>
    </w:pPr>
  </w:style>
  <w:style w:type="paragraph" w:styleId="Textkrper">
    <w:name w:val="Body Text"/>
    <w:basedOn w:val="Standard"/>
    <w:link w:val="TextkrperZchn"/>
    <w:uiPriority w:val="99"/>
    <w:semiHidden/>
    <w:unhideWhenUsed/>
    <w:rsid w:val="004B1629"/>
    <w:pPr>
      <w:spacing w:after="120"/>
    </w:pPr>
  </w:style>
  <w:style w:type="character" w:customStyle="1" w:styleId="TextkrperZchn">
    <w:name w:val="Textkörper Zchn"/>
    <w:link w:val="Textkrper"/>
    <w:uiPriority w:val="99"/>
    <w:semiHidden/>
    <w:rsid w:val="004B1629"/>
    <w:rPr>
      <w:rFonts w:ascii="Times New Roman" w:eastAsia="Times New Roman" w:hAnsi="Times New Roman"/>
      <w:sz w:val="24"/>
      <w:szCs w:val="24"/>
      <w:lang w:val="lt-LT" w:eastAsia="en-US"/>
    </w:rPr>
  </w:style>
  <w:style w:type="paragraph" w:styleId="Textkrper2">
    <w:name w:val="Body Text 2"/>
    <w:basedOn w:val="Standard"/>
    <w:link w:val="Textkrper2Zchn"/>
    <w:uiPriority w:val="99"/>
    <w:semiHidden/>
    <w:unhideWhenUsed/>
    <w:rsid w:val="004B1629"/>
    <w:pPr>
      <w:spacing w:after="120" w:line="480" w:lineRule="auto"/>
    </w:pPr>
  </w:style>
  <w:style w:type="character" w:customStyle="1" w:styleId="Textkrper2Zchn">
    <w:name w:val="Textkörper 2 Zchn"/>
    <w:link w:val="Textkrper2"/>
    <w:uiPriority w:val="99"/>
    <w:semiHidden/>
    <w:rsid w:val="004B1629"/>
    <w:rPr>
      <w:rFonts w:ascii="Times New Roman" w:eastAsia="Times New Roman" w:hAnsi="Times New Roman"/>
      <w:sz w:val="24"/>
      <w:szCs w:val="24"/>
      <w:lang w:val="lt-LT" w:eastAsia="en-US"/>
    </w:rPr>
  </w:style>
  <w:style w:type="paragraph" w:styleId="Textkrper3">
    <w:name w:val="Body Text 3"/>
    <w:basedOn w:val="Standard"/>
    <w:link w:val="Textkrper3Zchn"/>
    <w:uiPriority w:val="99"/>
    <w:semiHidden/>
    <w:unhideWhenUsed/>
    <w:rsid w:val="004B1629"/>
    <w:pPr>
      <w:spacing w:after="120"/>
    </w:pPr>
    <w:rPr>
      <w:sz w:val="16"/>
      <w:szCs w:val="16"/>
    </w:rPr>
  </w:style>
  <w:style w:type="character" w:customStyle="1" w:styleId="Textkrper3Zchn">
    <w:name w:val="Textkörper 3 Zchn"/>
    <w:link w:val="Textkrper3"/>
    <w:uiPriority w:val="99"/>
    <w:semiHidden/>
    <w:rsid w:val="004B1629"/>
    <w:rPr>
      <w:rFonts w:ascii="Times New Roman" w:eastAsia="Times New Roman" w:hAnsi="Times New Roman"/>
      <w:sz w:val="16"/>
      <w:szCs w:val="16"/>
      <w:lang w:val="lt-LT" w:eastAsia="en-US"/>
    </w:rPr>
  </w:style>
  <w:style w:type="paragraph" w:styleId="Textkrper-Einzug2">
    <w:name w:val="Body Text Indent 2"/>
    <w:basedOn w:val="Standard"/>
    <w:link w:val="Textkrper-Einzug2Zchn"/>
    <w:uiPriority w:val="99"/>
    <w:semiHidden/>
    <w:unhideWhenUsed/>
    <w:rsid w:val="004B1629"/>
    <w:pPr>
      <w:spacing w:after="120" w:line="480" w:lineRule="auto"/>
      <w:ind w:left="283"/>
    </w:pPr>
  </w:style>
  <w:style w:type="character" w:customStyle="1" w:styleId="Textkrper-Einzug2Zchn">
    <w:name w:val="Textkörper-Einzug 2 Zchn"/>
    <w:link w:val="Textkrper-Einzug2"/>
    <w:uiPriority w:val="99"/>
    <w:semiHidden/>
    <w:rsid w:val="004B1629"/>
    <w:rPr>
      <w:rFonts w:ascii="Times New Roman" w:eastAsia="Times New Roman" w:hAnsi="Times New Roman"/>
      <w:sz w:val="24"/>
      <w:szCs w:val="24"/>
      <w:lang w:val="lt-LT" w:eastAsia="en-US"/>
    </w:rPr>
  </w:style>
  <w:style w:type="paragraph" w:styleId="Textkrper-Einzug3">
    <w:name w:val="Body Text Indent 3"/>
    <w:basedOn w:val="Standard"/>
    <w:link w:val="Textkrper-Einzug3Zchn"/>
    <w:uiPriority w:val="99"/>
    <w:semiHidden/>
    <w:unhideWhenUsed/>
    <w:rsid w:val="004B1629"/>
    <w:pPr>
      <w:spacing w:after="120"/>
      <w:ind w:left="283"/>
    </w:pPr>
    <w:rPr>
      <w:sz w:val="16"/>
      <w:szCs w:val="16"/>
    </w:rPr>
  </w:style>
  <w:style w:type="character" w:customStyle="1" w:styleId="Textkrper-Einzug3Zchn">
    <w:name w:val="Textkörper-Einzug 3 Zchn"/>
    <w:link w:val="Textkrper-Einzug3"/>
    <w:uiPriority w:val="99"/>
    <w:semiHidden/>
    <w:rsid w:val="004B1629"/>
    <w:rPr>
      <w:rFonts w:ascii="Times New Roman" w:eastAsia="Times New Roman" w:hAnsi="Times New Roman"/>
      <w:sz w:val="16"/>
      <w:szCs w:val="16"/>
      <w:lang w:val="lt-LT" w:eastAsia="en-US"/>
    </w:rPr>
  </w:style>
  <w:style w:type="paragraph" w:styleId="Textkrper-Erstzeileneinzug">
    <w:name w:val="Body Text First Indent"/>
    <w:basedOn w:val="Textkrper"/>
    <w:link w:val="Textkrper-ErstzeileneinzugZchn"/>
    <w:uiPriority w:val="99"/>
    <w:semiHidden/>
    <w:unhideWhenUsed/>
    <w:rsid w:val="004B1629"/>
    <w:pPr>
      <w:ind w:firstLine="210"/>
    </w:pPr>
  </w:style>
  <w:style w:type="character" w:customStyle="1" w:styleId="Textkrper-ErstzeileneinzugZchn">
    <w:name w:val="Textkörper-Erstzeileneinzug Zchn"/>
    <w:link w:val="Textkrper-Erstzeileneinzug"/>
    <w:uiPriority w:val="99"/>
    <w:semiHidden/>
    <w:rsid w:val="004B1629"/>
    <w:rPr>
      <w:rFonts w:ascii="Times New Roman" w:eastAsia="Times New Roman" w:hAnsi="Times New Roman"/>
      <w:sz w:val="24"/>
      <w:szCs w:val="24"/>
      <w:lang w:val="lt-LT" w:eastAsia="en-US"/>
    </w:rPr>
  </w:style>
  <w:style w:type="paragraph" w:styleId="Textkrper-Zeileneinzug">
    <w:name w:val="Body Text Indent"/>
    <w:basedOn w:val="Standard"/>
    <w:link w:val="Textkrper-ZeileneinzugZchn"/>
    <w:uiPriority w:val="99"/>
    <w:semiHidden/>
    <w:unhideWhenUsed/>
    <w:rsid w:val="004B1629"/>
    <w:pPr>
      <w:spacing w:after="120"/>
      <w:ind w:left="283"/>
    </w:pPr>
  </w:style>
  <w:style w:type="character" w:customStyle="1" w:styleId="Textkrper-ZeileneinzugZchn">
    <w:name w:val="Textkörper-Zeileneinzug Zchn"/>
    <w:link w:val="Textkrper-Zeileneinzug"/>
    <w:uiPriority w:val="99"/>
    <w:semiHidden/>
    <w:rsid w:val="004B1629"/>
    <w:rPr>
      <w:rFonts w:ascii="Times New Roman" w:eastAsia="Times New Roman" w:hAnsi="Times New Roman"/>
      <w:sz w:val="24"/>
      <w:szCs w:val="24"/>
      <w:lang w:val="lt-LT" w:eastAsia="en-US"/>
    </w:rPr>
  </w:style>
  <w:style w:type="paragraph" w:styleId="Textkrper-Erstzeileneinzug2">
    <w:name w:val="Body Text First Indent 2"/>
    <w:basedOn w:val="Textkrper-Zeileneinzug"/>
    <w:link w:val="Textkrper-Erstzeileneinzug2Zchn"/>
    <w:uiPriority w:val="99"/>
    <w:semiHidden/>
    <w:unhideWhenUsed/>
    <w:rsid w:val="004B1629"/>
    <w:pPr>
      <w:ind w:firstLine="210"/>
    </w:pPr>
  </w:style>
  <w:style w:type="character" w:customStyle="1" w:styleId="Textkrper-Erstzeileneinzug2Zchn">
    <w:name w:val="Textkörper-Erstzeileneinzug 2 Zchn"/>
    <w:link w:val="Textkrper-Erstzeileneinzug2"/>
    <w:uiPriority w:val="99"/>
    <w:semiHidden/>
    <w:rsid w:val="004B1629"/>
    <w:rPr>
      <w:rFonts w:ascii="Times New Roman" w:eastAsia="Times New Roman" w:hAnsi="Times New Roman"/>
      <w:sz w:val="24"/>
      <w:szCs w:val="24"/>
      <w:lang w:val="lt-LT" w:eastAsia="en-US"/>
    </w:rPr>
  </w:style>
  <w:style w:type="paragraph" w:styleId="Titel">
    <w:name w:val="Title"/>
    <w:basedOn w:val="Standard"/>
    <w:next w:val="Standard"/>
    <w:link w:val="TitelZchn"/>
    <w:uiPriority w:val="10"/>
    <w:qFormat/>
    <w:rsid w:val="004B1629"/>
    <w:pPr>
      <w:spacing w:before="240" w:after="60"/>
      <w:jc w:val="center"/>
      <w:outlineLvl w:val="0"/>
    </w:pPr>
    <w:rPr>
      <w:rFonts w:ascii="Cambria" w:eastAsia="Malgun Gothic" w:hAnsi="Cambria"/>
      <w:b/>
      <w:bCs/>
      <w:kern w:val="28"/>
      <w:sz w:val="32"/>
      <w:szCs w:val="32"/>
    </w:rPr>
  </w:style>
  <w:style w:type="character" w:customStyle="1" w:styleId="TitelZchn">
    <w:name w:val="Titel Zchn"/>
    <w:link w:val="Titel"/>
    <w:uiPriority w:val="10"/>
    <w:rsid w:val="004B1629"/>
    <w:rPr>
      <w:rFonts w:ascii="Cambria" w:eastAsia="Malgun Gothic" w:hAnsi="Cambria" w:cs="Times New Roman"/>
      <w:b/>
      <w:bCs/>
      <w:kern w:val="28"/>
      <w:sz w:val="32"/>
      <w:szCs w:val="32"/>
      <w:lang w:val="lt-LT" w:eastAsia="en-US"/>
    </w:rPr>
  </w:style>
  <w:style w:type="character" w:customStyle="1" w:styleId="berschrift3Zchn">
    <w:name w:val="Überschrift 3 Zchn"/>
    <w:link w:val="berschrift3"/>
    <w:uiPriority w:val="9"/>
    <w:semiHidden/>
    <w:rsid w:val="004B1629"/>
    <w:rPr>
      <w:rFonts w:ascii="Cambria" w:eastAsia="Malgun Gothic" w:hAnsi="Cambria" w:cs="Times New Roman"/>
      <w:b/>
      <w:bCs/>
      <w:sz w:val="26"/>
      <w:szCs w:val="26"/>
      <w:lang w:val="lt-LT" w:eastAsia="en-US"/>
    </w:rPr>
  </w:style>
  <w:style w:type="character" w:customStyle="1" w:styleId="berschrift4Zchn">
    <w:name w:val="Überschrift 4 Zchn"/>
    <w:link w:val="berschrift4"/>
    <w:uiPriority w:val="9"/>
    <w:semiHidden/>
    <w:rsid w:val="004B1629"/>
    <w:rPr>
      <w:rFonts w:ascii="Calibri" w:eastAsia="Malgun Gothic" w:hAnsi="Calibri" w:cs="Times New Roman"/>
      <w:b/>
      <w:bCs/>
      <w:sz w:val="28"/>
      <w:szCs w:val="28"/>
      <w:lang w:val="lt-LT" w:eastAsia="en-US"/>
    </w:rPr>
  </w:style>
  <w:style w:type="character" w:customStyle="1" w:styleId="berschrift5Zchn">
    <w:name w:val="Überschrift 5 Zchn"/>
    <w:link w:val="berschrift5"/>
    <w:uiPriority w:val="9"/>
    <w:semiHidden/>
    <w:rsid w:val="004B1629"/>
    <w:rPr>
      <w:rFonts w:ascii="Calibri" w:eastAsia="Malgun Gothic" w:hAnsi="Calibri" w:cs="Times New Roman"/>
      <w:b/>
      <w:bCs/>
      <w:i/>
      <w:iCs/>
      <w:sz w:val="26"/>
      <w:szCs w:val="26"/>
      <w:lang w:val="lt-LT" w:eastAsia="en-US"/>
    </w:rPr>
  </w:style>
  <w:style w:type="character" w:customStyle="1" w:styleId="berschrift6Zchn">
    <w:name w:val="Überschrift 6 Zchn"/>
    <w:link w:val="berschrift6"/>
    <w:uiPriority w:val="9"/>
    <w:semiHidden/>
    <w:rsid w:val="004B1629"/>
    <w:rPr>
      <w:rFonts w:ascii="Calibri" w:eastAsia="Malgun Gothic" w:hAnsi="Calibri" w:cs="Times New Roman"/>
      <w:b/>
      <w:bCs/>
      <w:sz w:val="22"/>
      <w:szCs w:val="22"/>
      <w:lang w:val="lt-LT" w:eastAsia="en-US"/>
    </w:rPr>
  </w:style>
  <w:style w:type="character" w:customStyle="1" w:styleId="berschrift7Zchn">
    <w:name w:val="Überschrift 7 Zchn"/>
    <w:link w:val="berschrift7"/>
    <w:uiPriority w:val="9"/>
    <w:semiHidden/>
    <w:rsid w:val="004B1629"/>
    <w:rPr>
      <w:rFonts w:ascii="Calibri" w:eastAsia="Malgun Gothic" w:hAnsi="Calibri" w:cs="Times New Roman"/>
      <w:sz w:val="24"/>
      <w:szCs w:val="24"/>
      <w:lang w:val="lt-LT" w:eastAsia="en-US"/>
    </w:rPr>
  </w:style>
  <w:style w:type="character" w:customStyle="1" w:styleId="berschrift8Zchn">
    <w:name w:val="Überschrift 8 Zchn"/>
    <w:link w:val="berschrift8"/>
    <w:uiPriority w:val="9"/>
    <w:semiHidden/>
    <w:rsid w:val="004B1629"/>
    <w:rPr>
      <w:rFonts w:ascii="Calibri" w:eastAsia="Malgun Gothic" w:hAnsi="Calibri" w:cs="Times New Roman"/>
      <w:i/>
      <w:iCs/>
      <w:sz w:val="24"/>
      <w:szCs w:val="24"/>
      <w:lang w:val="lt-LT" w:eastAsia="en-US"/>
    </w:rPr>
  </w:style>
  <w:style w:type="character" w:customStyle="1" w:styleId="berschrift9Zchn">
    <w:name w:val="Überschrift 9 Zchn"/>
    <w:link w:val="berschrift9"/>
    <w:uiPriority w:val="9"/>
    <w:semiHidden/>
    <w:rsid w:val="004B1629"/>
    <w:rPr>
      <w:rFonts w:ascii="Cambria" w:eastAsia="Malgun Gothic" w:hAnsi="Cambria" w:cs="Times New Roman"/>
      <w:sz w:val="22"/>
      <w:szCs w:val="22"/>
      <w:lang w:val="lt-LT" w:eastAsia="en-US"/>
    </w:rPr>
  </w:style>
  <w:style w:type="paragraph" w:styleId="Umschlagabsenderadresse">
    <w:name w:val="envelope return"/>
    <w:basedOn w:val="Standard"/>
    <w:uiPriority w:val="99"/>
    <w:semiHidden/>
    <w:unhideWhenUsed/>
    <w:rsid w:val="004B1629"/>
    <w:rPr>
      <w:rFonts w:ascii="Cambria" w:eastAsia="Malgun Gothic" w:hAnsi="Cambria"/>
      <w:sz w:val="20"/>
      <w:szCs w:val="20"/>
    </w:rPr>
  </w:style>
  <w:style w:type="paragraph" w:styleId="Umschlagadresse">
    <w:name w:val="envelope address"/>
    <w:basedOn w:val="Standard"/>
    <w:uiPriority w:val="99"/>
    <w:semiHidden/>
    <w:unhideWhenUsed/>
    <w:rsid w:val="004B1629"/>
    <w:pPr>
      <w:framePr w:w="4320" w:h="2160" w:hRule="exact" w:hSpace="141" w:wrap="auto" w:hAnchor="page" w:xAlign="center" w:yAlign="bottom"/>
      <w:ind w:left="1"/>
    </w:pPr>
    <w:rPr>
      <w:rFonts w:ascii="Cambria" w:eastAsia="Malgun Gothic" w:hAnsi="Cambria"/>
    </w:rPr>
  </w:style>
  <w:style w:type="paragraph" w:styleId="Unterschrift">
    <w:name w:val="Signature"/>
    <w:basedOn w:val="Standard"/>
    <w:link w:val="UnterschriftZchn"/>
    <w:uiPriority w:val="99"/>
    <w:semiHidden/>
    <w:unhideWhenUsed/>
    <w:rsid w:val="004B1629"/>
    <w:pPr>
      <w:ind w:left="4252"/>
    </w:pPr>
  </w:style>
  <w:style w:type="character" w:customStyle="1" w:styleId="UnterschriftZchn">
    <w:name w:val="Unterschrift Zchn"/>
    <w:link w:val="Unterschrift"/>
    <w:uiPriority w:val="99"/>
    <w:semiHidden/>
    <w:rsid w:val="004B1629"/>
    <w:rPr>
      <w:rFonts w:ascii="Times New Roman" w:eastAsia="Times New Roman" w:hAnsi="Times New Roman"/>
      <w:sz w:val="24"/>
      <w:szCs w:val="24"/>
      <w:lang w:val="lt-LT" w:eastAsia="en-US"/>
    </w:rPr>
  </w:style>
  <w:style w:type="paragraph" w:styleId="Untertitel">
    <w:name w:val="Subtitle"/>
    <w:basedOn w:val="Standard"/>
    <w:next w:val="Standard"/>
    <w:link w:val="UntertitelZchn"/>
    <w:uiPriority w:val="11"/>
    <w:qFormat/>
    <w:rsid w:val="004B1629"/>
    <w:pPr>
      <w:spacing w:after="60"/>
      <w:jc w:val="center"/>
      <w:outlineLvl w:val="1"/>
    </w:pPr>
    <w:rPr>
      <w:rFonts w:ascii="Cambria" w:eastAsia="Malgun Gothic" w:hAnsi="Cambria"/>
    </w:rPr>
  </w:style>
  <w:style w:type="character" w:customStyle="1" w:styleId="UntertitelZchn">
    <w:name w:val="Untertitel Zchn"/>
    <w:link w:val="Untertitel"/>
    <w:uiPriority w:val="11"/>
    <w:rsid w:val="004B1629"/>
    <w:rPr>
      <w:rFonts w:ascii="Cambria" w:eastAsia="Malgun Gothic" w:hAnsi="Cambria" w:cs="Times New Roman"/>
      <w:sz w:val="24"/>
      <w:szCs w:val="24"/>
      <w:lang w:val="lt-LT" w:eastAsia="en-US"/>
    </w:rPr>
  </w:style>
  <w:style w:type="paragraph" w:styleId="Verzeichnis1">
    <w:name w:val="toc 1"/>
    <w:basedOn w:val="Standard"/>
    <w:next w:val="Standard"/>
    <w:autoRedefine/>
    <w:uiPriority w:val="39"/>
    <w:semiHidden/>
    <w:unhideWhenUsed/>
    <w:rsid w:val="004B1629"/>
  </w:style>
  <w:style w:type="paragraph" w:styleId="Verzeichnis2">
    <w:name w:val="toc 2"/>
    <w:basedOn w:val="Standard"/>
    <w:next w:val="Standard"/>
    <w:autoRedefine/>
    <w:uiPriority w:val="39"/>
    <w:semiHidden/>
    <w:unhideWhenUsed/>
    <w:rsid w:val="004B1629"/>
    <w:pPr>
      <w:ind w:left="240"/>
    </w:pPr>
  </w:style>
  <w:style w:type="paragraph" w:styleId="Verzeichnis3">
    <w:name w:val="toc 3"/>
    <w:basedOn w:val="Standard"/>
    <w:next w:val="Standard"/>
    <w:autoRedefine/>
    <w:uiPriority w:val="39"/>
    <w:semiHidden/>
    <w:unhideWhenUsed/>
    <w:rsid w:val="004B1629"/>
    <w:pPr>
      <w:ind w:left="480"/>
    </w:pPr>
  </w:style>
  <w:style w:type="paragraph" w:styleId="Verzeichnis4">
    <w:name w:val="toc 4"/>
    <w:basedOn w:val="Standard"/>
    <w:next w:val="Standard"/>
    <w:autoRedefine/>
    <w:uiPriority w:val="39"/>
    <w:semiHidden/>
    <w:unhideWhenUsed/>
    <w:rsid w:val="004B1629"/>
    <w:pPr>
      <w:ind w:left="720"/>
    </w:pPr>
  </w:style>
  <w:style w:type="paragraph" w:styleId="Verzeichnis5">
    <w:name w:val="toc 5"/>
    <w:basedOn w:val="Standard"/>
    <w:next w:val="Standard"/>
    <w:autoRedefine/>
    <w:uiPriority w:val="39"/>
    <w:semiHidden/>
    <w:unhideWhenUsed/>
    <w:rsid w:val="004B1629"/>
    <w:pPr>
      <w:ind w:left="960"/>
    </w:pPr>
  </w:style>
  <w:style w:type="paragraph" w:styleId="Verzeichnis6">
    <w:name w:val="toc 6"/>
    <w:basedOn w:val="Standard"/>
    <w:next w:val="Standard"/>
    <w:autoRedefine/>
    <w:uiPriority w:val="39"/>
    <w:semiHidden/>
    <w:unhideWhenUsed/>
    <w:rsid w:val="004B1629"/>
    <w:pPr>
      <w:ind w:left="1200"/>
    </w:pPr>
  </w:style>
  <w:style w:type="paragraph" w:styleId="Verzeichnis7">
    <w:name w:val="toc 7"/>
    <w:basedOn w:val="Standard"/>
    <w:next w:val="Standard"/>
    <w:autoRedefine/>
    <w:uiPriority w:val="39"/>
    <w:semiHidden/>
    <w:unhideWhenUsed/>
    <w:rsid w:val="004B1629"/>
    <w:pPr>
      <w:ind w:left="1440"/>
    </w:pPr>
  </w:style>
  <w:style w:type="paragraph" w:styleId="Verzeichnis8">
    <w:name w:val="toc 8"/>
    <w:basedOn w:val="Standard"/>
    <w:next w:val="Standard"/>
    <w:autoRedefine/>
    <w:uiPriority w:val="39"/>
    <w:semiHidden/>
    <w:unhideWhenUsed/>
    <w:rsid w:val="004B1629"/>
    <w:pPr>
      <w:ind w:left="1680"/>
    </w:pPr>
  </w:style>
  <w:style w:type="paragraph" w:styleId="Verzeichnis9">
    <w:name w:val="toc 9"/>
    <w:basedOn w:val="Standard"/>
    <w:next w:val="Standard"/>
    <w:autoRedefine/>
    <w:uiPriority w:val="39"/>
    <w:semiHidden/>
    <w:unhideWhenUsed/>
    <w:rsid w:val="004B1629"/>
    <w:pPr>
      <w:ind w:left="1920"/>
    </w:pPr>
  </w:style>
  <w:style w:type="paragraph" w:styleId="Zitat">
    <w:name w:val="Quote"/>
    <w:basedOn w:val="Standard"/>
    <w:next w:val="Standard"/>
    <w:link w:val="ZitatZchn"/>
    <w:uiPriority w:val="29"/>
    <w:qFormat/>
    <w:rsid w:val="004B1629"/>
    <w:rPr>
      <w:i/>
      <w:iCs/>
      <w:color w:val="000000"/>
    </w:rPr>
  </w:style>
  <w:style w:type="character" w:customStyle="1" w:styleId="ZitatZchn">
    <w:name w:val="Zitat Zchn"/>
    <w:link w:val="Zitat"/>
    <w:uiPriority w:val="29"/>
    <w:rsid w:val="004B1629"/>
    <w:rPr>
      <w:rFonts w:ascii="Times New Roman" w:eastAsia="Times New Roman" w:hAnsi="Times New Roman"/>
      <w:i/>
      <w:iCs/>
      <w:color w:val="000000"/>
      <w:sz w:val="24"/>
      <w:szCs w:val="24"/>
      <w:lang w:val="lt-LT" w:eastAsia="en-US"/>
    </w:rPr>
  </w:style>
  <w:style w:type="paragraph" w:customStyle="1" w:styleId="Listlevel1">
    <w:name w:val="List level 1"/>
    <w:basedOn w:val="Standard"/>
    <w:rsid w:val="00BD21E4"/>
    <w:pPr>
      <w:spacing w:before="40" w:after="20"/>
      <w:ind w:left="425" w:hanging="425"/>
    </w:pPr>
    <w:rPr>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547278">
      <w:bodyDiv w:val="1"/>
      <w:marLeft w:val="0"/>
      <w:marRight w:val="0"/>
      <w:marTop w:val="0"/>
      <w:marBottom w:val="0"/>
      <w:divBdr>
        <w:top w:val="none" w:sz="0" w:space="0" w:color="auto"/>
        <w:left w:val="none" w:sz="0" w:space="0" w:color="auto"/>
        <w:bottom w:val="none" w:sz="0" w:space="0" w:color="auto"/>
        <w:right w:val="none" w:sz="0" w:space="0" w:color="auto"/>
      </w:divBdr>
    </w:div>
    <w:div w:id="800804377">
      <w:bodyDiv w:val="1"/>
      <w:marLeft w:val="0"/>
      <w:marRight w:val="0"/>
      <w:marTop w:val="0"/>
      <w:marBottom w:val="0"/>
      <w:divBdr>
        <w:top w:val="none" w:sz="0" w:space="0" w:color="auto"/>
        <w:left w:val="none" w:sz="0" w:space="0" w:color="auto"/>
        <w:bottom w:val="none" w:sz="0" w:space="0" w:color="auto"/>
        <w:right w:val="none" w:sz="0" w:space="0" w:color="auto"/>
      </w:divBdr>
    </w:div>
    <w:div w:id="933710868">
      <w:bodyDiv w:val="1"/>
      <w:marLeft w:val="0"/>
      <w:marRight w:val="0"/>
      <w:marTop w:val="0"/>
      <w:marBottom w:val="0"/>
      <w:divBdr>
        <w:top w:val="none" w:sz="0" w:space="0" w:color="auto"/>
        <w:left w:val="none" w:sz="0" w:space="0" w:color="auto"/>
        <w:bottom w:val="none" w:sz="0" w:space="0" w:color="auto"/>
        <w:right w:val="none" w:sz="0" w:space="0" w:color="auto"/>
      </w:divBdr>
    </w:div>
    <w:div w:id="1073086467">
      <w:bodyDiv w:val="1"/>
      <w:marLeft w:val="0"/>
      <w:marRight w:val="0"/>
      <w:marTop w:val="0"/>
      <w:marBottom w:val="0"/>
      <w:divBdr>
        <w:top w:val="none" w:sz="0" w:space="0" w:color="auto"/>
        <w:left w:val="none" w:sz="0" w:space="0" w:color="auto"/>
        <w:bottom w:val="none" w:sz="0" w:space="0" w:color="auto"/>
        <w:right w:val="none" w:sz="0" w:space="0" w:color="auto"/>
      </w:divBdr>
    </w:div>
    <w:div w:id="1247494432">
      <w:bodyDiv w:val="1"/>
      <w:marLeft w:val="0"/>
      <w:marRight w:val="0"/>
      <w:marTop w:val="0"/>
      <w:marBottom w:val="0"/>
      <w:divBdr>
        <w:top w:val="none" w:sz="0" w:space="0" w:color="auto"/>
        <w:left w:val="none" w:sz="0" w:space="0" w:color="auto"/>
        <w:bottom w:val="none" w:sz="0" w:space="0" w:color="auto"/>
        <w:right w:val="none" w:sz="0" w:space="0" w:color="auto"/>
      </w:divBdr>
    </w:div>
    <w:div w:id="1286813602">
      <w:bodyDiv w:val="1"/>
      <w:marLeft w:val="0"/>
      <w:marRight w:val="0"/>
      <w:marTop w:val="0"/>
      <w:marBottom w:val="0"/>
      <w:divBdr>
        <w:top w:val="none" w:sz="0" w:space="0" w:color="auto"/>
        <w:left w:val="none" w:sz="0" w:space="0" w:color="auto"/>
        <w:bottom w:val="none" w:sz="0" w:space="0" w:color="auto"/>
        <w:right w:val="none" w:sz="0" w:space="0" w:color="auto"/>
      </w:divBdr>
    </w:div>
    <w:div w:id="1477837965">
      <w:bodyDiv w:val="1"/>
      <w:marLeft w:val="0"/>
      <w:marRight w:val="0"/>
      <w:marTop w:val="0"/>
      <w:marBottom w:val="0"/>
      <w:divBdr>
        <w:top w:val="none" w:sz="0" w:space="0" w:color="auto"/>
        <w:left w:val="none" w:sz="0" w:space="0" w:color="auto"/>
        <w:bottom w:val="none" w:sz="0" w:space="0" w:color="auto"/>
        <w:right w:val="none" w:sz="0" w:space="0" w:color="auto"/>
      </w:divBdr>
    </w:div>
    <w:div w:id="1817911157">
      <w:bodyDiv w:val="1"/>
      <w:marLeft w:val="0"/>
      <w:marRight w:val="0"/>
      <w:marTop w:val="0"/>
      <w:marBottom w:val="0"/>
      <w:divBdr>
        <w:top w:val="none" w:sz="0" w:space="0" w:color="auto"/>
        <w:left w:val="none" w:sz="0" w:space="0" w:color="auto"/>
        <w:bottom w:val="none" w:sz="0" w:space="0" w:color="auto"/>
        <w:right w:val="none" w:sz="0" w:space="0" w:color="auto"/>
      </w:divBdr>
    </w:div>
    <w:div w:id="1943104252">
      <w:bodyDiv w:val="1"/>
      <w:marLeft w:val="0"/>
      <w:marRight w:val="0"/>
      <w:marTop w:val="0"/>
      <w:marBottom w:val="0"/>
      <w:divBdr>
        <w:top w:val="none" w:sz="0" w:space="0" w:color="auto"/>
        <w:left w:val="none" w:sz="0" w:space="0" w:color="auto"/>
        <w:bottom w:val="none" w:sz="0" w:space="0" w:color="auto"/>
        <w:right w:val="none" w:sz="0" w:space="0" w:color="auto"/>
      </w:divBdr>
    </w:div>
    <w:div w:id="195424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microsoft.com/office/2007/relationships/stylesWithEffects" Target="stylesWithEffect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ema.europa.eu/docs/en_GB/document_library/Template_or_form/2013/03/WC500139752.doc"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ema.europa.eu" TargetMode="External"/><Relationship Id="rId31"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5646B-1B45-4B06-9578-8E5B87FA1FC4}"/>
</file>

<file path=customXml/itemProps2.xml><?xml version="1.0" encoding="utf-8"?>
<ds:datastoreItem xmlns:ds="http://schemas.openxmlformats.org/officeDocument/2006/customXml" ds:itemID="{8D369B88-F01D-4F84-B18C-9713F59B4174}">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 ds:uri="http://purl.org/dc/terms/"/>
  </ds:schemaRefs>
</ds:datastoreItem>
</file>

<file path=customXml/itemProps3.xml><?xml version="1.0" encoding="utf-8"?>
<ds:datastoreItem xmlns:ds="http://schemas.openxmlformats.org/officeDocument/2006/customXml" ds:itemID="{62BC0072-53FF-4399-B62E-D8348576BC4E}">
  <ds:schemaRefs>
    <ds:schemaRef ds:uri="http://schemas.microsoft.com/sharepoint/v3/contenttype/forms"/>
  </ds:schemaRefs>
</ds:datastoreItem>
</file>

<file path=customXml/itemProps4.xml><?xml version="1.0" encoding="utf-8"?>
<ds:datastoreItem xmlns:ds="http://schemas.openxmlformats.org/officeDocument/2006/customXml" ds:itemID="{0E4A8669-E399-4DA3-B60F-7E04E831B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44868</Words>
  <Characters>254404</Characters>
  <Application>Microsoft Office Word</Application>
  <DocSecurity>0</DocSecurity>
  <Lines>6523</Lines>
  <Paragraphs>3649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Imatinib Actavis, INN-imatinib</vt:lpstr>
      <vt:lpstr>Imatinib Actavis, INN-imatinib</vt:lpstr>
    </vt:vector>
  </TitlesOfParts>
  <Manager/>
  <Company>Teva Europe</Company>
  <LinksUpToDate>false</LinksUpToDate>
  <CharactersWithSpaces>295623</CharactersWithSpaces>
  <SharedDoc>false</SharedDoc>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dcterms:created xsi:type="dcterms:W3CDTF">2020-07-09T14:02:00Z</dcterms:created>
  <dcterms:modified xsi:type="dcterms:W3CDTF">2020-07-09T14:02:00Z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IconOverlay">
    <vt:lpwstr/>
  </property>
  <property fmtid="{D5CDD505-2E9C-101B-9397-08002B2CF9AE}" pid="4" name="Reviewer">
    <vt:lpwstr/>
  </property>
</Properties>
</file>