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217" w:rsidRPr="008D2CB3" w:rsidRDefault="00122217" w:rsidP="001E7729">
      <w:pPr>
        <w:spacing w:line="260" w:lineRule="atLeast"/>
        <w:jc w:val="center"/>
        <w:rPr>
          <w:b/>
          <w:szCs w:val="22"/>
        </w:rPr>
      </w:pPr>
      <w:bookmarkStart w:id="0" w:name="_GoBack"/>
      <w:bookmarkEnd w:id="0"/>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r w:rsidRPr="008D2CB3">
        <w:rPr>
          <w:b/>
          <w:szCs w:val="22"/>
        </w:rPr>
        <w:t>I. MELLÉKLET</w:t>
      </w:r>
    </w:p>
    <w:p w:rsidR="00122217" w:rsidRPr="008D2CB3" w:rsidRDefault="00122217" w:rsidP="001E7729">
      <w:pPr>
        <w:spacing w:line="260" w:lineRule="atLeast"/>
        <w:jc w:val="center"/>
        <w:rPr>
          <w:b/>
          <w:szCs w:val="22"/>
        </w:rPr>
      </w:pPr>
    </w:p>
    <w:p w:rsidR="00122217" w:rsidRPr="008D2CB3" w:rsidRDefault="00122217" w:rsidP="001E7729">
      <w:pPr>
        <w:pStyle w:val="BookmarkA"/>
      </w:pPr>
      <w:r w:rsidRPr="008D2CB3">
        <w:t>ALKALMAZÁSI ELŐÍRÁS</w:t>
      </w:r>
    </w:p>
    <w:p w:rsidR="00C3531C" w:rsidRPr="008D2CB3" w:rsidRDefault="00C3531C" w:rsidP="001E7729">
      <w:r w:rsidRPr="008D2CB3">
        <w:br w:type="page"/>
      </w:r>
      <w:r w:rsidR="00122217" w:rsidRPr="008D2CB3">
        <w:rPr>
          <w:b/>
          <w:szCs w:val="22"/>
        </w:rPr>
        <w:lastRenderedPageBreak/>
        <w:t>1.</w:t>
      </w:r>
      <w:r w:rsidR="00122217" w:rsidRPr="008D2CB3">
        <w:rPr>
          <w:b/>
          <w:szCs w:val="22"/>
        </w:rPr>
        <w:tab/>
        <w:t>A GYÓGYSZER NEVE</w:t>
      </w:r>
    </w:p>
    <w:p w:rsidR="00122217" w:rsidRPr="008D2CB3" w:rsidRDefault="00122217" w:rsidP="001E7729">
      <w:pPr>
        <w:rPr>
          <w:szCs w:val="22"/>
        </w:rPr>
      </w:pPr>
    </w:p>
    <w:p w:rsidR="00122217" w:rsidRDefault="009B10E4" w:rsidP="001E7729">
      <w:pPr>
        <w:rPr>
          <w:szCs w:val="22"/>
        </w:rPr>
      </w:pPr>
      <w:r w:rsidRPr="008D2CB3">
        <w:rPr>
          <w:szCs w:val="22"/>
        </w:rPr>
        <w:t>Iscover</w:t>
      </w:r>
      <w:r w:rsidR="00122217" w:rsidRPr="008D2CB3">
        <w:rPr>
          <w:szCs w:val="22"/>
        </w:rPr>
        <w:t xml:space="preserve"> 75 mg filmtabletta</w:t>
      </w:r>
    </w:p>
    <w:p w:rsidR="003C4DA0" w:rsidRPr="008D2CB3" w:rsidRDefault="003C4DA0" w:rsidP="001E7729">
      <w:pPr>
        <w:rPr>
          <w:szCs w:val="22"/>
        </w:rPr>
      </w:pPr>
      <w:r w:rsidRPr="008D2CB3">
        <w:rPr>
          <w:szCs w:val="22"/>
        </w:rPr>
        <w:t>Iscover 300 mg filmtabletta</w:t>
      </w:r>
    </w:p>
    <w:p w:rsidR="00122217" w:rsidRPr="008D2CB3" w:rsidRDefault="00122217" w:rsidP="001E7729">
      <w:pPr>
        <w:rPr>
          <w:szCs w:val="22"/>
        </w:rPr>
      </w:pPr>
    </w:p>
    <w:p w:rsidR="00122217" w:rsidRPr="008D2CB3" w:rsidRDefault="00122217" w:rsidP="001E7729">
      <w:pPr>
        <w:rPr>
          <w:szCs w:val="22"/>
        </w:rPr>
      </w:pPr>
    </w:p>
    <w:p w:rsidR="00122217" w:rsidRPr="008D2CB3" w:rsidRDefault="00122217" w:rsidP="001E7729">
      <w:pPr>
        <w:numPr>
          <w:ilvl w:val="0"/>
          <w:numId w:val="10"/>
        </w:numPr>
        <w:tabs>
          <w:tab w:val="clear" w:pos="1065"/>
        </w:tabs>
        <w:ind w:left="567" w:hanging="567"/>
        <w:rPr>
          <w:b/>
          <w:caps/>
          <w:szCs w:val="22"/>
        </w:rPr>
      </w:pPr>
      <w:r w:rsidRPr="008D2CB3">
        <w:rPr>
          <w:b/>
          <w:szCs w:val="22"/>
        </w:rPr>
        <w:t xml:space="preserve">MINŐSÉGI ÉS MENNYISÉGI </w:t>
      </w:r>
      <w:r w:rsidRPr="008D2CB3">
        <w:rPr>
          <w:b/>
          <w:caps/>
          <w:szCs w:val="22"/>
        </w:rPr>
        <w:t>összetétel</w:t>
      </w:r>
    </w:p>
    <w:p w:rsidR="00122217" w:rsidRPr="008D2CB3" w:rsidRDefault="00122217" w:rsidP="001E7729">
      <w:pPr>
        <w:rPr>
          <w:b/>
          <w:caps/>
          <w:szCs w:val="22"/>
        </w:rPr>
      </w:pPr>
    </w:p>
    <w:p w:rsidR="00746E87" w:rsidRPr="0095451F" w:rsidRDefault="00746E87" w:rsidP="001E7729">
      <w:pPr>
        <w:rPr>
          <w:szCs w:val="22"/>
          <w:u w:val="single"/>
        </w:rPr>
      </w:pPr>
      <w:r w:rsidRPr="0095451F">
        <w:rPr>
          <w:szCs w:val="22"/>
          <w:u w:val="single"/>
        </w:rPr>
        <w:t>Iscover 75 mg filmtabletta</w:t>
      </w:r>
    </w:p>
    <w:p w:rsidR="00A76CB9" w:rsidRPr="008D2CB3" w:rsidRDefault="00A76CB9" w:rsidP="001E7729">
      <w:r w:rsidRPr="008D2CB3">
        <w:t>75</w:t>
      </w:r>
      <w:r w:rsidR="002C63A9" w:rsidRPr="008D2CB3">
        <w:t xml:space="preserve"> </w:t>
      </w:r>
      <w:r w:rsidRPr="008D2CB3">
        <w:t>mg klopidogrél</w:t>
      </w:r>
      <w:r w:rsidR="00A27C7B">
        <w:t>t tartalmaz</w:t>
      </w:r>
      <w:r w:rsidRPr="008D2CB3">
        <w:t xml:space="preserve"> filmtablettánként (hidrogén-szulfát formájában).</w:t>
      </w:r>
    </w:p>
    <w:p w:rsidR="00812369" w:rsidRDefault="00812369" w:rsidP="001E7729">
      <w:pPr>
        <w:tabs>
          <w:tab w:val="left" w:pos="4962"/>
          <w:tab w:val="right" w:pos="7088"/>
        </w:tabs>
        <w:ind w:right="-29"/>
        <w:rPr>
          <w:noProof/>
          <w:szCs w:val="24"/>
          <w:u w:val="single"/>
        </w:rPr>
      </w:pPr>
    </w:p>
    <w:p w:rsidR="00D35361" w:rsidRPr="0095451F" w:rsidRDefault="00D35361" w:rsidP="001E7729">
      <w:pPr>
        <w:tabs>
          <w:tab w:val="left" w:pos="4962"/>
          <w:tab w:val="right" w:pos="7088"/>
        </w:tabs>
        <w:ind w:right="-29"/>
        <w:rPr>
          <w:i/>
          <w:szCs w:val="22"/>
        </w:rPr>
      </w:pPr>
      <w:r w:rsidRPr="0095451F">
        <w:rPr>
          <w:i/>
          <w:noProof/>
          <w:szCs w:val="24"/>
          <w:u w:val="single"/>
        </w:rPr>
        <w:t>Ismert hatású segédanyag</w:t>
      </w:r>
      <w:r w:rsidRPr="0095451F">
        <w:rPr>
          <w:i/>
          <w:szCs w:val="24"/>
          <w:u w:val="single"/>
        </w:rPr>
        <w:t>ok</w:t>
      </w:r>
      <w:r w:rsidR="00A76CB9" w:rsidRPr="0095451F">
        <w:rPr>
          <w:i/>
          <w:szCs w:val="22"/>
        </w:rPr>
        <w:t>:</w:t>
      </w:r>
    </w:p>
    <w:p w:rsidR="00A76CB9" w:rsidRPr="008D2CB3" w:rsidRDefault="00A76CB9" w:rsidP="001E7729">
      <w:pPr>
        <w:tabs>
          <w:tab w:val="left" w:pos="4962"/>
          <w:tab w:val="right" w:pos="7088"/>
        </w:tabs>
        <w:ind w:right="-29"/>
      </w:pPr>
      <w:r w:rsidRPr="008D2CB3">
        <w:rPr>
          <w:szCs w:val="22"/>
        </w:rPr>
        <w:t>3</w:t>
      </w:r>
      <w:r w:rsidRPr="008D2CB3">
        <w:t> mg laktóz</w:t>
      </w:r>
      <w:r w:rsidR="00A27C7B">
        <w:t>t</w:t>
      </w:r>
      <w:r w:rsidRPr="008D2CB3">
        <w:t xml:space="preserve"> és 3,3 mg hidrogénezett ricinusolaj</w:t>
      </w:r>
      <w:r w:rsidR="00A27C7B">
        <w:t>at tartalmaz</w:t>
      </w:r>
      <w:r w:rsidRPr="008D2CB3">
        <w:t xml:space="preserve"> </w:t>
      </w:r>
      <w:r w:rsidR="008B33F6" w:rsidRPr="008D2CB3">
        <w:t>film</w:t>
      </w:r>
      <w:r w:rsidRPr="008D2CB3">
        <w:t>tablettánként.</w:t>
      </w:r>
    </w:p>
    <w:p w:rsidR="0033523C" w:rsidRDefault="0033523C" w:rsidP="001E7729"/>
    <w:p w:rsidR="00746E87" w:rsidRDefault="00746E87" w:rsidP="001E7729">
      <w:pPr>
        <w:rPr>
          <w:szCs w:val="22"/>
          <w:u w:val="single"/>
        </w:rPr>
      </w:pPr>
      <w:r w:rsidRPr="0095451F">
        <w:rPr>
          <w:szCs w:val="22"/>
          <w:u w:val="single"/>
        </w:rPr>
        <w:t>Iscover 300 mg filmtabletta</w:t>
      </w:r>
    </w:p>
    <w:p w:rsidR="00746E87" w:rsidRPr="008D2CB3" w:rsidRDefault="00746E87" w:rsidP="001E7729">
      <w:r w:rsidRPr="008D2CB3">
        <w:t>300 mg klopidogrél</w:t>
      </w:r>
      <w:r w:rsidR="00A27C7B">
        <w:t>t tartalmaz</w:t>
      </w:r>
      <w:r w:rsidRPr="008D2CB3">
        <w:t xml:space="preserve"> filmtablettánként (hidrogén-szulfát formájában).</w:t>
      </w:r>
    </w:p>
    <w:p w:rsidR="00746E87" w:rsidRDefault="00746E87" w:rsidP="001E7729">
      <w:pPr>
        <w:rPr>
          <w:szCs w:val="22"/>
          <w:u w:val="single"/>
        </w:rPr>
      </w:pPr>
    </w:p>
    <w:p w:rsidR="00746E87" w:rsidRPr="0095451F" w:rsidRDefault="00746E87" w:rsidP="001E7729">
      <w:pPr>
        <w:tabs>
          <w:tab w:val="left" w:pos="4962"/>
          <w:tab w:val="right" w:pos="7088"/>
        </w:tabs>
        <w:ind w:right="-29"/>
        <w:rPr>
          <w:i/>
          <w:szCs w:val="22"/>
        </w:rPr>
      </w:pPr>
      <w:r w:rsidRPr="0095451F">
        <w:rPr>
          <w:i/>
          <w:szCs w:val="22"/>
          <w:u w:val="single"/>
        </w:rPr>
        <w:t>Ismert hatású segédanyagok</w:t>
      </w:r>
      <w:r w:rsidRPr="0095451F">
        <w:rPr>
          <w:i/>
          <w:szCs w:val="22"/>
        </w:rPr>
        <w:t>:</w:t>
      </w:r>
    </w:p>
    <w:p w:rsidR="00746E87" w:rsidRPr="0095451F" w:rsidRDefault="00746E87" w:rsidP="001E7729">
      <w:pPr>
        <w:tabs>
          <w:tab w:val="left" w:pos="4962"/>
          <w:tab w:val="right" w:pos="7088"/>
        </w:tabs>
        <w:ind w:right="-29"/>
        <w:rPr>
          <w:szCs w:val="22"/>
          <w:u w:val="single"/>
        </w:rPr>
      </w:pPr>
      <w:r w:rsidRPr="008D2CB3">
        <w:rPr>
          <w:szCs w:val="22"/>
        </w:rPr>
        <w:t>12</w:t>
      </w:r>
      <w:r w:rsidRPr="008D2CB3">
        <w:t> mg laktóz</w:t>
      </w:r>
      <w:r w:rsidR="00A27C7B">
        <w:t>t</w:t>
      </w:r>
      <w:r w:rsidRPr="008D2CB3">
        <w:t xml:space="preserve"> és 13,2 mg hidrogénezett ricinusolaj</w:t>
      </w:r>
      <w:r w:rsidR="00A27C7B">
        <w:t>at tartalmaz</w:t>
      </w:r>
      <w:r w:rsidRPr="008D2CB3">
        <w:t xml:space="preserve"> filmtablettánként.</w:t>
      </w:r>
    </w:p>
    <w:p w:rsidR="00746E87" w:rsidRPr="008D2CB3" w:rsidRDefault="00746E87" w:rsidP="001E7729"/>
    <w:p w:rsidR="00122217" w:rsidRPr="008D2CB3" w:rsidRDefault="00122217" w:rsidP="001E7729">
      <w:pPr>
        <w:rPr>
          <w:b/>
          <w:caps/>
          <w:szCs w:val="22"/>
        </w:rPr>
      </w:pPr>
      <w:r w:rsidRPr="008D2CB3">
        <w:t>A segédanyagok teljes listáját lásd a 6.1 pontban.</w:t>
      </w:r>
    </w:p>
    <w:p w:rsidR="00122217" w:rsidRPr="008D2CB3" w:rsidRDefault="00122217" w:rsidP="001E7729">
      <w:pPr>
        <w:rPr>
          <w:b/>
          <w:caps/>
          <w:szCs w:val="22"/>
        </w:rPr>
      </w:pPr>
    </w:p>
    <w:p w:rsidR="00122217" w:rsidRPr="008D2CB3" w:rsidRDefault="00122217" w:rsidP="001E7729">
      <w:pPr>
        <w:ind w:left="567" w:hanging="567"/>
        <w:rPr>
          <w:b/>
          <w:caps/>
          <w:szCs w:val="22"/>
        </w:rPr>
      </w:pPr>
    </w:p>
    <w:p w:rsidR="00122217" w:rsidRPr="008D2CB3" w:rsidRDefault="00122217" w:rsidP="001E7729">
      <w:pPr>
        <w:numPr>
          <w:ilvl w:val="0"/>
          <w:numId w:val="10"/>
        </w:numPr>
        <w:tabs>
          <w:tab w:val="clear" w:pos="1065"/>
        </w:tabs>
        <w:ind w:left="567" w:hanging="567"/>
        <w:rPr>
          <w:b/>
          <w:caps/>
          <w:szCs w:val="22"/>
        </w:rPr>
      </w:pPr>
      <w:r w:rsidRPr="008D2CB3">
        <w:rPr>
          <w:b/>
          <w:caps/>
          <w:szCs w:val="22"/>
        </w:rPr>
        <w:t xml:space="preserve">Gyógyszerforma </w:t>
      </w:r>
    </w:p>
    <w:p w:rsidR="00122217" w:rsidRPr="008D2CB3" w:rsidRDefault="00122217" w:rsidP="001E7729"/>
    <w:p w:rsidR="00122217" w:rsidRPr="008D2CB3" w:rsidRDefault="00122217" w:rsidP="001E7729">
      <w:pPr>
        <w:rPr>
          <w:szCs w:val="22"/>
        </w:rPr>
      </w:pPr>
      <w:r w:rsidRPr="008D2CB3">
        <w:rPr>
          <w:szCs w:val="22"/>
        </w:rPr>
        <w:t>Filmtabletta.</w:t>
      </w:r>
    </w:p>
    <w:p w:rsidR="00122217" w:rsidRPr="008D2CB3" w:rsidRDefault="00122217" w:rsidP="001E7729">
      <w:pPr>
        <w:rPr>
          <w:szCs w:val="22"/>
        </w:rPr>
      </w:pPr>
    </w:p>
    <w:p w:rsidR="00746E87" w:rsidRPr="00DD7520" w:rsidRDefault="00746E87" w:rsidP="001E7729">
      <w:pPr>
        <w:rPr>
          <w:szCs w:val="22"/>
          <w:u w:val="single"/>
        </w:rPr>
      </w:pPr>
      <w:r w:rsidRPr="00DD7520">
        <w:rPr>
          <w:szCs w:val="22"/>
          <w:u w:val="single"/>
        </w:rPr>
        <w:t>Iscover 75 mg filmtabletta</w:t>
      </w:r>
    </w:p>
    <w:p w:rsidR="00A76CB9" w:rsidRPr="008D2CB3" w:rsidRDefault="00A76CB9" w:rsidP="001E7729">
      <w:pPr>
        <w:rPr>
          <w:szCs w:val="22"/>
        </w:rPr>
      </w:pPr>
      <w:r w:rsidRPr="008D2CB3">
        <w:rPr>
          <w:szCs w:val="22"/>
        </w:rPr>
        <w:t xml:space="preserve">Rózsaszín, </w:t>
      </w:r>
      <w:r w:rsidR="00CC5884" w:rsidRPr="008D2CB3">
        <w:rPr>
          <w:szCs w:val="22"/>
        </w:rPr>
        <w:t>kerek</w:t>
      </w:r>
      <w:r w:rsidRPr="008D2CB3">
        <w:rPr>
          <w:szCs w:val="22"/>
        </w:rPr>
        <w:t xml:space="preserve">, </w:t>
      </w:r>
      <w:r w:rsidR="00984764" w:rsidRPr="008D2CB3">
        <w:rPr>
          <w:szCs w:val="22"/>
        </w:rPr>
        <w:t xml:space="preserve">mindkét oldalán domború, </w:t>
      </w:r>
      <w:r w:rsidRPr="008D2CB3">
        <w:rPr>
          <w:szCs w:val="22"/>
        </w:rPr>
        <w:t>egyik oldalán „75”, másik oldalán „1171” mélynyomású jelzéssel.</w:t>
      </w:r>
    </w:p>
    <w:p w:rsidR="00122217" w:rsidRDefault="00122217" w:rsidP="001E7729">
      <w:pPr>
        <w:rPr>
          <w:szCs w:val="22"/>
        </w:rPr>
      </w:pPr>
    </w:p>
    <w:p w:rsidR="00746E87" w:rsidRDefault="00746E87" w:rsidP="001E7729">
      <w:pPr>
        <w:rPr>
          <w:szCs w:val="22"/>
          <w:u w:val="single"/>
        </w:rPr>
      </w:pPr>
      <w:r w:rsidRPr="00DD7520">
        <w:rPr>
          <w:szCs w:val="22"/>
          <w:u w:val="single"/>
        </w:rPr>
        <w:t>Iscover 300 mg filmtabletta</w:t>
      </w:r>
    </w:p>
    <w:p w:rsidR="00746E87" w:rsidRDefault="00746E87" w:rsidP="001E7729">
      <w:pPr>
        <w:rPr>
          <w:szCs w:val="22"/>
          <w:u w:val="single"/>
        </w:rPr>
      </w:pPr>
      <w:r w:rsidRPr="008D2CB3">
        <w:rPr>
          <w:szCs w:val="22"/>
        </w:rPr>
        <w:t>Rózsaszín, ovális, mindkét oldalán domború, egyik oldalán „300”, másik oldalán „1332” mélynyomású jelzéssel.</w:t>
      </w:r>
    </w:p>
    <w:p w:rsidR="00746E87" w:rsidRPr="008D2CB3" w:rsidRDefault="00746E87" w:rsidP="001E7729">
      <w:pPr>
        <w:rPr>
          <w:szCs w:val="22"/>
        </w:rPr>
      </w:pPr>
    </w:p>
    <w:p w:rsidR="00122217" w:rsidRPr="008D2CB3" w:rsidRDefault="00122217" w:rsidP="001E7729"/>
    <w:p w:rsidR="00122217" w:rsidRPr="008D2CB3" w:rsidRDefault="00122217" w:rsidP="001E7729">
      <w:pPr>
        <w:ind w:left="567" w:hanging="567"/>
        <w:rPr>
          <w:b/>
          <w:caps/>
          <w:szCs w:val="22"/>
        </w:rPr>
      </w:pPr>
      <w:r w:rsidRPr="008D2CB3">
        <w:rPr>
          <w:b/>
          <w:caps/>
          <w:szCs w:val="22"/>
        </w:rPr>
        <w:t>4.</w:t>
      </w:r>
      <w:r w:rsidRPr="008D2CB3">
        <w:rPr>
          <w:caps/>
          <w:szCs w:val="22"/>
        </w:rPr>
        <w:tab/>
      </w:r>
      <w:r w:rsidRPr="008D2CB3">
        <w:rPr>
          <w:b/>
          <w:caps/>
          <w:szCs w:val="22"/>
        </w:rPr>
        <w:t>Klinikai JELLEMZŐK</w:t>
      </w:r>
    </w:p>
    <w:p w:rsidR="00122217" w:rsidRPr="008D2CB3" w:rsidRDefault="00122217" w:rsidP="001E7729">
      <w:pPr>
        <w:jc w:val="both"/>
        <w:rPr>
          <w:szCs w:val="22"/>
        </w:rPr>
      </w:pPr>
    </w:p>
    <w:p w:rsidR="00122217" w:rsidRPr="008D2CB3" w:rsidRDefault="00122217" w:rsidP="001E7729">
      <w:pPr>
        <w:numPr>
          <w:ilvl w:val="1"/>
          <w:numId w:val="4"/>
        </w:numPr>
        <w:tabs>
          <w:tab w:val="num" w:pos="567"/>
        </w:tabs>
        <w:ind w:left="567" w:hanging="567"/>
        <w:rPr>
          <w:b/>
          <w:szCs w:val="22"/>
        </w:rPr>
      </w:pPr>
      <w:r w:rsidRPr="008D2CB3">
        <w:rPr>
          <w:b/>
          <w:szCs w:val="22"/>
        </w:rPr>
        <w:t>Terápiás javallatok</w:t>
      </w:r>
    </w:p>
    <w:p w:rsidR="00122217" w:rsidRPr="008D2CB3" w:rsidRDefault="00122217" w:rsidP="001E7729">
      <w:pPr>
        <w:rPr>
          <w:szCs w:val="22"/>
        </w:rPr>
      </w:pPr>
    </w:p>
    <w:p w:rsidR="008B33F6" w:rsidRPr="008D2CB3" w:rsidRDefault="008B33F6" w:rsidP="001E7729">
      <w:pPr>
        <w:tabs>
          <w:tab w:val="left" w:pos="2400"/>
          <w:tab w:val="left" w:pos="7280"/>
        </w:tabs>
        <w:ind w:right="-29"/>
        <w:rPr>
          <w:i/>
        </w:rPr>
      </w:pPr>
      <w:bookmarkStart w:id="1" w:name="OLE_LINK32"/>
      <w:r w:rsidRPr="008D2CB3">
        <w:rPr>
          <w:i/>
        </w:rPr>
        <w:t>Atherothrombo</w:t>
      </w:r>
      <w:r w:rsidR="00DD2FCB" w:rsidRPr="008D2CB3">
        <w:rPr>
          <w:i/>
        </w:rPr>
        <w:t>t</w:t>
      </w:r>
      <w:r w:rsidRPr="008D2CB3">
        <w:rPr>
          <w:i/>
        </w:rPr>
        <w:t>i</w:t>
      </w:r>
      <w:r w:rsidR="00DD2FCB" w:rsidRPr="008D2CB3">
        <w:rPr>
          <w:i/>
        </w:rPr>
        <w:t>c</w:t>
      </w:r>
      <w:r w:rsidRPr="008D2CB3">
        <w:rPr>
          <w:i/>
        </w:rPr>
        <w:t xml:space="preserve">us események </w:t>
      </w:r>
      <w:r w:rsidR="00076908">
        <w:rPr>
          <w:i/>
        </w:rPr>
        <w:t xml:space="preserve">másodlagos </w:t>
      </w:r>
      <w:r w:rsidRPr="008D2CB3">
        <w:rPr>
          <w:i/>
        </w:rPr>
        <w:t>prevenciója</w:t>
      </w:r>
    </w:p>
    <w:bookmarkEnd w:id="1"/>
    <w:p w:rsidR="00122217" w:rsidRPr="008D2CB3" w:rsidRDefault="00122217" w:rsidP="001E7729">
      <w:pPr>
        <w:rPr>
          <w:szCs w:val="22"/>
        </w:rPr>
      </w:pPr>
      <w:r w:rsidRPr="008D2CB3">
        <w:rPr>
          <w:szCs w:val="22"/>
        </w:rPr>
        <w:t xml:space="preserve">A klopidogrél </w:t>
      </w:r>
      <w:r w:rsidR="008B33F6" w:rsidRPr="008D2CB3">
        <w:rPr>
          <w:szCs w:val="22"/>
        </w:rPr>
        <w:t>javallata</w:t>
      </w:r>
      <w:r w:rsidRPr="008D2CB3">
        <w:rPr>
          <w:szCs w:val="22"/>
        </w:rPr>
        <w:t xml:space="preserve">: </w:t>
      </w:r>
    </w:p>
    <w:p w:rsidR="00122217" w:rsidRPr="008D2CB3" w:rsidRDefault="00122217" w:rsidP="001E7729">
      <w:pPr>
        <w:rPr>
          <w:szCs w:val="22"/>
        </w:rPr>
      </w:pPr>
    </w:p>
    <w:p w:rsidR="00122217" w:rsidRPr="008D2CB3" w:rsidRDefault="00122217" w:rsidP="001E7729">
      <w:pPr>
        <w:numPr>
          <w:ilvl w:val="0"/>
          <w:numId w:val="5"/>
        </w:numPr>
        <w:tabs>
          <w:tab w:val="clear" w:pos="720"/>
          <w:tab w:val="num" w:pos="567"/>
        </w:tabs>
        <w:ind w:left="1134" w:hanging="1134"/>
        <w:rPr>
          <w:iCs/>
          <w:szCs w:val="22"/>
        </w:rPr>
      </w:pPr>
      <w:r w:rsidRPr="008D2CB3">
        <w:rPr>
          <w:iCs/>
          <w:szCs w:val="22"/>
        </w:rPr>
        <w:t>myocardialis infarctusban (az eseményt követő néhány nappal, de legfeljebb 35</w:t>
      </w:r>
      <w:r w:rsidR="00DC0A68">
        <w:rPr>
          <w:iCs/>
          <w:szCs w:val="22"/>
        </w:rPr>
        <w:t> </w:t>
      </w:r>
      <w:r w:rsidRPr="008D2CB3">
        <w:rPr>
          <w:iCs/>
          <w:szCs w:val="22"/>
        </w:rPr>
        <w:t>napon belül elkezdve a kezelést) ischaemiás stroke-ban (az eseményt követően 7</w:t>
      </w:r>
      <w:r w:rsidR="00DC0A68">
        <w:rPr>
          <w:iCs/>
          <w:szCs w:val="22"/>
        </w:rPr>
        <w:t> </w:t>
      </w:r>
      <w:r w:rsidRPr="008D2CB3">
        <w:rPr>
          <w:iCs/>
          <w:szCs w:val="22"/>
        </w:rPr>
        <w:t>nappal, de legfeljebb 6</w:t>
      </w:r>
      <w:r w:rsidR="00DC0A68">
        <w:rPr>
          <w:iCs/>
          <w:szCs w:val="22"/>
        </w:rPr>
        <w:t> </w:t>
      </w:r>
      <w:r w:rsidRPr="008D2CB3">
        <w:rPr>
          <w:iCs/>
          <w:szCs w:val="22"/>
        </w:rPr>
        <w:t xml:space="preserve">hónapon belül elkezdve a kezelést), vagy bizonyított perifériás artériás betegségben szenvedő </w:t>
      </w:r>
      <w:r w:rsidR="008B33F6" w:rsidRPr="008D2CB3">
        <w:rPr>
          <w:iCs/>
          <w:szCs w:val="22"/>
        </w:rPr>
        <w:t xml:space="preserve">felnőtt </w:t>
      </w:r>
      <w:r w:rsidRPr="008D2CB3">
        <w:rPr>
          <w:iCs/>
          <w:szCs w:val="22"/>
        </w:rPr>
        <w:t>betegekben.</w:t>
      </w:r>
    </w:p>
    <w:p w:rsidR="00122217" w:rsidRPr="008D2CB3" w:rsidRDefault="00122217" w:rsidP="001E7729">
      <w:pPr>
        <w:rPr>
          <w:iCs/>
          <w:szCs w:val="22"/>
        </w:rPr>
      </w:pPr>
    </w:p>
    <w:p w:rsidR="00122217" w:rsidRPr="008D2CB3" w:rsidRDefault="00122217" w:rsidP="001E7729">
      <w:pPr>
        <w:numPr>
          <w:ilvl w:val="0"/>
          <w:numId w:val="5"/>
        </w:numPr>
        <w:tabs>
          <w:tab w:val="clear" w:pos="720"/>
          <w:tab w:val="num" w:pos="567"/>
        </w:tabs>
        <w:ind w:left="567" w:hanging="567"/>
        <w:rPr>
          <w:iCs/>
          <w:szCs w:val="22"/>
        </w:rPr>
      </w:pPr>
      <w:r w:rsidRPr="008D2CB3">
        <w:rPr>
          <w:iCs/>
          <w:szCs w:val="22"/>
        </w:rPr>
        <w:t xml:space="preserve">akut </w:t>
      </w:r>
      <w:r w:rsidR="004327CF" w:rsidRPr="008D2CB3">
        <w:rPr>
          <w:szCs w:val="22"/>
        </w:rPr>
        <w:t>coronaria</w:t>
      </w:r>
      <w:r w:rsidRPr="008D2CB3">
        <w:rPr>
          <w:iCs/>
          <w:szCs w:val="22"/>
        </w:rPr>
        <w:t xml:space="preserve"> szindrómában szenvedő </w:t>
      </w:r>
      <w:r w:rsidR="008B33F6" w:rsidRPr="008D2CB3">
        <w:rPr>
          <w:iCs/>
          <w:szCs w:val="22"/>
        </w:rPr>
        <w:t xml:space="preserve">felnőtt </w:t>
      </w:r>
      <w:r w:rsidRPr="008D2CB3">
        <w:rPr>
          <w:iCs/>
          <w:szCs w:val="22"/>
        </w:rPr>
        <w:t>betegekben:</w:t>
      </w:r>
    </w:p>
    <w:p w:rsidR="00122217" w:rsidRPr="008D2CB3" w:rsidRDefault="00122217" w:rsidP="001E7729">
      <w:pPr>
        <w:numPr>
          <w:ilvl w:val="0"/>
          <w:numId w:val="23"/>
        </w:numPr>
        <w:rPr>
          <w:szCs w:val="22"/>
        </w:rPr>
      </w:pPr>
      <w:r w:rsidRPr="008D2CB3">
        <w:rPr>
          <w:szCs w:val="22"/>
        </w:rPr>
        <w:t xml:space="preserve">ST-eleváció nélküli akut </w:t>
      </w:r>
      <w:r w:rsidR="004327CF" w:rsidRPr="008D2CB3">
        <w:rPr>
          <w:szCs w:val="22"/>
        </w:rPr>
        <w:t>coronaria</w:t>
      </w:r>
      <w:r w:rsidRPr="008D2CB3">
        <w:rPr>
          <w:szCs w:val="22"/>
        </w:rPr>
        <w:t xml:space="preserve"> szindrómában (instabil angina vagy non-Q myocardialis inf</w:t>
      </w:r>
      <w:r w:rsidR="00A62D5D">
        <w:rPr>
          <w:szCs w:val="22"/>
        </w:rPr>
        <w:t>a</w:t>
      </w:r>
      <w:r w:rsidRPr="008D2CB3">
        <w:rPr>
          <w:szCs w:val="22"/>
        </w:rPr>
        <w:t>rctus)</w:t>
      </w:r>
      <w:r w:rsidR="0033523C" w:rsidRPr="008D2CB3">
        <w:rPr>
          <w:szCs w:val="22"/>
        </w:rPr>
        <w:t xml:space="preserve">, beleértve a </w:t>
      </w:r>
      <w:r w:rsidR="00FE4466">
        <w:rPr>
          <w:szCs w:val="22"/>
        </w:rPr>
        <w:t>percutan</w:t>
      </w:r>
      <w:r w:rsidR="00FE4466" w:rsidRPr="008D2CB3">
        <w:rPr>
          <w:szCs w:val="22"/>
        </w:rPr>
        <w:t xml:space="preserve"> </w:t>
      </w:r>
      <w:r w:rsidR="004327CF" w:rsidRPr="008D2CB3">
        <w:rPr>
          <w:szCs w:val="22"/>
        </w:rPr>
        <w:t>coronaria</w:t>
      </w:r>
      <w:r w:rsidR="0033523C" w:rsidRPr="008D2CB3">
        <w:rPr>
          <w:szCs w:val="22"/>
        </w:rPr>
        <w:t xml:space="preserve"> </w:t>
      </w:r>
      <w:r w:rsidR="00FE4466">
        <w:rPr>
          <w:szCs w:val="22"/>
        </w:rPr>
        <w:t>intervenció</w:t>
      </w:r>
      <w:r w:rsidR="00FE4466" w:rsidRPr="008D2CB3">
        <w:rPr>
          <w:szCs w:val="22"/>
        </w:rPr>
        <w:t xml:space="preserve">t </w:t>
      </w:r>
      <w:r w:rsidR="0033523C" w:rsidRPr="008D2CB3">
        <w:rPr>
          <w:szCs w:val="22"/>
        </w:rPr>
        <w:t>követő stent beültetésen átesett betege</w:t>
      </w:r>
      <w:r w:rsidR="00FE5F45" w:rsidRPr="008D2CB3">
        <w:rPr>
          <w:szCs w:val="22"/>
        </w:rPr>
        <w:t>ket</w:t>
      </w:r>
      <w:r w:rsidR="0033523C" w:rsidRPr="008D2CB3">
        <w:rPr>
          <w:szCs w:val="22"/>
        </w:rPr>
        <w:t>,</w:t>
      </w:r>
      <w:r w:rsidRPr="008D2CB3">
        <w:rPr>
          <w:szCs w:val="22"/>
        </w:rPr>
        <w:t xml:space="preserve"> acetilszalicilsav (ASA) kezeléssel kombinálva.</w:t>
      </w:r>
    </w:p>
    <w:p w:rsidR="00122217" w:rsidRPr="008D2CB3" w:rsidRDefault="00122217" w:rsidP="001E7729">
      <w:pPr>
        <w:numPr>
          <w:ilvl w:val="0"/>
          <w:numId w:val="23"/>
        </w:numPr>
        <w:rPr>
          <w:szCs w:val="22"/>
        </w:rPr>
      </w:pPr>
      <w:r w:rsidRPr="008D2CB3">
        <w:rPr>
          <w:szCs w:val="22"/>
        </w:rPr>
        <w:t>ST-elevációval járó akut myocardialis infarctusban acetilszalicilsavval (ASA) kombinálva a trombol</w:t>
      </w:r>
      <w:r w:rsidR="0025079B">
        <w:rPr>
          <w:szCs w:val="22"/>
        </w:rPr>
        <w:t>i</w:t>
      </w:r>
      <w:r w:rsidRPr="008D2CB3">
        <w:rPr>
          <w:szCs w:val="22"/>
        </w:rPr>
        <w:t>tikus kezelésre alkalmas kezelt betegekben.</w:t>
      </w:r>
    </w:p>
    <w:p w:rsidR="00965160" w:rsidRDefault="00965160" w:rsidP="00965160">
      <w:pPr>
        <w:keepNext/>
        <w:tabs>
          <w:tab w:val="left" w:pos="2400"/>
          <w:tab w:val="left" w:pos="7280"/>
        </w:tabs>
        <w:ind w:right="-28"/>
        <w:rPr>
          <w:i/>
        </w:rPr>
      </w:pPr>
    </w:p>
    <w:p w:rsidR="00965160" w:rsidRDefault="00965160" w:rsidP="00965160">
      <w:pPr>
        <w:keepNext/>
        <w:tabs>
          <w:tab w:val="left" w:pos="2400"/>
          <w:tab w:val="left" w:pos="7280"/>
        </w:tabs>
        <w:ind w:right="-28"/>
        <w:rPr>
          <w:i/>
        </w:rPr>
      </w:pPr>
      <w:r>
        <w:rPr>
          <w:i/>
        </w:rPr>
        <w:t>Közepes vagy magas kockázatú TIA-ban (</w:t>
      </w:r>
      <w:r w:rsidRPr="00AC28CF">
        <w:rPr>
          <w:i/>
        </w:rPr>
        <w:t>transiens ischaemiás attac</w:t>
      </w:r>
      <w:r>
        <w:rPr>
          <w:i/>
        </w:rPr>
        <w:t xml:space="preserve">k) vagy </w:t>
      </w:r>
      <w:r w:rsidRPr="00AC28CF">
        <w:rPr>
          <w:i/>
        </w:rPr>
        <w:t>minor ischaemiás stroke</w:t>
      </w:r>
      <w:r>
        <w:rPr>
          <w:i/>
        </w:rPr>
        <w:t>-ban (IS) szenvedő betegeknél</w:t>
      </w:r>
    </w:p>
    <w:p w:rsidR="00965160" w:rsidRDefault="00965160" w:rsidP="00965160">
      <w:pPr>
        <w:keepNext/>
        <w:tabs>
          <w:tab w:val="left" w:pos="2400"/>
          <w:tab w:val="left" w:pos="7280"/>
        </w:tabs>
        <w:ind w:right="-28"/>
        <w:rPr>
          <w:iCs/>
        </w:rPr>
      </w:pPr>
      <w:r>
        <w:rPr>
          <w:iCs/>
        </w:rPr>
        <w:t>A klopidogrél-ASA kombináció indikációja:</w:t>
      </w:r>
    </w:p>
    <w:p w:rsidR="00965160" w:rsidRPr="00C7798D" w:rsidRDefault="00965160" w:rsidP="00DE56D7">
      <w:pPr>
        <w:keepNext/>
        <w:numPr>
          <w:ilvl w:val="0"/>
          <w:numId w:val="61"/>
        </w:numPr>
        <w:ind w:left="1134" w:hanging="567"/>
        <w:rPr>
          <w:iCs/>
        </w:rPr>
      </w:pPr>
      <w:r w:rsidRPr="00C7798D">
        <w:rPr>
          <w:iCs/>
        </w:rPr>
        <w:t xml:space="preserve">Közepes vagy </w:t>
      </w:r>
      <w:r>
        <w:rPr>
          <w:iCs/>
        </w:rPr>
        <w:t xml:space="preserve">magas </w:t>
      </w:r>
      <w:r w:rsidRPr="00C7798D">
        <w:rPr>
          <w:iCs/>
        </w:rPr>
        <w:t>kockázatú TIA-ban (</w:t>
      </w:r>
      <w:r>
        <w:rPr>
          <w:szCs w:val="22"/>
          <w:lang w:val="en-GB"/>
        </w:rPr>
        <w:t>ABCD2</w:t>
      </w:r>
      <w:r>
        <w:rPr>
          <w:rStyle w:val="FootnoteReference"/>
          <w:szCs w:val="22"/>
          <w:lang w:val="en-GB"/>
        </w:rPr>
        <w:footnoteReference w:id="2"/>
      </w:r>
      <w:r>
        <w:rPr>
          <w:szCs w:val="22"/>
          <w:lang w:val="en-GB"/>
        </w:rPr>
        <w:t xml:space="preserve"> pontszám ≥4</w:t>
      </w:r>
      <w:r w:rsidRPr="00C7798D">
        <w:rPr>
          <w:iCs/>
        </w:rPr>
        <w:t xml:space="preserve">) vagy minor </w:t>
      </w:r>
      <w:r>
        <w:rPr>
          <w:iCs/>
        </w:rPr>
        <w:t>IS</w:t>
      </w:r>
      <w:r w:rsidRPr="00C7798D">
        <w:rPr>
          <w:iCs/>
        </w:rPr>
        <w:t xml:space="preserve">-ban </w:t>
      </w:r>
      <w:r>
        <w:rPr>
          <w:szCs w:val="22"/>
          <w:lang w:val="en-GB"/>
        </w:rPr>
        <w:t>(NIHSS</w:t>
      </w:r>
      <w:r>
        <w:rPr>
          <w:rStyle w:val="FootnoteReference"/>
          <w:szCs w:val="22"/>
          <w:lang w:val="en-GB"/>
        </w:rPr>
        <w:footnoteReference w:id="3"/>
      </w:r>
      <w:r>
        <w:rPr>
          <w:szCs w:val="22"/>
          <w:lang w:val="en-GB"/>
        </w:rPr>
        <w:t xml:space="preserve"> ≤3) </w:t>
      </w:r>
      <w:r w:rsidRPr="00C7798D">
        <w:rPr>
          <w:iCs/>
        </w:rPr>
        <w:t>szenvedő</w:t>
      </w:r>
      <w:r>
        <w:rPr>
          <w:iCs/>
        </w:rPr>
        <w:t>, felnőtt</w:t>
      </w:r>
      <w:r w:rsidRPr="00C7798D">
        <w:rPr>
          <w:iCs/>
        </w:rPr>
        <w:t xml:space="preserve"> betegeknél</w:t>
      </w:r>
      <w:r>
        <w:rPr>
          <w:iCs/>
        </w:rPr>
        <w:t xml:space="preserve"> javallott a TIA vagy az IS esemény után 24 órán belül.</w:t>
      </w:r>
    </w:p>
    <w:p w:rsidR="00122217" w:rsidRPr="008D2CB3" w:rsidRDefault="00122217" w:rsidP="001E7729">
      <w:pPr>
        <w:rPr>
          <w:szCs w:val="22"/>
        </w:rPr>
      </w:pPr>
    </w:p>
    <w:p w:rsidR="008B33F6" w:rsidRPr="008D2CB3" w:rsidRDefault="008B33F6" w:rsidP="001E7729">
      <w:pPr>
        <w:keepNext/>
        <w:tabs>
          <w:tab w:val="left" w:pos="2400"/>
          <w:tab w:val="left" w:pos="7280"/>
        </w:tabs>
        <w:ind w:right="-28"/>
        <w:rPr>
          <w:i/>
        </w:rPr>
      </w:pPr>
      <w:r w:rsidRPr="008D2CB3">
        <w:rPr>
          <w:i/>
        </w:rPr>
        <w:t>Atherothromboti</w:t>
      </w:r>
      <w:r w:rsidR="00DD2FCB" w:rsidRPr="008D2CB3">
        <w:rPr>
          <w:i/>
        </w:rPr>
        <w:t>c</w:t>
      </w:r>
      <w:r w:rsidRPr="008D2CB3">
        <w:rPr>
          <w:i/>
        </w:rPr>
        <w:t>us és thromboemb</w:t>
      </w:r>
      <w:r w:rsidR="00DD2FCB" w:rsidRPr="008D2CB3">
        <w:rPr>
          <w:i/>
        </w:rPr>
        <w:t>o</w:t>
      </w:r>
      <w:r w:rsidRPr="008D2CB3">
        <w:rPr>
          <w:i/>
        </w:rPr>
        <w:t>liás események prevenciója pitvarfibrilláció fennállása esetén.</w:t>
      </w:r>
    </w:p>
    <w:p w:rsidR="008B33F6" w:rsidRPr="008D2CB3" w:rsidRDefault="008B33F6" w:rsidP="001E7729">
      <w:pPr>
        <w:tabs>
          <w:tab w:val="left" w:pos="2400"/>
          <w:tab w:val="left" w:pos="7280"/>
        </w:tabs>
        <w:ind w:right="-29"/>
      </w:pPr>
      <w:r w:rsidRPr="008D2CB3">
        <w:t>Azo</w:t>
      </w:r>
      <w:r w:rsidR="0063351E" w:rsidRPr="008D2CB3">
        <w:t>knál a</w:t>
      </w:r>
      <w:r w:rsidRPr="008D2CB3">
        <w:t xml:space="preserve"> pitvarfibrillációban szenvedő felnőtt betegeknél, akik a vaszkuláris események </w:t>
      </w:r>
      <w:r w:rsidR="0063351E" w:rsidRPr="008D2CB3">
        <w:t>kialakulásának</w:t>
      </w:r>
      <w:r w:rsidRPr="008D2CB3">
        <w:t xml:space="preserve"> legalább egy kockázati tényező</w:t>
      </w:r>
      <w:r w:rsidR="00E425DB" w:rsidRPr="008D2CB3">
        <w:t>jé</w:t>
      </w:r>
      <w:r w:rsidRPr="008D2CB3">
        <w:t>vel rendelkeznek, akiknél nem alkalmazható K</w:t>
      </w:r>
      <w:r w:rsidR="00E425DB" w:rsidRPr="008D2CB3">
        <w:noBreakHyphen/>
      </w:r>
      <w:r w:rsidRPr="008D2CB3">
        <w:t>vitamin-antagonista-terápia és akiknél a</w:t>
      </w:r>
      <w:r w:rsidR="006C3E71" w:rsidRPr="008D2CB3">
        <w:t>lacsony a</w:t>
      </w:r>
      <w:r w:rsidRPr="008D2CB3">
        <w:t xml:space="preserve"> vérzés kialakulásának </w:t>
      </w:r>
      <w:r w:rsidR="006C3E71" w:rsidRPr="008D2CB3">
        <w:t>kockázata</w:t>
      </w:r>
      <w:r w:rsidR="00DD2FCB" w:rsidRPr="008D2CB3">
        <w:t>, az atherothrombotic</w:t>
      </w:r>
      <w:r w:rsidRPr="008D2CB3">
        <w:t>us</w:t>
      </w:r>
      <w:r w:rsidR="00E425DB" w:rsidRPr="008D2CB3">
        <w:t>,</w:t>
      </w:r>
      <w:r w:rsidRPr="008D2CB3">
        <w:t xml:space="preserve"> illetve thr</w:t>
      </w:r>
      <w:r w:rsidR="00DD2FCB" w:rsidRPr="008D2CB3">
        <w:t>omboembo</w:t>
      </w:r>
      <w:r w:rsidRPr="008D2CB3">
        <w:t>liás események</w:t>
      </w:r>
      <w:r w:rsidR="0001173A" w:rsidRPr="008D2CB3">
        <w:t>,</w:t>
      </w:r>
      <w:r w:rsidR="006C3E71" w:rsidRPr="008D2CB3">
        <w:t xml:space="preserve"> </w:t>
      </w:r>
      <w:r w:rsidR="00E425DB" w:rsidRPr="008D2CB3">
        <w:t>köztük</w:t>
      </w:r>
      <w:r w:rsidR="006C3E71" w:rsidRPr="008D2CB3">
        <w:t xml:space="preserve"> a stroke</w:t>
      </w:r>
      <w:r w:rsidR="00E425DB" w:rsidRPr="008D2CB3">
        <w:t xml:space="preserve"> prevenciójára</w:t>
      </w:r>
      <w:r w:rsidR="006C3E71" w:rsidRPr="008D2CB3">
        <w:t xml:space="preserve"> is</w:t>
      </w:r>
      <w:r w:rsidR="00E425DB" w:rsidRPr="008D2CB3">
        <w:t xml:space="preserve"> az </w:t>
      </w:r>
      <w:r w:rsidR="00350C09">
        <w:t>ASA</w:t>
      </w:r>
      <w:r w:rsidR="00350C09">
        <w:noBreakHyphen/>
        <w:t>klopidogrél kombináció javallott</w:t>
      </w:r>
      <w:r w:rsidRPr="008D2CB3">
        <w:t>.</w:t>
      </w:r>
    </w:p>
    <w:p w:rsidR="008B33F6" w:rsidRPr="008D2CB3" w:rsidRDefault="008B33F6" w:rsidP="001E7729">
      <w:pPr>
        <w:rPr>
          <w:szCs w:val="22"/>
        </w:rPr>
      </w:pPr>
    </w:p>
    <w:p w:rsidR="00122217" w:rsidRPr="008D2CB3" w:rsidRDefault="00122217" w:rsidP="001E7729">
      <w:pPr>
        <w:rPr>
          <w:szCs w:val="22"/>
        </w:rPr>
      </w:pPr>
      <w:r w:rsidRPr="008D2CB3">
        <w:rPr>
          <w:szCs w:val="22"/>
        </w:rPr>
        <w:t>Részletesebb ismertetést lásd 5.1 pont</w:t>
      </w:r>
    </w:p>
    <w:p w:rsidR="00122217" w:rsidRPr="008D2CB3" w:rsidRDefault="00122217" w:rsidP="001E7729">
      <w:pPr>
        <w:rPr>
          <w:szCs w:val="22"/>
        </w:rPr>
      </w:pPr>
    </w:p>
    <w:p w:rsidR="00122217" w:rsidRPr="008D2CB3" w:rsidRDefault="00122217" w:rsidP="001E7729">
      <w:pPr>
        <w:spacing w:line="260" w:lineRule="atLeast"/>
        <w:ind w:left="567" w:hanging="567"/>
        <w:rPr>
          <w:b/>
          <w:szCs w:val="22"/>
        </w:rPr>
      </w:pPr>
      <w:r w:rsidRPr="008D2CB3">
        <w:rPr>
          <w:b/>
          <w:szCs w:val="22"/>
        </w:rPr>
        <w:t>4.2</w:t>
      </w:r>
      <w:r w:rsidRPr="008D2CB3">
        <w:rPr>
          <w:b/>
          <w:szCs w:val="22"/>
        </w:rPr>
        <w:tab/>
        <w:t xml:space="preserve">Adagolás és alkalmazás </w:t>
      </w:r>
    </w:p>
    <w:p w:rsidR="00122217" w:rsidRPr="008D2CB3" w:rsidRDefault="00122217" w:rsidP="001E7729">
      <w:pPr>
        <w:jc w:val="both"/>
        <w:rPr>
          <w:i/>
          <w:szCs w:val="22"/>
        </w:rPr>
      </w:pPr>
    </w:p>
    <w:p w:rsidR="006C3E71" w:rsidRPr="00F86A77" w:rsidRDefault="006C3E71" w:rsidP="001E7729">
      <w:pPr>
        <w:jc w:val="both"/>
        <w:rPr>
          <w:szCs w:val="22"/>
          <w:u w:val="single"/>
        </w:rPr>
      </w:pPr>
      <w:r w:rsidRPr="00F86A77">
        <w:rPr>
          <w:szCs w:val="22"/>
          <w:u w:val="single"/>
        </w:rPr>
        <w:t>Adagolás</w:t>
      </w:r>
    </w:p>
    <w:p w:rsidR="00122217" w:rsidRPr="008D2CB3" w:rsidRDefault="00122217" w:rsidP="001E7729">
      <w:pPr>
        <w:numPr>
          <w:ilvl w:val="0"/>
          <w:numId w:val="2"/>
        </w:numPr>
        <w:ind w:left="567" w:hanging="567"/>
        <w:rPr>
          <w:szCs w:val="22"/>
        </w:rPr>
      </w:pPr>
      <w:r w:rsidRPr="008D2CB3">
        <w:rPr>
          <w:szCs w:val="22"/>
        </w:rPr>
        <w:t>Felnőttek és idősek</w:t>
      </w:r>
    </w:p>
    <w:p w:rsidR="00122217" w:rsidRDefault="00122217" w:rsidP="001E7729">
      <w:pPr>
        <w:numPr>
          <w:ilvl w:val="12"/>
          <w:numId w:val="0"/>
        </w:numPr>
        <w:ind w:left="567"/>
        <w:rPr>
          <w:szCs w:val="22"/>
        </w:rPr>
      </w:pPr>
    </w:p>
    <w:p w:rsidR="00746E87" w:rsidRPr="00DD7520" w:rsidRDefault="00746E87" w:rsidP="001E7729">
      <w:pPr>
        <w:rPr>
          <w:szCs w:val="22"/>
          <w:u w:val="single"/>
        </w:rPr>
      </w:pPr>
      <w:r w:rsidRPr="00DD7520">
        <w:rPr>
          <w:szCs w:val="22"/>
          <w:u w:val="single"/>
        </w:rPr>
        <w:t>Iscover 75 mg filmtabletta</w:t>
      </w:r>
    </w:p>
    <w:p w:rsidR="00122217" w:rsidRPr="008D2CB3" w:rsidRDefault="00122217" w:rsidP="001E7729">
      <w:pPr>
        <w:numPr>
          <w:ilvl w:val="12"/>
          <w:numId w:val="0"/>
        </w:numPr>
        <w:ind w:left="567"/>
        <w:rPr>
          <w:szCs w:val="22"/>
        </w:rPr>
      </w:pPr>
      <w:r w:rsidRPr="008D2CB3">
        <w:rPr>
          <w:szCs w:val="22"/>
        </w:rPr>
        <w:t>A klopidogrél egyszeri napi adagja 75 mg.</w:t>
      </w:r>
    </w:p>
    <w:p w:rsidR="00122217" w:rsidRDefault="00122217" w:rsidP="001E7729">
      <w:pPr>
        <w:numPr>
          <w:ilvl w:val="12"/>
          <w:numId w:val="0"/>
        </w:numPr>
        <w:ind w:left="567" w:hanging="567"/>
        <w:rPr>
          <w:szCs w:val="22"/>
        </w:rPr>
      </w:pPr>
    </w:p>
    <w:p w:rsidR="00746E87" w:rsidRDefault="00746E87" w:rsidP="001E7729">
      <w:pPr>
        <w:rPr>
          <w:szCs w:val="22"/>
          <w:u w:val="single"/>
        </w:rPr>
      </w:pPr>
      <w:r w:rsidRPr="00DD7520">
        <w:rPr>
          <w:szCs w:val="22"/>
          <w:u w:val="single"/>
        </w:rPr>
        <w:t>Iscover 300 mg filmtabletta</w:t>
      </w:r>
    </w:p>
    <w:p w:rsidR="00795A8F" w:rsidRDefault="00795A8F" w:rsidP="001E7729">
      <w:pPr>
        <w:numPr>
          <w:ilvl w:val="12"/>
          <w:numId w:val="0"/>
        </w:numPr>
        <w:ind w:left="567"/>
        <w:rPr>
          <w:szCs w:val="22"/>
        </w:rPr>
      </w:pPr>
      <w:r>
        <w:rPr>
          <w:szCs w:val="22"/>
        </w:rPr>
        <w:t>Ez a 300 mg klopidogrélt tartalmazó tabletta telítő</w:t>
      </w:r>
      <w:r w:rsidR="00033514">
        <w:rPr>
          <w:szCs w:val="22"/>
        </w:rPr>
        <w:t xml:space="preserve"> </w:t>
      </w:r>
      <w:r>
        <w:rPr>
          <w:szCs w:val="22"/>
        </w:rPr>
        <w:t>adagként alkalmazandó.</w:t>
      </w:r>
    </w:p>
    <w:p w:rsidR="00746E87" w:rsidRPr="008D2CB3" w:rsidRDefault="00746E87" w:rsidP="001E7729">
      <w:pPr>
        <w:numPr>
          <w:ilvl w:val="12"/>
          <w:numId w:val="0"/>
        </w:numPr>
        <w:ind w:left="567"/>
        <w:rPr>
          <w:szCs w:val="22"/>
        </w:rPr>
      </w:pPr>
    </w:p>
    <w:p w:rsidR="00122217" w:rsidRPr="008D2CB3" w:rsidRDefault="00122217" w:rsidP="001E7729">
      <w:pPr>
        <w:numPr>
          <w:ilvl w:val="12"/>
          <w:numId w:val="0"/>
        </w:numPr>
        <w:ind w:left="567"/>
        <w:rPr>
          <w:szCs w:val="22"/>
        </w:rPr>
      </w:pPr>
      <w:r w:rsidRPr="008D2CB3">
        <w:rPr>
          <w:szCs w:val="22"/>
        </w:rPr>
        <w:t xml:space="preserve">Akut </w:t>
      </w:r>
      <w:r w:rsidR="004327CF" w:rsidRPr="008D2CB3">
        <w:rPr>
          <w:szCs w:val="22"/>
        </w:rPr>
        <w:t>coronaria</w:t>
      </w:r>
      <w:r w:rsidRPr="008D2CB3">
        <w:rPr>
          <w:szCs w:val="22"/>
        </w:rPr>
        <w:t xml:space="preserve"> szindrómában szenvedő betegekben:</w:t>
      </w:r>
    </w:p>
    <w:p w:rsidR="00122217" w:rsidRPr="008D2CB3" w:rsidRDefault="00122217" w:rsidP="001E7729">
      <w:pPr>
        <w:numPr>
          <w:ilvl w:val="0"/>
          <w:numId w:val="24"/>
        </w:numPr>
        <w:rPr>
          <w:szCs w:val="22"/>
        </w:rPr>
      </w:pPr>
      <w:r w:rsidRPr="008D2CB3">
        <w:rPr>
          <w:szCs w:val="22"/>
        </w:rPr>
        <w:t xml:space="preserve">ST-eleváció nélküli akut </w:t>
      </w:r>
      <w:r w:rsidR="004327CF" w:rsidRPr="008D2CB3">
        <w:rPr>
          <w:szCs w:val="22"/>
        </w:rPr>
        <w:t>coronaria</w:t>
      </w:r>
      <w:r w:rsidRPr="008D2CB3">
        <w:rPr>
          <w:szCs w:val="22"/>
        </w:rPr>
        <w:t xml:space="preserve"> szindróma (instabil angina vagy non-Q myocardialis infarctus)</w:t>
      </w:r>
      <w:r w:rsidR="00281196" w:rsidRPr="008D2CB3">
        <w:rPr>
          <w:szCs w:val="22"/>
        </w:rPr>
        <w:t>,</w:t>
      </w:r>
      <w:r w:rsidRPr="008D2CB3">
        <w:rPr>
          <w:szCs w:val="22"/>
        </w:rPr>
        <w:t xml:space="preserve"> a klopidogrél</w:t>
      </w:r>
      <w:r w:rsidR="00DC0A68">
        <w:rPr>
          <w:szCs w:val="22"/>
        </w:rPr>
        <w:noBreakHyphen/>
      </w:r>
      <w:r w:rsidRPr="008D2CB3">
        <w:rPr>
          <w:szCs w:val="22"/>
        </w:rPr>
        <w:t>kezelést egyszeri 300 mg telítő adaggal kell kezdeni és 75 mg napi egyszeri adaggal kell folytatni (napi 75-325 mg acetilszalicilsavval [ASA] kombinálva). Tekintettel arra, hogy az ASA magasabb adagjai nagyobb vérzési kockázattal jártak, nem ajánlott a 100 mg napi ASA dózist meghaladni. A kezelés optimális időtartamát még nem állapították meg pontosan. A klinikai vizsgálati adatok a 12 hónapon át történő adagolást támasztják alá, melynek során a legkedvezőbb hatást a 3. hónapban észlelték (lásd 5.1 pont).</w:t>
      </w:r>
    </w:p>
    <w:p w:rsidR="00122217" w:rsidRPr="008D2CB3" w:rsidRDefault="00122217" w:rsidP="001E7729">
      <w:pPr>
        <w:numPr>
          <w:ilvl w:val="0"/>
          <w:numId w:val="24"/>
        </w:numPr>
        <w:rPr>
          <w:szCs w:val="22"/>
        </w:rPr>
      </w:pPr>
      <w:r w:rsidRPr="008D2CB3">
        <w:rPr>
          <w:szCs w:val="22"/>
        </w:rPr>
        <w:t xml:space="preserve">ST-elevációval járó akut myocardialis infarctus: a klopidogrél-kezelést </w:t>
      </w:r>
      <w:r w:rsidR="00DB66EA" w:rsidRPr="008D2CB3">
        <w:rPr>
          <w:szCs w:val="22"/>
        </w:rPr>
        <w:t xml:space="preserve">300 mg </w:t>
      </w:r>
      <w:r w:rsidRPr="008D2CB3">
        <w:rPr>
          <w:szCs w:val="22"/>
        </w:rPr>
        <w:t>telítő adaggal kell kezdeni és 75 mg napi egyszeri adaggal kell folytatni, ASA-val kombinálva, trombol</w:t>
      </w:r>
      <w:r w:rsidR="00DC0A68">
        <w:rPr>
          <w:szCs w:val="22"/>
        </w:rPr>
        <w:t>i</w:t>
      </w:r>
      <w:r w:rsidRPr="008D2CB3">
        <w:rPr>
          <w:szCs w:val="22"/>
        </w:rPr>
        <w:t>tikummal</w:t>
      </w:r>
      <w:r w:rsidR="008232BA">
        <w:rPr>
          <w:szCs w:val="22"/>
        </w:rPr>
        <w:t>,</w:t>
      </w:r>
      <w:r w:rsidRPr="008D2CB3">
        <w:rPr>
          <w:szCs w:val="22"/>
        </w:rPr>
        <w:t xml:space="preserve"> vagy anélkül. 75 év feletti betegeknek a klopidogrél-kezelést telítő adag nélkül kell elkezdeni. A kombinált kezelést a tünetek megjelenése után a lehető legkorábban el kell kezdeni, és legalább 4 hétig kell folytatni. A klopidogrél + ASA kombináció 4 héten túli alkalmazásának előnyét ilyen feltételek mellett nem vizsgálták (lásd 5.1 pont) </w:t>
      </w:r>
    </w:p>
    <w:p w:rsidR="006C3E71" w:rsidRPr="008D2CB3" w:rsidRDefault="006C3E71" w:rsidP="001E7729">
      <w:pPr>
        <w:numPr>
          <w:ilvl w:val="12"/>
          <w:numId w:val="0"/>
        </w:numPr>
        <w:ind w:left="567"/>
        <w:jc w:val="both"/>
      </w:pPr>
    </w:p>
    <w:p w:rsidR="00965160" w:rsidRDefault="00965160" w:rsidP="00965160">
      <w:pPr>
        <w:keepNext/>
        <w:ind w:left="567"/>
        <w:rPr>
          <w:iCs/>
        </w:rPr>
      </w:pPr>
      <w:r w:rsidRPr="00C7798D">
        <w:rPr>
          <w:iCs/>
        </w:rPr>
        <w:t xml:space="preserve">Közepes vagy </w:t>
      </w:r>
      <w:r>
        <w:rPr>
          <w:iCs/>
        </w:rPr>
        <w:t>magas</w:t>
      </w:r>
      <w:r w:rsidRPr="00C7798D">
        <w:rPr>
          <w:iCs/>
        </w:rPr>
        <w:t xml:space="preserve"> kockázatú TIA-ban</w:t>
      </w:r>
      <w:r>
        <w:rPr>
          <w:iCs/>
        </w:rPr>
        <w:t xml:space="preserve"> </w:t>
      </w:r>
      <w:r w:rsidRPr="00C7798D">
        <w:rPr>
          <w:iCs/>
        </w:rPr>
        <w:t xml:space="preserve">vagy minor </w:t>
      </w:r>
      <w:r>
        <w:rPr>
          <w:iCs/>
        </w:rPr>
        <w:t>IS</w:t>
      </w:r>
      <w:r w:rsidRPr="00C7798D">
        <w:rPr>
          <w:iCs/>
        </w:rPr>
        <w:t>-ban</w:t>
      </w:r>
      <w:r>
        <w:rPr>
          <w:iCs/>
        </w:rPr>
        <w:t xml:space="preserve"> </w:t>
      </w:r>
      <w:r w:rsidRPr="00C7798D">
        <w:rPr>
          <w:iCs/>
        </w:rPr>
        <w:t>szenvedő</w:t>
      </w:r>
      <w:r>
        <w:rPr>
          <w:iCs/>
        </w:rPr>
        <w:t>, felnőtt</w:t>
      </w:r>
      <w:r w:rsidRPr="00C7798D">
        <w:rPr>
          <w:iCs/>
        </w:rPr>
        <w:t xml:space="preserve"> betegeknél</w:t>
      </w:r>
      <w:r>
        <w:rPr>
          <w:iCs/>
        </w:rPr>
        <w:t>:</w:t>
      </w:r>
    </w:p>
    <w:p w:rsidR="00965160" w:rsidRPr="00C7798D" w:rsidRDefault="00965160" w:rsidP="00965160">
      <w:pPr>
        <w:keepNext/>
        <w:ind w:left="567"/>
        <w:rPr>
          <w:iCs/>
        </w:rPr>
      </w:pPr>
      <w:r w:rsidRPr="00C7798D">
        <w:rPr>
          <w:iCs/>
        </w:rPr>
        <w:t xml:space="preserve">Közepes vagy </w:t>
      </w:r>
      <w:r>
        <w:rPr>
          <w:iCs/>
        </w:rPr>
        <w:t>magas</w:t>
      </w:r>
      <w:r w:rsidRPr="00C7798D">
        <w:rPr>
          <w:iCs/>
        </w:rPr>
        <w:t xml:space="preserve"> kockázatú TIA-ban (</w:t>
      </w:r>
      <w:r>
        <w:rPr>
          <w:szCs w:val="22"/>
          <w:lang w:val="en-GB"/>
        </w:rPr>
        <w:t>ABCD2 pontszám ≥4</w:t>
      </w:r>
      <w:r w:rsidRPr="00C7798D">
        <w:rPr>
          <w:iCs/>
        </w:rPr>
        <w:t xml:space="preserve">) vagy minor </w:t>
      </w:r>
      <w:r>
        <w:rPr>
          <w:iCs/>
        </w:rPr>
        <w:t>IS</w:t>
      </w:r>
      <w:r w:rsidRPr="00C7798D">
        <w:rPr>
          <w:iCs/>
        </w:rPr>
        <w:t xml:space="preserve">-ban </w:t>
      </w:r>
      <w:r>
        <w:rPr>
          <w:szCs w:val="22"/>
          <w:lang w:val="en-GB"/>
        </w:rPr>
        <w:t xml:space="preserve">(NIHSS ≤3) </w:t>
      </w:r>
      <w:r w:rsidRPr="00C7798D">
        <w:rPr>
          <w:iCs/>
        </w:rPr>
        <w:t>szenvedő</w:t>
      </w:r>
      <w:r>
        <w:rPr>
          <w:iCs/>
        </w:rPr>
        <w:t>, felnőtt</w:t>
      </w:r>
      <w:r w:rsidRPr="00C7798D">
        <w:rPr>
          <w:iCs/>
        </w:rPr>
        <w:t xml:space="preserve"> betegeknél</w:t>
      </w:r>
      <w:r>
        <w:rPr>
          <w:iCs/>
        </w:rPr>
        <w:t xml:space="preserve"> telítő adagként 300 mg klopidogrélt kell adni, ezt követően naponta egyszer 75 mg klopidogrélt és (naponta egyszer 75</w:t>
      </w:r>
      <w:r>
        <w:rPr>
          <w:iCs/>
        </w:rPr>
        <w:noBreakHyphen/>
        <w:t>100 mg) ASA-t. A klopidogrél</w:t>
      </w:r>
      <w:r>
        <w:rPr>
          <w:iCs/>
        </w:rPr>
        <w:noBreakHyphen/>
        <w:t xml:space="preserve">ASA kezelést az esemény után 24 órán belül el kell kezdeni és 21 napig folytatni kell, majd ezt követően </w:t>
      </w:r>
      <w:r w:rsidRPr="00674C04">
        <w:rPr>
          <w:iCs/>
        </w:rPr>
        <w:t>egyszeres thrombocytaaggregáció-gátló kezelés</w:t>
      </w:r>
      <w:r>
        <w:rPr>
          <w:iCs/>
        </w:rPr>
        <w:t>sel kell folytatni.</w:t>
      </w:r>
    </w:p>
    <w:p w:rsidR="00965160" w:rsidRDefault="00965160" w:rsidP="00965160">
      <w:pPr>
        <w:numPr>
          <w:ilvl w:val="12"/>
          <w:numId w:val="0"/>
        </w:numPr>
        <w:ind w:left="567"/>
        <w:jc w:val="both"/>
      </w:pPr>
    </w:p>
    <w:p w:rsidR="00122217" w:rsidRPr="008D2CB3" w:rsidRDefault="006C3E71" w:rsidP="001E7729">
      <w:pPr>
        <w:numPr>
          <w:ilvl w:val="12"/>
          <w:numId w:val="0"/>
        </w:numPr>
        <w:ind w:left="567"/>
        <w:jc w:val="both"/>
      </w:pPr>
      <w:r w:rsidRPr="008D2CB3">
        <w:t>Pitvarfibrillációban szenvedő betegeknél a klopidogrél</w:t>
      </w:r>
      <w:r w:rsidR="00E425DB" w:rsidRPr="008D2CB3">
        <w:t>t</w:t>
      </w:r>
      <w:r w:rsidRPr="008D2CB3">
        <w:t xml:space="preserve"> napi egyszeri 75 mg-os dózisban </w:t>
      </w:r>
      <w:r w:rsidR="00E425DB" w:rsidRPr="008D2CB3">
        <w:t>kell adni</w:t>
      </w:r>
      <w:r w:rsidRPr="008D2CB3">
        <w:t xml:space="preserve">. </w:t>
      </w:r>
      <w:r w:rsidR="00E425DB" w:rsidRPr="008D2CB3">
        <w:t>A k</w:t>
      </w:r>
      <w:r w:rsidRPr="008D2CB3">
        <w:t xml:space="preserve">lopidogréllel kombinációban ASA (75-100 mg/nap) kezelést kell </w:t>
      </w:r>
      <w:r w:rsidR="00E425DB" w:rsidRPr="008D2CB3">
        <w:t>kezdeni,</w:t>
      </w:r>
      <w:r w:rsidRPr="008D2CB3">
        <w:t xml:space="preserve"> és a</w:t>
      </w:r>
      <w:r w:rsidR="00E425DB" w:rsidRPr="008D2CB3">
        <w:t>zt</w:t>
      </w:r>
      <w:r w:rsidRPr="008D2CB3">
        <w:t xml:space="preserve"> </w:t>
      </w:r>
      <w:r w:rsidR="00E425DB" w:rsidRPr="008D2CB3">
        <w:t>tartósan</w:t>
      </w:r>
      <w:r w:rsidRPr="008D2CB3">
        <w:t xml:space="preserve"> alkalmazni (lásd 5.1 pont).</w:t>
      </w:r>
    </w:p>
    <w:p w:rsidR="006C3E71" w:rsidRPr="008D2CB3" w:rsidRDefault="006C3E71" w:rsidP="001E7729">
      <w:pPr>
        <w:numPr>
          <w:ilvl w:val="12"/>
          <w:numId w:val="0"/>
        </w:numPr>
        <w:ind w:left="567" w:hanging="567"/>
        <w:jc w:val="both"/>
        <w:rPr>
          <w:szCs w:val="22"/>
        </w:rPr>
      </w:pPr>
    </w:p>
    <w:p w:rsidR="00FA5C66" w:rsidRPr="008D2CB3" w:rsidRDefault="00FA5C66" w:rsidP="001E7729">
      <w:pPr>
        <w:numPr>
          <w:ilvl w:val="12"/>
          <w:numId w:val="0"/>
        </w:numPr>
        <w:ind w:left="567" w:hanging="567"/>
        <w:jc w:val="both"/>
        <w:rPr>
          <w:szCs w:val="22"/>
        </w:rPr>
      </w:pPr>
      <w:r w:rsidRPr="008D2CB3">
        <w:rPr>
          <w:szCs w:val="22"/>
        </w:rPr>
        <w:t>Ha kimaradt egy adag:</w:t>
      </w:r>
    </w:p>
    <w:p w:rsidR="00FA5C66" w:rsidRPr="008D2CB3" w:rsidRDefault="00FA5C66" w:rsidP="001E7729">
      <w:pPr>
        <w:numPr>
          <w:ilvl w:val="0"/>
          <w:numId w:val="40"/>
        </w:numPr>
        <w:tabs>
          <w:tab w:val="num" w:pos="426"/>
        </w:tabs>
        <w:rPr>
          <w:szCs w:val="22"/>
        </w:rPr>
      </w:pPr>
      <w:r w:rsidRPr="008D2CB3">
        <w:rPr>
          <w:szCs w:val="22"/>
        </w:rPr>
        <w:t xml:space="preserve">A </w:t>
      </w:r>
      <w:r w:rsidR="00350C09" w:rsidRPr="000E7F37">
        <w:rPr>
          <w:szCs w:val="22"/>
        </w:rPr>
        <w:t xml:space="preserve">szokásos </w:t>
      </w:r>
      <w:r w:rsidR="00350C09">
        <w:rPr>
          <w:szCs w:val="22"/>
        </w:rPr>
        <w:t>bevételi</w:t>
      </w:r>
      <w:r w:rsidR="00350C09" w:rsidRPr="000E7F37">
        <w:rPr>
          <w:szCs w:val="22"/>
        </w:rPr>
        <w:t xml:space="preserve"> időponthoz képest </w:t>
      </w:r>
      <w:r w:rsidRPr="008D2CB3">
        <w:rPr>
          <w:szCs w:val="22"/>
        </w:rPr>
        <w:t>12 órán belül: a beteg</w:t>
      </w:r>
      <w:r w:rsidR="00E425DB" w:rsidRPr="008D2CB3">
        <w:rPr>
          <w:szCs w:val="22"/>
        </w:rPr>
        <w:t>nek</w:t>
      </w:r>
      <w:r w:rsidRPr="008D2CB3">
        <w:rPr>
          <w:szCs w:val="22"/>
        </w:rPr>
        <w:t xml:space="preserve"> azonnal </w:t>
      </w:r>
      <w:r w:rsidR="00E425DB" w:rsidRPr="008D2CB3">
        <w:rPr>
          <w:szCs w:val="22"/>
        </w:rPr>
        <w:t xml:space="preserve">be kell vennie </w:t>
      </w:r>
      <w:r w:rsidRPr="008D2CB3">
        <w:rPr>
          <w:szCs w:val="22"/>
        </w:rPr>
        <w:t xml:space="preserve">az adagot, és a következő adagot a szokásos időben </w:t>
      </w:r>
      <w:r w:rsidR="00E425DB" w:rsidRPr="008D2CB3">
        <w:rPr>
          <w:szCs w:val="22"/>
        </w:rPr>
        <w:t>kell bevennie</w:t>
      </w:r>
      <w:r w:rsidRPr="008D2CB3">
        <w:rPr>
          <w:szCs w:val="22"/>
        </w:rPr>
        <w:t>.</w:t>
      </w:r>
    </w:p>
    <w:p w:rsidR="006C3E71" w:rsidRPr="008D2CB3" w:rsidRDefault="00E425DB" w:rsidP="001E7729">
      <w:pPr>
        <w:numPr>
          <w:ilvl w:val="0"/>
          <w:numId w:val="40"/>
        </w:numPr>
        <w:tabs>
          <w:tab w:val="num" w:pos="426"/>
        </w:tabs>
        <w:rPr>
          <w:szCs w:val="22"/>
        </w:rPr>
      </w:pPr>
      <w:r w:rsidRPr="008D2CB3">
        <w:rPr>
          <w:szCs w:val="22"/>
        </w:rPr>
        <w:t xml:space="preserve">Több mint 12 óra elteltével: a </w:t>
      </w:r>
      <w:r w:rsidR="002F7458">
        <w:rPr>
          <w:szCs w:val="22"/>
        </w:rPr>
        <w:t xml:space="preserve">betegnek az </w:t>
      </w:r>
      <w:r w:rsidR="002F7458" w:rsidRPr="000E7F37">
        <w:rPr>
          <w:szCs w:val="22"/>
        </w:rPr>
        <w:t xml:space="preserve">adagot a szokásos </w:t>
      </w:r>
      <w:r w:rsidR="002F7458">
        <w:rPr>
          <w:szCs w:val="22"/>
        </w:rPr>
        <w:t>következő</w:t>
      </w:r>
      <w:r w:rsidR="002F7458" w:rsidRPr="000E7F37">
        <w:rPr>
          <w:szCs w:val="22"/>
        </w:rPr>
        <w:t xml:space="preserve"> időpontban</w:t>
      </w:r>
      <w:r w:rsidRPr="008D2CB3">
        <w:rPr>
          <w:szCs w:val="22"/>
        </w:rPr>
        <w:t xml:space="preserve"> kell bevennie, és nem szabad az adagot megkétszereznie</w:t>
      </w:r>
      <w:r w:rsidR="00FA5C66" w:rsidRPr="008D2CB3">
        <w:rPr>
          <w:szCs w:val="22"/>
        </w:rPr>
        <w:t>.</w:t>
      </w:r>
    </w:p>
    <w:p w:rsidR="006C3E71" w:rsidRPr="008D2CB3" w:rsidRDefault="006C3E71" w:rsidP="001E7729">
      <w:pPr>
        <w:numPr>
          <w:ilvl w:val="12"/>
          <w:numId w:val="0"/>
        </w:numPr>
        <w:ind w:left="567" w:hanging="567"/>
        <w:jc w:val="both"/>
        <w:rPr>
          <w:szCs w:val="22"/>
        </w:rPr>
      </w:pPr>
    </w:p>
    <w:p w:rsidR="00281196" w:rsidRPr="008D2CB3" w:rsidRDefault="00096C1B" w:rsidP="001E7729">
      <w:pPr>
        <w:numPr>
          <w:ilvl w:val="0"/>
          <w:numId w:val="2"/>
        </w:numPr>
        <w:ind w:left="567" w:hanging="567"/>
        <w:rPr>
          <w:szCs w:val="22"/>
        </w:rPr>
      </w:pPr>
      <w:r w:rsidRPr="008D2CB3">
        <w:rPr>
          <w:szCs w:val="22"/>
        </w:rPr>
        <w:t>Gyermek</w:t>
      </w:r>
      <w:r>
        <w:rPr>
          <w:szCs w:val="22"/>
        </w:rPr>
        <w:t>ek</w:t>
      </w:r>
      <w:r w:rsidR="00795A8F">
        <w:rPr>
          <w:szCs w:val="22"/>
        </w:rPr>
        <w:t xml:space="preserve"> és serdülők</w:t>
      </w:r>
    </w:p>
    <w:p w:rsidR="00DD7E06" w:rsidRPr="008D2CB3" w:rsidRDefault="00DD7E06" w:rsidP="001E7729">
      <w:pPr>
        <w:numPr>
          <w:ilvl w:val="12"/>
          <w:numId w:val="0"/>
        </w:numPr>
        <w:ind w:left="567"/>
      </w:pPr>
      <w:r w:rsidRPr="008D2CB3">
        <w:rPr>
          <w:noProof/>
          <w:szCs w:val="22"/>
        </w:rPr>
        <w:t xml:space="preserve">A </w:t>
      </w:r>
      <w:r w:rsidR="00D35361">
        <w:rPr>
          <w:noProof/>
          <w:szCs w:val="22"/>
        </w:rPr>
        <w:t xml:space="preserve">klopidogrél </w:t>
      </w:r>
      <w:r w:rsidRPr="008D2CB3">
        <w:rPr>
          <w:noProof/>
          <w:szCs w:val="22"/>
        </w:rPr>
        <w:t>hatásossági aggályokra való tekintettel gyermekeknél</w:t>
      </w:r>
      <w:r w:rsidR="00D35361">
        <w:rPr>
          <w:noProof/>
          <w:szCs w:val="22"/>
        </w:rPr>
        <w:t xml:space="preserve"> nem </w:t>
      </w:r>
      <w:r w:rsidR="00096C1B">
        <w:rPr>
          <w:noProof/>
          <w:szCs w:val="22"/>
        </w:rPr>
        <w:t>alkalmazható</w:t>
      </w:r>
      <w:r w:rsidR="00D35361">
        <w:rPr>
          <w:noProof/>
          <w:szCs w:val="22"/>
        </w:rPr>
        <w:t xml:space="preserve"> (lásd 5.1</w:t>
      </w:r>
      <w:r w:rsidR="00A50526">
        <w:rPr>
          <w:noProof/>
          <w:szCs w:val="22"/>
        </w:rPr>
        <w:t> </w:t>
      </w:r>
      <w:r w:rsidR="00D35361">
        <w:rPr>
          <w:noProof/>
          <w:szCs w:val="22"/>
        </w:rPr>
        <w:t>pont)</w:t>
      </w:r>
      <w:r w:rsidRPr="008D2CB3">
        <w:rPr>
          <w:noProof/>
          <w:szCs w:val="22"/>
        </w:rPr>
        <w:t>.</w:t>
      </w:r>
      <w:r w:rsidRPr="008D2CB3" w:rsidDel="004444A3">
        <w:rPr>
          <w:noProof/>
          <w:szCs w:val="22"/>
        </w:rPr>
        <w:t xml:space="preserve"> </w:t>
      </w:r>
    </w:p>
    <w:p w:rsidR="00281196" w:rsidRPr="008D2CB3" w:rsidRDefault="00281196" w:rsidP="001E7729">
      <w:pPr>
        <w:numPr>
          <w:ilvl w:val="12"/>
          <w:numId w:val="0"/>
        </w:numPr>
        <w:ind w:left="567"/>
        <w:rPr>
          <w:szCs w:val="22"/>
        </w:rPr>
      </w:pPr>
    </w:p>
    <w:p w:rsidR="00281196" w:rsidRPr="008D2CB3" w:rsidRDefault="00281196" w:rsidP="001E7729">
      <w:pPr>
        <w:numPr>
          <w:ilvl w:val="0"/>
          <w:numId w:val="2"/>
        </w:numPr>
        <w:ind w:left="567" w:hanging="567"/>
        <w:rPr>
          <w:szCs w:val="22"/>
        </w:rPr>
      </w:pPr>
      <w:r w:rsidRPr="008D2CB3">
        <w:rPr>
          <w:szCs w:val="22"/>
        </w:rPr>
        <w:t>Vesekárosodás</w:t>
      </w:r>
    </w:p>
    <w:p w:rsidR="00281196" w:rsidRPr="008D2CB3" w:rsidRDefault="00281196" w:rsidP="001E7729">
      <w:pPr>
        <w:numPr>
          <w:ilvl w:val="12"/>
          <w:numId w:val="0"/>
        </w:numPr>
        <w:ind w:left="567"/>
        <w:rPr>
          <w:szCs w:val="22"/>
        </w:rPr>
      </w:pPr>
      <w:r w:rsidRPr="008D2CB3">
        <w:rPr>
          <w:szCs w:val="22"/>
        </w:rPr>
        <w:t>A terápiás tapasztalat vesekárosodásban szenvedő betegeknél korlátozott (lásd 4.4 pont).</w:t>
      </w:r>
    </w:p>
    <w:p w:rsidR="00281196" w:rsidRPr="008D2CB3" w:rsidRDefault="00281196" w:rsidP="001E7729">
      <w:pPr>
        <w:numPr>
          <w:ilvl w:val="12"/>
          <w:numId w:val="0"/>
        </w:numPr>
        <w:ind w:left="567"/>
        <w:rPr>
          <w:szCs w:val="22"/>
        </w:rPr>
      </w:pPr>
    </w:p>
    <w:p w:rsidR="00281196" w:rsidRPr="008D2CB3" w:rsidRDefault="00281196" w:rsidP="001E7729">
      <w:pPr>
        <w:numPr>
          <w:ilvl w:val="0"/>
          <w:numId w:val="2"/>
        </w:numPr>
        <w:ind w:left="567" w:hanging="567"/>
        <w:rPr>
          <w:szCs w:val="22"/>
        </w:rPr>
      </w:pPr>
      <w:r w:rsidRPr="008D2CB3">
        <w:rPr>
          <w:szCs w:val="22"/>
        </w:rPr>
        <w:t>Májkárosodás</w:t>
      </w:r>
    </w:p>
    <w:p w:rsidR="00281196" w:rsidRPr="008D2CB3" w:rsidRDefault="00281196" w:rsidP="001E7729">
      <w:pPr>
        <w:numPr>
          <w:ilvl w:val="12"/>
          <w:numId w:val="0"/>
        </w:numPr>
        <w:ind w:left="567"/>
        <w:rPr>
          <w:szCs w:val="22"/>
        </w:rPr>
      </w:pPr>
      <w:r w:rsidRPr="008D2CB3">
        <w:rPr>
          <w:szCs w:val="22"/>
        </w:rPr>
        <w:t>A közepesen súlyos májbetegségben szenvedő betegek</w:t>
      </w:r>
      <w:r w:rsidR="00984764" w:rsidRPr="008D2CB3">
        <w:rPr>
          <w:szCs w:val="22"/>
        </w:rPr>
        <w:t>nél</w:t>
      </w:r>
      <w:r w:rsidRPr="008D2CB3">
        <w:rPr>
          <w:szCs w:val="22"/>
        </w:rPr>
        <w:t>, akik</w:t>
      </w:r>
      <w:r w:rsidR="00984764" w:rsidRPr="008D2CB3">
        <w:rPr>
          <w:szCs w:val="22"/>
        </w:rPr>
        <w:t>nél</w:t>
      </w:r>
      <w:r w:rsidRPr="008D2CB3">
        <w:rPr>
          <w:szCs w:val="22"/>
        </w:rPr>
        <w:t xml:space="preserve"> haemorrhagiás diathesis fordulhat elő</w:t>
      </w:r>
      <w:r w:rsidR="00984764" w:rsidRPr="008D2CB3">
        <w:rPr>
          <w:szCs w:val="22"/>
        </w:rPr>
        <w:t>, a terápiás tapasztalat korlátozott</w:t>
      </w:r>
      <w:r w:rsidRPr="008D2CB3">
        <w:rPr>
          <w:szCs w:val="22"/>
        </w:rPr>
        <w:t xml:space="preserve"> (lásd 4.4 pont).</w:t>
      </w:r>
    </w:p>
    <w:p w:rsidR="00DA3CD7" w:rsidRPr="008D2CB3" w:rsidRDefault="00DA3CD7" w:rsidP="001E7729">
      <w:pPr>
        <w:numPr>
          <w:ilvl w:val="12"/>
          <w:numId w:val="0"/>
        </w:numPr>
        <w:rPr>
          <w:szCs w:val="22"/>
          <w:u w:val="single"/>
        </w:rPr>
      </w:pPr>
    </w:p>
    <w:p w:rsidR="00DA3CD7" w:rsidRPr="008D2CB3" w:rsidRDefault="00DA3CD7" w:rsidP="001E7729">
      <w:pPr>
        <w:keepNext/>
        <w:numPr>
          <w:ilvl w:val="12"/>
          <w:numId w:val="0"/>
        </w:numPr>
        <w:rPr>
          <w:szCs w:val="22"/>
          <w:u w:val="single"/>
        </w:rPr>
      </w:pPr>
      <w:r w:rsidRPr="008D2CB3">
        <w:rPr>
          <w:szCs w:val="22"/>
          <w:u w:val="single"/>
        </w:rPr>
        <w:t>A</w:t>
      </w:r>
      <w:r w:rsidR="00D35361">
        <w:rPr>
          <w:szCs w:val="22"/>
          <w:u w:val="single"/>
        </w:rPr>
        <w:t>z a</w:t>
      </w:r>
      <w:r w:rsidRPr="008D2CB3">
        <w:rPr>
          <w:szCs w:val="22"/>
          <w:u w:val="single"/>
        </w:rPr>
        <w:t>lkalmazás módja</w:t>
      </w:r>
    </w:p>
    <w:p w:rsidR="00DA3CD7" w:rsidRPr="008D2CB3" w:rsidRDefault="00DA3CD7" w:rsidP="001E7729">
      <w:pPr>
        <w:keepNext/>
        <w:numPr>
          <w:ilvl w:val="12"/>
          <w:numId w:val="0"/>
        </w:numPr>
        <w:rPr>
          <w:szCs w:val="22"/>
        </w:rPr>
      </w:pPr>
      <w:r w:rsidRPr="008D2CB3">
        <w:rPr>
          <w:szCs w:val="22"/>
        </w:rPr>
        <w:t>Szájon át történő alkalmazásra.</w:t>
      </w:r>
    </w:p>
    <w:p w:rsidR="00DA3CD7" w:rsidRPr="008D2CB3" w:rsidRDefault="00DC0A68" w:rsidP="001E7729">
      <w:pPr>
        <w:numPr>
          <w:ilvl w:val="12"/>
          <w:numId w:val="0"/>
        </w:numPr>
        <w:rPr>
          <w:szCs w:val="22"/>
        </w:rPr>
      </w:pPr>
      <w:r>
        <w:rPr>
          <w:szCs w:val="22"/>
        </w:rPr>
        <w:t xml:space="preserve">Étkezés </w:t>
      </w:r>
      <w:r w:rsidR="002F7458">
        <w:rPr>
          <w:szCs w:val="22"/>
        </w:rPr>
        <w:t>közben és étkezéstől függetlenül</w:t>
      </w:r>
      <w:r w:rsidR="002F7458" w:rsidRPr="000E7F37">
        <w:rPr>
          <w:szCs w:val="22"/>
        </w:rPr>
        <w:t xml:space="preserve"> is</w:t>
      </w:r>
      <w:r w:rsidR="00DA3CD7" w:rsidRPr="008D2CB3">
        <w:rPr>
          <w:szCs w:val="22"/>
        </w:rPr>
        <w:t xml:space="preserve"> bevehető.</w:t>
      </w:r>
    </w:p>
    <w:p w:rsidR="00122217" w:rsidRPr="008D2CB3" w:rsidRDefault="00122217" w:rsidP="001E7729">
      <w:pPr>
        <w:rPr>
          <w:noProof/>
          <w:szCs w:val="22"/>
        </w:rPr>
      </w:pPr>
    </w:p>
    <w:p w:rsidR="00122217" w:rsidRPr="008D2CB3" w:rsidRDefault="00122217" w:rsidP="001E7729">
      <w:pPr>
        <w:rPr>
          <w:b/>
          <w:szCs w:val="22"/>
        </w:rPr>
      </w:pPr>
      <w:r w:rsidRPr="008D2CB3">
        <w:rPr>
          <w:b/>
          <w:szCs w:val="22"/>
        </w:rPr>
        <w:t>4.3</w:t>
      </w:r>
      <w:r w:rsidRPr="008D2CB3">
        <w:rPr>
          <w:b/>
          <w:szCs w:val="22"/>
        </w:rPr>
        <w:tab/>
        <w:t>Ellenjavallatok</w:t>
      </w:r>
    </w:p>
    <w:p w:rsidR="00122217" w:rsidRPr="008D2CB3" w:rsidRDefault="00122217" w:rsidP="001E7729">
      <w:pPr>
        <w:rPr>
          <w:szCs w:val="22"/>
        </w:rPr>
      </w:pPr>
    </w:p>
    <w:p w:rsidR="00122217" w:rsidRPr="008D2CB3" w:rsidRDefault="00281196" w:rsidP="001E7729">
      <w:pPr>
        <w:numPr>
          <w:ilvl w:val="0"/>
          <w:numId w:val="7"/>
        </w:numPr>
        <w:tabs>
          <w:tab w:val="clear" w:pos="510"/>
          <w:tab w:val="num" w:pos="567"/>
        </w:tabs>
        <w:rPr>
          <w:szCs w:val="22"/>
        </w:rPr>
      </w:pPr>
      <w:r w:rsidRPr="008D2CB3">
        <w:rPr>
          <w:noProof/>
        </w:rPr>
        <w:t xml:space="preserve">A </w:t>
      </w:r>
      <w:r w:rsidRPr="008D2CB3">
        <w:rPr>
          <w:szCs w:val="22"/>
        </w:rPr>
        <w:t>készítmény</w:t>
      </w:r>
      <w:r w:rsidRPr="008D2CB3">
        <w:rPr>
          <w:noProof/>
        </w:rPr>
        <w:t xml:space="preserve"> hatóanyagával vagy </w:t>
      </w:r>
      <w:r w:rsidR="00D35361">
        <w:rPr>
          <w:noProof/>
        </w:rPr>
        <w:t>a 2.</w:t>
      </w:r>
      <w:r w:rsidR="00A50526">
        <w:rPr>
          <w:noProof/>
        </w:rPr>
        <w:t> </w:t>
      </w:r>
      <w:r w:rsidR="00D35361">
        <w:rPr>
          <w:noProof/>
        </w:rPr>
        <w:t>pontban vagy a 6.1</w:t>
      </w:r>
      <w:r w:rsidR="00A50526">
        <w:rPr>
          <w:noProof/>
        </w:rPr>
        <w:t> </w:t>
      </w:r>
      <w:r w:rsidR="00D35361">
        <w:rPr>
          <w:noProof/>
        </w:rPr>
        <w:t xml:space="preserve">pontban felsorolt </w:t>
      </w:r>
      <w:r w:rsidRPr="008D2CB3">
        <w:rPr>
          <w:noProof/>
        </w:rPr>
        <w:t>bármely segédanyagával szembeni túlérzékenység</w:t>
      </w:r>
      <w:r w:rsidRPr="008D2CB3">
        <w:rPr>
          <w:szCs w:val="22"/>
        </w:rPr>
        <w:t>.</w:t>
      </w:r>
    </w:p>
    <w:p w:rsidR="00122217" w:rsidRPr="008D2CB3" w:rsidRDefault="00122217" w:rsidP="001E7729">
      <w:pPr>
        <w:numPr>
          <w:ilvl w:val="0"/>
          <w:numId w:val="7"/>
        </w:numPr>
        <w:tabs>
          <w:tab w:val="clear" w:pos="510"/>
          <w:tab w:val="num" w:leader="none" w:pos="567"/>
        </w:tabs>
        <w:rPr>
          <w:szCs w:val="22"/>
        </w:rPr>
      </w:pPr>
      <w:r w:rsidRPr="008D2CB3">
        <w:rPr>
          <w:szCs w:val="22"/>
        </w:rPr>
        <w:t>Súlyos májkárosodás.</w:t>
      </w:r>
    </w:p>
    <w:p w:rsidR="00122217" w:rsidRPr="008D2CB3" w:rsidRDefault="00122217" w:rsidP="001E7729">
      <w:pPr>
        <w:numPr>
          <w:ilvl w:val="0"/>
          <w:numId w:val="7"/>
        </w:numPr>
        <w:tabs>
          <w:tab w:val="clear" w:pos="510"/>
          <w:tab w:val="num" w:leader="none" w:pos="567"/>
        </w:tabs>
        <w:rPr>
          <w:szCs w:val="22"/>
        </w:rPr>
      </w:pPr>
      <w:r w:rsidRPr="008D2CB3">
        <w:rPr>
          <w:szCs w:val="22"/>
        </w:rPr>
        <w:t xml:space="preserve">Aktív patológiás vérzés, úgymint gyomorfekély </w:t>
      </w:r>
      <w:r w:rsidR="00A42947" w:rsidRPr="008D2CB3">
        <w:rPr>
          <w:szCs w:val="22"/>
        </w:rPr>
        <w:t xml:space="preserve">vagy </w:t>
      </w:r>
      <w:r w:rsidRPr="008D2CB3">
        <w:rPr>
          <w:szCs w:val="22"/>
        </w:rPr>
        <w:t>koponyaűri vérzés.</w:t>
      </w:r>
    </w:p>
    <w:p w:rsidR="00122217" w:rsidRPr="008D2CB3" w:rsidRDefault="00122217" w:rsidP="001E7729">
      <w:pPr>
        <w:numPr>
          <w:ilvl w:val="12"/>
          <w:numId w:val="0"/>
        </w:numPr>
        <w:ind w:left="708"/>
        <w:rPr>
          <w:szCs w:val="22"/>
        </w:rPr>
      </w:pPr>
    </w:p>
    <w:p w:rsidR="00122217" w:rsidRPr="008D2CB3" w:rsidRDefault="00122217" w:rsidP="001E7729">
      <w:pPr>
        <w:numPr>
          <w:ilvl w:val="12"/>
          <w:numId w:val="0"/>
        </w:numPr>
        <w:ind w:left="567" w:hanging="567"/>
        <w:rPr>
          <w:b/>
          <w:szCs w:val="22"/>
        </w:rPr>
      </w:pPr>
      <w:r w:rsidRPr="008D2CB3">
        <w:rPr>
          <w:b/>
          <w:szCs w:val="22"/>
        </w:rPr>
        <w:t>4.4</w:t>
      </w:r>
      <w:r w:rsidRPr="008D2CB3">
        <w:rPr>
          <w:b/>
          <w:szCs w:val="22"/>
        </w:rPr>
        <w:tab/>
        <w:t>Különleges figyelmeztetések és az alkalmazással kapcsolatos óvintézkedések</w:t>
      </w:r>
    </w:p>
    <w:p w:rsidR="00122217" w:rsidRPr="008D2CB3" w:rsidRDefault="00122217" w:rsidP="001E7729">
      <w:pPr>
        <w:numPr>
          <w:ilvl w:val="12"/>
          <w:numId w:val="0"/>
        </w:numPr>
        <w:rPr>
          <w:b/>
          <w:szCs w:val="22"/>
        </w:rPr>
      </w:pPr>
    </w:p>
    <w:p w:rsidR="00087DA9" w:rsidRPr="008D2CB3" w:rsidRDefault="00087DA9" w:rsidP="001E7729">
      <w:pPr>
        <w:numPr>
          <w:ilvl w:val="12"/>
          <w:numId w:val="0"/>
        </w:numPr>
        <w:rPr>
          <w:i/>
          <w:szCs w:val="22"/>
        </w:rPr>
      </w:pPr>
      <w:r w:rsidRPr="008D2CB3">
        <w:rPr>
          <w:i/>
          <w:szCs w:val="22"/>
        </w:rPr>
        <w:t>Vérzés és hematológiai betegségek és tünetek</w:t>
      </w:r>
    </w:p>
    <w:p w:rsidR="00122217" w:rsidRPr="008D2CB3" w:rsidRDefault="00122217" w:rsidP="001E7729">
      <w:pPr>
        <w:numPr>
          <w:ilvl w:val="12"/>
          <w:numId w:val="0"/>
        </w:numPr>
        <w:rPr>
          <w:szCs w:val="22"/>
        </w:rPr>
      </w:pPr>
      <w:r w:rsidRPr="008D2CB3">
        <w:rPr>
          <w:szCs w:val="22"/>
        </w:rPr>
        <w:t xml:space="preserve">A vérzés és a hematológiai </w:t>
      </w:r>
      <w:r w:rsidR="00087DA9" w:rsidRPr="008D2CB3">
        <w:rPr>
          <w:szCs w:val="22"/>
        </w:rPr>
        <w:t>mellékhatások</w:t>
      </w:r>
      <w:r w:rsidRPr="008D2CB3">
        <w:rPr>
          <w:szCs w:val="22"/>
        </w:rPr>
        <w:t xml:space="preserve"> fokozott veszélye miatt haladéktalanul meg kell kezdeni a vérkép ellenőrzését és/vagy egyéb szükséges vizsgálatok elvégzését abban az esetben, amikor vérzésre utaló klinikai tünetek jelentkeznek a kezelés során (lásd 4.8 pont). </w:t>
      </w:r>
      <w:r w:rsidR="0037498F">
        <w:rPr>
          <w:szCs w:val="22"/>
        </w:rPr>
        <w:t>Ugyanúgy, mint más thrombocyta-aggregáció-gátló gyógyszerek</w:t>
      </w:r>
      <w:r w:rsidRPr="008D2CB3">
        <w:rPr>
          <w:szCs w:val="22"/>
        </w:rPr>
        <w:t xml:space="preserve"> esetén, trauma, sebészeti beavatkozás vagy más patológiás állapot miatt bekövetkező fokozott vérzési kockázatnak kitett</w:t>
      </w:r>
      <w:r w:rsidR="00276C23" w:rsidRPr="008D2CB3">
        <w:rPr>
          <w:szCs w:val="22"/>
        </w:rPr>
        <w:t xml:space="preserve"> </w:t>
      </w:r>
      <w:r w:rsidRPr="008D2CB3">
        <w:rPr>
          <w:szCs w:val="22"/>
        </w:rPr>
        <w:t xml:space="preserve">betegeknél és ASA, </w:t>
      </w:r>
      <w:r w:rsidR="00DB66EA" w:rsidRPr="008D2CB3">
        <w:rPr>
          <w:szCs w:val="22"/>
        </w:rPr>
        <w:t>heparin, glikoprotein IIb/IIIa</w:t>
      </w:r>
      <w:r w:rsidR="00DC0A68">
        <w:rPr>
          <w:szCs w:val="22"/>
        </w:rPr>
        <w:noBreakHyphen/>
      </w:r>
      <w:r w:rsidR="00DB66EA" w:rsidRPr="008D2CB3">
        <w:rPr>
          <w:szCs w:val="22"/>
        </w:rPr>
        <w:t xml:space="preserve">blokkoló vagy </w:t>
      </w:r>
      <w:r w:rsidRPr="008D2CB3">
        <w:rPr>
          <w:szCs w:val="22"/>
        </w:rPr>
        <w:t>nem</w:t>
      </w:r>
      <w:r w:rsidR="00DC0A68">
        <w:rPr>
          <w:szCs w:val="22"/>
        </w:rPr>
        <w:noBreakHyphen/>
      </w:r>
      <w:r w:rsidRPr="008D2CB3">
        <w:rPr>
          <w:szCs w:val="22"/>
        </w:rPr>
        <w:t>szteroid gyulladásgátló</w:t>
      </w:r>
      <w:r w:rsidR="00420A74" w:rsidRPr="008D2CB3">
        <w:rPr>
          <w:szCs w:val="22"/>
        </w:rPr>
        <w:t xml:space="preserve"> (NSAID-</w:t>
      </w:r>
      <w:r w:rsidR="00984764" w:rsidRPr="008D2CB3">
        <w:rPr>
          <w:szCs w:val="22"/>
        </w:rPr>
        <w:t>o</w:t>
      </w:r>
      <w:r w:rsidR="00420A74" w:rsidRPr="008D2CB3">
        <w:rPr>
          <w:szCs w:val="22"/>
        </w:rPr>
        <w:t>k)</w:t>
      </w:r>
      <w:r w:rsidRPr="008D2CB3">
        <w:rPr>
          <w:szCs w:val="22"/>
        </w:rPr>
        <w:t xml:space="preserve"> </w:t>
      </w:r>
      <w:r w:rsidR="00984764" w:rsidRPr="008D2CB3">
        <w:rPr>
          <w:szCs w:val="22"/>
        </w:rPr>
        <w:t>(</w:t>
      </w:r>
      <w:r w:rsidRPr="008D2CB3">
        <w:rPr>
          <w:szCs w:val="22"/>
        </w:rPr>
        <w:t>beleértve a COX-2 gátlókat</w:t>
      </w:r>
      <w:r w:rsidR="00984764" w:rsidRPr="008D2CB3">
        <w:rPr>
          <w:szCs w:val="22"/>
        </w:rPr>
        <w:t>)</w:t>
      </w:r>
      <w:r w:rsidR="00CF0AEC" w:rsidRPr="00CF0AEC">
        <w:rPr>
          <w:szCs w:val="22"/>
        </w:rPr>
        <w:t xml:space="preserve"> </w:t>
      </w:r>
      <w:r w:rsidR="00CF0AEC">
        <w:rPr>
          <w:szCs w:val="22"/>
        </w:rPr>
        <w:t xml:space="preserve">vagy </w:t>
      </w:r>
      <w:r w:rsidR="00CF0AEC" w:rsidRPr="00955FA2">
        <w:rPr>
          <w:szCs w:val="22"/>
        </w:rPr>
        <w:t>szelektív szerotoninvisszavétel</w:t>
      </w:r>
      <w:r w:rsidR="00DC0A68">
        <w:rPr>
          <w:szCs w:val="22"/>
        </w:rPr>
        <w:noBreakHyphen/>
      </w:r>
      <w:r w:rsidR="00CD01C6" w:rsidRPr="00CD01C6">
        <w:rPr>
          <w:color w:val="333333"/>
          <w:szCs w:val="22"/>
        </w:rPr>
        <w:t xml:space="preserve"> </w:t>
      </w:r>
      <w:r w:rsidR="00CD01C6" w:rsidRPr="009C70A7">
        <w:rPr>
          <w:color w:val="333333"/>
          <w:szCs w:val="22"/>
        </w:rPr>
        <w:t>gátló (SSRI</w:t>
      </w:r>
      <w:r w:rsidR="00CD01C6">
        <w:rPr>
          <w:color w:val="333333"/>
          <w:szCs w:val="22"/>
        </w:rPr>
        <w:t>), erős CYP2C19</w:t>
      </w:r>
      <w:r w:rsidR="00CD01C6">
        <w:rPr>
          <w:color w:val="333333"/>
          <w:szCs w:val="22"/>
        </w:rPr>
        <w:noBreakHyphen/>
        <w:t>induktor vagy</w:t>
      </w:r>
      <w:r w:rsidR="00955FA2">
        <w:rPr>
          <w:color w:val="333333"/>
          <w:szCs w:val="22"/>
        </w:rPr>
        <w:t xml:space="preserve"> egyéb, a vérzés kockázatát</w:t>
      </w:r>
      <w:r w:rsidR="00955FA2" w:rsidRPr="009C70A7">
        <w:rPr>
          <w:szCs w:val="22"/>
        </w:rPr>
        <w:t xml:space="preserve"> </w:t>
      </w:r>
      <w:r w:rsidR="00955FA2">
        <w:rPr>
          <w:szCs w:val="22"/>
        </w:rPr>
        <w:t>fokozó gyógyszerek, mint például a pentoxifillin (lásd 4.5 pont)</w:t>
      </w:r>
      <w:r w:rsidRPr="00955FA2">
        <w:rPr>
          <w:szCs w:val="22"/>
        </w:rPr>
        <w:t xml:space="preserve"> </w:t>
      </w:r>
      <w:r w:rsidRPr="008D2CB3">
        <w:rPr>
          <w:szCs w:val="22"/>
        </w:rPr>
        <w:t xml:space="preserve">kezelésben részesülő betegeknél, a klopidogrélt </w:t>
      </w:r>
      <w:r w:rsidR="00984764" w:rsidRPr="008D2CB3">
        <w:rPr>
          <w:szCs w:val="22"/>
        </w:rPr>
        <w:t>óvatosan</w:t>
      </w:r>
      <w:r w:rsidRPr="008D2CB3">
        <w:rPr>
          <w:szCs w:val="22"/>
        </w:rPr>
        <w:t xml:space="preserve"> kell alkalmazni. A vérzés </w:t>
      </w:r>
      <w:r w:rsidR="00DC0A68">
        <w:rPr>
          <w:szCs w:val="22"/>
        </w:rPr>
        <w:t>–</w:t>
      </w:r>
      <w:r w:rsidRPr="008D2CB3">
        <w:rPr>
          <w:szCs w:val="22"/>
        </w:rPr>
        <w:t xml:space="preserve"> ideértve az okkult vérzést is </w:t>
      </w:r>
      <w:r w:rsidR="00DC0A68">
        <w:rPr>
          <w:szCs w:val="22"/>
        </w:rPr>
        <w:t>–</w:t>
      </w:r>
      <w:r w:rsidRPr="008D2CB3">
        <w:rPr>
          <w:szCs w:val="22"/>
        </w:rPr>
        <w:t xml:space="preserve"> bármely tünetének megfigyelése érdekében a beteget szigorú ellenőrzés alatt kell tartani főleg a kezelés első heteiben és/vagy az invazív kardiológiai beavatkozás vagy műtét után. Klopidogrél és </w:t>
      </w:r>
      <w:r w:rsidR="00CC5884" w:rsidRPr="008D2CB3">
        <w:rPr>
          <w:szCs w:val="22"/>
        </w:rPr>
        <w:t xml:space="preserve">orális antikoaguláns </w:t>
      </w:r>
      <w:r w:rsidRPr="008D2CB3">
        <w:rPr>
          <w:szCs w:val="22"/>
        </w:rPr>
        <w:t>együttadása nem ajánlott, mivel növelheti a vérzések erősségét (lásd 4.5 pont).</w:t>
      </w:r>
    </w:p>
    <w:p w:rsidR="00122217" w:rsidRPr="008D2CB3" w:rsidRDefault="00122217" w:rsidP="001E7729">
      <w:pPr>
        <w:numPr>
          <w:ilvl w:val="12"/>
          <w:numId w:val="0"/>
        </w:numPr>
        <w:rPr>
          <w:szCs w:val="22"/>
        </w:rPr>
      </w:pPr>
    </w:p>
    <w:p w:rsidR="00122217" w:rsidRPr="008D2CB3" w:rsidRDefault="00122217" w:rsidP="001E7729">
      <w:pPr>
        <w:numPr>
          <w:ilvl w:val="12"/>
          <w:numId w:val="0"/>
        </w:numPr>
        <w:tabs>
          <w:tab w:val="left" w:pos="0"/>
        </w:tabs>
        <w:rPr>
          <w:szCs w:val="22"/>
        </w:rPr>
      </w:pPr>
      <w:r w:rsidRPr="008D2CB3">
        <w:rPr>
          <w:szCs w:val="22"/>
        </w:rPr>
        <w:t xml:space="preserve">Ha a betegen elektív sebészeti beavatkozást végeznek és </w:t>
      </w:r>
      <w:r w:rsidR="00D4648E" w:rsidRPr="008D2CB3">
        <w:rPr>
          <w:szCs w:val="22"/>
        </w:rPr>
        <w:t xml:space="preserve">a </w:t>
      </w:r>
      <w:r w:rsidRPr="008D2CB3">
        <w:rPr>
          <w:szCs w:val="22"/>
        </w:rPr>
        <w:t>thrombocytaaggregáció-</w:t>
      </w:r>
      <w:r w:rsidR="00D4648E" w:rsidRPr="008D2CB3">
        <w:rPr>
          <w:szCs w:val="22"/>
        </w:rPr>
        <w:t>gátlás átmenetileg nem kívánatos</w:t>
      </w:r>
      <w:r w:rsidRPr="008D2CB3">
        <w:rPr>
          <w:szCs w:val="22"/>
        </w:rPr>
        <w:t xml:space="preserve">, a klopidogrél alkalmazását 7 nappal a műtét előtt abba kell hagyni. </w:t>
      </w:r>
      <w:r w:rsidR="0080176B" w:rsidRPr="008D2CB3">
        <w:rPr>
          <w:szCs w:val="22"/>
        </w:rPr>
        <w:t xml:space="preserve">A betegeknek </w:t>
      </w:r>
      <w:r w:rsidR="00984764" w:rsidRPr="008D2CB3">
        <w:rPr>
          <w:szCs w:val="22"/>
        </w:rPr>
        <w:t xml:space="preserve">minden tervezett </w:t>
      </w:r>
      <w:r w:rsidR="0080176B" w:rsidRPr="008D2CB3">
        <w:rPr>
          <w:szCs w:val="22"/>
        </w:rPr>
        <w:t>sebészeti beavatkozás</w:t>
      </w:r>
      <w:r w:rsidR="00984764" w:rsidRPr="008D2CB3">
        <w:rPr>
          <w:szCs w:val="22"/>
        </w:rPr>
        <w:t xml:space="preserve"> és minden </w:t>
      </w:r>
      <w:r w:rsidR="0080176B" w:rsidRPr="008D2CB3">
        <w:rPr>
          <w:szCs w:val="22"/>
        </w:rPr>
        <w:t>új gyógyszer szedésének megkezdése előtt</w:t>
      </w:r>
      <w:r w:rsidR="00984764" w:rsidRPr="008D2CB3">
        <w:rPr>
          <w:szCs w:val="22"/>
        </w:rPr>
        <w:t xml:space="preserve"> tájékoztatniuk kell az orvosokat és fogorvosokat a klopidogrél szedéséről</w:t>
      </w:r>
      <w:r w:rsidR="0080176B" w:rsidRPr="008D2CB3">
        <w:rPr>
          <w:szCs w:val="22"/>
        </w:rPr>
        <w:t xml:space="preserve">. </w:t>
      </w:r>
      <w:r w:rsidRPr="008D2CB3">
        <w:rPr>
          <w:szCs w:val="22"/>
        </w:rPr>
        <w:t>A klopidogrél meghosszabbítja a vérzési időt így óvatosan kell alkalmazni vérzésre hajlamosító léziókban (főleg gastrointestinalis és intraocularis).</w:t>
      </w:r>
    </w:p>
    <w:p w:rsidR="00122217" w:rsidRPr="008D2CB3" w:rsidRDefault="00122217" w:rsidP="001E7729">
      <w:pPr>
        <w:numPr>
          <w:ilvl w:val="12"/>
          <w:numId w:val="0"/>
        </w:numPr>
        <w:ind w:left="708"/>
        <w:rPr>
          <w:szCs w:val="22"/>
        </w:rPr>
      </w:pPr>
    </w:p>
    <w:p w:rsidR="00122217" w:rsidRPr="008D2CB3" w:rsidRDefault="00122217" w:rsidP="001E7729">
      <w:pPr>
        <w:numPr>
          <w:ilvl w:val="12"/>
          <w:numId w:val="0"/>
        </w:numPr>
        <w:rPr>
          <w:szCs w:val="22"/>
        </w:rPr>
      </w:pPr>
      <w:r w:rsidRPr="008D2CB3">
        <w:rPr>
          <w:szCs w:val="22"/>
        </w:rPr>
        <w:t xml:space="preserve">A betegeket tájékoztatni kell arról, hogy a vérzés a szokásosnál tovább tarthat klopidogrél szedése esetén (önmagában vagy ASA-val kombinálva) és hogy bármilyen szokatlan vérzésről (hely és időtartam) be kell </w:t>
      </w:r>
      <w:r w:rsidR="0037498F">
        <w:rPr>
          <w:szCs w:val="22"/>
        </w:rPr>
        <w:t>számolni a kezelőorvosnak</w:t>
      </w:r>
      <w:r w:rsidRPr="008D2CB3">
        <w:rPr>
          <w:szCs w:val="22"/>
        </w:rPr>
        <w:t xml:space="preserve">. </w:t>
      </w:r>
    </w:p>
    <w:p w:rsidR="008A6905" w:rsidRPr="008D2CB3" w:rsidRDefault="008A6905" w:rsidP="001E7729">
      <w:pPr>
        <w:keepNext/>
        <w:numPr>
          <w:ilvl w:val="12"/>
          <w:numId w:val="0"/>
        </w:numPr>
        <w:rPr>
          <w:szCs w:val="22"/>
        </w:rPr>
      </w:pPr>
    </w:p>
    <w:p w:rsidR="008A6905" w:rsidRPr="008D2CB3" w:rsidRDefault="008A6905" w:rsidP="001E7729">
      <w:pPr>
        <w:keepNext/>
        <w:numPr>
          <w:ilvl w:val="12"/>
          <w:numId w:val="0"/>
        </w:numPr>
        <w:rPr>
          <w:i/>
          <w:szCs w:val="22"/>
        </w:rPr>
      </w:pPr>
      <w:r w:rsidRPr="008D2CB3">
        <w:rPr>
          <w:i/>
          <w:szCs w:val="22"/>
        </w:rPr>
        <w:t>Thromboticus thrombocytopeniás purpura (TTP)</w:t>
      </w:r>
    </w:p>
    <w:p w:rsidR="00122217" w:rsidRPr="008D2CB3" w:rsidRDefault="00122217" w:rsidP="001E7729">
      <w:pPr>
        <w:keepNext/>
        <w:numPr>
          <w:ilvl w:val="12"/>
          <w:numId w:val="0"/>
        </w:numPr>
        <w:rPr>
          <w:szCs w:val="22"/>
        </w:rPr>
      </w:pPr>
      <w:r w:rsidRPr="008D2CB3">
        <w:rPr>
          <w:szCs w:val="22"/>
        </w:rPr>
        <w:t xml:space="preserve">Thromboticus thrombocytopeniás purpuráról (TTP) klopidogrél alkalmazásával kapcsolatban nagyon ritkán, egyes esetekben rövid expozíciót követően, számoltak be. Jellemzője a thrombocytopenia és a microangiopathiás haemolyticus anaemia neurológiai tünetekkel, renális dysfunctióval vagy lázzal. A TTP </w:t>
      </w:r>
      <w:r w:rsidR="005A651A" w:rsidRPr="008D2CB3">
        <w:rPr>
          <w:szCs w:val="22"/>
        </w:rPr>
        <w:t>potenciálisan életveszélyes állapot, amely azonnali kezelést igényel, a plazmaferézist is beleértve</w:t>
      </w:r>
      <w:r w:rsidRPr="008D2CB3">
        <w:rPr>
          <w:szCs w:val="22"/>
        </w:rPr>
        <w:t xml:space="preserve">. </w:t>
      </w:r>
    </w:p>
    <w:p w:rsidR="004417C5" w:rsidRPr="003346F0" w:rsidRDefault="004417C5" w:rsidP="001E7729">
      <w:pPr>
        <w:pStyle w:val="BodyText2"/>
        <w:jc w:val="left"/>
        <w:rPr>
          <w:b w:val="0"/>
          <w:i/>
          <w:szCs w:val="22"/>
          <w:lang w:val="hu-HU"/>
        </w:rPr>
      </w:pPr>
    </w:p>
    <w:p w:rsidR="004417C5" w:rsidRPr="003346F0" w:rsidRDefault="004417C5" w:rsidP="001E7729">
      <w:pPr>
        <w:pStyle w:val="BodyText2"/>
        <w:jc w:val="left"/>
        <w:rPr>
          <w:b w:val="0"/>
          <w:i/>
          <w:szCs w:val="22"/>
          <w:lang w:val="hu-HU"/>
        </w:rPr>
      </w:pPr>
      <w:r w:rsidRPr="0095451F">
        <w:rPr>
          <w:b w:val="0"/>
          <w:i/>
          <w:szCs w:val="22"/>
          <w:lang w:val="hu-HU"/>
        </w:rPr>
        <w:t>Szerzett</w:t>
      </w:r>
      <w:r w:rsidRPr="003346F0">
        <w:rPr>
          <w:b w:val="0"/>
          <w:i/>
          <w:szCs w:val="22"/>
          <w:lang w:val="hu-HU"/>
        </w:rPr>
        <w:t xml:space="preserve"> haemophilia</w:t>
      </w:r>
    </w:p>
    <w:p w:rsidR="004417C5" w:rsidRDefault="004417C5" w:rsidP="001E7729">
      <w:pPr>
        <w:ind w:right="-29"/>
        <w:rPr>
          <w:szCs w:val="22"/>
        </w:rPr>
      </w:pPr>
      <w:r>
        <w:rPr>
          <w:szCs w:val="22"/>
        </w:rPr>
        <w:t>Szerzett haemophilia eseteiről számoltak be klopidogrél</w:t>
      </w:r>
      <w:r>
        <w:rPr>
          <w:szCs w:val="22"/>
        </w:rPr>
        <w:noBreakHyphen/>
        <w:t xml:space="preserve">kezelést követően. </w:t>
      </w:r>
    </w:p>
    <w:p w:rsidR="004417C5" w:rsidRPr="00CA1539" w:rsidRDefault="004417C5" w:rsidP="001E7729">
      <w:pPr>
        <w:ind w:right="-29"/>
        <w:rPr>
          <w:szCs w:val="22"/>
        </w:rPr>
      </w:pPr>
      <w:r>
        <w:rPr>
          <w:szCs w:val="22"/>
        </w:rPr>
        <w:t xml:space="preserve">A vérzéssel járó vagy anélküli, megnyúlt aktivált parciális thromboplastin idő (aPTT) bizonyítottan izolált eseteiben szerzett haemophiliára kell gondolni. Azokat a betegeket, akiknél a szerzett haemophiliát egyértelműen diagnosztizálták, szakembernek kell kezelni és gyógyítani, a klopidogrélt pedig abba kell hagyni. </w:t>
      </w:r>
    </w:p>
    <w:p w:rsidR="003257CF" w:rsidRDefault="003257CF" w:rsidP="001E7729">
      <w:pPr>
        <w:rPr>
          <w:i/>
          <w:szCs w:val="22"/>
        </w:rPr>
      </w:pPr>
    </w:p>
    <w:p w:rsidR="00D36E68" w:rsidRPr="004661C0" w:rsidRDefault="00D36E68" w:rsidP="00D36E68">
      <w:pPr>
        <w:rPr>
          <w:i/>
        </w:rPr>
      </w:pPr>
      <w:r w:rsidRPr="004661C0">
        <w:rPr>
          <w:i/>
          <w:szCs w:val="22"/>
        </w:rPr>
        <w:t>Friss ischaemiás stroke</w:t>
      </w:r>
    </w:p>
    <w:p w:rsidR="00D36E68" w:rsidRPr="00766867" w:rsidRDefault="00D36E68" w:rsidP="00D36E68">
      <w:pPr>
        <w:numPr>
          <w:ilvl w:val="0"/>
          <w:numId w:val="62"/>
        </w:numPr>
        <w:ind w:left="567" w:hanging="567"/>
        <w:rPr>
          <w:i/>
          <w:iCs/>
          <w:szCs w:val="22"/>
        </w:rPr>
      </w:pPr>
      <w:r w:rsidRPr="00766867">
        <w:rPr>
          <w:i/>
          <w:iCs/>
          <w:szCs w:val="22"/>
        </w:rPr>
        <w:t>A kezelés megkezdése</w:t>
      </w:r>
    </w:p>
    <w:p w:rsidR="00D36E68" w:rsidRDefault="00D36E68" w:rsidP="00D36E68">
      <w:pPr>
        <w:keepNext/>
        <w:numPr>
          <w:ilvl w:val="0"/>
          <w:numId w:val="63"/>
        </w:numPr>
        <w:ind w:left="1701" w:hanging="567"/>
        <w:rPr>
          <w:iCs/>
        </w:rPr>
      </w:pPr>
      <w:r>
        <w:rPr>
          <w:iCs/>
        </w:rPr>
        <w:t>Akut,</w:t>
      </w:r>
      <w:r w:rsidRPr="00C7798D">
        <w:rPr>
          <w:iCs/>
        </w:rPr>
        <w:t xml:space="preserve"> minor </w:t>
      </w:r>
      <w:r>
        <w:rPr>
          <w:iCs/>
        </w:rPr>
        <w:t>IS</w:t>
      </w:r>
      <w:r w:rsidRPr="00C7798D">
        <w:rPr>
          <w:iCs/>
        </w:rPr>
        <w:t>-ban</w:t>
      </w:r>
      <w:r>
        <w:rPr>
          <w:iCs/>
        </w:rPr>
        <w:t xml:space="preserve"> vagy k</w:t>
      </w:r>
      <w:r w:rsidRPr="00C7798D">
        <w:rPr>
          <w:iCs/>
        </w:rPr>
        <w:t xml:space="preserve">özepes vagy </w:t>
      </w:r>
      <w:r>
        <w:rPr>
          <w:iCs/>
        </w:rPr>
        <w:t>magas</w:t>
      </w:r>
      <w:r w:rsidRPr="00C7798D">
        <w:rPr>
          <w:iCs/>
        </w:rPr>
        <w:t xml:space="preserve"> kockázatú TIA-ban</w:t>
      </w:r>
      <w:r>
        <w:rPr>
          <w:iCs/>
        </w:rPr>
        <w:t xml:space="preserve"> szenvedő betegeknél a kettős </w:t>
      </w:r>
      <w:r w:rsidRPr="00674C04">
        <w:rPr>
          <w:iCs/>
        </w:rPr>
        <w:t>thrombocytaaggregáció-gátló kezelés</w:t>
      </w:r>
      <w:r>
        <w:rPr>
          <w:iCs/>
        </w:rPr>
        <w:t>t (klopidogrél+ASA) az eseményt követő 24 órán belül el kell kezdeni.</w:t>
      </w:r>
    </w:p>
    <w:p w:rsidR="00D36E68" w:rsidRDefault="00D36E68" w:rsidP="00D36E68">
      <w:pPr>
        <w:keepNext/>
        <w:numPr>
          <w:ilvl w:val="0"/>
          <w:numId w:val="63"/>
        </w:numPr>
        <w:ind w:left="1701" w:hanging="567"/>
        <w:rPr>
          <w:iCs/>
        </w:rPr>
      </w:pPr>
      <w:r>
        <w:rPr>
          <w:iCs/>
        </w:rPr>
        <w:t xml:space="preserve">A rövidtávú, kettős </w:t>
      </w:r>
      <w:r w:rsidRPr="00674C04">
        <w:rPr>
          <w:iCs/>
        </w:rPr>
        <w:t>thrombocytaaggregáció-gátló kezelé</w:t>
      </w:r>
      <w:r>
        <w:rPr>
          <w:iCs/>
        </w:rPr>
        <w:t>s előnyeiről és kockázatairól nem állnak rendelkezésre adatok akut,</w:t>
      </w:r>
      <w:r w:rsidRPr="00C7798D">
        <w:rPr>
          <w:iCs/>
        </w:rPr>
        <w:t xml:space="preserve"> minor </w:t>
      </w:r>
      <w:r>
        <w:rPr>
          <w:iCs/>
        </w:rPr>
        <w:t>IS</w:t>
      </w:r>
      <w:r w:rsidRPr="00C7798D">
        <w:rPr>
          <w:iCs/>
        </w:rPr>
        <w:t>-ban</w:t>
      </w:r>
      <w:r>
        <w:rPr>
          <w:iCs/>
        </w:rPr>
        <w:t xml:space="preserve"> vagy k</w:t>
      </w:r>
      <w:r w:rsidRPr="00C7798D">
        <w:rPr>
          <w:iCs/>
        </w:rPr>
        <w:t xml:space="preserve">özepes vagy </w:t>
      </w:r>
      <w:r>
        <w:rPr>
          <w:iCs/>
        </w:rPr>
        <w:t>magas</w:t>
      </w:r>
      <w:r w:rsidRPr="00C7798D">
        <w:rPr>
          <w:iCs/>
        </w:rPr>
        <w:t xml:space="preserve"> kockázatú TIA-ban</w:t>
      </w:r>
      <w:r>
        <w:rPr>
          <w:iCs/>
        </w:rPr>
        <w:t xml:space="preserve"> szenvedő olyan betegeknél, akiknek a kórtörténetében (nem traumás eredetű) intracranialis vérzés szerepel.</w:t>
      </w:r>
    </w:p>
    <w:p w:rsidR="00D36E68" w:rsidRDefault="00D36E68" w:rsidP="00D36E68">
      <w:pPr>
        <w:keepNext/>
        <w:numPr>
          <w:ilvl w:val="0"/>
          <w:numId w:val="63"/>
        </w:numPr>
        <w:ind w:left="1701" w:hanging="567"/>
        <w:rPr>
          <w:iCs/>
        </w:rPr>
      </w:pPr>
      <w:r>
        <w:rPr>
          <w:iCs/>
        </w:rPr>
        <w:t>A nem minor IS-ban szenvedő betegeknél a klopidogrél monoterápiát kizárólag az eseményt követő 7 nap után szabad elkezdeni.</w:t>
      </w:r>
    </w:p>
    <w:p w:rsidR="00D36E68" w:rsidRPr="00F37DD5" w:rsidRDefault="00D36E68" w:rsidP="00D36E68">
      <w:pPr>
        <w:numPr>
          <w:ilvl w:val="0"/>
          <w:numId w:val="62"/>
        </w:numPr>
        <w:ind w:left="567" w:hanging="567"/>
        <w:rPr>
          <w:i/>
          <w:iCs/>
          <w:szCs w:val="22"/>
        </w:rPr>
      </w:pPr>
      <w:r w:rsidRPr="00F37DD5">
        <w:rPr>
          <w:i/>
          <w:iCs/>
          <w:szCs w:val="22"/>
        </w:rPr>
        <w:t>Nem minor IS-ban szenvedő betegek (NIHSS&gt;4)</w:t>
      </w:r>
    </w:p>
    <w:p w:rsidR="00D36E68" w:rsidRDefault="00D36E68" w:rsidP="00D36E68">
      <w:pPr>
        <w:keepNext/>
        <w:ind w:left="567"/>
        <w:rPr>
          <w:iCs/>
        </w:rPr>
      </w:pPr>
      <w:r>
        <w:rPr>
          <w:iCs/>
        </w:rPr>
        <w:t xml:space="preserve">Tekintettel arra, hogy nincsenek rendelkezésre álló adatok, a kettős </w:t>
      </w:r>
      <w:r w:rsidRPr="00674C04">
        <w:rPr>
          <w:iCs/>
        </w:rPr>
        <w:t>thrombocytaaggregáció-gátló kezelés</w:t>
      </w:r>
      <w:r>
        <w:rPr>
          <w:iCs/>
        </w:rPr>
        <w:t xml:space="preserve"> nem ajánlott (lásd 4.1 pont).</w:t>
      </w:r>
    </w:p>
    <w:p w:rsidR="00D36E68" w:rsidRPr="00F37DD5" w:rsidRDefault="00D36E68" w:rsidP="00D36E68">
      <w:pPr>
        <w:numPr>
          <w:ilvl w:val="0"/>
          <w:numId w:val="62"/>
        </w:numPr>
        <w:ind w:left="567" w:hanging="567"/>
        <w:rPr>
          <w:i/>
          <w:iCs/>
          <w:szCs w:val="22"/>
        </w:rPr>
      </w:pPr>
      <w:r>
        <w:rPr>
          <w:i/>
          <w:iCs/>
          <w:szCs w:val="22"/>
        </w:rPr>
        <w:t>A k</w:t>
      </w:r>
      <w:r w:rsidRPr="00F37DD5">
        <w:rPr>
          <w:i/>
          <w:iCs/>
          <w:szCs w:val="22"/>
        </w:rPr>
        <w:t>özelmúltban minor IS-en átesett</w:t>
      </w:r>
      <w:r>
        <w:rPr>
          <w:i/>
          <w:iCs/>
          <w:szCs w:val="22"/>
        </w:rPr>
        <w:t>,</w:t>
      </w:r>
      <w:r w:rsidRPr="00F37DD5">
        <w:rPr>
          <w:i/>
          <w:iCs/>
          <w:szCs w:val="22"/>
        </w:rPr>
        <w:t xml:space="preserve"> vagy közepes vagy </w:t>
      </w:r>
      <w:r>
        <w:rPr>
          <w:i/>
          <w:iCs/>
          <w:szCs w:val="22"/>
        </w:rPr>
        <w:t>magas</w:t>
      </w:r>
      <w:r w:rsidRPr="00F37DD5">
        <w:rPr>
          <w:i/>
          <w:iCs/>
          <w:szCs w:val="22"/>
        </w:rPr>
        <w:t xml:space="preserve"> kockázatú TIA-ban szenvedő olyan betegek, akiknél </w:t>
      </w:r>
      <w:r>
        <w:rPr>
          <w:i/>
          <w:iCs/>
          <w:szCs w:val="22"/>
        </w:rPr>
        <w:t>intervenció</w:t>
      </w:r>
      <w:r w:rsidRPr="00F37DD5">
        <w:rPr>
          <w:i/>
          <w:iCs/>
          <w:szCs w:val="22"/>
        </w:rPr>
        <w:t xml:space="preserve"> </w:t>
      </w:r>
      <w:r>
        <w:rPr>
          <w:i/>
          <w:iCs/>
          <w:szCs w:val="22"/>
        </w:rPr>
        <w:t>indikált</w:t>
      </w:r>
      <w:r w:rsidRPr="00F37DD5">
        <w:rPr>
          <w:i/>
          <w:iCs/>
          <w:szCs w:val="22"/>
        </w:rPr>
        <w:t xml:space="preserve"> vagy tervezett</w:t>
      </w:r>
    </w:p>
    <w:p w:rsidR="00D36E68" w:rsidRDefault="00D36E68" w:rsidP="00D36E68">
      <w:pPr>
        <w:keepNext/>
        <w:ind w:left="567"/>
        <w:rPr>
          <w:iCs/>
        </w:rPr>
      </w:pPr>
      <w:r>
        <w:rPr>
          <w:iCs/>
        </w:rPr>
        <w:t xml:space="preserve">Nincsenek a kettős </w:t>
      </w:r>
      <w:r w:rsidRPr="00674C04">
        <w:rPr>
          <w:iCs/>
        </w:rPr>
        <w:t>thrombocytaaggregáció-gátló kezelés</w:t>
      </w:r>
      <w:r>
        <w:rPr>
          <w:iCs/>
        </w:rPr>
        <w:t xml:space="preserve">t alátámasztó adatok olyan betegek esetében, akiknél carotis endarterectomia vagy intravascularis thrombectomia indikált, vagy olyan betegek esetében, akiknél thrombolysist vagy </w:t>
      </w:r>
      <w:r w:rsidRPr="00674C04">
        <w:rPr>
          <w:iCs/>
        </w:rPr>
        <w:t>thrombocytaaggregáció-gátló kezelés</w:t>
      </w:r>
      <w:r>
        <w:rPr>
          <w:iCs/>
        </w:rPr>
        <w:t xml:space="preserve">t terveznek. A kettős </w:t>
      </w:r>
      <w:r w:rsidRPr="00674C04">
        <w:rPr>
          <w:iCs/>
        </w:rPr>
        <w:t>thrombocytaaggregáció-gátló</w:t>
      </w:r>
      <w:r>
        <w:rPr>
          <w:iCs/>
        </w:rPr>
        <w:t xml:space="preserve"> kezelés ezekben az esetekben nem ajánlott.</w:t>
      </w:r>
    </w:p>
    <w:p w:rsidR="00D36E68" w:rsidRDefault="00D36E68" w:rsidP="00D36E68">
      <w:pPr>
        <w:numPr>
          <w:ilvl w:val="12"/>
          <w:numId w:val="0"/>
        </w:numPr>
        <w:rPr>
          <w:szCs w:val="22"/>
        </w:rPr>
      </w:pPr>
    </w:p>
    <w:p w:rsidR="00D36E68" w:rsidRPr="008A6905" w:rsidRDefault="00D36E68" w:rsidP="00D36E68">
      <w:pPr>
        <w:rPr>
          <w:i/>
          <w:szCs w:val="22"/>
        </w:rPr>
      </w:pPr>
      <w:r w:rsidRPr="008A6905">
        <w:rPr>
          <w:i/>
          <w:szCs w:val="22"/>
        </w:rPr>
        <w:t>C</w:t>
      </w:r>
      <w:r>
        <w:rPr>
          <w:i/>
          <w:szCs w:val="22"/>
        </w:rPr>
        <w:t>itokróm</w:t>
      </w:r>
      <w:r w:rsidRPr="008A6905">
        <w:rPr>
          <w:i/>
          <w:szCs w:val="22"/>
        </w:rPr>
        <w:t xml:space="preserve"> P450 2C19 (CYP2C19)</w:t>
      </w:r>
    </w:p>
    <w:p w:rsidR="005D6BC2" w:rsidRPr="008D2CB3" w:rsidRDefault="005D6BC2" w:rsidP="001E7729">
      <w:pPr>
        <w:keepNext/>
        <w:numPr>
          <w:ilvl w:val="12"/>
          <w:numId w:val="0"/>
        </w:numPr>
        <w:rPr>
          <w:szCs w:val="22"/>
        </w:rPr>
      </w:pPr>
      <w:r w:rsidRPr="008D2CB3">
        <w:rPr>
          <w:szCs w:val="22"/>
        </w:rPr>
        <w:t xml:space="preserve">Farmakogenetika: </w:t>
      </w:r>
      <w:r w:rsidR="00502D4D" w:rsidRPr="008D2CB3">
        <w:rPr>
          <w:szCs w:val="22"/>
        </w:rPr>
        <w:t>A gyenge CYP2C19</w:t>
      </w:r>
      <w:r w:rsidR="00502D4D" w:rsidRPr="008D2CB3">
        <w:rPr>
          <w:szCs w:val="22"/>
        </w:rPr>
        <w:noBreakHyphen/>
        <w:t>metabolizáló betegeknél, a klopidogrél előírt adagban történő alkalmazásakor kevesebb aktív klopidogrél</w:t>
      </w:r>
      <w:r w:rsidR="00502D4D" w:rsidRPr="008D2CB3">
        <w:rPr>
          <w:szCs w:val="22"/>
        </w:rPr>
        <w:noBreakHyphen/>
        <w:t>metabolit képződik, és kisebb mértékben hat a thrombocyta-funkcióra</w:t>
      </w:r>
      <w:r w:rsidR="00E77674">
        <w:rPr>
          <w:szCs w:val="22"/>
        </w:rPr>
        <w:t xml:space="preserve">. </w:t>
      </w:r>
      <w:bookmarkStart w:id="2" w:name="_Hlk25679034"/>
      <w:r w:rsidR="00E77674">
        <w:rPr>
          <w:szCs w:val="22"/>
        </w:rPr>
        <w:t xml:space="preserve">Rendelkezésre állnak </w:t>
      </w:r>
      <w:bookmarkEnd w:id="2"/>
      <w:r w:rsidR="00E77674">
        <w:rPr>
          <w:szCs w:val="22"/>
        </w:rPr>
        <w:t>a beteg CYP2C19</w:t>
      </w:r>
      <w:r w:rsidR="00E77674">
        <w:rPr>
          <w:szCs w:val="22"/>
        </w:rPr>
        <w:noBreakHyphen/>
        <w:t xml:space="preserve">genotípusának meghatározására szolgáló vizsgálati módszerek. </w:t>
      </w:r>
    </w:p>
    <w:p w:rsidR="00737C9B" w:rsidRPr="008D2CB3" w:rsidRDefault="00737C9B" w:rsidP="001E7729">
      <w:pPr>
        <w:numPr>
          <w:ilvl w:val="12"/>
          <w:numId w:val="0"/>
        </w:numPr>
        <w:rPr>
          <w:szCs w:val="22"/>
        </w:rPr>
      </w:pPr>
    </w:p>
    <w:p w:rsidR="00290579" w:rsidRDefault="001A2E6A" w:rsidP="00290579">
      <w:pPr>
        <w:rPr>
          <w:szCs w:val="22"/>
        </w:rPr>
      </w:pPr>
      <w:r w:rsidRPr="008D2CB3">
        <w:rPr>
          <w:szCs w:val="22"/>
        </w:rPr>
        <w:t xml:space="preserve">Tekintettel arra, hogy a klopidogrél részben a CYP2C19-en metabolizálódik aktív metabolitjává, </w:t>
      </w:r>
      <w:r w:rsidR="005378D0" w:rsidRPr="008D2CB3">
        <w:rPr>
          <w:szCs w:val="22"/>
        </w:rPr>
        <w:t xml:space="preserve">ezért </w:t>
      </w:r>
      <w:r w:rsidRPr="008D2CB3">
        <w:rPr>
          <w:szCs w:val="22"/>
        </w:rPr>
        <w:t>az</w:t>
      </w:r>
      <w:r w:rsidR="005378D0" w:rsidRPr="008D2CB3">
        <w:rPr>
          <w:szCs w:val="22"/>
        </w:rPr>
        <w:t xml:space="preserve"> ennek az enzimnek a működését gátló </w:t>
      </w:r>
      <w:r w:rsidRPr="008D2CB3">
        <w:rPr>
          <w:szCs w:val="22"/>
        </w:rPr>
        <w:t>gyógyszerek</w:t>
      </w:r>
      <w:r w:rsidR="005378D0" w:rsidRPr="008D2CB3">
        <w:rPr>
          <w:szCs w:val="22"/>
        </w:rPr>
        <w:t xml:space="preserve"> alkalmazása</w:t>
      </w:r>
      <w:r w:rsidRPr="008D2CB3">
        <w:rPr>
          <w:szCs w:val="22"/>
        </w:rPr>
        <w:t xml:space="preserve"> várhatóan a klopidogrél aktív metabolitjának </w:t>
      </w:r>
      <w:r w:rsidR="005378D0" w:rsidRPr="008D2CB3">
        <w:rPr>
          <w:szCs w:val="22"/>
        </w:rPr>
        <w:t>alacsonyabb gyógyszer</w:t>
      </w:r>
      <w:r w:rsidRPr="008D2CB3">
        <w:rPr>
          <w:szCs w:val="22"/>
        </w:rPr>
        <w:t xml:space="preserve">szintjét eredményezi. </w:t>
      </w:r>
      <w:r w:rsidR="004661C0" w:rsidRPr="008D2CB3">
        <w:rPr>
          <w:szCs w:val="22"/>
        </w:rPr>
        <w:t>Ennek az interakciónak bizonytalan a klinikai jelentősége.</w:t>
      </w:r>
      <w:r w:rsidR="0037522B" w:rsidRPr="008D2CB3">
        <w:rPr>
          <w:szCs w:val="22"/>
        </w:rPr>
        <w:t xml:space="preserve"> Óvatosságból </w:t>
      </w:r>
      <w:r w:rsidR="00CD0F67" w:rsidRPr="008D2CB3">
        <w:rPr>
          <w:szCs w:val="22"/>
        </w:rPr>
        <w:t>nem javasolt</w:t>
      </w:r>
      <w:r w:rsidRPr="008D2CB3">
        <w:rPr>
          <w:szCs w:val="22"/>
        </w:rPr>
        <w:t xml:space="preserve"> </w:t>
      </w:r>
      <w:r w:rsidR="00502D4D" w:rsidRPr="008D2CB3">
        <w:rPr>
          <w:szCs w:val="22"/>
        </w:rPr>
        <w:t>az erős vagy közepesen erős CYP2C19</w:t>
      </w:r>
      <w:r w:rsidR="00502D4D" w:rsidRPr="008D2CB3">
        <w:rPr>
          <w:szCs w:val="22"/>
        </w:rPr>
        <w:noBreakHyphen/>
        <w:t>inhibitorok</w:t>
      </w:r>
      <w:r w:rsidRPr="008D2CB3">
        <w:rPr>
          <w:szCs w:val="22"/>
        </w:rPr>
        <w:t xml:space="preserve"> együttes alkalmazása (a CYP2C19 gátlók listáját</w:t>
      </w:r>
      <w:r w:rsidR="005378D0" w:rsidRPr="008D2CB3">
        <w:rPr>
          <w:szCs w:val="22"/>
        </w:rPr>
        <w:t xml:space="preserve"> lásd 4.5 pont</w:t>
      </w:r>
      <w:r w:rsidRPr="008D2CB3">
        <w:rPr>
          <w:szCs w:val="22"/>
        </w:rPr>
        <w:t xml:space="preserve">, lásd </w:t>
      </w:r>
      <w:r w:rsidR="005378D0" w:rsidRPr="008D2CB3">
        <w:rPr>
          <w:szCs w:val="22"/>
        </w:rPr>
        <w:t>még</w:t>
      </w:r>
      <w:r w:rsidRPr="008D2CB3">
        <w:rPr>
          <w:szCs w:val="22"/>
        </w:rPr>
        <w:t xml:space="preserve"> 5.2 pont).</w:t>
      </w:r>
      <w:r w:rsidR="00290579" w:rsidRPr="00290579">
        <w:rPr>
          <w:szCs w:val="22"/>
        </w:rPr>
        <w:t xml:space="preserve"> </w:t>
      </w:r>
    </w:p>
    <w:p w:rsidR="00D36E68" w:rsidRDefault="00D36E68" w:rsidP="00290579">
      <w:pPr>
        <w:rPr>
          <w:szCs w:val="22"/>
        </w:rPr>
      </w:pPr>
    </w:p>
    <w:p w:rsidR="001A2E6A" w:rsidRPr="008D2CB3" w:rsidRDefault="00290579" w:rsidP="00290579">
      <w:pPr>
        <w:rPr>
          <w:szCs w:val="22"/>
        </w:rPr>
      </w:pPr>
      <w:r>
        <w:rPr>
          <w:szCs w:val="22"/>
        </w:rPr>
        <w:t>A CYP2C19 aktivitást indukáló gyógyszerek alkalmazása várhatóan növeli a klopidogrél aktív metabolitjának szintjét és fokozhatja a vérzés kockázatát. Elővigyázatosságból, az erős CYP2C19</w:t>
      </w:r>
      <w:r>
        <w:rPr>
          <w:szCs w:val="22"/>
        </w:rPr>
        <w:noBreakHyphen/>
        <w:t>induktorok együttes alkalmazását kerülni kell (lásd 4.5 pont).</w:t>
      </w:r>
    </w:p>
    <w:p w:rsidR="00955FA2" w:rsidRDefault="00955FA2" w:rsidP="001E7729">
      <w:pPr>
        <w:rPr>
          <w:szCs w:val="22"/>
        </w:rPr>
      </w:pPr>
    </w:p>
    <w:p w:rsidR="00955FA2" w:rsidRDefault="00955FA2" w:rsidP="001E7729">
      <w:pPr>
        <w:rPr>
          <w:i/>
          <w:szCs w:val="22"/>
        </w:rPr>
      </w:pPr>
      <w:r w:rsidRPr="00BD1325">
        <w:rPr>
          <w:i/>
          <w:szCs w:val="22"/>
        </w:rPr>
        <w:t>CYP2C8</w:t>
      </w:r>
      <w:r>
        <w:rPr>
          <w:i/>
          <w:szCs w:val="22"/>
        </w:rPr>
        <w:noBreakHyphen/>
      </w:r>
      <w:r w:rsidRPr="00BD1325">
        <w:rPr>
          <w:i/>
          <w:szCs w:val="22"/>
        </w:rPr>
        <w:t>szubsztrátok</w:t>
      </w:r>
    </w:p>
    <w:p w:rsidR="00955FA2" w:rsidRDefault="00955FA2" w:rsidP="001E7729">
      <w:pPr>
        <w:rPr>
          <w:szCs w:val="22"/>
        </w:rPr>
      </w:pPr>
      <w:r>
        <w:rPr>
          <w:szCs w:val="22"/>
        </w:rPr>
        <w:t>Elővigyázatosság szükséges azoknál a betegeknél, akik egyidejűleg klopidogrél és CYP2C8</w:t>
      </w:r>
      <w:r>
        <w:rPr>
          <w:szCs w:val="22"/>
        </w:rPr>
        <w:noBreakHyphen/>
        <w:t>szubsztrát kezelésben részesülnek (lásd 4.5 pont).</w:t>
      </w:r>
    </w:p>
    <w:p w:rsidR="001A2E6A" w:rsidRDefault="001A2E6A" w:rsidP="001E7729">
      <w:pPr>
        <w:numPr>
          <w:ilvl w:val="12"/>
          <w:numId w:val="0"/>
        </w:numPr>
        <w:rPr>
          <w:szCs w:val="22"/>
        </w:rPr>
      </w:pPr>
    </w:p>
    <w:p w:rsidR="0035201F" w:rsidRPr="00DB67E4" w:rsidRDefault="00CB33A6" w:rsidP="001E7729">
      <w:pPr>
        <w:tabs>
          <w:tab w:val="left" w:pos="2400"/>
          <w:tab w:val="left" w:pos="7280"/>
        </w:tabs>
        <w:ind w:right="-29"/>
        <w:rPr>
          <w:i/>
          <w:szCs w:val="22"/>
        </w:rPr>
      </w:pPr>
      <w:r>
        <w:rPr>
          <w:i/>
          <w:szCs w:val="22"/>
        </w:rPr>
        <w:t xml:space="preserve">Tienopiridinek közötti </w:t>
      </w:r>
      <w:r w:rsidR="0035201F">
        <w:rPr>
          <w:i/>
          <w:szCs w:val="22"/>
        </w:rPr>
        <w:t>kereszt</w:t>
      </w:r>
      <w:r>
        <w:rPr>
          <w:i/>
          <w:szCs w:val="22"/>
        </w:rPr>
        <w:t>reakciók</w:t>
      </w:r>
    </w:p>
    <w:p w:rsidR="0035201F" w:rsidRPr="008D2CB3" w:rsidRDefault="00096C1B" w:rsidP="001E7729">
      <w:pPr>
        <w:tabs>
          <w:tab w:val="left" w:pos="2400"/>
          <w:tab w:val="left" w:pos="7280"/>
        </w:tabs>
        <w:ind w:right="-29"/>
        <w:rPr>
          <w:szCs w:val="22"/>
        </w:rPr>
      </w:pPr>
      <w:r w:rsidRPr="004417C5">
        <w:rPr>
          <w:szCs w:val="22"/>
        </w:rPr>
        <w:t>V</w:t>
      </w:r>
      <w:r w:rsidR="00B52785" w:rsidRPr="004417C5">
        <w:rPr>
          <w:szCs w:val="22"/>
        </w:rPr>
        <w:t xml:space="preserve">izsgálni </w:t>
      </w:r>
      <w:r w:rsidRPr="004417C5">
        <w:rPr>
          <w:szCs w:val="22"/>
        </w:rPr>
        <w:t xml:space="preserve">kell </w:t>
      </w:r>
      <w:r w:rsidR="00B52785" w:rsidRPr="006D0222">
        <w:rPr>
          <w:szCs w:val="22"/>
          <w:shd w:val="clear" w:color="auto" w:fill="FFFFFF"/>
        </w:rPr>
        <w:t>a betegek tienopiridin</w:t>
      </w:r>
      <w:r w:rsidR="00E22580" w:rsidRPr="006D0222">
        <w:rPr>
          <w:szCs w:val="22"/>
          <w:shd w:val="clear" w:color="auto" w:fill="FFFFFF"/>
        </w:rPr>
        <w:t>ekkel</w:t>
      </w:r>
      <w:r w:rsidR="00B52785" w:rsidRPr="006D0222">
        <w:rPr>
          <w:szCs w:val="22"/>
          <w:shd w:val="clear" w:color="auto" w:fill="FFFFFF"/>
        </w:rPr>
        <w:t xml:space="preserve"> (mint a </w:t>
      </w:r>
      <w:r w:rsidR="00E22580" w:rsidRPr="006D0222">
        <w:rPr>
          <w:szCs w:val="22"/>
          <w:shd w:val="clear" w:color="auto" w:fill="FFFFFF"/>
        </w:rPr>
        <w:t xml:space="preserve">klopidogrél, </w:t>
      </w:r>
      <w:r w:rsidR="00B52785" w:rsidRPr="006D0222">
        <w:rPr>
          <w:szCs w:val="22"/>
          <w:shd w:val="clear" w:color="auto" w:fill="FFFFFF"/>
        </w:rPr>
        <w:t xml:space="preserve">tiklopidin, </w:t>
      </w:r>
      <w:r w:rsidR="008120A4" w:rsidRPr="006D0222">
        <w:rPr>
          <w:szCs w:val="22"/>
          <w:shd w:val="clear" w:color="auto" w:fill="FFFFFF"/>
        </w:rPr>
        <w:t>pra</w:t>
      </w:r>
      <w:r w:rsidR="00E22580" w:rsidRPr="006D0222">
        <w:rPr>
          <w:szCs w:val="22"/>
          <w:shd w:val="clear" w:color="auto" w:fill="FFFFFF"/>
        </w:rPr>
        <w:t>z</w:t>
      </w:r>
      <w:r w:rsidR="008120A4" w:rsidRPr="006D0222">
        <w:rPr>
          <w:szCs w:val="22"/>
          <w:shd w:val="clear" w:color="auto" w:fill="FFFFFF"/>
        </w:rPr>
        <w:t>ugr</w:t>
      </w:r>
      <w:r w:rsidR="00E22580" w:rsidRPr="006D0222">
        <w:rPr>
          <w:szCs w:val="22"/>
          <w:shd w:val="clear" w:color="auto" w:fill="FFFFFF"/>
        </w:rPr>
        <w:t>é</w:t>
      </w:r>
      <w:r w:rsidR="008120A4" w:rsidRPr="006D0222">
        <w:rPr>
          <w:szCs w:val="22"/>
          <w:shd w:val="clear" w:color="auto" w:fill="FFFFFF"/>
        </w:rPr>
        <w:t>l</w:t>
      </w:r>
      <w:r w:rsidR="00B52785" w:rsidRPr="006D0222">
        <w:rPr>
          <w:szCs w:val="22"/>
          <w:shd w:val="clear" w:color="auto" w:fill="FFFFFF"/>
        </w:rPr>
        <w:t>) szembeni túlérzékenységre vonatkozó anamnézisét, mivel beszámoltak tienopiridinek közötti allergiás kereszt</w:t>
      </w:r>
      <w:r w:rsidR="00B52785" w:rsidRPr="006D0222">
        <w:rPr>
          <w:szCs w:val="22"/>
          <w:shd w:val="clear" w:color="auto" w:fill="FFFFFF"/>
        </w:rPr>
        <w:noBreakHyphen/>
        <w:t>reaktivitásról (lásd 4.8</w:t>
      </w:r>
      <w:r w:rsidR="00A50526" w:rsidRPr="006D0222">
        <w:rPr>
          <w:szCs w:val="22"/>
          <w:shd w:val="clear" w:color="auto" w:fill="FFFFFF"/>
        </w:rPr>
        <w:t> </w:t>
      </w:r>
      <w:r w:rsidR="00B52785" w:rsidRPr="006D0222">
        <w:rPr>
          <w:szCs w:val="22"/>
          <w:shd w:val="clear" w:color="auto" w:fill="FFFFFF"/>
        </w:rPr>
        <w:t>pont).</w:t>
      </w:r>
      <w:r w:rsidR="00A50526" w:rsidRPr="004417C5">
        <w:rPr>
          <w:szCs w:val="22"/>
          <w:shd w:val="clear" w:color="auto" w:fill="F5F5F5"/>
        </w:rPr>
        <w:t xml:space="preserve"> </w:t>
      </w:r>
      <w:r w:rsidR="00E22580" w:rsidRPr="00FC3597">
        <w:rPr>
          <w:szCs w:val="22"/>
        </w:rPr>
        <w:t>A tienopiridinek olyan közepesen súlyos vagy súlyos allergiás reakciókat okozhatnak, mint a bőrkiütés, angiooedema vagy haematologiai keresztreakciók, mint például a thrombocytopenia és neutropenia. Azoknál a betegeknél, akiknél korábban allergiás reakció és/vagy hematológiai reakció alakult ki egy tienopiridinre, nagyobb lehet egy másik tienop</w:t>
      </w:r>
      <w:r w:rsidR="00C235FB">
        <w:rPr>
          <w:szCs w:val="22"/>
        </w:rPr>
        <w:t>i</w:t>
      </w:r>
      <w:r w:rsidR="00E22580" w:rsidRPr="00FC3597">
        <w:rPr>
          <w:szCs w:val="22"/>
        </w:rPr>
        <w:t>ridinre adott ugyanolyan vagy másmilyen reakció kialakulásának a kockázata. A tienopiridinekre ismerten allergiás betegeknél a túlérzékenyég jeleinek figyelése javasolt.</w:t>
      </w:r>
    </w:p>
    <w:p w:rsidR="00E22580" w:rsidRDefault="00E22580" w:rsidP="001E7729">
      <w:pPr>
        <w:numPr>
          <w:ilvl w:val="12"/>
          <w:numId w:val="0"/>
        </w:numPr>
        <w:rPr>
          <w:i/>
          <w:szCs w:val="22"/>
        </w:rPr>
      </w:pPr>
    </w:p>
    <w:p w:rsidR="007E4A21" w:rsidRPr="008D2CB3" w:rsidRDefault="007E4A21" w:rsidP="001E7729">
      <w:pPr>
        <w:numPr>
          <w:ilvl w:val="12"/>
          <w:numId w:val="0"/>
        </w:numPr>
        <w:rPr>
          <w:i/>
          <w:szCs w:val="22"/>
        </w:rPr>
      </w:pPr>
      <w:r w:rsidRPr="008D2CB3">
        <w:rPr>
          <w:i/>
          <w:szCs w:val="22"/>
        </w:rPr>
        <w:t>Vesekárosodás</w:t>
      </w:r>
    </w:p>
    <w:p w:rsidR="006B4B12" w:rsidRPr="008D2CB3" w:rsidRDefault="006B4B12" w:rsidP="001E7729">
      <w:pPr>
        <w:numPr>
          <w:ilvl w:val="12"/>
          <w:numId w:val="0"/>
        </w:numPr>
        <w:rPr>
          <w:szCs w:val="22"/>
        </w:rPr>
      </w:pPr>
      <w:r w:rsidRPr="008D2CB3">
        <w:rPr>
          <w:szCs w:val="22"/>
        </w:rPr>
        <w:t xml:space="preserve">A terápiás tapasztalat vesekárosodásban szenvedő betegeknél korlátozott. Ezért klopidogrél alkalmazása esetén </w:t>
      </w:r>
      <w:r w:rsidR="005378D0" w:rsidRPr="008D2CB3">
        <w:rPr>
          <w:szCs w:val="22"/>
        </w:rPr>
        <w:t xml:space="preserve">ezeknél a betegeknél </w:t>
      </w:r>
      <w:r w:rsidRPr="008D2CB3">
        <w:rPr>
          <w:szCs w:val="22"/>
        </w:rPr>
        <w:t>óvatosság ajánlott (lásd 4.2 pont).</w:t>
      </w:r>
    </w:p>
    <w:p w:rsidR="006B4B12" w:rsidRPr="008D2CB3" w:rsidRDefault="006B4B12" w:rsidP="001E7729"/>
    <w:p w:rsidR="007E4A21" w:rsidRPr="008D2CB3" w:rsidRDefault="007E4A21" w:rsidP="001E7729">
      <w:pPr>
        <w:rPr>
          <w:i/>
        </w:rPr>
      </w:pPr>
      <w:r w:rsidRPr="008D2CB3">
        <w:rPr>
          <w:i/>
        </w:rPr>
        <w:t>Májkárosodás</w:t>
      </w:r>
    </w:p>
    <w:p w:rsidR="006B4B12" w:rsidRPr="008D2CB3" w:rsidRDefault="006B4B12" w:rsidP="001E7729">
      <w:pPr>
        <w:numPr>
          <w:ilvl w:val="12"/>
          <w:numId w:val="0"/>
        </w:numPr>
        <w:rPr>
          <w:szCs w:val="22"/>
        </w:rPr>
      </w:pPr>
      <w:r w:rsidRPr="008D2CB3">
        <w:rPr>
          <w:szCs w:val="22"/>
        </w:rPr>
        <w:t>A közepesen súlyos májbetegségben szenvedő betegek</w:t>
      </w:r>
      <w:r w:rsidR="008250AD" w:rsidRPr="008D2CB3">
        <w:rPr>
          <w:szCs w:val="22"/>
        </w:rPr>
        <w:t xml:space="preserve">nél, akiknél </w:t>
      </w:r>
      <w:r w:rsidRPr="008D2CB3">
        <w:rPr>
          <w:szCs w:val="22"/>
        </w:rPr>
        <w:t>haemorrhagiás diathesis fordulhat elő</w:t>
      </w:r>
      <w:r w:rsidR="008250AD" w:rsidRPr="008D2CB3">
        <w:rPr>
          <w:szCs w:val="22"/>
        </w:rPr>
        <w:t>, a terápiás tapasztalat korlátozott (lásd 4.4 pont)</w:t>
      </w:r>
      <w:r w:rsidRPr="008D2CB3">
        <w:rPr>
          <w:szCs w:val="22"/>
        </w:rPr>
        <w:t xml:space="preserve">. Ezért </w:t>
      </w:r>
      <w:r w:rsidR="008250AD" w:rsidRPr="008D2CB3">
        <w:rPr>
          <w:szCs w:val="22"/>
        </w:rPr>
        <w:t xml:space="preserve">a </w:t>
      </w:r>
      <w:r w:rsidRPr="008D2CB3">
        <w:rPr>
          <w:szCs w:val="22"/>
        </w:rPr>
        <w:t>klopidogrél</w:t>
      </w:r>
      <w:r w:rsidR="008250AD" w:rsidRPr="008D2CB3">
        <w:rPr>
          <w:szCs w:val="22"/>
        </w:rPr>
        <w:t xml:space="preserve">t </w:t>
      </w:r>
      <w:r w:rsidRPr="008D2CB3">
        <w:rPr>
          <w:szCs w:val="22"/>
        </w:rPr>
        <w:t xml:space="preserve">ebben a betegcsoportban </w:t>
      </w:r>
      <w:r w:rsidR="008250AD" w:rsidRPr="008D2CB3">
        <w:rPr>
          <w:szCs w:val="22"/>
        </w:rPr>
        <w:t xml:space="preserve">óvatosan kell alkalmazni </w:t>
      </w:r>
      <w:r w:rsidRPr="008D2CB3">
        <w:rPr>
          <w:szCs w:val="22"/>
        </w:rPr>
        <w:t>(lásd 4.2 pont).</w:t>
      </w:r>
    </w:p>
    <w:p w:rsidR="006B4B12" w:rsidRPr="008D2CB3" w:rsidRDefault="006B4B12" w:rsidP="001E7729">
      <w:pPr>
        <w:numPr>
          <w:ilvl w:val="12"/>
          <w:numId w:val="0"/>
        </w:numPr>
        <w:rPr>
          <w:szCs w:val="22"/>
        </w:rPr>
      </w:pPr>
    </w:p>
    <w:p w:rsidR="007E4A21" w:rsidRPr="008D2CB3" w:rsidRDefault="007E4A21" w:rsidP="001E7729">
      <w:pPr>
        <w:numPr>
          <w:ilvl w:val="12"/>
          <w:numId w:val="0"/>
        </w:numPr>
        <w:rPr>
          <w:i/>
          <w:szCs w:val="22"/>
        </w:rPr>
      </w:pPr>
      <w:r w:rsidRPr="008D2CB3">
        <w:rPr>
          <w:i/>
          <w:szCs w:val="22"/>
        </w:rPr>
        <w:t>Segédanyagok</w:t>
      </w:r>
    </w:p>
    <w:p w:rsidR="006B4B12" w:rsidRPr="008D2CB3" w:rsidRDefault="006B4B12" w:rsidP="001E7729">
      <w:pPr>
        <w:numPr>
          <w:ilvl w:val="12"/>
          <w:numId w:val="0"/>
        </w:numPr>
      </w:pPr>
      <w:r w:rsidRPr="008D2CB3">
        <w:rPr>
          <w:szCs w:val="22"/>
        </w:rPr>
        <w:t>A</w:t>
      </w:r>
      <w:r w:rsidR="009B10E4" w:rsidRPr="008D2CB3">
        <w:rPr>
          <w:szCs w:val="22"/>
        </w:rPr>
        <w:t>z Iscover</w:t>
      </w:r>
      <w:r w:rsidRPr="008D2CB3">
        <w:rPr>
          <w:szCs w:val="22"/>
        </w:rPr>
        <w:t xml:space="preserve"> laktózt tartalmaz. </w:t>
      </w:r>
      <w:r w:rsidRPr="008D2CB3">
        <w:rPr>
          <w:bCs/>
        </w:rPr>
        <w:t xml:space="preserve">Ritkán előforduló, </w:t>
      </w:r>
      <w:r w:rsidRPr="008D2CB3">
        <w:t xml:space="preserve">örökletes galaktóz intoleranciában, </w:t>
      </w:r>
      <w:r w:rsidR="0027538E">
        <w:t>teljes</w:t>
      </w:r>
      <w:r w:rsidRPr="008D2CB3">
        <w:t xml:space="preserve"> </w:t>
      </w:r>
      <w:r w:rsidR="00290579" w:rsidRPr="008D526C">
        <w:rPr>
          <w:color w:val="000000"/>
        </w:rPr>
        <w:t>laktáz</w:t>
      </w:r>
      <w:r w:rsidR="00290579">
        <w:rPr>
          <w:color w:val="000000"/>
        </w:rPr>
        <w:noBreakHyphen/>
      </w:r>
      <w:r w:rsidR="00290579" w:rsidRPr="008D526C">
        <w:rPr>
          <w:color w:val="000000"/>
        </w:rPr>
        <w:t>hiányban vagy glükóz</w:t>
      </w:r>
      <w:r w:rsidR="00290579" w:rsidRPr="008D526C">
        <w:rPr>
          <w:color w:val="000000"/>
        </w:rPr>
        <w:noBreakHyphen/>
        <w:t>galaktóz malabszorpcióban a készítmény nem szedhető</w:t>
      </w:r>
      <w:r w:rsidRPr="008D2CB3">
        <w:t xml:space="preserve">. </w:t>
      </w:r>
    </w:p>
    <w:p w:rsidR="006B4B12" w:rsidRPr="008D2CB3" w:rsidRDefault="006B4B12" w:rsidP="001E7729">
      <w:pPr>
        <w:numPr>
          <w:ilvl w:val="12"/>
          <w:numId w:val="0"/>
        </w:numPr>
        <w:rPr>
          <w:szCs w:val="22"/>
        </w:rPr>
      </w:pPr>
    </w:p>
    <w:p w:rsidR="006B4B12" w:rsidRPr="008D2CB3" w:rsidRDefault="006B4B12" w:rsidP="001E7729">
      <w:pPr>
        <w:numPr>
          <w:ilvl w:val="12"/>
          <w:numId w:val="0"/>
        </w:numPr>
        <w:rPr>
          <w:szCs w:val="22"/>
        </w:rPr>
      </w:pPr>
      <w:r w:rsidRPr="008D2CB3">
        <w:rPr>
          <w:szCs w:val="22"/>
        </w:rPr>
        <w:t xml:space="preserve">A </w:t>
      </w:r>
      <w:r w:rsidR="00737C9B" w:rsidRPr="008D2CB3">
        <w:rPr>
          <w:szCs w:val="22"/>
        </w:rPr>
        <w:t>gyógyszer</w:t>
      </w:r>
      <w:r w:rsidRPr="008D2CB3">
        <w:rPr>
          <w:szCs w:val="22"/>
        </w:rPr>
        <w:t xml:space="preserve"> hidrogénezett ricinusolajat tartalmaz, mely gyomorpanaszokat és hasmenést okozhat.</w:t>
      </w:r>
    </w:p>
    <w:p w:rsidR="00122217" w:rsidRPr="008D2CB3" w:rsidRDefault="00122217" w:rsidP="001E7729">
      <w:pPr>
        <w:numPr>
          <w:ilvl w:val="12"/>
          <w:numId w:val="0"/>
        </w:numPr>
        <w:rPr>
          <w:szCs w:val="22"/>
        </w:rPr>
      </w:pPr>
    </w:p>
    <w:p w:rsidR="00122217" w:rsidRPr="008D2CB3" w:rsidRDefault="00122217" w:rsidP="001E7729">
      <w:pPr>
        <w:numPr>
          <w:ilvl w:val="1"/>
          <w:numId w:val="8"/>
        </w:numPr>
        <w:tabs>
          <w:tab w:val="clear" w:pos="705"/>
          <w:tab w:val="num" w:pos="567"/>
        </w:tabs>
        <w:rPr>
          <w:b/>
          <w:szCs w:val="22"/>
        </w:rPr>
      </w:pPr>
      <w:r w:rsidRPr="008D2CB3">
        <w:rPr>
          <w:b/>
          <w:szCs w:val="22"/>
        </w:rPr>
        <w:t>Gyógyszerkölcsönhatások és egyéb interakciók</w:t>
      </w:r>
    </w:p>
    <w:p w:rsidR="00122217" w:rsidRDefault="00122217" w:rsidP="001E7729">
      <w:pPr>
        <w:rPr>
          <w:b/>
          <w:szCs w:val="22"/>
        </w:rPr>
      </w:pPr>
    </w:p>
    <w:p w:rsidR="00955FA2" w:rsidRDefault="00955FA2" w:rsidP="001E7729">
      <w:pPr>
        <w:numPr>
          <w:ilvl w:val="12"/>
          <w:numId w:val="0"/>
        </w:numPr>
        <w:rPr>
          <w:i/>
          <w:szCs w:val="22"/>
        </w:rPr>
      </w:pPr>
      <w:r>
        <w:rPr>
          <w:i/>
          <w:szCs w:val="22"/>
        </w:rPr>
        <w:t xml:space="preserve">Vérzési kockázattal járó gyógyszerek: </w:t>
      </w:r>
      <w:r>
        <w:rPr>
          <w:szCs w:val="22"/>
        </w:rPr>
        <w:t>Fokozott a vérzés kockázata a potenciális additív hatás miatt. Óvatosan kell alkalmazni a vérzési kockázattal járó gyógyszerekkel (lásd 4.4 pont).</w:t>
      </w:r>
    </w:p>
    <w:p w:rsidR="00955FA2" w:rsidRPr="008D2CB3" w:rsidRDefault="00955FA2" w:rsidP="001E7729">
      <w:pPr>
        <w:rPr>
          <w:b/>
          <w:szCs w:val="22"/>
        </w:rPr>
      </w:pPr>
    </w:p>
    <w:p w:rsidR="00122217" w:rsidRPr="008D2CB3" w:rsidRDefault="00A20731" w:rsidP="001E7729">
      <w:pPr>
        <w:numPr>
          <w:ilvl w:val="12"/>
          <w:numId w:val="0"/>
        </w:numPr>
        <w:rPr>
          <w:szCs w:val="22"/>
        </w:rPr>
      </w:pPr>
      <w:r w:rsidRPr="008D2CB3">
        <w:rPr>
          <w:i/>
          <w:szCs w:val="22"/>
        </w:rPr>
        <w:t>Orális antikoagulánsok</w:t>
      </w:r>
      <w:r w:rsidR="00122217" w:rsidRPr="008D2CB3">
        <w:rPr>
          <w:i/>
          <w:szCs w:val="22"/>
        </w:rPr>
        <w:t>:</w:t>
      </w:r>
      <w:r w:rsidR="00122217" w:rsidRPr="008D2CB3">
        <w:rPr>
          <w:szCs w:val="22"/>
        </w:rPr>
        <w:t xml:space="preserve"> klopidogrél és </w:t>
      </w:r>
      <w:r w:rsidRPr="008D2CB3">
        <w:rPr>
          <w:szCs w:val="22"/>
        </w:rPr>
        <w:t xml:space="preserve">orális antikoagulánsok </w:t>
      </w:r>
      <w:r w:rsidR="00122217" w:rsidRPr="008D2CB3">
        <w:rPr>
          <w:szCs w:val="22"/>
        </w:rPr>
        <w:t>együttadása nem ajánlott, mivel növelheti a vérzések erősségét (lásd 4.4 pont).</w:t>
      </w:r>
      <w:r w:rsidR="0078310A" w:rsidRPr="008D2CB3">
        <w:rPr>
          <w:szCs w:val="22"/>
        </w:rPr>
        <w:t xml:space="preserve"> </w:t>
      </w:r>
      <w:r w:rsidR="00502D4D" w:rsidRPr="008D2CB3">
        <w:rPr>
          <w:szCs w:val="22"/>
        </w:rPr>
        <w:t>Bár a napi 75 mg-os dózisban alkalmazott klopidogrél a hosszútávú warfarin</w:t>
      </w:r>
      <w:r w:rsidR="00502D4D" w:rsidRPr="008D2CB3">
        <w:rPr>
          <w:szCs w:val="22"/>
        </w:rPr>
        <w:noBreakHyphen/>
        <w:t>kezelésben részesülő betegeknél nem módosította az S-warfarin farmakokinetikáját vagy a Nemzetközi Normalizált Rátát (INR), de a hemosztázisra gyakorolt, egymástól független hatásuk következtében a klopidogrél és a warfarin együttes alkalmazása növeli a vérzéses szövődmények kialakulásának kockázatát.</w:t>
      </w:r>
      <w:r w:rsidR="0078310A" w:rsidRPr="008D2CB3">
        <w:rPr>
          <w:szCs w:val="22"/>
        </w:rPr>
        <w:t xml:space="preserve"> </w:t>
      </w:r>
    </w:p>
    <w:p w:rsidR="00122217" w:rsidRPr="008D2CB3" w:rsidRDefault="00122217" w:rsidP="001E7729">
      <w:pPr>
        <w:tabs>
          <w:tab w:val="left" w:pos="284"/>
          <w:tab w:val="left" w:pos="709"/>
        </w:tabs>
        <w:rPr>
          <w:szCs w:val="22"/>
        </w:rPr>
      </w:pPr>
    </w:p>
    <w:p w:rsidR="00122217" w:rsidRPr="008D2CB3" w:rsidRDefault="00122217" w:rsidP="001E7729">
      <w:pPr>
        <w:numPr>
          <w:ilvl w:val="12"/>
          <w:numId w:val="0"/>
        </w:numPr>
        <w:rPr>
          <w:szCs w:val="22"/>
        </w:rPr>
      </w:pPr>
      <w:r w:rsidRPr="008D2CB3">
        <w:rPr>
          <w:i/>
          <w:szCs w:val="22"/>
        </w:rPr>
        <w:t>Glikoprotein IIb/IIIa</w:t>
      </w:r>
      <w:r w:rsidR="0025079B">
        <w:rPr>
          <w:i/>
          <w:szCs w:val="22"/>
        </w:rPr>
        <w:noBreakHyphen/>
      </w:r>
      <w:r w:rsidRPr="008D2CB3">
        <w:rPr>
          <w:i/>
          <w:szCs w:val="22"/>
        </w:rPr>
        <w:t>blokkolók:</w:t>
      </w:r>
      <w:r w:rsidRPr="008D2CB3">
        <w:rPr>
          <w:szCs w:val="22"/>
        </w:rPr>
        <w:t xml:space="preserve"> </w:t>
      </w:r>
      <w:r w:rsidR="00BC053E" w:rsidRPr="008D2CB3">
        <w:rPr>
          <w:szCs w:val="22"/>
        </w:rPr>
        <w:t xml:space="preserve">a </w:t>
      </w:r>
      <w:r w:rsidRPr="008D2CB3">
        <w:rPr>
          <w:szCs w:val="22"/>
        </w:rPr>
        <w:t xml:space="preserve">klopidogrélt </w:t>
      </w:r>
      <w:r w:rsidR="008250AD" w:rsidRPr="008D2CB3">
        <w:rPr>
          <w:szCs w:val="22"/>
        </w:rPr>
        <w:t>óvatosan</w:t>
      </w:r>
      <w:r w:rsidRPr="008D2CB3">
        <w:rPr>
          <w:szCs w:val="22"/>
        </w:rPr>
        <w:t xml:space="preserve"> kell alkalmazni</w:t>
      </w:r>
      <w:r w:rsidRPr="008D2CB3">
        <w:rPr>
          <w:b/>
          <w:szCs w:val="22"/>
        </w:rPr>
        <w:t xml:space="preserve"> </w:t>
      </w:r>
      <w:r w:rsidR="00BC053E" w:rsidRPr="008D2CB3">
        <w:rPr>
          <w:szCs w:val="22"/>
        </w:rPr>
        <w:t xml:space="preserve">a </w:t>
      </w:r>
      <w:r w:rsidRPr="008D2CB3">
        <w:rPr>
          <w:szCs w:val="22"/>
        </w:rPr>
        <w:t>glikoprotein IIb/IIIa</w:t>
      </w:r>
      <w:r w:rsidR="0025079B">
        <w:rPr>
          <w:szCs w:val="22"/>
        </w:rPr>
        <w:noBreakHyphen/>
      </w:r>
      <w:r w:rsidRPr="008D2CB3">
        <w:rPr>
          <w:szCs w:val="22"/>
        </w:rPr>
        <w:t>blokkoló kezelésben részesülő betegeknél (lásd 4.4 pont).</w:t>
      </w:r>
    </w:p>
    <w:p w:rsidR="00122217" w:rsidRPr="008D2CB3" w:rsidRDefault="00122217" w:rsidP="001E7729">
      <w:pPr>
        <w:tabs>
          <w:tab w:val="left" w:pos="284"/>
          <w:tab w:val="left" w:pos="709"/>
        </w:tabs>
        <w:rPr>
          <w:b/>
          <w:szCs w:val="22"/>
        </w:rPr>
      </w:pPr>
    </w:p>
    <w:p w:rsidR="00122217" w:rsidRPr="008D2CB3" w:rsidRDefault="00122217" w:rsidP="001E7729">
      <w:pPr>
        <w:tabs>
          <w:tab w:val="left" w:pos="284"/>
          <w:tab w:val="left" w:pos="709"/>
        </w:tabs>
        <w:rPr>
          <w:szCs w:val="22"/>
        </w:rPr>
      </w:pPr>
      <w:r w:rsidRPr="008D2CB3">
        <w:rPr>
          <w:i/>
          <w:szCs w:val="22"/>
        </w:rPr>
        <w:t>Acetilszalicilsav (ASA):</w:t>
      </w:r>
      <w:r w:rsidRPr="008D2CB3">
        <w:rPr>
          <w:szCs w:val="22"/>
        </w:rPr>
        <w:t xml:space="preserve"> az ASA nem változtatja meg az ADP-indukálta thrombocytaaggregáció klopidogrél által közvetített gátlását, azonban a klopidogrél fokozta az ASA kollagén indukálta thrombocytaaggregációra kifejtett hatását. Mindamellett egy napig együttesen adott napi kétszer 500</w:t>
      </w:r>
      <w:r w:rsidR="006C1870" w:rsidRPr="008D2CB3">
        <w:rPr>
          <w:szCs w:val="22"/>
        </w:rPr>
        <w:t> </w:t>
      </w:r>
      <w:r w:rsidRPr="008D2CB3">
        <w:rPr>
          <w:szCs w:val="22"/>
        </w:rPr>
        <w:t>mg ASA nem növelte szignifikánsan a klopidogrél által meghosszabbított vérzési időt. Farmakodinámiás interakció lehetséges az ASA és a klopidogrél között, ami a vérzések fokozott kockázatához vezet. Ezért együttadásuk során fokozott elővigyázatosság szükséges. (lásd 4.4 pont). Ugyanakkor, egy évig együtt adagoltak klopidogrélt és ASA-t (lásd 5.1 pont).</w:t>
      </w:r>
    </w:p>
    <w:p w:rsidR="00122217" w:rsidRPr="008D2CB3" w:rsidRDefault="00122217" w:rsidP="001E7729">
      <w:pPr>
        <w:tabs>
          <w:tab w:val="left" w:pos="284"/>
          <w:tab w:val="left" w:pos="709"/>
        </w:tabs>
        <w:rPr>
          <w:szCs w:val="22"/>
        </w:rPr>
      </w:pPr>
    </w:p>
    <w:p w:rsidR="00122217" w:rsidRPr="008D2CB3" w:rsidRDefault="00122217" w:rsidP="001E7729">
      <w:pPr>
        <w:rPr>
          <w:szCs w:val="22"/>
        </w:rPr>
      </w:pPr>
      <w:r w:rsidRPr="008D2CB3">
        <w:rPr>
          <w:i/>
          <w:szCs w:val="22"/>
        </w:rPr>
        <w:t>Heparin:</w:t>
      </w:r>
      <w:r w:rsidRPr="008D2CB3">
        <w:rPr>
          <w:szCs w:val="22"/>
        </w:rPr>
        <w:t xml:space="preserve"> egészséges önkéntesekkel végzett klinikai vizsgálatban a klopidogrél nem tette szükségessé a heparin adagjának megváltoztatását és nem befolyásolta a heparin koagulációra gyakorolt hatását. Heparin együttes adása nem változtatta meg a klopidogrél thrombocytaaggregáció-gátló hatását. Farmakodinámiai interakció lehetséges a heparin és a klopidogrél között, ami a vérzések fokozott kockázatához vezet, ezért együttes adagolásuk fokozott elővigyázatosságot igényel (lásd 4.4 pont).</w:t>
      </w:r>
    </w:p>
    <w:p w:rsidR="00122217" w:rsidRPr="008D2CB3" w:rsidRDefault="00122217" w:rsidP="001E7729">
      <w:pPr>
        <w:rPr>
          <w:szCs w:val="22"/>
        </w:rPr>
      </w:pPr>
    </w:p>
    <w:p w:rsidR="00122217" w:rsidRPr="008D2CB3" w:rsidRDefault="00122217" w:rsidP="001E7729">
      <w:pPr>
        <w:rPr>
          <w:szCs w:val="22"/>
        </w:rPr>
      </w:pPr>
      <w:r w:rsidRPr="008D2CB3">
        <w:rPr>
          <w:i/>
          <w:szCs w:val="22"/>
        </w:rPr>
        <w:t>Trombol</w:t>
      </w:r>
      <w:r w:rsidR="0027538E">
        <w:rPr>
          <w:i/>
          <w:szCs w:val="22"/>
        </w:rPr>
        <w:t>i</w:t>
      </w:r>
      <w:r w:rsidRPr="008D2CB3">
        <w:rPr>
          <w:i/>
          <w:szCs w:val="22"/>
        </w:rPr>
        <w:t>tikumok:</w:t>
      </w:r>
      <w:r w:rsidRPr="008D2CB3">
        <w:rPr>
          <w:szCs w:val="22"/>
        </w:rPr>
        <w:t xml:space="preserve"> a klopidogrél, fibrin vagy nem fibrin specifikus trombol</w:t>
      </w:r>
      <w:r w:rsidR="0027538E">
        <w:rPr>
          <w:szCs w:val="22"/>
        </w:rPr>
        <w:t>i</w:t>
      </w:r>
      <w:r w:rsidRPr="008D2CB3">
        <w:rPr>
          <w:szCs w:val="22"/>
        </w:rPr>
        <w:t>tikus szerek és heparinok együttes adásának biztonságosságát akut myocardialis infarctuson átesett betegekben vizsgálták. Klinikailag jelentős vérzések hasonló gyakorisággal fordultak elő ebben az esetben, mint amikor trombol</w:t>
      </w:r>
      <w:r w:rsidR="0027538E">
        <w:rPr>
          <w:szCs w:val="22"/>
        </w:rPr>
        <w:t>i</w:t>
      </w:r>
      <w:r w:rsidRPr="008D2CB3">
        <w:rPr>
          <w:szCs w:val="22"/>
        </w:rPr>
        <w:t>tikus szereket és heparint ASA-val együtt alkalmaztak (lásd 4.8 pont).</w:t>
      </w:r>
    </w:p>
    <w:p w:rsidR="00122217" w:rsidRPr="008D2CB3" w:rsidRDefault="00122217" w:rsidP="001E7729">
      <w:pPr>
        <w:jc w:val="both"/>
        <w:rPr>
          <w:szCs w:val="22"/>
        </w:rPr>
      </w:pPr>
    </w:p>
    <w:p w:rsidR="00122217" w:rsidRPr="008D2CB3" w:rsidRDefault="007F2389" w:rsidP="001E7729">
      <w:pPr>
        <w:rPr>
          <w:szCs w:val="22"/>
        </w:rPr>
      </w:pPr>
      <w:r>
        <w:rPr>
          <w:i/>
          <w:szCs w:val="22"/>
        </w:rPr>
        <w:t>Nem</w:t>
      </w:r>
      <w:r w:rsidR="0027538E">
        <w:rPr>
          <w:i/>
          <w:szCs w:val="22"/>
        </w:rPr>
        <w:noBreakHyphen/>
      </w:r>
      <w:r>
        <w:rPr>
          <w:i/>
          <w:szCs w:val="22"/>
        </w:rPr>
        <w:t>szteroid gyulladásgátlók (</w:t>
      </w:r>
      <w:r w:rsidR="00122217" w:rsidRPr="008D2CB3">
        <w:rPr>
          <w:i/>
          <w:szCs w:val="22"/>
        </w:rPr>
        <w:t>NSAID</w:t>
      </w:r>
      <w:r>
        <w:rPr>
          <w:i/>
          <w:szCs w:val="22"/>
        </w:rPr>
        <w:noBreakHyphen/>
        <w:t>ok)</w:t>
      </w:r>
      <w:r w:rsidR="00122217" w:rsidRPr="008D2CB3">
        <w:rPr>
          <w:i/>
          <w:szCs w:val="22"/>
        </w:rPr>
        <w:t>:</w:t>
      </w:r>
      <w:r w:rsidR="00122217" w:rsidRPr="008D2CB3">
        <w:rPr>
          <w:szCs w:val="22"/>
        </w:rPr>
        <w:t xml:space="preserve"> egészséges önkéntesekkel végzett klinikai vizsgálatban klopidogrél és naproxén együttadása fokozta az okkult gastrointestinalis vérzést. Azonban, mivel más NSAID-okkal kölcsönhatás vizsgálatot nem végeztek, jelenleg nem tisztázott, hogy fennáll-e a gastrointestinalis vérzés fokozott kockázata minden NSAID esetén. Következésképpen a NSAID-okat beleértve a COX-2 gátlókat és a klopidogrélt óvatosan kell együtt adni (lásd 4.4 pont).</w:t>
      </w:r>
    </w:p>
    <w:p w:rsidR="007F2389" w:rsidRDefault="007F2389" w:rsidP="001E7729">
      <w:pPr>
        <w:rPr>
          <w:szCs w:val="22"/>
        </w:rPr>
      </w:pPr>
    </w:p>
    <w:p w:rsidR="007F2389" w:rsidRPr="00A07CF4" w:rsidRDefault="007F2389" w:rsidP="001E7729">
      <w:pPr>
        <w:rPr>
          <w:szCs w:val="22"/>
        </w:rPr>
      </w:pPr>
      <w:r w:rsidRPr="00A07CF4">
        <w:rPr>
          <w:i/>
          <w:szCs w:val="22"/>
        </w:rPr>
        <w:t>Szelektív szerotoninvisszavétel</w:t>
      </w:r>
      <w:r w:rsidR="0027538E">
        <w:rPr>
          <w:i/>
          <w:szCs w:val="22"/>
        </w:rPr>
        <w:noBreakHyphen/>
      </w:r>
      <w:r w:rsidRPr="00A07CF4">
        <w:rPr>
          <w:i/>
          <w:szCs w:val="22"/>
        </w:rPr>
        <w:t xml:space="preserve">gátlók (selective serotonin reuptake inhibitors=SSRI-k): </w:t>
      </w:r>
      <w:r w:rsidRPr="00A07CF4">
        <w:rPr>
          <w:szCs w:val="22"/>
        </w:rPr>
        <w:t>mivel az SSRI</w:t>
      </w:r>
      <w:r w:rsidRPr="00A07CF4">
        <w:rPr>
          <w:szCs w:val="22"/>
        </w:rPr>
        <w:noBreakHyphen/>
        <w:t>k hatást gyakorolnak a t</w:t>
      </w:r>
      <w:r w:rsidR="00890F32" w:rsidRPr="00A07CF4">
        <w:rPr>
          <w:szCs w:val="22"/>
        </w:rPr>
        <w:t>h</w:t>
      </w:r>
      <w:r w:rsidRPr="00A07CF4">
        <w:rPr>
          <w:szCs w:val="22"/>
        </w:rPr>
        <w:t>rombocyta</w:t>
      </w:r>
      <w:r w:rsidR="0027538E">
        <w:rPr>
          <w:szCs w:val="22"/>
        </w:rPr>
        <w:noBreakHyphen/>
      </w:r>
      <w:r w:rsidRPr="00A07CF4">
        <w:rPr>
          <w:szCs w:val="22"/>
        </w:rPr>
        <w:t>aktivációra és növelik a vérzés kockázatát az SSRI-k és a klopidogr</w:t>
      </w:r>
      <w:r w:rsidR="00101012">
        <w:rPr>
          <w:szCs w:val="22"/>
        </w:rPr>
        <w:t>é</w:t>
      </w:r>
      <w:r w:rsidRPr="00A07CF4">
        <w:rPr>
          <w:szCs w:val="22"/>
        </w:rPr>
        <w:t xml:space="preserve">l egyidejű alkalmazása óvatosságot igényel. </w:t>
      </w:r>
    </w:p>
    <w:p w:rsidR="007F2389" w:rsidRPr="005C0194" w:rsidRDefault="007F2389" w:rsidP="001E7729">
      <w:pPr>
        <w:rPr>
          <w:i/>
          <w:szCs w:val="22"/>
        </w:rPr>
      </w:pPr>
      <w:r w:rsidRPr="005C0194">
        <w:rPr>
          <w:i/>
          <w:color w:val="333333"/>
          <w:szCs w:val="22"/>
        </w:rPr>
        <w:t xml:space="preserve"> </w:t>
      </w:r>
    </w:p>
    <w:p w:rsidR="00122217" w:rsidRPr="008D2CB3" w:rsidRDefault="00122217" w:rsidP="001E7729">
      <w:pPr>
        <w:rPr>
          <w:szCs w:val="22"/>
        </w:rPr>
      </w:pPr>
    </w:p>
    <w:p w:rsidR="00290579" w:rsidRDefault="00122217" w:rsidP="00290579">
      <w:pPr>
        <w:rPr>
          <w:szCs w:val="22"/>
        </w:rPr>
      </w:pPr>
      <w:r w:rsidRPr="008D2CB3">
        <w:rPr>
          <w:i/>
          <w:szCs w:val="22"/>
        </w:rPr>
        <w:t>Egyéb együttadott gyógyszerek:</w:t>
      </w:r>
      <w:r w:rsidRPr="008D2CB3">
        <w:rPr>
          <w:szCs w:val="22"/>
        </w:rPr>
        <w:t xml:space="preserve"> </w:t>
      </w:r>
    </w:p>
    <w:p w:rsidR="00290579" w:rsidRDefault="00290579" w:rsidP="00290579">
      <w:pPr>
        <w:rPr>
          <w:szCs w:val="22"/>
        </w:rPr>
      </w:pPr>
    </w:p>
    <w:p w:rsidR="00290579" w:rsidRDefault="00290579" w:rsidP="00290579">
      <w:pPr>
        <w:rPr>
          <w:szCs w:val="22"/>
        </w:rPr>
      </w:pPr>
      <w:r>
        <w:rPr>
          <w:szCs w:val="22"/>
        </w:rPr>
        <w:t>CYP2C19</w:t>
      </w:r>
      <w:r>
        <w:rPr>
          <w:szCs w:val="22"/>
        </w:rPr>
        <w:noBreakHyphen/>
        <w:t>induktorok</w:t>
      </w:r>
    </w:p>
    <w:p w:rsidR="00290579" w:rsidRDefault="00290579" w:rsidP="00290579">
      <w:pPr>
        <w:rPr>
          <w:szCs w:val="22"/>
        </w:rPr>
      </w:pPr>
      <w:r>
        <w:rPr>
          <w:szCs w:val="22"/>
        </w:rPr>
        <w:t>Mivel a klopidogrél részben a CYP2C19-en metabolizálódik aktív metabolitjává, ezért az ezen enzim működését indukáló gyógyszerek alkalmazása várhatóan magasabb klopidogrél aktív metabolitszintet eredményez.</w:t>
      </w:r>
    </w:p>
    <w:p w:rsidR="00290579" w:rsidRDefault="00290579" w:rsidP="00290579">
      <w:pPr>
        <w:rPr>
          <w:szCs w:val="22"/>
        </w:rPr>
      </w:pPr>
    </w:p>
    <w:p w:rsidR="00290579" w:rsidRDefault="00290579" w:rsidP="00290579">
      <w:pPr>
        <w:rPr>
          <w:szCs w:val="22"/>
        </w:rPr>
      </w:pPr>
      <w:r>
        <w:rPr>
          <w:szCs w:val="22"/>
        </w:rPr>
        <w:t>A rifampicin erős CYP2C19</w:t>
      </w:r>
      <w:r>
        <w:rPr>
          <w:szCs w:val="22"/>
        </w:rPr>
        <w:noBreakHyphen/>
        <w:t>induktor, ami emelkedett klopidogrél aktív metabolitszintet és fokozott thrombocytaaggregáció-gátlást eredményez, amely még inkább fokozhatja a vérzés kockázatát. Elővigyázatosságból az erős CYP2C19</w:t>
      </w:r>
      <w:r>
        <w:rPr>
          <w:szCs w:val="22"/>
        </w:rPr>
        <w:noBreakHyphen/>
        <w:t>induktorok együttes alkalmazását kerülni kell (lásd 4.4 pont).</w:t>
      </w:r>
    </w:p>
    <w:p w:rsidR="00290579" w:rsidRDefault="00290579" w:rsidP="00290579">
      <w:pPr>
        <w:rPr>
          <w:szCs w:val="22"/>
        </w:rPr>
      </w:pPr>
    </w:p>
    <w:p w:rsidR="00737C9B" w:rsidRPr="008D2CB3" w:rsidRDefault="00290579" w:rsidP="001E7729">
      <w:pPr>
        <w:rPr>
          <w:szCs w:val="22"/>
        </w:rPr>
      </w:pPr>
      <w:r w:rsidRPr="00B1592A">
        <w:rPr>
          <w:szCs w:val="22"/>
        </w:rPr>
        <w:t>CYP2C19</w:t>
      </w:r>
      <w:r>
        <w:rPr>
          <w:szCs w:val="22"/>
        </w:rPr>
        <w:t>-gátlók</w:t>
      </w:r>
    </w:p>
    <w:p w:rsidR="00737C9B" w:rsidRPr="008D2CB3" w:rsidRDefault="00737C9B" w:rsidP="001E7729">
      <w:pPr>
        <w:rPr>
          <w:szCs w:val="22"/>
        </w:rPr>
      </w:pPr>
      <w:r w:rsidRPr="008D2CB3">
        <w:rPr>
          <w:szCs w:val="22"/>
        </w:rPr>
        <w:t xml:space="preserve">Tekintettel arra, hogy a </w:t>
      </w:r>
      <w:r w:rsidR="000B261F" w:rsidRPr="008D2CB3">
        <w:rPr>
          <w:szCs w:val="22"/>
        </w:rPr>
        <w:t>klopidogrél részben a CYP2C19-en metabolizálódik aktív metabolitjává,</w:t>
      </w:r>
      <w:r w:rsidR="00633FDD" w:rsidRPr="008D2CB3">
        <w:rPr>
          <w:szCs w:val="22"/>
        </w:rPr>
        <w:t xml:space="preserve"> ezért az ennek az enzimnek a működését gátló </w:t>
      </w:r>
      <w:r w:rsidR="000B261F" w:rsidRPr="008D2CB3">
        <w:rPr>
          <w:szCs w:val="22"/>
        </w:rPr>
        <w:t>gyógyszerek</w:t>
      </w:r>
      <w:r w:rsidR="00633FDD" w:rsidRPr="008D2CB3">
        <w:rPr>
          <w:szCs w:val="22"/>
        </w:rPr>
        <w:t xml:space="preserve"> alkalmazása </w:t>
      </w:r>
      <w:r w:rsidR="000B261F" w:rsidRPr="008D2CB3">
        <w:rPr>
          <w:szCs w:val="22"/>
        </w:rPr>
        <w:t>várhatóan</w:t>
      </w:r>
      <w:r w:rsidR="004F49E2" w:rsidRPr="008D2CB3">
        <w:rPr>
          <w:szCs w:val="22"/>
        </w:rPr>
        <w:t xml:space="preserve"> a klopidogrél aktív metabolitjának </w:t>
      </w:r>
      <w:r w:rsidR="00633FDD" w:rsidRPr="008D2CB3">
        <w:rPr>
          <w:szCs w:val="22"/>
        </w:rPr>
        <w:t>alacsonyabb gyógyszer</w:t>
      </w:r>
      <w:r w:rsidR="004F49E2" w:rsidRPr="008D2CB3">
        <w:rPr>
          <w:szCs w:val="22"/>
        </w:rPr>
        <w:t>szintjét eredményez</w:t>
      </w:r>
      <w:r w:rsidR="00AD7640" w:rsidRPr="008D2CB3">
        <w:rPr>
          <w:szCs w:val="22"/>
        </w:rPr>
        <w:t>i</w:t>
      </w:r>
      <w:r w:rsidR="004F49E2" w:rsidRPr="008D2CB3">
        <w:rPr>
          <w:szCs w:val="22"/>
        </w:rPr>
        <w:t xml:space="preserve">. </w:t>
      </w:r>
      <w:r w:rsidR="000C5898" w:rsidRPr="008D2CB3">
        <w:rPr>
          <w:szCs w:val="22"/>
        </w:rPr>
        <w:t xml:space="preserve">Ennek az interakciónak bizonytalan a klinikai jelentősége. Óvatosságból </w:t>
      </w:r>
      <w:r w:rsidR="00502D4D" w:rsidRPr="008D2CB3">
        <w:rPr>
          <w:szCs w:val="22"/>
        </w:rPr>
        <w:t>az erős vagy közepesen erős CYP2C19</w:t>
      </w:r>
      <w:r w:rsidR="00502D4D" w:rsidRPr="008D2CB3">
        <w:rPr>
          <w:szCs w:val="22"/>
        </w:rPr>
        <w:noBreakHyphen/>
        <w:t xml:space="preserve">inhibitorok együttes alkalmazását kerülni kell </w:t>
      </w:r>
      <w:r w:rsidR="004F49E2" w:rsidRPr="008D2CB3">
        <w:rPr>
          <w:szCs w:val="22"/>
        </w:rPr>
        <w:t xml:space="preserve">(lásd </w:t>
      </w:r>
      <w:r w:rsidR="00B1592A" w:rsidRPr="008D2CB3">
        <w:rPr>
          <w:szCs w:val="22"/>
        </w:rPr>
        <w:t xml:space="preserve">4.4 és </w:t>
      </w:r>
      <w:r w:rsidR="004F49E2" w:rsidRPr="008D2CB3">
        <w:rPr>
          <w:szCs w:val="22"/>
        </w:rPr>
        <w:t>5.2 pont).</w:t>
      </w:r>
    </w:p>
    <w:p w:rsidR="000C5898" w:rsidRPr="008D2CB3" w:rsidRDefault="000C5898" w:rsidP="001E7729">
      <w:pPr>
        <w:rPr>
          <w:szCs w:val="22"/>
        </w:rPr>
      </w:pPr>
    </w:p>
    <w:p w:rsidR="00B1592A" w:rsidRPr="008D2CB3" w:rsidRDefault="00B1592A" w:rsidP="001E7729">
      <w:pPr>
        <w:tabs>
          <w:tab w:val="left" w:pos="2400"/>
          <w:tab w:val="left" w:pos="7280"/>
        </w:tabs>
        <w:ind w:right="-29"/>
        <w:rPr>
          <w:szCs w:val="22"/>
        </w:rPr>
      </w:pPr>
      <w:r w:rsidRPr="008D2CB3">
        <w:rPr>
          <w:szCs w:val="22"/>
        </w:rPr>
        <w:t>A</w:t>
      </w:r>
      <w:r w:rsidR="0042311E">
        <w:rPr>
          <w:szCs w:val="22"/>
        </w:rPr>
        <w:t>z erős vagy közepesen erős</w:t>
      </w:r>
      <w:r w:rsidRPr="008D2CB3">
        <w:rPr>
          <w:szCs w:val="22"/>
        </w:rPr>
        <w:t xml:space="preserve"> CYP2C19</w:t>
      </w:r>
      <w:r w:rsidR="00633FDD" w:rsidRPr="008D2CB3">
        <w:rPr>
          <w:szCs w:val="22"/>
        </w:rPr>
        <w:t>-</w:t>
      </w:r>
      <w:r w:rsidRPr="008D2CB3">
        <w:rPr>
          <w:szCs w:val="22"/>
        </w:rPr>
        <w:t>gátló</w:t>
      </w:r>
      <w:r w:rsidR="0042311E">
        <w:rPr>
          <w:szCs w:val="22"/>
        </w:rPr>
        <w:t xml:space="preserve"> gyógyszere</w:t>
      </w:r>
      <w:r w:rsidRPr="008D2CB3">
        <w:rPr>
          <w:szCs w:val="22"/>
        </w:rPr>
        <w:t xml:space="preserve">k közé tartoznak </w:t>
      </w:r>
      <w:r w:rsidR="0042311E">
        <w:rPr>
          <w:szCs w:val="22"/>
        </w:rPr>
        <w:t xml:space="preserve">például </w:t>
      </w:r>
      <w:r w:rsidRPr="008D2CB3">
        <w:rPr>
          <w:szCs w:val="22"/>
        </w:rPr>
        <w:t xml:space="preserve">az omeprazol, ezomeprazol, fluvoxamin, fluoxetin, moklobemid, vorikonazol, flukonazol, tiklopidin, karbamazepin, </w:t>
      </w:r>
      <w:r w:rsidR="00633FDD" w:rsidRPr="008D2CB3">
        <w:rPr>
          <w:szCs w:val="22"/>
        </w:rPr>
        <w:t>és</w:t>
      </w:r>
      <w:r w:rsidR="005107BA" w:rsidRPr="008D2CB3">
        <w:rPr>
          <w:szCs w:val="22"/>
        </w:rPr>
        <w:t xml:space="preserve"> </w:t>
      </w:r>
      <w:r w:rsidR="0042311E">
        <w:rPr>
          <w:szCs w:val="22"/>
        </w:rPr>
        <w:t>efavirenz</w:t>
      </w:r>
      <w:r w:rsidRPr="008D2CB3">
        <w:rPr>
          <w:szCs w:val="22"/>
        </w:rPr>
        <w:t>.</w:t>
      </w:r>
    </w:p>
    <w:p w:rsidR="00B1592A" w:rsidRPr="008D2CB3" w:rsidRDefault="00B1592A" w:rsidP="001E7729">
      <w:pPr>
        <w:tabs>
          <w:tab w:val="left" w:pos="2400"/>
          <w:tab w:val="left" w:pos="7280"/>
        </w:tabs>
        <w:ind w:right="-29"/>
        <w:rPr>
          <w:szCs w:val="22"/>
        </w:rPr>
      </w:pPr>
    </w:p>
    <w:p w:rsidR="007C1954" w:rsidRDefault="00425361" w:rsidP="001E7729">
      <w:pPr>
        <w:tabs>
          <w:tab w:val="left" w:pos="2400"/>
          <w:tab w:val="left" w:pos="7280"/>
        </w:tabs>
        <w:ind w:right="-29"/>
        <w:rPr>
          <w:szCs w:val="22"/>
        </w:rPr>
      </w:pPr>
      <w:r>
        <w:rPr>
          <w:szCs w:val="22"/>
        </w:rPr>
        <w:t>Protonpumpa-gátlók (PPI/proton pump inhibitors)</w:t>
      </w:r>
    </w:p>
    <w:p w:rsidR="00417978" w:rsidRPr="008D2CB3" w:rsidRDefault="00417978" w:rsidP="001E7729">
      <w:pPr>
        <w:tabs>
          <w:tab w:val="left" w:pos="2400"/>
          <w:tab w:val="left" w:pos="7280"/>
        </w:tabs>
        <w:ind w:right="-29"/>
        <w:rPr>
          <w:szCs w:val="22"/>
        </w:rPr>
      </w:pPr>
      <w:r w:rsidRPr="008D2CB3">
        <w:rPr>
          <w:szCs w:val="22"/>
        </w:rPr>
        <w:t xml:space="preserve">A klopidogréllel egyidőben vagy 12 órás különbséggel naponta egyszer alkalmazott 80 mg omeprazol az aktív metabolit expozícióját telítő adag esetén 45%-kal és fenntartó adag esetén 40%-kal csökkentette. A csökkenés </w:t>
      </w:r>
      <w:r w:rsidRPr="00123EBC">
        <w:rPr>
          <w:szCs w:val="22"/>
          <w:lang w:eastAsia="es-ES"/>
        </w:rPr>
        <w:t>a</w:t>
      </w:r>
      <w:r w:rsidRPr="008D2CB3">
        <w:rPr>
          <w:szCs w:val="22"/>
        </w:rPr>
        <w:t xml:space="preserve"> thrombocytaaggregáció</w:t>
      </w:r>
      <w:r w:rsidR="00947C46">
        <w:rPr>
          <w:szCs w:val="22"/>
        </w:rPr>
        <w:noBreakHyphen/>
      </w:r>
      <w:r w:rsidRPr="008D2CB3">
        <w:rPr>
          <w:szCs w:val="22"/>
        </w:rPr>
        <w:t>gátlás 39%-os (telítő adag) és 21%-os (fenntartó adag) csökkenésével járt. Az ezomeprazol várhatóan hasonló interakciót ad klopidogréllel.</w:t>
      </w:r>
    </w:p>
    <w:p w:rsidR="00417978" w:rsidRPr="008D2CB3" w:rsidRDefault="00417978" w:rsidP="001E7729">
      <w:pPr>
        <w:tabs>
          <w:tab w:val="left" w:pos="2400"/>
          <w:tab w:val="left" w:pos="7280"/>
        </w:tabs>
        <w:ind w:right="-29"/>
        <w:rPr>
          <w:szCs w:val="22"/>
        </w:rPr>
      </w:pPr>
    </w:p>
    <w:p w:rsidR="00417978" w:rsidRPr="008D2CB3" w:rsidRDefault="00417978" w:rsidP="001E7729">
      <w:pPr>
        <w:tabs>
          <w:tab w:val="left" w:pos="2400"/>
          <w:tab w:val="left" w:pos="7280"/>
        </w:tabs>
        <w:ind w:right="-29"/>
        <w:rPr>
          <w:szCs w:val="22"/>
        </w:rPr>
      </w:pPr>
      <w:r w:rsidRPr="008D2CB3">
        <w:rPr>
          <w:szCs w:val="22"/>
        </w:rPr>
        <w:t>Ennek a farmakokinetikai/farmakodinámiai interakciónak a fő cardiovascularis eseményekre vonatkozó klinikai jelentőségéről a megfigyeléses és klinikai vizsgálatok során ellentmondásos adatokat jelentettek. Óvatosságból az omeprazol vagy ezomeprazol klopidogréllel történő együttadása nem javasolt (lásd 4.4 pont).</w:t>
      </w:r>
    </w:p>
    <w:p w:rsidR="00417978" w:rsidRPr="008D2CB3" w:rsidRDefault="00417978" w:rsidP="001E7729">
      <w:pPr>
        <w:tabs>
          <w:tab w:val="left" w:pos="2400"/>
          <w:tab w:val="left" w:pos="7280"/>
        </w:tabs>
        <w:ind w:right="-29"/>
        <w:rPr>
          <w:i/>
          <w:szCs w:val="22"/>
        </w:rPr>
      </w:pPr>
    </w:p>
    <w:p w:rsidR="00417978" w:rsidRPr="008D2CB3" w:rsidRDefault="00417978" w:rsidP="001E7729">
      <w:pPr>
        <w:tabs>
          <w:tab w:val="left" w:pos="2400"/>
          <w:tab w:val="left" w:pos="7280"/>
        </w:tabs>
        <w:ind w:right="-29"/>
        <w:rPr>
          <w:szCs w:val="22"/>
        </w:rPr>
      </w:pPr>
      <w:r w:rsidRPr="008D2CB3">
        <w:rPr>
          <w:szCs w:val="22"/>
        </w:rPr>
        <w:t>A pantoprazol és a lanzoprazol esetében, a metabolitexpozíció kevésbé kifejezett csökkenését figyelték meg.</w:t>
      </w:r>
    </w:p>
    <w:p w:rsidR="00417978" w:rsidRPr="008D2CB3" w:rsidRDefault="00417978" w:rsidP="001E7729">
      <w:pPr>
        <w:tabs>
          <w:tab w:val="left" w:pos="2400"/>
          <w:tab w:val="left" w:pos="7280"/>
        </w:tabs>
        <w:ind w:right="-29"/>
        <w:rPr>
          <w:szCs w:val="22"/>
        </w:rPr>
      </w:pPr>
      <w:r w:rsidRPr="008D2CB3">
        <w:rPr>
          <w:szCs w:val="22"/>
        </w:rPr>
        <w:t>A napi egyszeri 80 mg pantoprazollal történő egyidejű kezelés mellett az aktív metabolit plazma koncentrációja 20%-kal (telítő adag) és 14%-kal (fenntartó adag) csökkent. Ez az átlagos thrombocytaaggregáció</w:t>
      </w:r>
      <w:r w:rsidR="00947C46">
        <w:rPr>
          <w:szCs w:val="22"/>
        </w:rPr>
        <w:noBreakHyphen/>
      </w:r>
      <w:r w:rsidRPr="008D2CB3">
        <w:rPr>
          <w:szCs w:val="22"/>
        </w:rPr>
        <w:t>gátlás sorrendben 15%-os és 11%-os csökkenésével járt. Ezek az eredmények arra utalnak, hogy a klopidogrél alkalmazható pantoprazollal együtt.</w:t>
      </w:r>
    </w:p>
    <w:p w:rsidR="00417978" w:rsidRPr="008D2CB3" w:rsidRDefault="00417978" w:rsidP="001E7729">
      <w:pPr>
        <w:tabs>
          <w:tab w:val="left" w:pos="2400"/>
          <w:tab w:val="left" w:pos="7280"/>
        </w:tabs>
        <w:ind w:right="-29"/>
        <w:rPr>
          <w:szCs w:val="22"/>
        </w:rPr>
      </w:pPr>
    </w:p>
    <w:p w:rsidR="00B1592A" w:rsidRPr="008D2CB3" w:rsidRDefault="003220C4" w:rsidP="001E7729">
      <w:pPr>
        <w:numPr>
          <w:ilvl w:val="12"/>
          <w:numId w:val="0"/>
        </w:numPr>
        <w:rPr>
          <w:szCs w:val="22"/>
        </w:rPr>
      </w:pPr>
      <w:r w:rsidRPr="008D2CB3">
        <w:rPr>
          <w:szCs w:val="22"/>
        </w:rPr>
        <w:t>Nincs bizonyíték arra vonatkozóan, hogy egyéb savcsökkentők</w:t>
      </w:r>
      <w:r w:rsidR="000C5898" w:rsidRPr="008D2CB3">
        <w:rPr>
          <w:szCs w:val="22"/>
        </w:rPr>
        <w:t>,</w:t>
      </w:r>
      <w:r w:rsidRPr="008D2CB3">
        <w:rPr>
          <w:szCs w:val="22"/>
        </w:rPr>
        <w:t xml:space="preserve"> mint pl. H2-gátlók</w:t>
      </w:r>
      <w:r w:rsidR="000C5898" w:rsidRPr="008D2CB3">
        <w:rPr>
          <w:szCs w:val="22"/>
        </w:rPr>
        <w:t xml:space="preserve"> </w:t>
      </w:r>
      <w:r w:rsidRPr="008D2CB3">
        <w:rPr>
          <w:szCs w:val="22"/>
        </w:rPr>
        <w:t xml:space="preserve">vagy antacidumok befolyásolnák a klopidogrél </w:t>
      </w:r>
      <w:r w:rsidR="00411E5E" w:rsidRPr="008D2CB3">
        <w:rPr>
          <w:szCs w:val="22"/>
        </w:rPr>
        <w:t>thrombocytaaggregáció</w:t>
      </w:r>
      <w:r w:rsidR="00947C46">
        <w:rPr>
          <w:szCs w:val="22"/>
        </w:rPr>
        <w:noBreakHyphen/>
      </w:r>
      <w:r w:rsidR="00411E5E" w:rsidRPr="008D2CB3">
        <w:rPr>
          <w:szCs w:val="22"/>
        </w:rPr>
        <w:t>gátló</w:t>
      </w:r>
      <w:r w:rsidRPr="008D2CB3">
        <w:rPr>
          <w:szCs w:val="22"/>
        </w:rPr>
        <w:t xml:space="preserve"> hatását.</w:t>
      </w:r>
    </w:p>
    <w:p w:rsidR="00E77674" w:rsidRDefault="00E77674" w:rsidP="00E77674">
      <w:pPr>
        <w:rPr>
          <w:szCs w:val="22"/>
        </w:rPr>
      </w:pPr>
      <w:bookmarkStart w:id="3" w:name="_Hlk25679083"/>
    </w:p>
    <w:p w:rsidR="00E77674" w:rsidRDefault="00E77674" w:rsidP="00317468">
      <w:pPr>
        <w:keepNext/>
        <w:rPr>
          <w:szCs w:val="22"/>
        </w:rPr>
      </w:pPr>
      <w:bookmarkStart w:id="4" w:name="_Hlk25679066"/>
      <w:r>
        <w:rPr>
          <w:szCs w:val="22"/>
        </w:rPr>
        <w:t>Felerősített hatású, antiretrovirális kezelés (boosted anti</w:t>
      </w:r>
      <w:r>
        <w:rPr>
          <w:szCs w:val="22"/>
        </w:rPr>
        <w:noBreakHyphen/>
        <w:t xml:space="preserve">retroviral therapy, ART): A felerősített hatású, antiretrovirális kezelést (ART) kapó HIV betegeknél a vascularis események kockázata magas. </w:t>
      </w:r>
    </w:p>
    <w:p w:rsidR="00E77674" w:rsidRDefault="00E77674" w:rsidP="00E77674">
      <w:pPr>
        <w:rPr>
          <w:szCs w:val="22"/>
        </w:rPr>
      </w:pPr>
    </w:p>
    <w:p w:rsidR="00E77674" w:rsidRDefault="00E77674" w:rsidP="00E77674">
      <w:pPr>
        <w:rPr>
          <w:szCs w:val="22"/>
        </w:rPr>
      </w:pPr>
      <w:r>
        <w:t>S</w:t>
      </w:r>
      <w:r>
        <w:rPr>
          <w:szCs w:val="22"/>
        </w:rPr>
        <w:t>zignifikánsan nagyobb thrombocyta-gátlás csökkenését figyelték meg</w:t>
      </w:r>
      <w:r>
        <w:t xml:space="preserve"> ritonavirrel vagy kobicisztáttal felerősített hatású ART</w:t>
      </w:r>
      <w:r>
        <w:noBreakHyphen/>
        <w:t xml:space="preserve">kezelést kapó HIV betegeknél. </w:t>
      </w:r>
      <w:r>
        <w:rPr>
          <w:szCs w:val="22"/>
        </w:rPr>
        <w:t>Habár ezen eredmények klinikai relevanciája bizonytalan, ritonavirrel felerősített hatású ART-t kapó HIV-fertőzött betegeknél a telítő adagolási séma szerint alkalmazott klopidogrél kezelés alatt tapasztalt</w:t>
      </w:r>
      <w:r>
        <w:t>,</w:t>
      </w:r>
      <w:r>
        <w:rPr>
          <w:szCs w:val="22"/>
        </w:rPr>
        <w:t xml:space="preserve"> az elzáródás megszűntetését kővetően jelentkező ismételt elzáródással kapcsolatos eseményekkel vagy thromboticus események</w:t>
      </w:r>
      <w:r>
        <w:t>kel</w:t>
      </w:r>
      <w:r>
        <w:rPr>
          <w:szCs w:val="22"/>
        </w:rPr>
        <w:t xml:space="preserve"> kapcsolatos spontán jelentések érkezt</w:t>
      </w:r>
      <w:r>
        <w:t xml:space="preserve">ek. </w:t>
      </w:r>
      <w:r>
        <w:rPr>
          <w:szCs w:val="22"/>
        </w:rPr>
        <w:t>Az átlagos thrombocyta</w:t>
      </w:r>
      <w:r>
        <w:rPr>
          <w:szCs w:val="22"/>
        </w:rPr>
        <w:noBreakHyphen/>
        <w:t>gátlás, a klopidogrél vagy a ritonavir együttes alkalmazásával csökkenhet, ezért a klopidogrél felerősített hatású ART-vel történő együttes alkalmazását kerülni kell.</w:t>
      </w:r>
    </w:p>
    <w:bookmarkEnd w:id="3"/>
    <w:bookmarkEnd w:id="4"/>
    <w:p w:rsidR="00D67433" w:rsidRPr="008D2CB3" w:rsidRDefault="00D67433" w:rsidP="001E7729">
      <w:pPr>
        <w:rPr>
          <w:szCs w:val="22"/>
        </w:rPr>
      </w:pPr>
    </w:p>
    <w:p w:rsidR="00D816E2" w:rsidRPr="008D2CB3" w:rsidRDefault="00D816E2" w:rsidP="001E7729">
      <w:pPr>
        <w:rPr>
          <w:szCs w:val="22"/>
        </w:rPr>
      </w:pPr>
      <w:r w:rsidRPr="008D2CB3">
        <w:rPr>
          <w:szCs w:val="22"/>
        </w:rPr>
        <w:t>Egyéb gyógyszerek:</w:t>
      </w:r>
    </w:p>
    <w:p w:rsidR="00122217" w:rsidRPr="008D2CB3" w:rsidRDefault="00122217" w:rsidP="001E7729">
      <w:pPr>
        <w:rPr>
          <w:szCs w:val="22"/>
        </w:rPr>
      </w:pPr>
      <w:r w:rsidRPr="008D2CB3">
        <w:rPr>
          <w:szCs w:val="22"/>
        </w:rPr>
        <w:t>Számos más klinikai vizsgálatot végeztek klopidogréllel és egyéb együttadott gyógyszer</w:t>
      </w:r>
      <w:r w:rsidR="006B4B12" w:rsidRPr="008D2CB3">
        <w:rPr>
          <w:szCs w:val="22"/>
        </w:rPr>
        <w:t>ekkel</w:t>
      </w:r>
      <w:r w:rsidRPr="008D2CB3">
        <w:rPr>
          <w:szCs w:val="22"/>
        </w:rPr>
        <w:t xml:space="preserve"> a lehetséges farmakodinámiás és farmakokinetikai kölcsönhatások vizsgálatára. Nem figyeltek meg klinikailag szignifikáns farmakodinámiás kölcsönhatást, amikor klopidogrélt együtt adtak atenolollal, nifedipinnel illetve atenolollal és nifedipinnel együtt. Továbbá a klopidogrél farmakodinámiás hatását nem befolyásolta szignifikánsan fenobarbitál vagy ösztrogén együttadása.</w:t>
      </w:r>
    </w:p>
    <w:p w:rsidR="00122217" w:rsidRPr="008D2CB3" w:rsidRDefault="00122217" w:rsidP="001E7729">
      <w:pPr>
        <w:numPr>
          <w:ilvl w:val="12"/>
          <w:numId w:val="0"/>
        </w:numPr>
        <w:ind w:left="708"/>
        <w:rPr>
          <w:szCs w:val="22"/>
        </w:rPr>
      </w:pPr>
    </w:p>
    <w:p w:rsidR="00122217" w:rsidRPr="008D2CB3" w:rsidRDefault="00122217" w:rsidP="001E7729">
      <w:pPr>
        <w:numPr>
          <w:ilvl w:val="12"/>
          <w:numId w:val="0"/>
        </w:numPr>
        <w:ind w:right="-1"/>
        <w:rPr>
          <w:szCs w:val="22"/>
        </w:rPr>
      </w:pPr>
      <w:r w:rsidRPr="008D2CB3">
        <w:rPr>
          <w:szCs w:val="22"/>
        </w:rPr>
        <w:t>A digoxin vagy a teofillin farmakokinetikáját klopidogréllel történő együttadás nem változtatta meg. Antacidumok nem változtatták meg a klopidogrél felszívódásának mértékét.</w:t>
      </w:r>
    </w:p>
    <w:p w:rsidR="00122217" w:rsidRPr="008D2CB3" w:rsidRDefault="00122217" w:rsidP="001E7729">
      <w:pPr>
        <w:numPr>
          <w:ilvl w:val="12"/>
          <w:numId w:val="0"/>
        </w:numPr>
        <w:rPr>
          <w:szCs w:val="22"/>
        </w:rPr>
      </w:pPr>
    </w:p>
    <w:p w:rsidR="00417978" w:rsidRPr="008D2CB3" w:rsidRDefault="00417978" w:rsidP="001E7729">
      <w:pPr>
        <w:numPr>
          <w:ilvl w:val="12"/>
          <w:numId w:val="0"/>
        </w:numPr>
        <w:rPr>
          <w:szCs w:val="22"/>
        </w:rPr>
      </w:pPr>
      <w:r w:rsidRPr="008D2CB3">
        <w:rPr>
          <w:szCs w:val="22"/>
        </w:rPr>
        <w:t>A CAPRIE</w:t>
      </w:r>
      <w:r w:rsidR="007E67D5">
        <w:rPr>
          <w:szCs w:val="22"/>
        </w:rPr>
        <w:t xml:space="preserve"> </w:t>
      </w:r>
      <w:r w:rsidRPr="008D2CB3">
        <w:rPr>
          <w:szCs w:val="22"/>
        </w:rPr>
        <w:t>vizsgálat adatai szerint a CYP2C9 által metabolizált fenitoin és tolbutamid biztonságosan adható együtt klopidogréllel.</w:t>
      </w:r>
    </w:p>
    <w:p w:rsidR="0074518E" w:rsidRDefault="0074518E" w:rsidP="001E7729">
      <w:pPr>
        <w:numPr>
          <w:ilvl w:val="12"/>
          <w:numId w:val="0"/>
        </w:numPr>
        <w:rPr>
          <w:szCs w:val="22"/>
        </w:rPr>
      </w:pPr>
    </w:p>
    <w:p w:rsidR="0074518E" w:rsidRDefault="0074518E" w:rsidP="001E7729">
      <w:pPr>
        <w:numPr>
          <w:ilvl w:val="12"/>
          <w:numId w:val="0"/>
        </w:numPr>
        <w:rPr>
          <w:szCs w:val="22"/>
        </w:rPr>
      </w:pPr>
      <w:r>
        <w:rPr>
          <w:szCs w:val="22"/>
        </w:rPr>
        <w:t>CYP2C8</w:t>
      </w:r>
      <w:r>
        <w:rPr>
          <w:szCs w:val="22"/>
        </w:rPr>
        <w:noBreakHyphen/>
        <w:t xml:space="preserve">szubsztrát gyógyszerek: Egészséges önkénteseknél kimutatták, hogy a klopidogrél emeli a repaglinid-expozíciót. </w:t>
      </w:r>
      <w:r w:rsidRPr="00BD1325">
        <w:rPr>
          <w:i/>
          <w:szCs w:val="22"/>
        </w:rPr>
        <w:t>In vitro</w:t>
      </w:r>
      <w:r>
        <w:rPr>
          <w:szCs w:val="22"/>
        </w:rPr>
        <w:t xml:space="preserve"> vizsgálatok kimutatták, hogy a repaglinid</w:t>
      </w:r>
      <w:r>
        <w:rPr>
          <w:szCs w:val="22"/>
        </w:rPr>
        <w:noBreakHyphen/>
        <w:t>expozíció emelkedése a klopidogrél glukuronid metabolitja által okozott CYP2C8</w:t>
      </w:r>
      <w:r>
        <w:rPr>
          <w:szCs w:val="22"/>
        </w:rPr>
        <w:noBreakHyphen/>
        <w:t>gátlásnak tulajdonítható. Az emelkedett plazmakoncentrációk miatt a klopidogrél óvatosan alkalmazható olyan gyógyszerekkel, melyek elsődlegesen CYP2C8 metabolizmus útján választódnak ki (például repaglinid, paklitaxel) (lásd 4.4 pont).</w:t>
      </w:r>
    </w:p>
    <w:p w:rsidR="00122217" w:rsidRPr="008D2CB3" w:rsidRDefault="00122217" w:rsidP="001E7729">
      <w:pPr>
        <w:numPr>
          <w:ilvl w:val="12"/>
          <w:numId w:val="0"/>
        </w:numPr>
        <w:rPr>
          <w:szCs w:val="22"/>
        </w:rPr>
      </w:pPr>
    </w:p>
    <w:p w:rsidR="00122217" w:rsidRPr="008D2CB3" w:rsidRDefault="00122217" w:rsidP="001E7729">
      <w:pPr>
        <w:numPr>
          <w:ilvl w:val="12"/>
          <w:numId w:val="0"/>
        </w:numPr>
        <w:rPr>
          <w:szCs w:val="22"/>
        </w:rPr>
      </w:pPr>
      <w:r w:rsidRPr="008D2CB3">
        <w:rPr>
          <w:szCs w:val="22"/>
        </w:rPr>
        <w:t>A fent leírt specifikus gyógyszerkölcsönhatásokon kívül, nem végeztek interakciós vizsgálatokat egyéb, az atherothromboti</w:t>
      </w:r>
      <w:r w:rsidR="00DD2FCB" w:rsidRPr="008D2CB3">
        <w:rPr>
          <w:szCs w:val="22"/>
        </w:rPr>
        <w:t>c</w:t>
      </w:r>
      <w:r w:rsidRPr="008D2CB3">
        <w:rPr>
          <w:szCs w:val="22"/>
        </w:rPr>
        <w:t>us betegségben szenvedő betegek által szedett szokásos gyógyszer</w:t>
      </w:r>
      <w:r w:rsidR="00471FD8" w:rsidRPr="008D2CB3">
        <w:rPr>
          <w:szCs w:val="22"/>
        </w:rPr>
        <w:t>ekkel</w:t>
      </w:r>
      <w:r w:rsidRPr="008D2CB3">
        <w:rPr>
          <w:szCs w:val="22"/>
        </w:rPr>
        <w:t>. Ugyanakkor a klinikai vizsgálatokba beválasztott betegek különféle együtt</w:t>
      </w:r>
      <w:r w:rsidR="00947C46">
        <w:rPr>
          <w:szCs w:val="22"/>
        </w:rPr>
        <w:t xml:space="preserve"> </w:t>
      </w:r>
      <w:r w:rsidRPr="008D2CB3">
        <w:rPr>
          <w:szCs w:val="22"/>
        </w:rPr>
        <w:t>adott gyógyszeres kezelésben részesültek, mely magába foglalta a diuretikumokat, béta-blokkolókat, ACE-inhibitorokat, kalciumantagonistákat, koleszterinszint-csökkentő gyógyszer</w:t>
      </w:r>
      <w:r w:rsidR="00471FD8" w:rsidRPr="008D2CB3">
        <w:rPr>
          <w:szCs w:val="22"/>
        </w:rPr>
        <w:t>eket</w:t>
      </w:r>
      <w:r w:rsidRPr="008D2CB3">
        <w:rPr>
          <w:szCs w:val="22"/>
        </w:rPr>
        <w:t xml:space="preserve">, </w:t>
      </w:r>
      <w:r w:rsidR="004327CF" w:rsidRPr="008D2CB3">
        <w:rPr>
          <w:szCs w:val="22"/>
        </w:rPr>
        <w:t>coronaria</w:t>
      </w:r>
      <w:r w:rsidR="00947C46">
        <w:rPr>
          <w:szCs w:val="22"/>
        </w:rPr>
        <w:noBreakHyphen/>
      </w:r>
      <w:r w:rsidRPr="008D2CB3">
        <w:rPr>
          <w:szCs w:val="22"/>
        </w:rPr>
        <w:t>vazodilatátorokat, antidiabetikumokat (inzulint is), antiepileptikumokat</w:t>
      </w:r>
      <w:r w:rsidR="00550B96" w:rsidRPr="008D2CB3">
        <w:rPr>
          <w:szCs w:val="22"/>
        </w:rPr>
        <w:t xml:space="preserve"> és</w:t>
      </w:r>
      <w:r w:rsidR="006C1870" w:rsidRPr="008D2CB3">
        <w:rPr>
          <w:szCs w:val="22"/>
        </w:rPr>
        <w:t xml:space="preserve"> </w:t>
      </w:r>
      <w:r w:rsidRPr="008D2CB3">
        <w:rPr>
          <w:szCs w:val="22"/>
        </w:rPr>
        <w:t xml:space="preserve">GPIIb/IIIa antagonistákat, bizonyítottan klinikailag </w:t>
      </w:r>
      <w:r w:rsidR="00A62103" w:rsidRPr="008D2CB3">
        <w:rPr>
          <w:szCs w:val="22"/>
        </w:rPr>
        <w:t>jelentős</w:t>
      </w:r>
      <w:r w:rsidRPr="008D2CB3">
        <w:rPr>
          <w:szCs w:val="22"/>
        </w:rPr>
        <w:t xml:space="preserve"> nemkíván</w:t>
      </w:r>
      <w:r w:rsidR="006C1870" w:rsidRPr="008D2CB3">
        <w:rPr>
          <w:szCs w:val="22"/>
        </w:rPr>
        <w:t>a</w:t>
      </w:r>
      <w:r w:rsidRPr="008D2CB3">
        <w:rPr>
          <w:szCs w:val="22"/>
        </w:rPr>
        <w:t>tos interakció</w:t>
      </w:r>
      <w:r w:rsidR="00A62103" w:rsidRPr="008D2CB3">
        <w:rPr>
          <w:szCs w:val="22"/>
        </w:rPr>
        <w:t>k</w:t>
      </w:r>
      <w:r w:rsidRPr="008D2CB3">
        <w:rPr>
          <w:szCs w:val="22"/>
        </w:rPr>
        <w:t xml:space="preserve"> nélkül.</w:t>
      </w:r>
    </w:p>
    <w:p w:rsidR="003C637B" w:rsidRDefault="003C637B" w:rsidP="003C637B">
      <w:pPr>
        <w:numPr>
          <w:ilvl w:val="12"/>
          <w:numId w:val="0"/>
        </w:numPr>
        <w:rPr>
          <w:szCs w:val="22"/>
        </w:rPr>
      </w:pPr>
    </w:p>
    <w:p w:rsidR="00122217" w:rsidRDefault="00947C46" w:rsidP="001E7729">
      <w:pPr>
        <w:numPr>
          <w:ilvl w:val="12"/>
          <w:numId w:val="0"/>
        </w:numPr>
        <w:rPr>
          <w:szCs w:val="22"/>
        </w:rPr>
      </w:pPr>
      <w:r>
        <w:rPr>
          <w:szCs w:val="22"/>
        </w:rPr>
        <w:t>Ugyanúgy, mint más orális P2Y12</w:t>
      </w:r>
      <w:r>
        <w:rPr>
          <w:szCs w:val="22"/>
        </w:rPr>
        <w:noBreakHyphen/>
        <w:t>gátlók esetén, az opioid agonsiták együttes alkalmazás késleltetheti és csökkentheti a klopidogrél felszívódását, feltehetően a lassult gyomorürülés miatt. Ennek klinikai jelentősége nem ismert. Megfontolandó a thrombocytaaggregáció-gátló parenterális formájának alkalmazása akut coronaria szindróma esetén olyan betegeknél, akiknél morfin vagy más opioid agonista alkalmazására is szükség van.</w:t>
      </w:r>
    </w:p>
    <w:p w:rsidR="00122217" w:rsidRPr="008D2CB3" w:rsidRDefault="00122217" w:rsidP="001E7729">
      <w:pPr>
        <w:numPr>
          <w:ilvl w:val="12"/>
          <w:numId w:val="0"/>
        </w:numPr>
        <w:rPr>
          <w:szCs w:val="22"/>
        </w:rPr>
      </w:pPr>
    </w:p>
    <w:p w:rsidR="00122217" w:rsidRPr="008D2CB3" w:rsidRDefault="00122217" w:rsidP="001E7729">
      <w:pPr>
        <w:keepNext/>
        <w:tabs>
          <w:tab w:val="left" w:pos="567"/>
        </w:tabs>
        <w:spacing w:line="260" w:lineRule="atLeast"/>
        <w:ind w:left="567" w:hanging="567"/>
        <w:rPr>
          <w:b/>
          <w:szCs w:val="22"/>
        </w:rPr>
      </w:pPr>
      <w:r w:rsidRPr="008D2CB3">
        <w:rPr>
          <w:b/>
          <w:szCs w:val="22"/>
        </w:rPr>
        <w:t>4.6</w:t>
      </w:r>
      <w:r w:rsidRPr="008D2CB3">
        <w:rPr>
          <w:b/>
          <w:szCs w:val="22"/>
        </w:rPr>
        <w:tab/>
      </w:r>
      <w:r w:rsidR="00300E02" w:rsidRPr="008D2CB3">
        <w:rPr>
          <w:b/>
          <w:szCs w:val="22"/>
        </w:rPr>
        <w:t>Termékenység, t</w:t>
      </w:r>
      <w:r w:rsidRPr="008D2CB3">
        <w:rPr>
          <w:b/>
          <w:szCs w:val="22"/>
        </w:rPr>
        <w:t>erhesség és szoptatás</w:t>
      </w:r>
    </w:p>
    <w:p w:rsidR="00DB36E9" w:rsidRPr="008D2CB3" w:rsidRDefault="00DB36E9" w:rsidP="001E7729">
      <w:pPr>
        <w:keepNext/>
        <w:numPr>
          <w:ilvl w:val="12"/>
          <w:numId w:val="0"/>
        </w:numPr>
        <w:ind w:left="708" w:hanging="708"/>
        <w:rPr>
          <w:szCs w:val="22"/>
        </w:rPr>
      </w:pPr>
    </w:p>
    <w:p w:rsidR="00300E02" w:rsidRPr="008D2CB3" w:rsidRDefault="00300E02" w:rsidP="001E7729">
      <w:pPr>
        <w:keepNext/>
        <w:rPr>
          <w:i/>
        </w:rPr>
      </w:pPr>
      <w:r w:rsidRPr="008D2CB3">
        <w:rPr>
          <w:i/>
        </w:rPr>
        <w:t>Terhesség</w:t>
      </w:r>
    </w:p>
    <w:p w:rsidR="00417978" w:rsidRPr="008D2CB3" w:rsidRDefault="00417978" w:rsidP="001E7729">
      <w:r w:rsidRPr="008D2CB3">
        <w:t>Mivel a klopidogrél terhesség alatti expozíciójára vonatkozóan nem állnak rendelkezésre klinikai adatok,</w:t>
      </w:r>
      <w:r w:rsidRPr="008D2CB3">
        <w:rPr>
          <w:szCs w:val="22"/>
        </w:rPr>
        <w:t xml:space="preserve"> elővigyázatosságból a klopidogrél terhesség alatti alkalmazása nem ajánlott</w:t>
      </w:r>
      <w:r w:rsidRPr="008D2CB3">
        <w:t xml:space="preserve">. </w:t>
      </w:r>
    </w:p>
    <w:p w:rsidR="00471FD8" w:rsidRPr="008D2CB3" w:rsidRDefault="00471FD8" w:rsidP="001E7729"/>
    <w:p w:rsidR="00471FD8" w:rsidRPr="008D2CB3" w:rsidRDefault="00471FD8" w:rsidP="001E7729">
      <w:r w:rsidRPr="008D2CB3">
        <w:t>Az állatkísérletek nem utalnak a terhességet, az embrionális/magzati fejlődést, szülést vagy a szülés utáni fejlődést közvetlenül vagy közvetett módon károsan befolyásoló hatásra (lásd 5.3</w:t>
      </w:r>
      <w:r w:rsidR="00FB1F77" w:rsidRPr="008D2CB3">
        <w:t xml:space="preserve"> pont</w:t>
      </w:r>
      <w:r w:rsidRPr="008D2CB3">
        <w:t>).</w:t>
      </w:r>
    </w:p>
    <w:p w:rsidR="00300E02" w:rsidRPr="008D2CB3" w:rsidRDefault="00300E02" w:rsidP="001E7729">
      <w:pPr>
        <w:rPr>
          <w:szCs w:val="22"/>
        </w:rPr>
      </w:pPr>
    </w:p>
    <w:p w:rsidR="00471FD8" w:rsidRPr="008D2CB3" w:rsidRDefault="00300E02" w:rsidP="001E7729">
      <w:pPr>
        <w:rPr>
          <w:i/>
          <w:szCs w:val="22"/>
        </w:rPr>
      </w:pPr>
      <w:r w:rsidRPr="008D2CB3">
        <w:rPr>
          <w:i/>
          <w:szCs w:val="22"/>
        </w:rPr>
        <w:t>Szoptatás</w:t>
      </w:r>
    </w:p>
    <w:p w:rsidR="001377F0" w:rsidRPr="008D2CB3" w:rsidRDefault="00471FD8" w:rsidP="001E7729">
      <w:pPr>
        <w:rPr>
          <w:szCs w:val="22"/>
        </w:rPr>
      </w:pPr>
      <w:r w:rsidRPr="008D2CB3">
        <w:rPr>
          <w:szCs w:val="22"/>
        </w:rPr>
        <w:t xml:space="preserve">Nem ismert, hogy a klopidogrél kiválasztódik-e az emberi anyatejbe. </w:t>
      </w:r>
      <w:r w:rsidR="00417978" w:rsidRPr="008D2CB3">
        <w:rPr>
          <w:szCs w:val="22"/>
        </w:rPr>
        <w:t xml:space="preserve">Állatkísérletek a klopidogrél anyatejbe történő kiválasztódását igazolták. </w:t>
      </w:r>
      <w:r w:rsidR="00BB4B31" w:rsidRPr="008D2CB3">
        <w:rPr>
          <w:szCs w:val="22"/>
        </w:rPr>
        <w:t>A</w:t>
      </w:r>
      <w:r w:rsidR="009B10E4" w:rsidRPr="008D2CB3">
        <w:rPr>
          <w:szCs w:val="22"/>
        </w:rPr>
        <w:t>z</w:t>
      </w:r>
      <w:r w:rsidR="00BB4B31" w:rsidRPr="008D2CB3">
        <w:rPr>
          <w:szCs w:val="22"/>
        </w:rPr>
        <w:t xml:space="preserve"> </w:t>
      </w:r>
      <w:r w:rsidR="009B10E4" w:rsidRPr="008D2CB3">
        <w:rPr>
          <w:szCs w:val="22"/>
        </w:rPr>
        <w:t>Iscover</w:t>
      </w:r>
      <w:r w:rsidR="00BB4B31" w:rsidRPr="008D2CB3">
        <w:rPr>
          <w:szCs w:val="22"/>
        </w:rPr>
        <w:t xml:space="preserve">-kezelés ideje alatt </w:t>
      </w:r>
      <w:r w:rsidR="001377F0" w:rsidRPr="008D2CB3">
        <w:rPr>
          <w:szCs w:val="22"/>
        </w:rPr>
        <w:t xml:space="preserve">a szoptatást </w:t>
      </w:r>
      <w:r w:rsidR="00BB4B31" w:rsidRPr="008D2CB3">
        <w:rPr>
          <w:szCs w:val="22"/>
        </w:rPr>
        <w:t xml:space="preserve">elővigyázatosságból </w:t>
      </w:r>
      <w:r w:rsidR="001377F0" w:rsidRPr="008D2CB3">
        <w:rPr>
          <w:szCs w:val="22"/>
        </w:rPr>
        <w:t>fel kell függeszteni.</w:t>
      </w:r>
    </w:p>
    <w:p w:rsidR="00122217" w:rsidRPr="008D2CB3" w:rsidRDefault="00122217" w:rsidP="001E7729">
      <w:pPr>
        <w:rPr>
          <w:szCs w:val="22"/>
        </w:rPr>
      </w:pPr>
    </w:p>
    <w:p w:rsidR="00300E02" w:rsidRPr="008D2CB3" w:rsidRDefault="00300E02" w:rsidP="001E7729">
      <w:pPr>
        <w:ind w:right="-29"/>
        <w:rPr>
          <w:i/>
        </w:rPr>
      </w:pPr>
      <w:r w:rsidRPr="008D2CB3">
        <w:rPr>
          <w:i/>
        </w:rPr>
        <w:t>Termékenység</w:t>
      </w:r>
    </w:p>
    <w:p w:rsidR="00300E02" w:rsidRPr="008D2CB3" w:rsidRDefault="000A4539" w:rsidP="001E7729">
      <w:r w:rsidRPr="008D2CB3">
        <w:t>Az á</w:t>
      </w:r>
      <w:r w:rsidR="00300E02" w:rsidRPr="008D2CB3">
        <w:t>llatkísérletek</w:t>
      </w:r>
      <w:r w:rsidRPr="008D2CB3">
        <w:t xml:space="preserve"> azt igazolták, hogy a </w:t>
      </w:r>
      <w:r w:rsidR="00300E02" w:rsidRPr="008D2CB3">
        <w:t xml:space="preserve">klopidogrél nem </w:t>
      </w:r>
      <w:r w:rsidRPr="008D2CB3">
        <w:t xml:space="preserve">változtatja meg </w:t>
      </w:r>
      <w:r w:rsidR="00300E02" w:rsidRPr="008D2CB3">
        <w:t>a termékenység</w:t>
      </w:r>
      <w:r w:rsidRPr="008D2CB3">
        <w:t>et</w:t>
      </w:r>
      <w:r w:rsidR="00300E02" w:rsidRPr="008D2CB3">
        <w:t>.</w:t>
      </w:r>
    </w:p>
    <w:p w:rsidR="00300E02" w:rsidRPr="008D2CB3" w:rsidRDefault="00300E02" w:rsidP="001E7729">
      <w:pPr>
        <w:rPr>
          <w:szCs w:val="22"/>
        </w:rPr>
      </w:pPr>
    </w:p>
    <w:p w:rsidR="00122217" w:rsidRPr="008D2CB3" w:rsidRDefault="00122217" w:rsidP="001E7729">
      <w:pPr>
        <w:ind w:left="567" w:hanging="567"/>
        <w:rPr>
          <w:b/>
          <w:szCs w:val="22"/>
        </w:rPr>
      </w:pPr>
      <w:r w:rsidRPr="008D2CB3">
        <w:rPr>
          <w:b/>
          <w:szCs w:val="22"/>
        </w:rPr>
        <w:t>4.7</w:t>
      </w:r>
      <w:r w:rsidRPr="008D2CB3">
        <w:rPr>
          <w:b/>
          <w:szCs w:val="22"/>
        </w:rPr>
        <w:tab/>
        <w:t xml:space="preserve">A készítmény hatásai a gépjárművezetéshez és </w:t>
      </w:r>
      <w:r w:rsidR="009F5DBE">
        <w:rPr>
          <w:b/>
          <w:szCs w:val="22"/>
        </w:rPr>
        <w:t xml:space="preserve">a </w:t>
      </w:r>
      <w:r w:rsidRPr="008D2CB3">
        <w:rPr>
          <w:b/>
          <w:szCs w:val="22"/>
        </w:rPr>
        <w:t xml:space="preserve">gépek </w:t>
      </w:r>
      <w:r w:rsidR="003E5FF7" w:rsidRPr="008D2CB3">
        <w:rPr>
          <w:b/>
          <w:bCs/>
          <w:noProof/>
        </w:rPr>
        <w:t>kezeléséhez</w:t>
      </w:r>
      <w:r w:rsidRPr="008D2CB3">
        <w:rPr>
          <w:b/>
          <w:szCs w:val="22"/>
        </w:rPr>
        <w:t xml:space="preserve"> szükséges képességekre</w:t>
      </w:r>
    </w:p>
    <w:p w:rsidR="00122217" w:rsidRPr="008D2CB3" w:rsidRDefault="00122217" w:rsidP="001E7729">
      <w:pPr>
        <w:ind w:left="708" w:hanging="708"/>
        <w:rPr>
          <w:szCs w:val="22"/>
        </w:rPr>
      </w:pPr>
    </w:p>
    <w:p w:rsidR="00A42947" w:rsidRPr="008D2CB3" w:rsidRDefault="00A42947" w:rsidP="001E7729">
      <w:pPr>
        <w:rPr>
          <w:noProof/>
        </w:rPr>
      </w:pPr>
      <w:r w:rsidRPr="008D2CB3">
        <w:rPr>
          <w:noProof/>
        </w:rPr>
        <w:t xml:space="preserve">A klopidogrél nem, vagy csak elhanyagolható mértékben befolyásolja a gépjárművezetéshez és </w:t>
      </w:r>
      <w:r w:rsidR="009F5DBE">
        <w:rPr>
          <w:noProof/>
        </w:rPr>
        <w:t xml:space="preserve">a </w:t>
      </w:r>
      <w:r w:rsidRPr="008D2CB3">
        <w:rPr>
          <w:noProof/>
        </w:rPr>
        <w:t>gépek kezeléséhez szükséges képességeket.</w:t>
      </w:r>
    </w:p>
    <w:p w:rsidR="00122217" w:rsidRPr="008D2CB3" w:rsidRDefault="00122217" w:rsidP="001E7729"/>
    <w:p w:rsidR="00122217" w:rsidRPr="008D2CB3" w:rsidRDefault="00122217" w:rsidP="001E7729">
      <w:pPr>
        <w:keepNext/>
        <w:ind w:left="567" w:hanging="567"/>
        <w:rPr>
          <w:b/>
          <w:szCs w:val="22"/>
        </w:rPr>
      </w:pPr>
      <w:r w:rsidRPr="008D2CB3">
        <w:rPr>
          <w:b/>
          <w:szCs w:val="22"/>
        </w:rPr>
        <w:t xml:space="preserve">4.8 </w:t>
      </w:r>
      <w:r w:rsidRPr="008D2CB3">
        <w:rPr>
          <w:b/>
          <w:szCs w:val="22"/>
        </w:rPr>
        <w:tab/>
        <w:t>Nemkívánatos hatások, mellékhatások</w:t>
      </w:r>
    </w:p>
    <w:p w:rsidR="00862B5B" w:rsidRDefault="00862B5B" w:rsidP="001E7729">
      <w:pPr>
        <w:keepNext/>
        <w:ind w:left="708" w:hanging="708"/>
        <w:rPr>
          <w:i/>
          <w:szCs w:val="22"/>
        </w:rPr>
      </w:pPr>
    </w:p>
    <w:p w:rsidR="00122217" w:rsidRDefault="00D35361" w:rsidP="001E7729">
      <w:pPr>
        <w:keepNext/>
        <w:ind w:left="708" w:hanging="708"/>
        <w:rPr>
          <w:i/>
          <w:szCs w:val="22"/>
        </w:rPr>
      </w:pPr>
      <w:r w:rsidRPr="00BC7CA3">
        <w:rPr>
          <w:i/>
          <w:szCs w:val="22"/>
        </w:rPr>
        <w:t>A biztonságossági profil összefoglalása</w:t>
      </w:r>
    </w:p>
    <w:p w:rsidR="00D35361" w:rsidRPr="008D2CB3" w:rsidRDefault="00D35361" w:rsidP="001E7729">
      <w:pPr>
        <w:ind w:left="708" w:hanging="708"/>
        <w:rPr>
          <w:szCs w:val="22"/>
        </w:rPr>
      </w:pPr>
    </w:p>
    <w:p w:rsidR="006A51DB" w:rsidRPr="008D2CB3" w:rsidRDefault="006A51DB" w:rsidP="001E7729">
      <w:pPr>
        <w:rPr>
          <w:szCs w:val="22"/>
        </w:rPr>
      </w:pPr>
      <w:r w:rsidRPr="008D2CB3">
        <w:rPr>
          <w:szCs w:val="22"/>
        </w:rPr>
        <w:t xml:space="preserve">A klopidogrél </w:t>
      </w:r>
      <w:r w:rsidR="003B695C" w:rsidRPr="008D2CB3">
        <w:rPr>
          <w:szCs w:val="22"/>
        </w:rPr>
        <w:t xml:space="preserve">biztonságosságát </w:t>
      </w:r>
      <w:r w:rsidRPr="008D2CB3">
        <w:rPr>
          <w:szCs w:val="22"/>
        </w:rPr>
        <w:t>több mint 4</w:t>
      </w:r>
      <w:r w:rsidR="00300E02" w:rsidRPr="008D2CB3">
        <w:rPr>
          <w:szCs w:val="22"/>
        </w:rPr>
        <w:t>4</w:t>
      </w:r>
      <w:r w:rsidRPr="008D2CB3">
        <w:rPr>
          <w:szCs w:val="22"/>
        </w:rPr>
        <w:t xml:space="preserve"> 000, a klinikai vizsgálatokban részt vett betegen vizsgálták, közülük </w:t>
      </w:r>
      <w:r w:rsidR="00300E02" w:rsidRPr="008D2CB3">
        <w:rPr>
          <w:szCs w:val="22"/>
        </w:rPr>
        <w:t>12</w:t>
      </w:r>
      <w:r w:rsidR="00947C46">
        <w:rPr>
          <w:szCs w:val="22"/>
        </w:rPr>
        <w:t> </w:t>
      </w:r>
      <w:r w:rsidRPr="008D2CB3">
        <w:rPr>
          <w:szCs w:val="22"/>
        </w:rPr>
        <w:t>000-et egy évig vagy annál tovább kezeltek. A CAPRIE</w:t>
      </w:r>
      <w:r w:rsidR="00947C46">
        <w:rPr>
          <w:szCs w:val="22"/>
        </w:rPr>
        <w:t xml:space="preserve"> </w:t>
      </w:r>
      <w:r w:rsidRPr="008D2CB3">
        <w:rPr>
          <w:szCs w:val="22"/>
        </w:rPr>
        <w:t>vizsgálatban a 75</w:t>
      </w:r>
      <w:r w:rsidR="003B695C" w:rsidRPr="008D2CB3">
        <w:rPr>
          <w:szCs w:val="22"/>
        </w:rPr>
        <w:t> </w:t>
      </w:r>
      <w:r w:rsidRPr="008D2CB3">
        <w:rPr>
          <w:szCs w:val="22"/>
        </w:rPr>
        <w:t xml:space="preserve">mg/nap klopidogrél </w:t>
      </w:r>
      <w:r w:rsidR="003B695C" w:rsidRPr="008D2CB3">
        <w:rPr>
          <w:szCs w:val="22"/>
        </w:rPr>
        <w:t xml:space="preserve">és </w:t>
      </w:r>
      <w:r w:rsidRPr="008D2CB3">
        <w:rPr>
          <w:szCs w:val="22"/>
        </w:rPr>
        <w:t>a 325</w:t>
      </w:r>
      <w:r w:rsidR="003B695C" w:rsidRPr="008D2CB3">
        <w:rPr>
          <w:szCs w:val="22"/>
        </w:rPr>
        <w:t> </w:t>
      </w:r>
      <w:r w:rsidRPr="008D2CB3">
        <w:rPr>
          <w:szCs w:val="22"/>
        </w:rPr>
        <w:t xml:space="preserve">mg/nap ASA összességében hasonló volt, függetlenül a betegek korától, nemétől és rasszbeli hovatartozásától. </w:t>
      </w:r>
      <w:r w:rsidR="00F70DBF" w:rsidRPr="008D2CB3">
        <w:rPr>
          <w:szCs w:val="22"/>
        </w:rPr>
        <w:t xml:space="preserve">A CAPRIE, CURE, CLARITY, COMMIT és ACTIVE-A vizsgálatokban észlelt, klinikailag jelentős mellékhatások az alábbiakban kerülnek tárgyalásra. </w:t>
      </w:r>
      <w:r w:rsidRPr="008D2CB3">
        <w:rPr>
          <w:szCs w:val="22"/>
        </w:rPr>
        <w:t>A klinikai vizsgálatok tapasztalatai mellett mellékhatásokat spontán is jelentettek.</w:t>
      </w:r>
    </w:p>
    <w:p w:rsidR="006A51DB" w:rsidRPr="008D2CB3" w:rsidRDefault="006A51DB" w:rsidP="001E7729">
      <w:pPr>
        <w:rPr>
          <w:szCs w:val="22"/>
        </w:rPr>
      </w:pPr>
    </w:p>
    <w:p w:rsidR="006A51DB" w:rsidRPr="008D2CB3" w:rsidRDefault="006A51DB" w:rsidP="001E7729">
      <w:pPr>
        <w:rPr>
          <w:szCs w:val="22"/>
        </w:rPr>
      </w:pPr>
      <w:r w:rsidRPr="008D2CB3">
        <w:rPr>
          <w:szCs w:val="22"/>
        </w:rPr>
        <w:t>Mind a klinikai vizsgálatok során, mind a forgalomba hozatal után a vérzés volt a leggyakoribb mellékhatás, ezt leggyakrabban a kezelés első hónapjában jelentették.</w:t>
      </w:r>
    </w:p>
    <w:p w:rsidR="006A51DB" w:rsidRPr="008D2CB3" w:rsidRDefault="006A51DB" w:rsidP="001E7729">
      <w:pPr>
        <w:rPr>
          <w:szCs w:val="22"/>
        </w:rPr>
      </w:pPr>
      <w:r w:rsidRPr="008D2CB3">
        <w:rPr>
          <w:szCs w:val="22"/>
        </w:rPr>
        <w:t>A</w:t>
      </w:r>
      <w:r w:rsidRPr="008D2CB3">
        <w:rPr>
          <w:b/>
          <w:szCs w:val="22"/>
        </w:rPr>
        <w:t xml:space="preserve"> </w:t>
      </w:r>
      <w:r w:rsidRPr="00F86A77">
        <w:rPr>
          <w:szCs w:val="22"/>
        </w:rPr>
        <w:t>CAPRIE</w:t>
      </w:r>
      <w:r w:rsidR="00947C46">
        <w:rPr>
          <w:szCs w:val="22"/>
        </w:rPr>
        <w:t xml:space="preserve"> </w:t>
      </w:r>
      <w:r w:rsidRPr="008D2CB3">
        <w:rPr>
          <w:szCs w:val="22"/>
        </w:rPr>
        <w:t>vizsgálatban a klopidogréllel</w:t>
      </w:r>
      <w:r w:rsidR="00C47069" w:rsidRPr="008D2CB3">
        <w:rPr>
          <w:szCs w:val="22"/>
        </w:rPr>
        <w:t xml:space="preserve"> vagy </w:t>
      </w:r>
      <w:r w:rsidRPr="008D2CB3">
        <w:rPr>
          <w:szCs w:val="22"/>
        </w:rPr>
        <w:t>az ASA-val kezelt betegek</w:t>
      </w:r>
      <w:r w:rsidR="00C47069" w:rsidRPr="008D2CB3">
        <w:rPr>
          <w:szCs w:val="22"/>
        </w:rPr>
        <w:t xml:space="preserve">nél </w:t>
      </w:r>
      <w:r w:rsidRPr="008D2CB3">
        <w:rPr>
          <w:szCs w:val="22"/>
        </w:rPr>
        <w:t xml:space="preserve">a vérzések </w:t>
      </w:r>
      <w:r w:rsidR="00C47069" w:rsidRPr="008D2CB3">
        <w:rPr>
          <w:szCs w:val="22"/>
        </w:rPr>
        <w:t>teljes</w:t>
      </w:r>
      <w:r w:rsidRPr="008D2CB3">
        <w:rPr>
          <w:szCs w:val="22"/>
        </w:rPr>
        <w:t xml:space="preserve"> előfordulási gyakorisága 9,3% volt. A súlyos esetek előfordulási gyakorisága </w:t>
      </w:r>
      <w:r w:rsidR="00F70DBF" w:rsidRPr="008D2CB3">
        <w:rPr>
          <w:szCs w:val="22"/>
        </w:rPr>
        <w:t xml:space="preserve">hasonló </w:t>
      </w:r>
      <w:r w:rsidRPr="008D2CB3">
        <w:rPr>
          <w:szCs w:val="22"/>
        </w:rPr>
        <w:t xml:space="preserve">volt a klopidogrél és az ASA esetében. </w:t>
      </w:r>
    </w:p>
    <w:p w:rsidR="006A51DB" w:rsidRPr="008D2CB3" w:rsidRDefault="006A51DB" w:rsidP="001E7729">
      <w:pPr>
        <w:numPr>
          <w:ilvl w:val="12"/>
          <w:numId w:val="0"/>
        </w:numPr>
        <w:rPr>
          <w:szCs w:val="22"/>
        </w:rPr>
      </w:pPr>
    </w:p>
    <w:p w:rsidR="006A51DB" w:rsidRPr="008D2CB3" w:rsidRDefault="006A51DB" w:rsidP="001E7729">
      <w:pPr>
        <w:numPr>
          <w:ilvl w:val="12"/>
          <w:numId w:val="0"/>
        </w:numPr>
        <w:rPr>
          <w:szCs w:val="22"/>
        </w:rPr>
      </w:pPr>
      <w:r w:rsidRPr="008D2CB3">
        <w:rPr>
          <w:szCs w:val="22"/>
        </w:rPr>
        <w:t xml:space="preserve">A </w:t>
      </w:r>
      <w:r w:rsidRPr="00F86A77">
        <w:rPr>
          <w:szCs w:val="22"/>
        </w:rPr>
        <w:t>CURE</w:t>
      </w:r>
      <w:r w:rsidR="00947C46">
        <w:rPr>
          <w:szCs w:val="22"/>
          <w:u w:val="single"/>
        </w:rPr>
        <w:t xml:space="preserve"> </w:t>
      </w:r>
      <w:r w:rsidRPr="008D2CB3">
        <w:rPr>
          <w:szCs w:val="22"/>
        </w:rPr>
        <w:t xml:space="preserve">vizsgálatban, </w:t>
      </w:r>
      <w:r w:rsidR="00F70DBF" w:rsidRPr="008D2CB3">
        <w:rPr>
          <w:szCs w:val="22"/>
        </w:rPr>
        <w:t>a</w:t>
      </w:r>
      <w:r w:rsidR="0001173A" w:rsidRPr="008D2CB3">
        <w:rPr>
          <w:szCs w:val="22"/>
        </w:rPr>
        <w:t xml:space="preserve"> </w:t>
      </w:r>
      <w:r w:rsidR="004327CF" w:rsidRPr="008D2CB3">
        <w:rPr>
          <w:szCs w:val="22"/>
        </w:rPr>
        <w:t>coronaria</w:t>
      </w:r>
      <w:r w:rsidRPr="008D2CB3">
        <w:rPr>
          <w:szCs w:val="22"/>
        </w:rPr>
        <w:t xml:space="preserve"> arteria bypass graft műtétet követő 7 napon belül a klopidogrél </w:t>
      </w:r>
      <w:r w:rsidR="00550B96" w:rsidRPr="008D2CB3">
        <w:rPr>
          <w:szCs w:val="22"/>
        </w:rPr>
        <w:t>plusz</w:t>
      </w:r>
      <w:r w:rsidRPr="008D2CB3">
        <w:rPr>
          <w:szCs w:val="22"/>
        </w:rPr>
        <w:t xml:space="preserve"> ASA-kezelés mellett nem volt több súlyos vérzés azok</w:t>
      </w:r>
      <w:r w:rsidR="00684FA7" w:rsidRPr="008D2CB3">
        <w:rPr>
          <w:szCs w:val="22"/>
        </w:rPr>
        <w:t xml:space="preserve">nál </w:t>
      </w:r>
      <w:r w:rsidRPr="008D2CB3">
        <w:rPr>
          <w:szCs w:val="22"/>
        </w:rPr>
        <w:t>a betegek</w:t>
      </w:r>
      <w:r w:rsidR="00684FA7" w:rsidRPr="008D2CB3">
        <w:rPr>
          <w:szCs w:val="22"/>
        </w:rPr>
        <w:t>nél</w:t>
      </w:r>
      <w:r w:rsidRPr="008D2CB3">
        <w:rPr>
          <w:szCs w:val="22"/>
        </w:rPr>
        <w:t>, akik a kezelést több mint öt nappal a műtét előtt befejezték. Azok</w:t>
      </w:r>
      <w:r w:rsidR="00684FA7" w:rsidRPr="008D2CB3">
        <w:rPr>
          <w:szCs w:val="22"/>
        </w:rPr>
        <w:t>nál</w:t>
      </w:r>
      <w:r w:rsidRPr="008D2CB3">
        <w:rPr>
          <w:szCs w:val="22"/>
        </w:rPr>
        <w:t xml:space="preserve"> a betegek</w:t>
      </w:r>
      <w:r w:rsidR="00684FA7" w:rsidRPr="008D2CB3">
        <w:rPr>
          <w:szCs w:val="22"/>
        </w:rPr>
        <w:t>nél</w:t>
      </w:r>
      <w:r w:rsidRPr="008D2CB3">
        <w:rPr>
          <w:szCs w:val="22"/>
        </w:rPr>
        <w:t>, akik a bypass graft műtétet megelőző öt nap</w:t>
      </w:r>
      <w:r w:rsidR="00684FA7" w:rsidRPr="008D2CB3">
        <w:rPr>
          <w:szCs w:val="22"/>
        </w:rPr>
        <w:t>ban is kapták</w:t>
      </w:r>
      <w:r w:rsidRPr="008D2CB3">
        <w:rPr>
          <w:szCs w:val="22"/>
        </w:rPr>
        <w:t xml:space="preserve"> a kezelést, az esemény előfordulási aránya 9,6% volt a klopidogrél </w:t>
      </w:r>
      <w:r w:rsidR="00550B96" w:rsidRPr="008D2CB3">
        <w:rPr>
          <w:szCs w:val="22"/>
        </w:rPr>
        <w:t>plusz</w:t>
      </w:r>
      <w:r w:rsidRPr="008D2CB3">
        <w:rPr>
          <w:szCs w:val="22"/>
        </w:rPr>
        <w:t xml:space="preserve"> ASA és 6,3% a placebo </w:t>
      </w:r>
      <w:r w:rsidR="00550B96" w:rsidRPr="008D2CB3">
        <w:rPr>
          <w:szCs w:val="22"/>
        </w:rPr>
        <w:t>plusz</w:t>
      </w:r>
      <w:r w:rsidRPr="008D2CB3">
        <w:rPr>
          <w:szCs w:val="22"/>
        </w:rPr>
        <w:t xml:space="preserve"> ASA</w:t>
      </w:r>
      <w:r w:rsidR="00684FA7" w:rsidRPr="008D2CB3">
        <w:rPr>
          <w:szCs w:val="22"/>
        </w:rPr>
        <w:noBreakHyphen/>
      </w:r>
      <w:r w:rsidRPr="008D2CB3">
        <w:rPr>
          <w:szCs w:val="22"/>
        </w:rPr>
        <w:t xml:space="preserve">csoportban. </w:t>
      </w:r>
    </w:p>
    <w:p w:rsidR="006A51DB" w:rsidRPr="008D2CB3" w:rsidRDefault="006A51DB" w:rsidP="001E7729">
      <w:pPr>
        <w:numPr>
          <w:ilvl w:val="12"/>
          <w:numId w:val="0"/>
        </w:numPr>
        <w:jc w:val="both"/>
        <w:rPr>
          <w:szCs w:val="22"/>
        </w:rPr>
      </w:pPr>
    </w:p>
    <w:p w:rsidR="006A51DB" w:rsidRPr="008D2CB3" w:rsidRDefault="006A51DB" w:rsidP="001E7729">
      <w:pPr>
        <w:numPr>
          <w:ilvl w:val="12"/>
          <w:numId w:val="0"/>
        </w:numPr>
        <w:rPr>
          <w:szCs w:val="22"/>
        </w:rPr>
      </w:pPr>
      <w:r w:rsidRPr="00D35361">
        <w:rPr>
          <w:szCs w:val="22"/>
        </w:rPr>
        <w:t xml:space="preserve">A </w:t>
      </w:r>
      <w:r w:rsidRPr="00F86A77">
        <w:rPr>
          <w:szCs w:val="22"/>
        </w:rPr>
        <w:t>CLARITY</w:t>
      </w:r>
      <w:r w:rsidR="007E67D5" w:rsidRPr="00D16754">
        <w:rPr>
          <w:szCs w:val="22"/>
        </w:rPr>
        <w:t xml:space="preserve"> </w:t>
      </w:r>
      <w:r w:rsidRPr="008D2CB3">
        <w:rPr>
          <w:szCs w:val="22"/>
        </w:rPr>
        <w:t>vizsgálatban a klopid</w:t>
      </w:r>
      <w:r w:rsidR="006C1870" w:rsidRPr="008D2CB3">
        <w:rPr>
          <w:szCs w:val="22"/>
        </w:rPr>
        <w:t>o</w:t>
      </w:r>
      <w:r w:rsidRPr="008D2CB3">
        <w:rPr>
          <w:szCs w:val="22"/>
        </w:rPr>
        <w:t xml:space="preserve">grél </w:t>
      </w:r>
      <w:r w:rsidR="00550B96" w:rsidRPr="008D2CB3">
        <w:rPr>
          <w:szCs w:val="22"/>
        </w:rPr>
        <w:t>plusz</w:t>
      </w:r>
      <w:r w:rsidRPr="008D2CB3">
        <w:rPr>
          <w:szCs w:val="22"/>
        </w:rPr>
        <w:t xml:space="preserve"> ASA</w:t>
      </w:r>
      <w:r w:rsidR="00684FA7" w:rsidRPr="008D2CB3">
        <w:rPr>
          <w:szCs w:val="22"/>
        </w:rPr>
        <w:noBreakHyphen/>
      </w:r>
      <w:r w:rsidRPr="008D2CB3">
        <w:rPr>
          <w:szCs w:val="22"/>
        </w:rPr>
        <w:t xml:space="preserve">csoportban a vérzések általános növekedését észlelték a placebo </w:t>
      </w:r>
      <w:r w:rsidR="00550B96" w:rsidRPr="008D2CB3">
        <w:rPr>
          <w:szCs w:val="22"/>
        </w:rPr>
        <w:t>plusz</w:t>
      </w:r>
      <w:r w:rsidRPr="008D2CB3">
        <w:rPr>
          <w:szCs w:val="22"/>
        </w:rPr>
        <w:t xml:space="preserve"> ASA </w:t>
      </w:r>
      <w:r w:rsidR="00684FA7" w:rsidRPr="008D2CB3">
        <w:rPr>
          <w:szCs w:val="22"/>
        </w:rPr>
        <w:noBreakHyphen/>
      </w:r>
      <w:r w:rsidRPr="008D2CB3">
        <w:rPr>
          <w:szCs w:val="22"/>
        </w:rPr>
        <w:t>csoporthoz viszonyítva. A súlyos vérzések előfordulási gyakorisága hasonló volt a csoportok között. Ez változatlan volt az alapvető jellemzők és a fibrinol</w:t>
      </w:r>
      <w:r w:rsidR="0087456E" w:rsidRPr="008D2CB3">
        <w:rPr>
          <w:szCs w:val="22"/>
        </w:rPr>
        <w:t>i</w:t>
      </w:r>
      <w:r w:rsidRPr="008D2CB3">
        <w:rPr>
          <w:szCs w:val="22"/>
        </w:rPr>
        <w:t>tikus</w:t>
      </w:r>
      <w:r w:rsidR="0087456E" w:rsidRPr="008D2CB3">
        <w:rPr>
          <w:szCs w:val="22"/>
        </w:rPr>
        <w:t>-</w:t>
      </w:r>
      <w:r w:rsidRPr="008D2CB3">
        <w:rPr>
          <w:szCs w:val="22"/>
        </w:rPr>
        <w:t xml:space="preserve"> vagy heparinkezelés</w:t>
      </w:r>
      <w:r w:rsidR="0087456E" w:rsidRPr="008D2CB3">
        <w:rPr>
          <w:szCs w:val="22"/>
        </w:rPr>
        <w:t xml:space="preserve"> típusa alapján definiált</w:t>
      </w:r>
      <w:r w:rsidRPr="008D2CB3">
        <w:rPr>
          <w:szCs w:val="22"/>
        </w:rPr>
        <w:t xml:space="preserve"> beteg alcsoportokon belül is. </w:t>
      </w:r>
    </w:p>
    <w:p w:rsidR="006A51DB" w:rsidRPr="008D2CB3" w:rsidRDefault="006A51DB" w:rsidP="001E7729">
      <w:pPr>
        <w:numPr>
          <w:ilvl w:val="12"/>
          <w:numId w:val="0"/>
        </w:numPr>
        <w:jc w:val="both"/>
        <w:rPr>
          <w:szCs w:val="22"/>
        </w:rPr>
      </w:pPr>
    </w:p>
    <w:p w:rsidR="006A51DB" w:rsidRPr="008D2CB3" w:rsidRDefault="006A51DB" w:rsidP="001E7729">
      <w:pPr>
        <w:numPr>
          <w:ilvl w:val="12"/>
          <w:numId w:val="0"/>
        </w:numPr>
        <w:rPr>
          <w:szCs w:val="22"/>
        </w:rPr>
      </w:pPr>
      <w:r w:rsidRPr="008D2CB3">
        <w:rPr>
          <w:szCs w:val="22"/>
        </w:rPr>
        <w:t xml:space="preserve">A </w:t>
      </w:r>
      <w:r w:rsidRPr="00F86A77">
        <w:rPr>
          <w:szCs w:val="22"/>
        </w:rPr>
        <w:t>COMMIT</w:t>
      </w:r>
      <w:r w:rsidR="007E67D5">
        <w:rPr>
          <w:szCs w:val="22"/>
        </w:rPr>
        <w:t xml:space="preserve"> </w:t>
      </w:r>
      <w:r w:rsidRPr="008D2CB3">
        <w:rPr>
          <w:szCs w:val="22"/>
        </w:rPr>
        <w:t xml:space="preserve">vizsgálatban a cerebrális vagy nem cerebrális súlyos vérzések összaránya alacsony és hasonló volt mindkét betegcsoportban. </w:t>
      </w:r>
    </w:p>
    <w:p w:rsidR="006A51DB" w:rsidRPr="008D2CB3" w:rsidRDefault="006A51DB" w:rsidP="001E7729">
      <w:pPr>
        <w:numPr>
          <w:ilvl w:val="12"/>
          <w:numId w:val="0"/>
        </w:numPr>
        <w:jc w:val="both"/>
        <w:rPr>
          <w:szCs w:val="22"/>
        </w:rPr>
      </w:pPr>
    </w:p>
    <w:p w:rsidR="00137BF7" w:rsidRPr="008D2CB3" w:rsidRDefault="00137BF7" w:rsidP="001E7729">
      <w:pPr>
        <w:ind w:right="-29"/>
      </w:pPr>
      <w:r w:rsidRPr="008D2CB3">
        <w:t>Az ACTIVE-A vizsgálatban a jelentős vérzéses szövődmények kialakulásának aránya a klopidogrél + ASA</w:t>
      </w:r>
      <w:r w:rsidR="000A4539" w:rsidRPr="008D2CB3">
        <w:t>-</w:t>
      </w:r>
      <w:r w:rsidR="000A4539" w:rsidRPr="008D2CB3">
        <w:noBreakHyphen/>
      </w:r>
      <w:r w:rsidRPr="008D2CB3">
        <w:t>csoportban nagyobbnak bizonyult, mint a placebo + ASA-csoportban (6,7% versus 4,3%). A jelentős vérzéses események a legtöbb esetben mindkét csoportban extra</w:t>
      </w:r>
      <w:r w:rsidR="000A4539" w:rsidRPr="008D2CB3">
        <w:t>c</w:t>
      </w:r>
      <w:r w:rsidRPr="008D2CB3">
        <w:t xml:space="preserve">raniális eredetűek voltak (5,3% a klopidogrél + ASA csoportban; 3,5% a placebo + ASA-csoportban), és főként a </w:t>
      </w:r>
      <w:r w:rsidR="000A4539" w:rsidRPr="008D2CB3">
        <w:t>tápcsatorná</w:t>
      </w:r>
      <w:r w:rsidRPr="008D2CB3">
        <w:t xml:space="preserve">ból származtak (3,5% vs. 1,8%). </w:t>
      </w:r>
      <w:r w:rsidR="000A4539" w:rsidRPr="008D2CB3">
        <w:t xml:space="preserve">Több volt az </w:t>
      </w:r>
      <w:r w:rsidRPr="008D2CB3">
        <w:t>intra</w:t>
      </w:r>
      <w:r w:rsidR="000A4539" w:rsidRPr="008D2CB3">
        <w:t>c</w:t>
      </w:r>
      <w:r w:rsidRPr="008D2CB3">
        <w:t>raniális vérzés a klopidogrél + ASA terápiás csoportban</w:t>
      </w:r>
      <w:r w:rsidR="000A4539" w:rsidRPr="008D2CB3">
        <w:t>, mint</w:t>
      </w:r>
      <w:r w:rsidRPr="008D2CB3">
        <w:t xml:space="preserve"> a placebó + ASA csoport</w:t>
      </w:r>
      <w:r w:rsidR="000A4539" w:rsidRPr="008D2CB3">
        <w:t>ban</w:t>
      </w:r>
      <w:r w:rsidRPr="008D2CB3">
        <w:t xml:space="preserve"> (1,4% v</w:t>
      </w:r>
      <w:r w:rsidR="000A4539" w:rsidRPr="008D2CB3">
        <w:t>ersu</w:t>
      </w:r>
      <w:r w:rsidRPr="008D2CB3">
        <w:t xml:space="preserve">s 0,8%). Nem volt statisztikailag szignifikáns különbség </w:t>
      </w:r>
      <w:r w:rsidR="000A4539" w:rsidRPr="008D2CB3">
        <w:t xml:space="preserve">az egyes csoportok között </w:t>
      </w:r>
      <w:r w:rsidRPr="008D2CB3">
        <w:t xml:space="preserve">a fatális vérzések (1,1% a klopidogrél + ASA csoportban illetve 0,7% a placebo + ASA-csoportban) valamint a vérzéses stroke (0,8% és 0,6%) kialakulásának </w:t>
      </w:r>
      <w:r w:rsidR="000A4539" w:rsidRPr="008D2CB3">
        <w:t>arányában</w:t>
      </w:r>
      <w:r w:rsidRPr="008D2CB3">
        <w:t>.</w:t>
      </w:r>
    </w:p>
    <w:p w:rsidR="00137BF7" w:rsidRDefault="00137BF7" w:rsidP="001E7729">
      <w:pPr>
        <w:numPr>
          <w:ilvl w:val="12"/>
          <w:numId w:val="0"/>
        </w:numPr>
        <w:jc w:val="both"/>
        <w:rPr>
          <w:szCs w:val="22"/>
        </w:rPr>
      </w:pPr>
    </w:p>
    <w:p w:rsidR="00D35361" w:rsidRPr="00BC7CA3" w:rsidRDefault="00D35361" w:rsidP="001E7729">
      <w:pPr>
        <w:pStyle w:val="Normal11pt"/>
        <w:rPr>
          <w:i/>
          <w:lang w:val="hu-HU"/>
        </w:rPr>
      </w:pPr>
      <w:r w:rsidRPr="00BC7CA3">
        <w:rPr>
          <w:i/>
          <w:lang w:val="hu-HU"/>
        </w:rPr>
        <w:t>Mellékhatások táblázatos összefoglalója</w:t>
      </w:r>
    </w:p>
    <w:p w:rsidR="00D35361" w:rsidRPr="008D2CB3" w:rsidRDefault="00D35361" w:rsidP="001E7729">
      <w:pPr>
        <w:numPr>
          <w:ilvl w:val="12"/>
          <w:numId w:val="0"/>
        </w:numPr>
        <w:jc w:val="both"/>
        <w:rPr>
          <w:szCs w:val="22"/>
        </w:rPr>
      </w:pPr>
    </w:p>
    <w:p w:rsidR="006A51DB" w:rsidRPr="008D2CB3" w:rsidRDefault="006A51DB" w:rsidP="001E7729">
      <w:pPr>
        <w:spacing w:line="260" w:lineRule="atLeast"/>
        <w:rPr>
          <w:szCs w:val="22"/>
        </w:rPr>
      </w:pPr>
      <w:r w:rsidRPr="008D2CB3">
        <w:rPr>
          <w:szCs w:val="22"/>
        </w:rPr>
        <w:t>Az alábbi táblázat azokat a mellékhatásokat tüntet</w:t>
      </w:r>
      <w:r w:rsidR="0087456E" w:rsidRPr="008D2CB3">
        <w:rPr>
          <w:szCs w:val="22"/>
        </w:rPr>
        <w:t>i</w:t>
      </w:r>
      <w:r w:rsidRPr="008D2CB3">
        <w:rPr>
          <w:szCs w:val="22"/>
        </w:rPr>
        <w:t xml:space="preserve"> fel, amelyeket klinikai vizsgálatok során vagy spontán módon jelentettek.</w:t>
      </w:r>
    </w:p>
    <w:p w:rsidR="006A51DB" w:rsidRPr="008D2CB3" w:rsidRDefault="0087456E" w:rsidP="001E7729">
      <w:pPr>
        <w:spacing w:line="260" w:lineRule="atLeast"/>
        <w:rPr>
          <w:noProof/>
          <w:szCs w:val="22"/>
        </w:rPr>
      </w:pPr>
      <w:r w:rsidRPr="008D2CB3">
        <w:rPr>
          <w:szCs w:val="22"/>
        </w:rPr>
        <w:t>G</w:t>
      </w:r>
      <w:r w:rsidR="006A51DB" w:rsidRPr="008D2CB3">
        <w:rPr>
          <w:szCs w:val="22"/>
        </w:rPr>
        <w:t>yakoriság</w:t>
      </w:r>
      <w:r w:rsidRPr="008D2CB3">
        <w:rPr>
          <w:szCs w:val="22"/>
        </w:rPr>
        <w:t>u</w:t>
      </w:r>
      <w:r w:rsidR="006A51DB" w:rsidRPr="008D2CB3">
        <w:rPr>
          <w:szCs w:val="22"/>
        </w:rPr>
        <w:t>k az alábbi megállapodás szerint került meghatározásra: gyakori (</w:t>
      </w:r>
      <w:r w:rsidR="006A51DB" w:rsidRPr="008D2CB3">
        <w:rPr>
          <w:b/>
          <w:noProof/>
        </w:rPr>
        <w:sym w:font="Symbol" w:char="F0B3"/>
      </w:r>
      <w:r w:rsidR="006A51DB" w:rsidRPr="008D2CB3">
        <w:rPr>
          <w:szCs w:val="22"/>
        </w:rPr>
        <w:t xml:space="preserve">1/100 </w:t>
      </w:r>
      <w:r w:rsidRPr="008D2CB3">
        <w:rPr>
          <w:szCs w:val="22"/>
        </w:rPr>
        <w:t>–</w:t>
      </w:r>
      <w:r w:rsidR="006A51DB" w:rsidRPr="008D2CB3">
        <w:rPr>
          <w:szCs w:val="22"/>
        </w:rPr>
        <w:t xml:space="preserve"> &lt;1/10); nem gyakori (</w:t>
      </w:r>
      <w:r w:rsidR="006A51DB" w:rsidRPr="008D2CB3">
        <w:rPr>
          <w:b/>
          <w:noProof/>
        </w:rPr>
        <w:sym w:font="Symbol" w:char="F0B3"/>
      </w:r>
      <w:r w:rsidR="006A51DB" w:rsidRPr="008D2CB3">
        <w:rPr>
          <w:szCs w:val="22"/>
        </w:rPr>
        <w:t xml:space="preserve">1/1000 </w:t>
      </w:r>
      <w:r w:rsidRPr="008D2CB3">
        <w:rPr>
          <w:szCs w:val="22"/>
        </w:rPr>
        <w:t>–</w:t>
      </w:r>
      <w:r w:rsidR="006A51DB" w:rsidRPr="008D2CB3">
        <w:rPr>
          <w:szCs w:val="22"/>
        </w:rPr>
        <w:t xml:space="preserve"> &lt;1/100); ritka (</w:t>
      </w:r>
      <w:r w:rsidR="006A51DB" w:rsidRPr="008D2CB3">
        <w:rPr>
          <w:b/>
          <w:noProof/>
        </w:rPr>
        <w:sym w:font="Symbol" w:char="F0B3"/>
      </w:r>
      <w:r w:rsidR="006A51DB" w:rsidRPr="008D2CB3">
        <w:rPr>
          <w:szCs w:val="22"/>
        </w:rPr>
        <w:t xml:space="preserve">1/10 000 </w:t>
      </w:r>
      <w:r w:rsidRPr="008D2CB3">
        <w:rPr>
          <w:szCs w:val="22"/>
        </w:rPr>
        <w:t>–</w:t>
      </w:r>
      <w:r w:rsidR="006A51DB" w:rsidRPr="008D2CB3">
        <w:rPr>
          <w:szCs w:val="22"/>
        </w:rPr>
        <w:t xml:space="preserve"> &lt;1/1000); nagyon ritka (&lt;1/10 000)</w:t>
      </w:r>
      <w:r w:rsidR="00D35361">
        <w:rPr>
          <w:bCs/>
          <w:szCs w:val="22"/>
        </w:rPr>
        <w:t xml:space="preserve">, nem ismert (a </w:t>
      </w:r>
      <w:r w:rsidR="00947C46">
        <w:rPr>
          <w:bCs/>
          <w:szCs w:val="22"/>
        </w:rPr>
        <w:t xml:space="preserve">gyakoriság a </w:t>
      </w:r>
      <w:r w:rsidR="00D35361">
        <w:rPr>
          <w:bCs/>
          <w:szCs w:val="22"/>
        </w:rPr>
        <w:t>rendelkezésre álló adatokból nem állapítható meg)</w:t>
      </w:r>
      <w:r w:rsidR="006A51DB" w:rsidRPr="008D2CB3">
        <w:rPr>
          <w:szCs w:val="22"/>
        </w:rPr>
        <w:t xml:space="preserve">. </w:t>
      </w:r>
      <w:r w:rsidR="006A51DB" w:rsidRPr="008D2CB3">
        <w:rPr>
          <w:noProof/>
          <w:szCs w:val="22"/>
        </w:rPr>
        <w:t>Az egyes gyakorisági kategóriákon belül a mellékhatások csökkenő súlyosság szerint kerülnek megadásra.</w:t>
      </w:r>
    </w:p>
    <w:p w:rsidR="00122217" w:rsidRPr="008D2CB3" w:rsidRDefault="00122217" w:rsidP="001E7729">
      <w:pPr>
        <w:jc w:val="both"/>
        <w:rPr>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1843"/>
        <w:gridCol w:w="1984"/>
        <w:gridCol w:w="1843"/>
        <w:gridCol w:w="2410"/>
      </w:tblGrid>
      <w:tr w:rsidR="00233D8B" w:rsidRPr="00E30ABD" w:rsidTr="00E30ABD">
        <w:trPr>
          <w:cantSplit/>
          <w:tblHeader/>
        </w:trPr>
        <w:tc>
          <w:tcPr>
            <w:tcW w:w="1951" w:type="dxa"/>
            <w:shd w:val="clear" w:color="auto" w:fill="auto"/>
          </w:tcPr>
          <w:p w:rsidR="00233D8B" w:rsidRPr="00E30ABD" w:rsidRDefault="00233D8B" w:rsidP="001E7729">
            <w:pPr>
              <w:keepNext/>
              <w:rPr>
                <w:b/>
                <w:szCs w:val="22"/>
              </w:rPr>
            </w:pPr>
            <w:r w:rsidRPr="00E30ABD">
              <w:rPr>
                <w:b/>
                <w:szCs w:val="22"/>
              </w:rPr>
              <w:t>Szervrendszer</w:t>
            </w:r>
          </w:p>
        </w:tc>
        <w:tc>
          <w:tcPr>
            <w:tcW w:w="1843" w:type="dxa"/>
            <w:shd w:val="clear" w:color="auto" w:fill="auto"/>
          </w:tcPr>
          <w:p w:rsidR="00233D8B" w:rsidRPr="00E30ABD" w:rsidRDefault="00233D8B" w:rsidP="001E7729">
            <w:pPr>
              <w:keepNext/>
              <w:rPr>
                <w:b/>
                <w:szCs w:val="22"/>
              </w:rPr>
            </w:pPr>
            <w:r w:rsidRPr="00E30ABD">
              <w:rPr>
                <w:b/>
                <w:szCs w:val="22"/>
              </w:rPr>
              <w:t xml:space="preserve">Gyakori </w:t>
            </w:r>
          </w:p>
          <w:p w:rsidR="00233D8B" w:rsidRPr="00E30ABD" w:rsidRDefault="00233D8B" w:rsidP="001E7729">
            <w:pPr>
              <w:keepNext/>
              <w:rPr>
                <w:b/>
                <w:szCs w:val="22"/>
              </w:rPr>
            </w:pPr>
          </w:p>
        </w:tc>
        <w:tc>
          <w:tcPr>
            <w:tcW w:w="1984" w:type="dxa"/>
            <w:shd w:val="clear" w:color="auto" w:fill="auto"/>
          </w:tcPr>
          <w:p w:rsidR="00233D8B" w:rsidRPr="00E30ABD" w:rsidRDefault="00233D8B" w:rsidP="001E7729">
            <w:pPr>
              <w:keepNext/>
              <w:rPr>
                <w:b/>
                <w:szCs w:val="22"/>
              </w:rPr>
            </w:pPr>
            <w:r w:rsidRPr="00E30ABD">
              <w:rPr>
                <w:b/>
                <w:szCs w:val="22"/>
              </w:rPr>
              <w:t xml:space="preserve">Nem gyakori </w:t>
            </w:r>
          </w:p>
          <w:p w:rsidR="00233D8B" w:rsidRPr="00E30ABD" w:rsidRDefault="00233D8B" w:rsidP="001E7729">
            <w:pPr>
              <w:keepNext/>
              <w:rPr>
                <w:b/>
                <w:szCs w:val="22"/>
              </w:rPr>
            </w:pPr>
          </w:p>
        </w:tc>
        <w:tc>
          <w:tcPr>
            <w:tcW w:w="1843" w:type="dxa"/>
            <w:shd w:val="clear" w:color="auto" w:fill="auto"/>
          </w:tcPr>
          <w:p w:rsidR="00233D8B" w:rsidRPr="00E30ABD" w:rsidRDefault="00233D8B" w:rsidP="001E7729">
            <w:pPr>
              <w:keepNext/>
              <w:rPr>
                <w:b/>
                <w:szCs w:val="22"/>
              </w:rPr>
            </w:pPr>
            <w:r w:rsidRPr="00E30ABD">
              <w:rPr>
                <w:b/>
                <w:szCs w:val="22"/>
              </w:rPr>
              <w:t xml:space="preserve">Ritka </w:t>
            </w:r>
          </w:p>
          <w:p w:rsidR="00233D8B" w:rsidRPr="00E30ABD" w:rsidRDefault="00233D8B" w:rsidP="001E7729">
            <w:pPr>
              <w:keepNext/>
              <w:rPr>
                <w:b/>
                <w:szCs w:val="22"/>
              </w:rPr>
            </w:pPr>
          </w:p>
        </w:tc>
        <w:tc>
          <w:tcPr>
            <w:tcW w:w="2410" w:type="dxa"/>
            <w:shd w:val="clear" w:color="auto" w:fill="auto"/>
          </w:tcPr>
          <w:p w:rsidR="00233D8B" w:rsidRPr="00E30ABD" w:rsidRDefault="00233D8B" w:rsidP="001E7729">
            <w:pPr>
              <w:keepNext/>
              <w:rPr>
                <w:b/>
                <w:szCs w:val="22"/>
              </w:rPr>
            </w:pPr>
            <w:r w:rsidRPr="00E30ABD">
              <w:rPr>
                <w:b/>
                <w:szCs w:val="22"/>
              </w:rPr>
              <w:t>Nagyon ritka</w:t>
            </w:r>
            <w:r w:rsidR="00D35361" w:rsidRPr="00E30ABD">
              <w:rPr>
                <w:b/>
                <w:szCs w:val="22"/>
              </w:rPr>
              <w:t>, nem ismert</w:t>
            </w:r>
            <w:r w:rsidR="00812369" w:rsidRPr="00E30ABD">
              <w:rPr>
                <w:b/>
                <w:szCs w:val="22"/>
              </w:rPr>
              <w:t>*</w:t>
            </w:r>
          </w:p>
        </w:tc>
      </w:tr>
      <w:tr w:rsidR="00233D8B" w:rsidRPr="00E30ABD" w:rsidTr="00E30ABD">
        <w:trPr>
          <w:cantSplit/>
        </w:trPr>
        <w:tc>
          <w:tcPr>
            <w:tcW w:w="1951" w:type="dxa"/>
            <w:shd w:val="clear" w:color="auto" w:fill="auto"/>
          </w:tcPr>
          <w:p w:rsidR="00233D8B" w:rsidRPr="00E30ABD" w:rsidRDefault="00233D8B" w:rsidP="001E7729">
            <w:pPr>
              <w:keepNext/>
              <w:rPr>
                <w:szCs w:val="22"/>
              </w:rPr>
            </w:pPr>
            <w:r w:rsidRPr="00E30ABD">
              <w:rPr>
                <w:szCs w:val="22"/>
              </w:rPr>
              <w:t>Vérképzőszervi és nyirokrendszeri betegségek és tünetek</w:t>
            </w:r>
          </w:p>
        </w:tc>
        <w:tc>
          <w:tcPr>
            <w:tcW w:w="1843" w:type="dxa"/>
            <w:shd w:val="clear" w:color="auto" w:fill="auto"/>
          </w:tcPr>
          <w:p w:rsidR="00233D8B" w:rsidRPr="00E30ABD" w:rsidRDefault="00233D8B" w:rsidP="001E7729">
            <w:pPr>
              <w:keepNext/>
              <w:rPr>
                <w:szCs w:val="22"/>
              </w:rPr>
            </w:pPr>
          </w:p>
        </w:tc>
        <w:tc>
          <w:tcPr>
            <w:tcW w:w="1984" w:type="dxa"/>
            <w:shd w:val="clear" w:color="auto" w:fill="auto"/>
          </w:tcPr>
          <w:p w:rsidR="00233D8B" w:rsidRPr="00E30ABD" w:rsidRDefault="00233D8B" w:rsidP="001E7729">
            <w:pPr>
              <w:keepNext/>
              <w:rPr>
                <w:szCs w:val="22"/>
              </w:rPr>
            </w:pPr>
            <w:r w:rsidRPr="00E30ABD">
              <w:rPr>
                <w:szCs w:val="22"/>
              </w:rPr>
              <w:t xml:space="preserve">Thrombocytopenia, </w:t>
            </w:r>
          </w:p>
          <w:p w:rsidR="00233D8B" w:rsidRPr="00E30ABD" w:rsidRDefault="00233D8B" w:rsidP="001E7729">
            <w:pPr>
              <w:keepNext/>
              <w:rPr>
                <w:szCs w:val="22"/>
              </w:rPr>
            </w:pPr>
            <w:r w:rsidRPr="00E30ABD">
              <w:rPr>
                <w:szCs w:val="22"/>
              </w:rPr>
              <w:t>leukopenia, eosinophilia</w:t>
            </w:r>
          </w:p>
        </w:tc>
        <w:tc>
          <w:tcPr>
            <w:tcW w:w="1843" w:type="dxa"/>
            <w:shd w:val="clear" w:color="auto" w:fill="auto"/>
          </w:tcPr>
          <w:p w:rsidR="00233D8B" w:rsidRPr="00E30ABD" w:rsidRDefault="00233D8B" w:rsidP="001E7729">
            <w:pPr>
              <w:keepNext/>
              <w:rPr>
                <w:szCs w:val="22"/>
              </w:rPr>
            </w:pPr>
            <w:r w:rsidRPr="00E30ABD">
              <w:rPr>
                <w:szCs w:val="22"/>
              </w:rPr>
              <w:t>Neut</w:t>
            </w:r>
            <w:r w:rsidR="00087DA9" w:rsidRPr="00E30ABD">
              <w:rPr>
                <w:szCs w:val="22"/>
              </w:rPr>
              <w:t>r</w:t>
            </w:r>
            <w:r w:rsidRPr="00E30ABD">
              <w:rPr>
                <w:szCs w:val="22"/>
              </w:rPr>
              <w:t>openia beleértve a súlyos neutropeni</w:t>
            </w:r>
            <w:r w:rsidR="0087456E" w:rsidRPr="00E30ABD">
              <w:rPr>
                <w:szCs w:val="22"/>
              </w:rPr>
              <w:t>á</w:t>
            </w:r>
            <w:r w:rsidRPr="00E30ABD">
              <w:rPr>
                <w:szCs w:val="22"/>
              </w:rPr>
              <w:t>t</w:t>
            </w:r>
            <w:r w:rsidR="0087456E" w:rsidRPr="00E30ABD">
              <w:rPr>
                <w:szCs w:val="22"/>
              </w:rPr>
              <w:t xml:space="preserve"> is</w:t>
            </w:r>
          </w:p>
        </w:tc>
        <w:tc>
          <w:tcPr>
            <w:tcW w:w="2410" w:type="dxa"/>
            <w:shd w:val="clear" w:color="auto" w:fill="auto"/>
          </w:tcPr>
          <w:p w:rsidR="00233D8B" w:rsidRPr="00E30ABD" w:rsidRDefault="00233D8B" w:rsidP="001E7729">
            <w:pPr>
              <w:keepNext/>
              <w:rPr>
                <w:szCs w:val="22"/>
              </w:rPr>
            </w:pPr>
            <w:r w:rsidRPr="00E30ABD">
              <w:rPr>
                <w:szCs w:val="22"/>
              </w:rPr>
              <w:t xml:space="preserve">Thromboticus thrombocytopeniás purpura (TTP) (lásd 4.4 pont), aplasticus anaemia, pancytopenia, súlyos thrombocytopenia, </w:t>
            </w:r>
            <w:r w:rsidR="009F5DBE" w:rsidRPr="00E9359F">
              <w:rPr>
                <w:szCs w:val="22"/>
              </w:rPr>
              <w:t xml:space="preserve">szerzett haemophilia A, </w:t>
            </w:r>
            <w:r w:rsidRPr="00E30ABD">
              <w:rPr>
                <w:szCs w:val="22"/>
              </w:rPr>
              <w:t>granulocytopenia, anaemia</w:t>
            </w:r>
          </w:p>
        </w:tc>
      </w:tr>
      <w:tr w:rsidR="004D6D06" w:rsidRPr="00E30ABD" w:rsidTr="00E30ABD">
        <w:trPr>
          <w:cantSplit/>
        </w:trPr>
        <w:tc>
          <w:tcPr>
            <w:tcW w:w="1951" w:type="dxa"/>
            <w:shd w:val="clear" w:color="auto" w:fill="auto"/>
          </w:tcPr>
          <w:p w:rsidR="004D6D06" w:rsidRPr="00E30ABD" w:rsidRDefault="004D6D06" w:rsidP="001E7729">
            <w:pPr>
              <w:keepNext/>
              <w:rPr>
                <w:szCs w:val="22"/>
              </w:rPr>
            </w:pPr>
            <w:r w:rsidRPr="00D716F7">
              <w:t>Szívbetegségek és a szívvel kapcsolatos tünetek</w:t>
            </w:r>
          </w:p>
        </w:tc>
        <w:tc>
          <w:tcPr>
            <w:tcW w:w="1843" w:type="dxa"/>
            <w:shd w:val="clear" w:color="auto" w:fill="auto"/>
          </w:tcPr>
          <w:p w:rsidR="004D6D06" w:rsidRPr="00E30ABD" w:rsidRDefault="004D6D06" w:rsidP="001E7729">
            <w:pPr>
              <w:keepNext/>
              <w:rPr>
                <w:szCs w:val="22"/>
              </w:rPr>
            </w:pPr>
          </w:p>
        </w:tc>
        <w:tc>
          <w:tcPr>
            <w:tcW w:w="1984" w:type="dxa"/>
            <w:shd w:val="clear" w:color="auto" w:fill="auto"/>
          </w:tcPr>
          <w:p w:rsidR="004D6D06" w:rsidRPr="00E30ABD" w:rsidRDefault="004D6D06" w:rsidP="001E7729">
            <w:pPr>
              <w:keepNext/>
              <w:rPr>
                <w:szCs w:val="22"/>
              </w:rPr>
            </w:pPr>
          </w:p>
        </w:tc>
        <w:tc>
          <w:tcPr>
            <w:tcW w:w="1843" w:type="dxa"/>
            <w:shd w:val="clear" w:color="auto" w:fill="auto"/>
          </w:tcPr>
          <w:p w:rsidR="004D6D06" w:rsidRPr="00E30ABD" w:rsidRDefault="004D6D06" w:rsidP="001E7729">
            <w:pPr>
              <w:keepNext/>
              <w:rPr>
                <w:szCs w:val="22"/>
              </w:rPr>
            </w:pPr>
          </w:p>
        </w:tc>
        <w:tc>
          <w:tcPr>
            <w:tcW w:w="2410" w:type="dxa"/>
            <w:shd w:val="clear" w:color="auto" w:fill="auto"/>
          </w:tcPr>
          <w:p w:rsidR="004D6D06" w:rsidRPr="00E30ABD" w:rsidRDefault="004D6D06" w:rsidP="001E7729">
            <w:pPr>
              <w:keepNext/>
              <w:rPr>
                <w:szCs w:val="22"/>
              </w:rPr>
            </w:pPr>
            <w:r>
              <w:rPr>
                <w:szCs w:val="22"/>
              </w:rPr>
              <w:t xml:space="preserve">Klopidogréllel szemben jelentkező túlérzékenységi reakció során előforduló Kounis szindróma (allergiás eredetű vasospasticus angina / allergiás eredetű myocardialis infarctus) </w:t>
            </w:r>
          </w:p>
        </w:tc>
      </w:tr>
      <w:tr w:rsidR="00233D8B" w:rsidRPr="00E30ABD" w:rsidTr="00E30ABD">
        <w:trPr>
          <w:cantSplit/>
        </w:trPr>
        <w:tc>
          <w:tcPr>
            <w:tcW w:w="1951" w:type="dxa"/>
            <w:shd w:val="clear" w:color="auto" w:fill="auto"/>
          </w:tcPr>
          <w:p w:rsidR="00233D8B" w:rsidRPr="00E30ABD" w:rsidRDefault="00233D8B" w:rsidP="001E7729">
            <w:pPr>
              <w:rPr>
                <w:szCs w:val="22"/>
              </w:rPr>
            </w:pPr>
            <w:r w:rsidRPr="00E30ABD">
              <w:rPr>
                <w:szCs w:val="22"/>
              </w:rPr>
              <w:t>Immunrendszeri betegségek és tünetek</w:t>
            </w:r>
          </w:p>
        </w:tc>
        <w:tc>
          <w:tcPr>
            <w:tcW w:w="1843" w:type="dxa"/>
            <w:shd w:val="clear" w:color="auto" w:fill="auto"/>
          </w:tcPr>
          <w:p w:rsidR="00233D8B" w:rsidRPr="00E30ABD" w:rsidRDefault="00233D8B" w:rsidP="001E7729">
            <w:pPr>
              <w:rPr>
                <w:szCs w:val="22"/>
              </w:rPr>
            </w:pPr>
          </w:p>
        </w:tc>
        <w:tc>
          <w:tcPr>
            <w:tcW w:w="1984" w:type="dxa"/>
            <w:shd w:val="clear" w:color="auto" w:fill="auto"/>
          </w:tcPr>
          <w:p w:rsidR="00233D8B" w:rsidRPr="00E30ABD" w:rsidRDefault="00233D8B" w:rsidP="001E7729">
            <w:pPr>
              <w:rPr>
                <w:szCs w:val="22"/>
              </w:rPr>
            </w:pPr>
          </w:p>
        </w:tc>
        <w:tc>
          <w:tcPr>
            <w:tcW w:w="1843" w:type="dxa"/>
            <w:shd w:val="clear" w:color="auto" w:fill="auto"/>
          </w:tcPr>
          <w:p w:rsidR="00233D8B" w:rsidRPr="00E30ABD" w:rsidRDefault="00233D8B" w:rsidP="001E7729">
            <w:pPr>
              <w:rPr>
                <w:szCs w:val="22"/>
              </w:rPr>
            </w:pPr>
          </w:p>
        </w:tc>
        <w:tc>
          <w:tcPr>
            <w:tcW w:w="2410" w:type="dxa"/>
            <w:shd w:val="clear" w:color="auto" w:fill="auto"/>
          </w:tcPr>
          <w:p w:rsidR="00233D8B" w:rsidRPr="00E30ABD" w:rsidRDefault="00233D8B" w:rsidP="001E7729">
            <w:pPr>
              <w:rPr>
                <w:szCs w:val="22"/>
              </w:rPr>
            </w:pPr>
            <w:r w:rsidRPr="00E30ABD">
              <w:rPr>
                <w:szCs w:val="22"/>
              </w:rPr>
              <w:t>Szérumbetegség, anafilaktoid reakciók</w:t>
            </w:r>
            <w:r w:rsidR="00862B5B" w:rsidRPr="00E30ABD">
              <w:rPr>
                <w:szCs w:val="22"/>
              </w:rPr>
              <w:t>,</w:t>
            </w:r>
          </w:p>
          <w:p w:rsidR="00862B5B" w:rsidRPr="00E30ABD" w:rsidRDefault="00862B5B" w:rsidP="00FE4466">
            <w:pPr>
              <w:rPr>
                <w:szCs w:val="22"/>
              </w:rPr>
            </w:pPr>
            <w:r w:rsidRPr="00E30ABD">
              <w:rPr>
                <w:szCs w:val="22"/>
              </w:rPr>
              <w:t xml:space="preserve">tienopiridinek (mint a tiklopidin, a </w:t>
            </w:r>
            <w:r w:rsidR="008120A4" w:rsidRPr="00E30ABD">
              <w:rPr>
                <w:szCs w:val="22"/>
              </w:rPr>
              <w:t>prasugr</w:t>
            </w:r>
            <w:r w:rsidR="00096C1B" w:rsidRPr="00E30ABD">
              <w:rPr>
                <w:szCs w:val="22"/>
              </w:rPr>
              <w:t>e</w:t>
            </w:r>
            <w:r w:rsidR="008120A4" w:rsidRPr="00E30ABD">
              <w:rPr>
                <w:szCs w:val="22"/>
              </w:rPr>
              <w:t>l</w:t>
            </w:r>
            <w:r w:rsidRPr="00E30ABD">
              <w:rPr>
                <w:szCs w:val="22"/>
              </w:rPr>
              <w:t>) közötti kereszt-reaktív gyógyszer túlérzékenység (lásd 4.4</w:t>
            </w:r>
            <w:r w:rsidR="00805332" w:rsidRPr="00E30ABD">
              <w:rPr>
                <w:szCs w:val="22"/>
              </w:rPr>
              <w:t> </w:t>
            </w:r>
            <w:r w:rsidRPr="00E30ABD">
              <w:rPr>
                <w:szCs w:val="22"/>
              </w:rPr>
              <w:t>pont)*</w:t>
            </w:r>
            <w:r w:rsidR="00EE50AF">
              <w:rPr>
                <w:szCs w:val="22"/>
              </w:rPr>
              <w:t>, inzulin autoimmun szindróma, ami súlyos hypogl</w:t>
            </w:r>
            <w:r w:rsidR="00FE4466">
              <w:rPr>
                <w:szCs w:val="22"/>
              </w:rPr>
              <w:t>y</w:t>
            </w:r>
            <w:r w:rsidR="00EE50AF">
              <w:rPr>
                <w:szCs w:val="22"/>
              </w:rPr>
              <w:t>caemiához vezethet, különösen HLA DRA4 altípusú betegeknél (gyakoribb a japán populációban)*</w:t>
            </w:r>
          </w:p>
        </w:tc>
      </w:tr>
      <w:tr w:rsidR="00233D8B" w:rsidRPr="00E30ABD" w:rsidTr="00E30ABD">
        <w:trPr>
          <w:cantSplit/>
        </w:trPr>
        <w:tc>
          <w:tcPr>
            <w:tcW w:w="1951" w:type="dxa"/>
            <w:shd w:val="clear" w:color="auto" w:fill="auto"/>
          </w:tcPr>
          <w:p w:rsidR="00233D8B" w:rsidRPr="00E30ABD" w:rsidRDefault="00233D8B" w:rsidP="001E7729">
            <w:pPr>
              <w:rPr>
                <w:szCs w:val="22"/>
              </w:rPr>
            </w:pPr>
            <w:r w:rsidRPr="00E30ABD">
              <w:rPr>
                <w:szCs w:val="22"/>
              </w:rPr>
              <w:t>Pszichiátriai kórképek</w:t>
            </w:r>
          </w:p>
        </w:tc>
        <w:tc>
          <w:tcPr>
            <w:tcW w:w="1843" w:type="dxa"/>
            <w:shd w:val="clear" w:color="auto" w:fill="auto"/>
          </w:tcPr>
          <w:p w:rsidR="00233D8B" w:rsidRPr="00E30ABD" w:rsidRDefault="00233D8B" w:rsidP="001E7729">
            <w:pPr>
              <w:rPr>
                <w:szCs w:val="22"/>
              </w:rPr>
            </w:pPr>
          </w:p>
        </w:tc>
        <w:tc>
          <w:tcPr>
            <w:tcW w:w="1984" w:type="dxa"/>
            <w:shd w:val="clear" w:color="auto" w:fill="auto"/>
          </w:tcPr>
          <w:p w:rsidR="00233D8B" w:rsidRPr="00E30ABD" w:rsidRDefault="00233D8B" w:rsidP="001E7729">
            <w:pPr>
              <w:rPr>
                <w:szCs w:val="22"/>
              </w:rPr>
            </w:pPr>
          </w:p>
        </w:tc>
        <w:tc>
          <w:tcPr>
            <w:tcW w:w="1843" w:type="dxa"/>
            <w:shd w:val="clear" w:color="auto" w:fill="auto"/>
          </w:tcPr>
          <w:p w:rsidR="00233D8B" w:rsidRPr="00E30ABD" w:rsidRDefault="00233D8B" w:rsidP="001E7729">
            <w:pPr>
              <w:rPr>
                <w:szCs w:val="22"/>
              </w:rPr>
            </w:pPr>
          </w:p>
        </w:tc>
        <w:tc>
          <w:tcPr>
            <w:tcW w:w="2410" w:type="dxa"/>
            <w:shd w:val="clear" w:color="auto" w:fill="auto"/>
          </w:tcPr>
          <w:p w:rsidR="00233D8B" w:rsidRPr="00E30ABD" w:rsidRDefault="00233D8B" w:rsidP="001E7729">
            <w:pPr>
              <w:rPr>
                <w:szCs w:val="22"/>
              </w:rPr>
            </w:pPr>
            <w:r w:rsidRPr="00E30ABD">
              <w:rPr>
                <w:szCs w:val="22"/>
              </w:rPr>
              <w:t>Hallucinációk, konfúzió</w:t>
            </w:r>
          </w:p>
        </w:tc>
      </w:tr>
      <w:tr w:rsidR="00233D8B" w:rsidRPr="00E30ABD" w:rsidTr="00E30ABD">
        <w:trPr>
          <w:cantSplit/>
        </w:trPr>
        <w:tc>
          <w:tcPr>
            <w:tcW w:w="1951" w:type="dxa"/>
            <w:shd w:val="clear" w:color="auto" w:fill="auto"/>
          </w:tcPr>
          <w:p w:rsidR="00233D8B" w:rsidRPr="00E30ABD" w:rsidRDefault="00233D8B" w:rsidP="001E7729">
            <w:pPr>
              <w:rPr>
                <w:szCs w:val="22"/>
              </w:rPr>
            </w:pPr>
            <w:r w:rsidRPr="00E30ABD">
              <w:rPr>
                <w:szCs w:val="22"/>
              </w:rPr>
              <w:t>Idegrendszeri betegségek és tünetek</w:t>
            </w:r>
          </w:p>
        </w:tc>
        <w:tc>
          <w:tcPr>
            <w:tcW w:w="1843" w:type="dxa"/>
            <w:shd w:val="clear" w:color="auto" w:fill="auto"/>
          </w:tcPr>
          <w:p w:rsidR="00233D8B" w:rsidRPr="00E30ABD" w:rsidRDefault="00233D8B" w:rsidP="001E7729">
            <w:pPr>
              <w:rPr>
                <w:szCs w:val="22"/>
              </w:rPr>
            </w:pPr>
          </w:p>
        </w:tc>
        <w:tc>
          <w:tcPr>
            <w:tcW w:w="1984" w:type="dxa"/>
            <w:shd w:val="clear" w:color="auto" w:fill="auto"/>
          </w:tcPr>
          <w:p w:rsidR="00233D8B" w:rsidRPr="00E30ABD" w:rsidRDefault="00233D8B" w:rsidP="001E7729">
            <w:pPr>
              <w:rPr>
                <w:szCs w:val="22"/>
              </w:rPr>
            </w:pPr>
            <w:r w:rsidRPr="00E30ABD">
              <w:rPr>
                <w:szCs w:val="22"/>
              </w:rPr>
              <w:t>Intracranialis vérzés (néhány eset</w:t>
            </w:r>
            <w:r w:rsidR="0087456E" w:rsidRPr="00E30ABD">
              <w:rPr>
                <w:szCs w:val="22"/>
              </w:rPr>
              <w:t>ben</w:t>
            </w:r>
            <w:r w:rsidRPr="00E30ABD">
              <w:rPr>
                <w:szCs w:val="22"/>
              </w:rPr>
              <w:t xml:space="preserve"> halálos kimenetel</w:t>
            </w:r>
            <w:r w:rsidR="0087456E" w:rsidRPr="00E30ABD">
              <w:rPr>
                <w:szCs w:val="22"/>
              </w:rPr>
              <w:t>t</w:t>
            </w:r>
            <w:r w:rsidRPr="00E30ABD">
              <w:rPr>
                <w:szCs w:val="22"/>
              </w:rPr>
              <w:t xml:space="preserve"> jelentettek)</w:t>
            </w:r>
          </w:p>
          <w:p w:rsidR="00233D8B" w:rsidRPr="00E30ABD" w:rsidRDefault="00233D8B" w:rsidP="001E7729">
            <w:pPr>
              <w:rPr>
                <w:szCs w:val="22"/>
              </w:rPr>
            </w:pPr>
            <w:r w:rsidRPr="00E30ABD">
              <w:rPr>
                <w:szCs w:val="22"/>
              </w:rPr>
              <w:t>fejfájás, paraesthesia, szédülés</w:t>
            </w:r>
          </w:p>
        </w:tc>
        <w:tc>
          <w:tcPr>
            <w:tcW w:w="1843" w:type="dxa"/>
            <w:shd w:val="clear" w:color="auto" w:fill="auto"/>
          </w:tcPr>
          <w:p w:rsidR="00233D8B" w:rsidRPr="00E30ABD" w:rsidRDefault="00233D8B" w:rsidP="001E7729">
            <w:pPr>
              <w:rPr>
                <w:szCs w:val="22"/>
              </w:rPr>
            </w:pPr>
          </w:p>
        </w:tc>
        <w:tc>
          <w:tcPr>
            <w:tcW w:w="2410" w:type="dxa"/>
            <w:shd w:val="clear" w:color="auto" w:fill="auto"/>
          </w:tcPr>
          <w:p w:rsidR="00233D8B" w:rsidRPr="00E30ABD" w:rsidRDefault="00233D8B" w:rsidP="001E7729">
            <w:pPr>
              <w:rPr>
                <w:szCs w:val="22"/>
              </w:rPr>
            </w:pPr>
            <w:r w:rsidRPr="00E30ABD">
              <w:rPr>
                <w:szCs w:val="22"/>
              </w:rPr>
              <w:t>Ízérzés zavara</w:t>
            </w:r>
            <w:r w:rsidR="00371C16">
              <w:rPr>
                <w:szCs w:val="22"/>
              </w:rPr>
              <w:t>, ageusia</w:t>
            </w:r>
          </w:p>
        </w:tc>
      </w:tr>
      <w:tr w:rsidR="00233D8B" w:rsidRPr="00E30ABD" w:rsidTr="00E30ABD">
        <w:trPr>
          <w:cantSplit/>
        </w:trPr>
        <w:tc>
          <w:tcPr>
            <w:tcW w:w="1951" w:type="dxa"/>
            <w:shd w:val="clear" w:color="auto" w:fill="auto"/>
          </w:tcPr>
          <w:p w:rsidR="00233D8B" w:rsidRPr="008D2CB3" w:rsidRDefault="00233D8B" w:rsidP="001E7729">
            <w:r w:rsidRPr="008D2CB3">
              <w:t xml:space="preserve">Szembetegségek és </w:t>
            </w:r>
            <w:r w:rsidR="00087DA9" w:rsidRPr="008D2CB3">
              <w:t xml:space="preserve">szemészeti </w:t>
            </w:r>
            <w:r w:rsidRPr="008D2CB3">
              <w:t>tünetek</w:t>
            </w:r>
          </w:p>
        </w:tc>
        <w:tc>
          <w:tcPr>
            <w:tcW w:w="1843" w:type="dxa"/>
            <w:shd w:val="clear" w:color="auto" w:fill="auto"/>
          </w:tcPr>
          <w:p w:rsidR="00233D8B" w:rsidRPr="00E30ABD" w:rsidRDefault="00233D8B" w:rsidP="001E7729">
            <w:pPr>
              <w:rPr>
                <w:szCs w:val="22"/>
              </w:rPr>
            </w:pPr>
          </w:p>
        </w:tc>
        <w:tc>
          <w:tcPr>
            <w:tcW w:w="1984" w:type="dxa"/>
            <w:shd w:val="clear" w:color="auto" w:fill="auto"/>
          </w:tcPr>
          <w:p w:rsidR="00233D8B" w:rsidRPr="00E30ABD" w:rsidRDefault="00233D8B" w:rsidP="001E7729">
            <w:pPr>
              <w:rPr>
                <w:szCs w:val="22"/>
              </w:rPr>
            </w:pPr>
            <w:r w:rsidRPr="00E30ABD">
              <w:rPr>
                <w:szCs w:val="22"/>
              </w:rPr>
              <w:t>Szemvérzés (kötőhártya, szem, retina)</w:t>
            </w:r>
          </w:p>
        </w:tc>
        <w:tc>
          <w:tcPr>
            <w:tcW w:w="1843" w:type="dxa"/>
            <w:shd w:val="clear" w:color="auto" w:fill="auto"/>
          </w:tcPr>
          <w:p w:rsidR="00233D8B" w:rsidRPr="00E30ABD" w:rsidRDefault="00233D8B" w:rsidP="001E7729">
            <w:pPr>
              <w:rPr>
                <w:szCs w:val="22"/>
              </w:rPr>
            </w:pPr>
          </w:p>
        </w:tc>
        <w:tc>
          <w:tcPr>
            <w:tcW w:w="2410" w:type="dxa"/>
            <w:shd w:val="clear" w:color="auto" w:fill="auto"/>
          </w:tcPr>
          <w:p w:rsidR="00233D8B" w:rsidRPr="00E30ABD" w:rsidRDefault="00233D8B" w:rsidP="001E7729">
            <w:pPr>
              <w:rPr>
                <w:szCs w:val="22"/>
              </w:rPr>
            </w:pPr>
          </w:p>
        </w:tc>
      </w:tr>
      <w:tr w:rsidR="00233D8B" w:rsidRPr="00E30ABD" w:rsidTr="00E30ABD">
        <w:trPr>
          <w:cantSplit/>
        </w:trPr>
        <w:tc>
          <w:tcPr>
            <w:tcW w:w="1951" w:type="dxa"/>
            <w:shd w:val="clear" w:color="auto" w:fill="auto"/>
          </w:tcPr>
          <w:p w:rsidR="00233D8B" w:rsidRPr="00E30ABD" w:rsidRDefault="00233D8B" w:rsidP="001E7729">
            <w:pPr>
              <w:rPr>
                <w:szCs w:val="22"/>
              </w:rPr>
            </w:pPr>
            <w:r w:rsidRPr="008D2CB3">
              <w:t>A fül és az egyensúly-érzékelő szerv betegségei és tünetei</w:t>
            </w:r>
          </w:p>
        </w:tc>
        <w:tc>
          <w:tcPr>
            <w:tcW w:w="1843" w:type="dxa"/>
            <w:shd w:val="clear" w:color="auto" w:fill="auto"/>
          </w:tcPr>
          <w:p w:rsidR="00233D8B" w:rsidRPr="00E30ABD" w:rsidRDefault="00233D8B" w:rsidP="001E7729">
            <w:pPr>
              <w:rPr>
                <w:szCs w:val="22"/>
              </w:rPr>
            </w:pPr>
          </w:p>
        </w:tc>
        <w:tc>
          <w:tcPr>
            <w:tcW w:w="1984" w:type="dxa"/>
            <w:shd w:val="clear" w:color="auto" w:fill="auto"/>
          </w:tcPr>
          <w:p w:rsidR="00233D8B" w:rsidRPr="00E30ABD" w:rsidRDefault="00233D8B" w:rsidP="001E7729">
            <w:pPr>
              <w:rPr>
                <w:szCs w:val="22"/>
              </w:rPr>
            </w:pPr>
          </w:p>
        </w:tc>
        <w:tc>
          <w:tcPr>
            <w:tcW w:w="1843" w:type="dxa"/>
            <w:shd w:val="clear" w:color="auto" w:fill="auto"/>
          </w:tcPr>
          <w:p w:rsidR="00233D8B" w:rsidRPr="00E30ABD" w:rsidRDefault="00947C46" w:rsidP="001E7729">
            <w:pPr>
              <w:rPr>
                <w:szCs w:val="22"/>
              </w:rPr>
            </w:pPr>
            <w:r>
              <w:rPr>
                <w:szCs w:val="22"/>
              </w:rPr>
              <w:t>F</w:t>
            </w:r>
            <w:r w:rsidR="00233D8B" w:rsidRPr="00E30ABD">
              <w:rPr>
                <w:szCs w:val="22"/>
              </w:rPr>
              <w:t>orgó jellegű szédülés</w:t>
            </w:r>
          </w:p>
        </w:tc>
        <w:tc>
          <w:tcPr>
            <w:tcW w:w="2410" w:type="dxa"/>
            <w:shd w:val="clear" w:color="auto" w:fill="auto"/>
          </w:tcPr>
          <w:p w:rsidR="00233D8B" w:rsidRPr="00E30ABD" w:rsidRDefault="00233D8B" w:rsidP="001E7729">
            <w:pPr>
              <w:rPr>
                <w:szCs w:val="22"/>
              </w:rPr>
            </w:pPr>
          </w:p>
        </w:tc>
      </w:tr>
      <w:tr w:rsidR="00233D8B" w:rsidRPr="00E30ABD" w:rsidTr="00E30ABD">
        <w:trPr>
          <w:cantSplit/>
        </w:trPr>
        <w:tc>
          <w:tcPr>
            <w:tcW w:w="1951" w:type="dxa"/>
            <w:shd w:val="clear" w:color="auto" w:fill="auto"/>
          </w:tcPr>
          <w:p w:rsidR="00233D8B" w:rsidRPr="00E30ABD" w:rsidRDefault="00233D8B" w:rsidP="001E7729">
            <w:pPr>
              <w:rPr>
                <w:szCs w:val="22"/>
              </w:rPr>
            </w:pPr>
            <w:r w:rsidRPr="00E30ABD">
              <w:rPr>
                <w:szCs w:val="22"/>
              </w:rPr>
              <w:t>Érbetegségek és tünetek</w:t>
            </w:r>
          </w:p>
        </w:tc>
        <w:tc>
          <w:tcPr>
            <w:tcW w:w="1843" w:type="dxa"/>
            <w:shd w:val="clear" w:color="auto" w:fill="auto"/>
          </w:tcPr>
          <w:p w:rsidR="00233D8B" w:rsidRPr="00E30ABD" w:rsidRDefault="00233D8B" w:rsidP="001E7729">
            <w:pPr>
              <w:rPr>
                <w:szCs w:val="22"/>
              </w:rPr>
            </w:pPr>
            <w:r w:rsidRPr="00E30ABD">
              <w:rPr>
                <w:szCs w:val="22"/>
              </w:rPr>
              <w:t>Haematoma,</w:t>
            </w:r>
          </w:p>
        </w:tc>
        <w:tc>
          <w:tcPr>
            <w:tcW w:w="1984" w:type="dxa"/>
            <w:shd w:val="clear" w:color="auto" w:fill="auto"/>
          </w:tcPr>
          <w:p w:rsidR="00233D8B" w:rsidRPr="00E30ABD" w:rsidRDefault="00233D8B" w:rsidP="001E7729">
            <w:pPr>
              <w:rPr>
                <w:szCs w:val="22"/>
              </w:rPr>
            </w:pPr>
          </w:p>
        </w:tc>
        <w:tc>
          <w:tcPr>
            <w:tcW w:w="1843" w:type="dxa"/>
            <w:shd w:val="clear" w:color="auto" w:fill="auto"/>
          </w:tcPr>
          <w:p w:rsidR="00233D8B" w:rsidRPr="00E30ABD" w:rsidRDefault="00233D8B" w:rsidP="001E7729">
            <w:pPr>
              <w:rPr>
                <w:szCs w:val="22"/>
              </w:rPr>
            </w:pPr>
          </w:p>
        </w:tc>
        <w:tc>
          <w:tcPr>
            <w:tcW w:w="2410" w:type="dxa"/>
            <w:shd w:val="clear" w:color="auto" w:fill="auto"/>
          </w:tcPr>
          <w:p w:rsidR="00233D8B" w:rsidRPr="00E30ABD" w:rsidRDefault="00233D8B" w:rsidP="001E7729">
            <w:pPr>
              <w:rPr>
                <w:szCs w:val="22"/>
              </w:rPr>
            </w:pPr>
            <w:r w:rsidRPr="00E30ABD">
              <w:rPr>
                <w:szCs w:val="22"/>
              </w:rPr>
              <w:t>Súlyos vérzés, műtéti sebek vérzése, vasculitis, hypotensio</w:t>
            </w:r>
          </w:p>
        </w:tc>
      </w:tr>
      <w:tr w:rsidR="00233D8B" w:rsidRPr="00E30ABD" w:rsidTr="00E30ABD">
        <w:trPr>
          <w:cantSplit/>
        </w:trPr>
        <w:tc>
          <w:tcPr>
            <w:tcW w:w="1951" w:type="dxa"/>
            <w:shd w:val="clear" w:color="auto" w:fill="auto"/>
          </w:tcPr>
          <w:p w:rsidR="00233D8B" w:rsidRPr="00E30ABD" w:rsidRDefault="00233D8B" w:rsidP="001E7729">
            <w:pPr>
              <w:rPr>
                <w:szCs w:val="22"/>
              </w:rPr>
            </w:pPr>
            <w:r w:rsidRPr="00E30ABD">
              <w:rPr>
                <w:szCs w:val="22"/>
              </w:rPr>
              <w:t>Légzőrendszeri, mellkasi és mediastinalis betegségek és tünetek</w:t>
            </w:r>
          </w:p>
        </w:tc>
        <w:tc>
          <w:tcPr>
            <w:tcW w:w="1843" w:type="dxa"/>
            <w:shd w:val="clear" w:color="auto" w:fill="auto"/>
          </w:tcPr>
          <w:p w:rsidR="00233D8B" w:rsidRPr="00E30ABD" w:rsidRDefault="00233D8B" w:rsidP="001E7729">
            <w:pPr>
              <w:rPr>
                <w:szCs w:val="22"/>
              </w:rPr>
            </w:pPr>
            <w:r w:rsidRPr="00E30ABD">
              <w:rPr>
                <w:szCs w:val="22"/>
              </w:rPr>
              <w:t>Orrvérzés</w:t>
            </w:r>
          </w:p>
        </w:tc>
        <w:tc>
          <w:tcPr>
            <w:tcW w:w="1984" w:type="dxa"/>
            <w:shd w:val="clear" w:color="auto" w:fill="auto"/>
          </w:tcPr>
          <w:p w:rsidR="00233D8B" w:rsidRPr="00E30ABD" w:rsidRDefault="00233D8B" w:rsidP="001E7729">
            <w:pPr>
              <w:rPr>
                <w:szCs w:val="22"/>
              </w:rPr>
            </w:pPr>
          </w:p>
        </w:tc>
        <w:tc>
          <w:tcPr>
            <w:tcW w:w="1843" w:type="dxa"/>
            <w:shd w:val="clear" w:color="auto" w:fill="auto"/>
          </w:tcPr>
          <w:p w:rsidR="00233D8B" w:rsidRPr="00E30ABD" w:rsidRDefault="00233D8B" w:rsidP="001E7729">
            <w:pPr>
              <w:rPr>
                <w:szCs w:val="22"/>
              </w:rPr>
            </w:pPr>
          </w:p>
        </w:tc>
        <w:tc>
          <w:tcPr>
            <w:tcW w:w="2410" w:type="dxa"/>
            <w:shd w:val="clear" w:color="auto" w:fill="auto"/>
          </w:tcPr>
          <w:p w:rsidR="00233D8B" w:rsidRDefault="00E77674" w:rsidP="001E7729">
            <w:pPr>
              <w:rPr>
                <w:szCs w:val="22"/>
              </w:rPr>
            </w:pPr>
            <w:r w:rsidRPr="00840A0F">
              <w:rPr>
                <w:szCs w:val="22"/>
              </w:rPr>
              <w:t>Légzőrendszeri vérzés</w:t>
            </w:r>
            <w:r>
              <w:rPr>
                <w:szCs w:val="22"/>
              </w:rPr>
              <w:t xml:space="preserve"> </w:t>
            </w:r>
            <w:r w:rsidRPr="00840A0F">
              <w:rPr>
                <w:szCs w:val="22"/>
              </w:rPr>
              <w:t xml:space="preserve">(vérköpés, tüdővérzés) </w:t>
            </w:r>
            <w:r w:rsidR="00233D8B" w:rsidRPr="00E30ABD">
              <w:rPr>
                <w:szCs w:val="22"/>
              </w:rPr>
              <w:t>brochospasmus, interstitialis pneumoni</w:t>
            </w:r>
            <w:r w:rsidR="00CA35A4" w:rsidRPr="00E30ABD">
              <w:rPr>
                <w:szCs w:val="22"/>
              </w:rPr>
              <w:t>a</w:t>
            </w:r>
            <w:r w:rsidR="008F511A">
              <w:rPr>
                <w:szCs w:val="22"/>
              </w:rPr>
              <w:t>,</w:t>
            </w:r>
          </w:p>
          <w:p w:rsidR="008F511A" w:rsidRPr="00E30ABD" w:rsidRDefault="008F511A" w:rsidP="001E7729">
            <w:pPr>
              <w:rPr>
                <w:szCs w:val="22"/>
              </w:rPr>
            </w:pPr>
            <w:r>
              <w:rPr>
                <w:szCs w:val="22"/>
              </w:rPr>
              <w:t>eosinophil pneumonia</w:t>
            </w:r>
          </w:p>
        </w:tc>
      </w:tr>
      <w:tr w:rsidR="00233D8B" w:rsidRPr="00E30ABD" w:rsidTr="00E30ABD">
        <w:trPr>
          <w:cantSplit/>
        </w:trPr>
        <w:tc>
          <w:tcPr>
            <w:tcW w:w="1951" w:type="dxa"/>
            <w:shd w:val="clear" w:color="auto" w:fill="auto"/>
          </w:tcPr>
          <w:p w:rsidR="00233D8B" w:rsidRPr="00E30ABD" w:rsidRDefault="00233D8B" w:rsidP="001E7729">
            <w:pPr>
              <w:rPr>
                <w:szCs w:val="22"/>
              </w:rPr>
            </w:pPr>
            <w:r w:rsidRPr="00E30ABD">
              <w:rPr>
                <w:szCs w:val="22"/>
              </w:rPr>
              <w:t>Emésztőrendszeri betegségek és tünetek</w:t>
            </w:r>
          </w:p>
        </w:tc>
        <w:tc>
          <w:tcPr>
            <w:tcW w:w="1843" w:type="dxa"/>
            <w:shd w:val="clear" w:color="auto" w:fill="auto"/>
          </w:tcPr>
          <w:p w:rsidR="00233D8B" w:rsidRPr="00E30ABD" w:rsidRDefault="00233D8B" w:rsidP="001E7729">
            <w:pPr>
              <w:rPr>
                <w:szCs w:val="22"/>
              </w:rPr>
            </w:pPr>
            <w:r w:rsidRPr="00E30ABD">
              <w:rPr>
                <w:szCs w:val="22"/>
              </w:rPr>
              <w:t>Gastrointestinalis vérzés, hasmenés, hasi fájdalom, emésztési zavar</w:t>
            </w:r>
          </w:p>
        </w:tc>
        <w:tc>
          <w:tcPr>
            <w:tcW w:w="1984" w:type="dxa"/>
            <w:shd w:val="clear" w:color="auto" w:fill="auto"/>
          </w:tcPr>
          <w:p w:rsidR="00233D8B" w:rsidRPr="00E30ABD" w:rsidRDefault="00947C46" w:rsidP="001E7729">
            <w:pPr>
              <w:rPr>
                <w:szCs w:val="22"/>
              </w:rPr>
            </w:pPr>
            <w:r>
              <w:rPr>
                <w:szCs w:val="22"/>
              </w:rPr>
              <w:t>G</w:t>
            </w:r>
            <w:r w:rsidR="00233D8B" w:rsidRPr="00E30ABD">
              <w:rPr>
                <w:szCs w:val="22"/>
              </w:rPr>
              <w:t>yomorfekély és nyombélfekély, gastritis, hányás, hányinger, székrekedés,</w:t>
            </w:r>
          </w:p>
          <w:p w:rsidR="00233D8B" w:rsidRPr="00E30ABD" w:rsidRDefault="00233D8B" w:rsidP="001E7729">
            <w:pPr>
              <w:rPr>
                <w:szCs w:val="22"/>
              </w:rPr>
            </w:pPr>
            <w:r w:rsidRPr="00E30ABD">
              <w:rPr>
                <w:szCs w:val="22"/>
              </w:rPr>
              <w:t>flatulentia</w:t>
            </w:r>
          </w:p>
        </w:tc>
        <w:tc>
          <w:tcPr>
            <w:tcW w:w="1843" w:type="dxa"/>
            <w:shd w:val="clear" w:color="auto" w:fill="auto"/>
          </w:tcPr>
          <w:p w:rsidR="00233D8B" w:rsidRPr="00E30ABD" w:rsidRDefault="00233D8B" w:rsidP="001E7729">
            <w:pPr>
              <w:rPr>
                <w:szCs w:val="22"/>
              </w:rPr>
            </w:pPr>
            <w:r w:rsidRPr="00E30ABD">
              <w:rPr>
                <w:szCs w:val="22"/>
              </w:rPr>
              <w:t>Retroperitonealis vérzés</w:t>
            </w:r>
          </w:p>
        </w:tc>
        <w:tc>
          <w:tcPr>
            <w:tcW w:w="2410" w:type="dxa"/>
            <w:shd w:val="clear" w:color="auto" w:fill="auto"/>
          </w:tcPr>
          <w:p w:rsidR="00233D8B" w:rsidRPr="00E30ABD" w:rsidRDefault="00233D8B" w:rsidP="001E7729">
            <w:pPr>
              <w:rPr>
                <w:szCs w:val="22"/>
              </w:rPr>
            </w:pPr>
            <w:r w:rsidRPr="00E30ABD">
              <w:rPr>
                <w:szCs w:val="22"/>
              </w:rPr>
              <w:t>Gastrointestinalis és retroperitonealis vérzés</w:t>
            </w:r>
            <w:r w:rsidR="00CA35A4" w:rsidRPr="00E30ABD">
              <w:rPr>
                <w:szCs w:val="22"/>
              </w:rPr>
              <w:t xml:space="preserve"> </w:t>
            </w:r>
            <w:r w:rsidRPr="00E30ABD">
              <w:rPr>
                <w:szCs w:val="22"/>
              </w:rPr>
              <w:t>halálos kimenetellel, pancreatitis,</w:t>
            </w:r>
            <w:r w:rsidRPr="00E30ABD">
              <w:rPr>
                <w:b/>
                <w:szCs w:val="22"/>
              </w:rPr>
              <w:t xml:space="preserve"> </w:t>
            </w:r>
            <w:r w:rsidRPr="00E30ABD">
              <w:rPr>
                <w:bCs/>
                <w:szCs w:val="22"/>
              </w:rPr>
              <w:t>colitis (beleértve az ulceratív és lymphocytás colitist), stomatitis</w:t>
            </w:r>
          </w:p>
        </w:tc>
      </w:tr>
      <w:tr w:rsidR="00233D8B" w:rsidRPr="00E30ABD" w:rsidTr="00E30ABD">
        <w:trPr>
          <w:cantSplit/>
        </w:trPr>
        <w:tc>
          <w:tcPr>
            <w:tcW w:w="1951" w:type="dxa"/>
            <w:shd w:val="clear" w:color="auto" w:fill="auto"/>
          </w:tcPr>
          <w:p w:rsidR="00233D8B" w:rsidRPr="00E30ABD" w:rsidRDefault="00233D8B" w:rsidP="001E7729">
            <w:pPr>
              <w:rPr>
                <w:szCs w:val="22"/>
              </w:rPr>
            </w:pPr>
            <w:r w:rsidRPr="00E30ABD">
              <w:rPr>
                <w:szCs w:val="22"/>
              </w:rPr>
              <w:t>Máj- és epebetegségek illetve tünetek</w:t>
            </w:r>
          </w:p>
        </w:tc>
        <w:tc>
          <w:tcPr>
            <w:tcW w:w="1843" w:type="dxa"/>
            <w:shd w:val="clear" w:color="auto" w:fill="auto"/>
          </w:tcPr>
          <w:p w:rsidR="00233D8B" w:rsidRPr="00E30ABD" w:rsidRDefault="00233D8B" w:rsidP="001E7729">
            <w:pPr>
              <w:rPr>
                <w:szCs w:val="22"/>
              </w:rPr>
            </w:pPr>
          </w:p>
        </w:tc>
        <w:tc>
          <w:tcPr>
            <w:tcW w:w="1984" w:type="dxa"/>
            <w:shd w:val="clear" w:color="auto" w:fill="auto"/>
          </w:tcPr>
          <w:p w:rsidR="00233D8B" w:rsidRPr="00E30ABD" w:rsidRDefault="00233D8B" w:rsidP="001E7729">
            <w:pPr>
              <w:rPr>
                <w:szCs w:val="22"/>
              </w:rPr>
            </w:pPr>
          </w:p>
        </w:tc>
        <w:tc>
          <w:tcPr>
            <w:tcW w:w="1843" w:type="dxa"/>
            <w:shd w:val="clear" w:color="auto" w:fill="auto"/>
          </w:tcPr>
          <w:p w:rsidR="00233D8B" w:rsidRPr="00E30ABD" w:rsidRDefault="00233D8B" w:rsidP="001E7729">
            <w:pPr>
              <w:rPr>
                <w:szCs w:val="22"/>
              </w:rPr>
            </w:pPr>
          </w:p>
        </w:tc>
        <w:tc>
          <w:tcPr>
            <w:tcW w:w="2410" w:type="dxa"/>
            <w:shd w:val="clear" w:color="auto" w:fill="auto"/>
          </w:tcPr>
          <w:p w:rsidR="00233D8B" w:rsidRPr="00E30ABD" w:rsidRDefault="00233D8B" w:rsidP="001E7729">
            <w:pPr>
              <w:rPr>
                <w:szCs w:val="22"/>
              </w:rPr>
            </w:pPr>
            <w:r w:rsidRPr="00E30ABD">
              <w:rPr>
                <w:szCs w:val="22"/>
              </w:rPr>
              <w:t>Akut májelégtelenség, hepatitis, kóros májfunkciós vizsgálati eredmény</w:t>
            </w:r>
          </w:p>
        </w:tc>
      </w:tr>
      <w:tr w:rsidR="00233D8B" w:rsidRPr="00E30ABD" w:rsidTr="00E30ABD">
        <w:trPr>
          <w:cantSplit/>
        </w:trPr>
        <w:tc>
          <w:tcPr>
            <w:tcW w:w="1951" w:type="dxa"/>
            <w:shd w:val="clear" w:color="auto" w:fill="auto"/>
          </w:tcPr>
          <w:p w:rsidR="00233D8B" w:rsidRPr="00E30ABD" w:rsidRDefault="00233D8B" w:rsidP="001E7729">
            <w:pPr>
              <w:rPr>
                <w:szCs w:val="22"/>
              </w:rPr>
            </w:pPr>
            <w:r w:rsidRPr="00E30ABD">
              <w:rPr>
                <w:szCs w:val="22"/>
              </w:rPr>
              <w:t>A bőr és a bőr</w:t>
            </w:r>
            <w:r w:rsidR="00FB1F77" w:rsidRPr="00E30ABD">
              <w:rPr>
                <w:szCs w:val="22"/>
              </w:rPr>
              <w:t xml:space="preserve"> </w:t>
            </w:r>
            <w:r w:rsidRPr="00E30ABD">
              <w:rPr>
                <w:szCs w:val="22"/>
              </w:rPr>
              <w:t>alatti szövet betegségei és tünetei</w:t>
            </w:r>
          </w:p>
        </w:tc>
        <w:tc>
          <w:tcPr>
            <w:tcW w:w="1843" w:type="dxa"/>
            <w:shd w:val="clear" w:color="auto" w:fill="auto"/>
          </w:tcPr>
          <w:p w:rsidR="00233D8B" w:rsidRPr="00E30ABD" w:rsidRDefault="00CA35A4" w:rsidP="001E7729">
            <w:pPr>
              <w:rPr>
                <w:szCs w:val="22"/>
              </w:rPr>
            </w:pPr>
            <w:r w:rsidRPr="00E30ABD">
              <w:rPr>
                <w:szCs w:val="22"/>
              </w:rPr>
              <w:t>Suffusio</w:t>
            </w:r>
          </w:p>
        </w:tc>
        <w:tc>
          <w:tcPr>
            <w:tcW w:w="1984" w:type="dxa"/>
            <w:shd w:val="clear" w:color="auto" w:fill="auto"/>
          </w:tcPr>
          <w:p w:rsidR="00233D8B" w:rsidRPr="00E30ABD" w:rsidRDefault="00233D8B" w:rsidP="001E7729">
            <w:pPr>
              <w:rPr>
                <w:szCs w:val="22"/>
              </w:rPr>
            </w:pPr>
            <w:r w:rsidRPr="00E30ABD">
              <w:rPr>
                <w:szCs w:val="22"/>
              </w:rPr>
              <w:t>Bőrkiütés, viszketés, bőr</w:t>
            </w:r>
            <w:r w:rsidR="00CA35A4" w:rsidRPr="00E30ABD">
              <w:rPr>
                <w:szCs w:val="22"/>
              </w:rPr>
              <w:t>be</w:t>
            </w:r>
            <w:r w:rsidRPr="00E30ABD">
              <w:rPr>
                <w:szCs w:val="22"/>
              </w:rPr>
              <w:t>vérzés (purpura)</w:t>
            </w:r>
          </w:p>
        </w:tc>
        <w:tc>
          <w:tcPr>
            <w:tcW w:w="1843" w:type="dxa"/>
            <w:shd w:val="clear" w:color="auto" w:fill="auto"/>
          </w:tcPr>
          <w:p w:rsidR="00233D8B" w:rsidRPr="00E30ABD" w:rsidRDefault="00233D8B" w:rsidP="001E7729">
            <w:pPr>
              <w:rPr>
                <w:szCs w:val="22"/>
              </w:rPr>
            </w:pPr>
          </w:p>
        </w:tc>
        <w:tc>
          <w:tcPr>
            <w:tcW w:w="2410" w:type="dxa"/>
            <w:shd w:val="clear" w:color="auto" w:fill="auto"/>
          </w:tcPr>
          <w:p w:rsidR="001F3F8A" w:rsidRPr="00E30ABD" w:rsidRDefault="00233D8B" w:rsidP="001E7729">
            <w:pPr>
              <w:rPr>
                <w:szCs w:val="22"/>
              </w:rPr>
            </w:pPr>
            <w:r w:rsidRPr="00E30ABD">
              <w:rPr>
                <w:szCs w:val="22"/>
              </w:rPr>
              <w:t>Dermatitis bullosa (erythema multiforme, Stevens-Johnson szindróma, toxi</w:t>
            </w:r>
            <w:r w:rsidR="00CA35A4" w:rsidRPr="00E30ABD">
              <w:rPr>
                <w:szCs w:val="22"/>
              </w:rPr>
              <w:t>c</w:t>
            </w:r>
            <w:r w:rsidRPr="00E30ABD">
              <w:rPr>
                <w:szCs w:val="22"/>
              </w:rPr>
              <w:t>us epiderm</w:t>
            </w:r>
            <w:r w:rsidR="00CA35A4" w:rsidRPr="00E30ABD">
              <w:rPr>
                <w:szCs w:val="22"/>
              </w:rPr>
              <w:t>a</w:t>
            </w:r>
            <w:r w:rsidRPr="00E30ABD">
              <w:rPr>
                <w:szCs w:val="22"/>
              </w:rPr>
              <w:t xml:space="preserve">lis necrolysis, </w:t>
            </w:r>
            <w:r w:rsidR="001E1EB2">
              <w:rPr>
                <w:szCs w:val="22"/>
              </w:rPr>
              <w:t xml:space="preserve">akut generalizált </w:t>
            </w:r>
            <w:r w:rsidR="001E1EB2" w:rsidRPr="00E52EE8">
              <w:rPr>
                <w:szCs w:val="22"/>
              </w:rPr>
              <w:t>exanthemato</w:t>
            </w:r>
            <w:r w:rsidR="001E1EB2">
              <w:rPr>
                <w:szCs w:val="22"/>
              </w:rPr>
              <w:t>s</w:t>
            </w:r>
            <w:r w:rsidR="001E1EB2" w:rsidRPr="00E52EE8">
              <w:rPr>
                <w:szCs w:val="22"/>
              </w:rPr>
              <w:t>us pustulosis (AGEP)</w:t>
            </w:r>
            <w:r w:rsidR="001E1EB2">
              <w:rPr>
                <w:szCs w:val="22"/>
              </w:rPr>
              <w:t>)</w:t>
            </w:r>
            <w:r w:rsidR="001E1EB2" w:rsidRPr="009C0C7D">
              <w:rPr>
                <w:szCs w:val="22"/>
              </w:rPr>
              <w:t xml:space="preserve">, </w:t>
            </w:r>
            <w:r w:rsidRPr="00E30ABD">
              <w:rPr>
                <w:szCs w:val="22"/>
              </w:rPr>
              <w:t xml:space="preserve">angioödéma, </w:t>
            </w:r>
          </w:p>
          <w:p w:rsidR="001F3F8A" w:rsidRPr="00E30ABD" w:rsidRDefault="001F3F8A" w:rsidP="001E7729">
            <w:pPr>
              <w:rPr>
                <w:szCs w:val="22"/>
              </w:rPr>
            </w:pPr>
            <w:r w:rsidRPr="00E30ABD">
              <w:rPr>
                <w:szCs w:val="22"/>
              </w:rPr>
              <w:t xml:space="preserve">gyógyszer-okozta túlérzékenységi szindróma, </w:t>
            </w:r>
          </w:p>
          <w:p w:rsidR="00233D8B" w:rsidRPr="00E30ABD" w:rsidRDefault="001F3F8A" w:rsidP="001E7729">
            <w:pPr>
              <w:rPr>
                <w:szCs w:val="22"/>
              </w:rPr>
            </w:pPr>
            <w:r w:rsidRPr="00E30ABD">
              <w:rPr>
                <w:szCs w:val="22"/>
              </w:rPr>
              <w:t xml:space="preserve">eosinophiliával és szisztémás tünetekkel járó </w:t>
            </w:r>
            <w:r w:rsidR="00B47C14" w:rsidRPr="00E30ABD">
              <w:rPr>
                <w:szCs w:val="22"/>
              </w:rPr>
              <w:t>gyógyszer</w:t>
            </w:r>
            <w:r w:rsidR="00690135">
              <w:rPr>
                <w:szCs w:val="22"/>
              </w:rPr>
              <w:t>reakció</w:t>
            </w:r>
            <w:r w:rsidRPr="00E30ABD">
              <w:rPr>
                <w:szCs w:val="22"/>
              </w:rPr>
              <w:t xml:space="preserve"> (DRESS), </w:t>
            </w:r>
            <w:r w:rsidR="00233D8B" w:rsidRPr="00E30ABD">
              <w:rPr>
                <w:szCs w:val="22"/>
              </w:rPr>
              <w:t>e</w:t>
            </w:r>
            <w:r w:rsidR="007C1954">
              <w:rPr>
                <w:szCs w:val="22"/>
              </w:rPr>
              <w:t>r</w:t>
            </w:r>
            <w:r w:rsidR="00233D8B" w:rsidRPr="00E30ABD">
              <w:rPr>
                <w:szCs w:val="22"/>
              </w:rPr>
              <w:t>ythematosus</w:t>
            </w:r>
            <w:r w:rsidR="007F2389">
              <w:rPr>
                <w:szCs w:val="22"/>
              </w:rPr>
              <w:t xml:space="preserve"> vagy exfoliatív</w:t>
            </w:r>
            <w:r w:rsidR="00233D8B" w:rsidRPr="00E30ABD">
              <w:rPr>
                <w:szCs w:val="22"/>
              </w:rPr>
              <w:t xml:space="preserve"> </w:t>
            </w:r>
            <w:r w:rsidR="007F2389">
              <w:rPr>
                <w:szCs w:val="22"/>
              </w:rPr>
              <w:t>bőr</w:t>
            </w:r>
            <w:r w:rsidR="00233D8B" w:rsidRPr="00E30ABD">
              <w:rPr>
                <w:szCs w:val="22"/>
              </w:rPr>
              <w:t>kiütés, urticaria, ek</w:t>
            </w:r>
            <w:r w:rsidR="00CA35A4" w:rsidRPr="00E30ABD">
              <w:rPr>
                <w:szCs w:val="22"/>
              </w:rPr>
              <w:t>ze</w:t>
            </w:r>
            <w:r w:rsidR="00233D8B" w:rsidRPr="00E30ABD">
              <w:rPr>
                <w:szCs w:val="22"/>
              </w:rPr>
              <w:t>ma és lichen planus</w:t>
            </w:r>
          </w:p>
        </w:tc>
      </w:tr>
      <w:tr w:rsidR="00B6717C" w:rsidRPr="00E30ABD" w:rsidTr="00E30ABD">
        <w:trPr>
          <w:cantSplit/>
        </w:trPr>
        <w:tc>
          <w:tcPr>
            <w:tcW w:w="1951" w:type="dxa"/>
            <w:shd w:val="clear" w:color="auto" w:fill="auto"/>
          </w:tcPr>
          <w:p w:rsidR="00B6717C" w:rsidRPr="00E30ABD" w:rsidRDefault="00B6717C" w:rsidP="001E7729">
            <w:pPr>
              <w:rPr>
                <w:szCs w:val="22"/>
              </w:rPr>
            </w:pPr>
            <w:r w:rsidRPr="00026072">
              <w:t>A nemi szervekkel és az emlőkkel kapcsolatos betegségek és tünetek</w:t>
            </w:r>
          </w:p>
        </w:tc>
        <w:tc>
          <w:tcPr>
            <w:tcW w:w="1843" w:type="dxa"/>
            <w:shd w:val="clear" w:color="auto" w:fill="auto"/>
          </w:tcPr>
          <w:p w:rsidR="00B6717C" w:rsidRPr="00E30ABD" w:rsidRDefault="00B6717C" w:rsidP="001E7729">
            <w:pPr>
              <w:rPr>
                <w:szCs w:val="22"/>
              </w:rPr>
            </w:pPr>
          </w:p>
        </w:tc>
        <w:tc>
          <w:tcPr>
            <w:tcW w:w="1984" w:type="dxa"/>
            <w:shd w:val="clear" w:color="auto" w:fill="auto"/>
          </w:tcPr>
          <w:p w:rsidR="00B6717C" w:rsidRPr="00E30ABD" w:rsidRDefault="00B6717C" w:rsidP="001E7729">
            <w:pPr>
              <w:rPr>
                <w:szCs w:val="22"/>
              </w:rPr>
            </w:pPr>
          </w:p>
        </w:tc>
        <w:tc>
          <w:tcPr>
            <w:tcW w:w="1843" w:type="dxa"/>
            <w:shd w:val="clear" w:color="auto" w:fill="auto"/>
          </w:tcPr>
          <w:p w:rsidR="00B6717C" w:rsidRPr="00E30ABD" w:rsidRDefault="00B6717C" w:rsidP="001E7729">
            <w:pPr>
              <w:rPr>
                <w:szCs w:val="22"/>
              </w:rPr>
            </w:pPr>
            <w:r>
              <w:rPr>
                <w:szCs w:val="22"/>
              </w:rPr>
              <w:t>Gynecomastia</w:t>
            </w:r>
          </w:p>
        </w:tc>
        <w:tc>
          <w:tcPr>
            <w:tcW w:w="2410" w:type="dxa"/>
            <w:shd w:val="clear" w:color="auto" w:fill="auto"/>
          </w:tcPr>
          <w:p w:rsidR="00B6717C" w:rsidRPr="00E30ABD" w:rsidRDefault="00B6717C" w:rsidP="001E7729">
            <w:pPr>
              <w:rPr>
                <w:szCs w:val="22"/>
              </w:rPr>
            </w:pPr>
          </w:p>
        </w:tc>
      </w:tr>
      <w:tr w:rsidR="00233D8B" w:rsidRPr="00E30ABD" w:rsidTr="00E30ABD">
        <w:trPr>
          <w:cantSplit/>
        </w:trPr>
        <w:tc>
          <w:tcPr>
            <w:tcW w:w="1951" w:type="dxa"/>
            <w:shd w:val="clear" w:color="auto" w:fill="auto"/>
          </w:tcPr>
          <w:p w:rsidR="00233D8B" w:rsidRPr="00E30ABD" w:rsidRDefault="00233D8B" w:rsidP="001E7729">
            <w:pPr>
              <w:rPr>
                <w:szCs w:val="22"/>
              </w:rPr>
            </w:pPr>
            <w:r w:rsidRPr="00E30ABD">
              <w:rPr>
                <w:szCs w:val="22"/>
              </w:rPr>
              <w:t>A csont-</w:t>
            </w:r>
            <w:r w:rsidR="00CA35A4" w:rsidRPr="00E30ABD">
              <w:rPr>
                <w:szCs w:val="22"/>
              </w:rPr>
              <w:t xml:space="preserve"> </w:t>
            </w:r>
            <w:r w:rsidR="00980E3C" w:rsidRPr="00E30ABD">
              <w:rPr>
                <w:szCs w:val="22"/>
              </w:rPr>
              <w:t xml:space="preserve">és </w:t>
            </w:r>
            <w:r w:rsidRPr="00E30ABD">
              <w:rPr>
                <w:szCs w:val="22"/>
              </w:rPr>
              <w:t>izomrendszer</w:t>
            </w:r>
            <w:r w:rsidR="00980E3C" w:rsidRPr="00E30ABD">
              <w:rPr>
                <w:szCs w:val="22"/>
              </w:rPr>
              <w:t>, valamint</w:t>
            </w:r>
            <w:r w:rsidRPr="00E30ABD">
              <w:rPr>
                <w:szCs w:val="22"/>
              </w:rPr>
              <w:t xml:space="preserve"> a kötőszövet betegségei és tünetei</w:t>
            </w:r>
          </w:p>
        </w:tc>
        <w:tc>
          <w:tcPr>
            <w:tcW w:w="1843" w:type="dxa"/>
            <w:shd w:val="clear" w:color="auto" w:fill="auto"/>
          </w:tcPr>
          <w:p w:rsidR="00233D8B" w:rsidRPr="00E30ABD" w:rsidRDefault="00233D8B" w:rsidP="001E7729">
            <w:pPr>
              <w:rPr>
                <w:szCs w:val="22"/>
              </w:rPr>
            </w:pPr>
          </w:p>
        </w:tc>
        <w:tc>
          <w:tcPr>
            <w:tcW w:w="1984" w:type="dxa"/>
            <w:shd w:val="clear" w:color="auto" w:fill="auto"/>
          </w:tcPr>
          <w:p w:rsidR="00233D8B" w:rsidRPr="00E30ABD" w:rsidRDefault="00233D8B" w:rsidP="001E7729">
            <w:pPr>
              <w:rPr>
                <w:szCs w:val="22"/>
              </w:rPr>
            </w:pPr>
          </w:p>
        </w:tc>
        <w:tc>
          <w:tcPr>
            <w:tcW w:w="1843" w:type="dxa"/>
            <w:shd w:val="clear" w:color="auto" w:fill="auto"/>
          </w:tcPr>
          <w:p w:rsidR="00233D8B" w:rsidRPr="00E30ABD" w:rsidRDefault="00233D8B" w:rsidP="001E7729">
            <w:pPr>
              <w:rPr>
                <w:szCs w:val="22"/>
              </w:rPr>
            </w:pPr>
          </w:p>
        </w:tc>
        <w:tc>
          <w:tcPr>
            <w:tcW w:w="2410" w:type="dxa"/>
            <w:shd w:val="clear" w:color="auto" w:fill="auto"/>
          </w:tcPr>
          <w:p w:rsidR="00233D8B" w:rsidRPr="00E30ABD" w:rsidRDefault="00233D8B" w:rsidP="001E7729">
            <w:pPr>
              <w:rPr>
                <w:szCs w:val="22"/>
              </w:rPr>
            </w:pPr>
            <w:r w:rsidRPr="00E30ABD">
              <w:rPr>
                <w:szCs w:val="22"/>
              </w:rPr>
              <w:t>Mozgásszervi vérzés (haemarthros), arthritis, arthralgia, myalgia</w:t>
            </w:r>
          </w:p>
        </w:tc>
      </w:tr>
      <w:tr w:rsidR="00233D8B" w:rsidRPr="00E30ABD" w:rsidTr="00E30ABD">
        <w:trPr>
          <w:cantSplit/>
        </w:trPr>
        <w:tc>
          <w:tcPr>
            <w:tcW w:w="1951" w:type="dxa"/>
            <w:shd w:val="clear" w:color="auto" w:fill="auto"/>
          </w:tcPr>
          <w:p w:rsidR="00233D8B" w:rsidRPr="00E30ABD" w:rsidRDefault="00233D8B" w:rsidP="001E7729">
            <w:pPr>
              <w:rPr>
                <w:szCs w:val="22"/>
              </w:rPr>
            </w:pPr>
            <w:r w:rsidRPr="00E30ABD">
              <w:rPr>
                <w:szCs w:val="22"/>
              </w:rPr>
              <w:t>Vese- és húgyúti betegségek és tünetek</w:t>
            </w:r>
          </w:p>
        </w:tc>
        <w:tc>
          <w:tcPr>
            <w:tcW w:w="1843" w:type="dxa"/>
            <w:shd w:val="clear" w:color="auto" w:fill="auto"/>
          </w:tcPr>
          <w:p w:rsidR="00233D8B" w:rsidRPr="00E30ABD" w:rsidRDefault="00233D8B" w:rsidP="001E7729">
            <w:pPr>
              <w:rPr>
                <w:szCs w:val="22"/>
              </w:rPr>
            </w:pPr>
          </w:p>
        </w:tc>
        <w:tc>
          <w:tcPr>
            <w:tcW w:w="1984" w:type="dxa"/>
            <w:shd w:val="clear" w:color="auto" w:fill="auto"/>
          </w:tcPr>
          <w:p w:rsidR="00233D8B" w:rsidRPr="00E30ABD" w:rsidRDefault="00233D8B" w:rsidP="001E7729">
            <w:pPr>
              <w:rPr>
                <w:szCs w:val="22"/>
              </w:rPr>
            </w:pPr>
            <w:r w:rsidRPr="00E30ABD">
              <w:rPr>
                <w:szCs w:val="22"/>
              </w:rPr>
              <w:t>Haematuria</w:t>
            </w:r>
          </w:p>
        </w:tc>
        <w:tc>
          <w:tcPr>
            <w:tcW w:w="1843" w:type="dxa"/>
            <w:shd w:val="clear" w:color="auto" w:fill="auto"/>
          </w:tcPr>
          <w:p w:rsidR="00233D8B" w:rsidRPr="00E30ABD" w:rsidRDefault="00233D8B" w:rsidP="001E7729">
            <w:pPr>
              <w:rPr>
                <w:szCs w:val="22"/>
              </w:rPr>
            </w:pPr>
          </w:p>
        </w:tc>
        <w:tc>
          <w:tcPr>
            <w:tcW w:w="2410" w:type="dxa"/>
            <w:shd w:val="clear" w:color="auto" w:fill="auto"/>
          </w:tcPr>
          <w:p w:rsidR="00233D8B" w:rsidRPr="00E30ABD" w:rsidRDefault="00233D8B" w:rsidP="001E7729">
            <w:pPr>
              <w:rPr>
                <w:szCs w:val="22"/>
              </w:rPr>
            </w:pPr>
            <w:r w:rsidRPr="00E30ABD">
              <w:rPr>
                <w:szCs w:val="22"/>
              </w:rPr>
              <w:t>Glomerulonephritis, szérum kreatinin emelkedés</w:t>
            </w:r>
          </w:p>
        </w:tc>
      </w:tr>
      <w:tr w:rsidR="00233D8B" w:rsidRPr="00E30ABD" w:rsidTr="00E30ABD">
        <w:trPr>
          <w:cantSplit/>
        </w:trPr>
        <w:tc>
          <w:tcPr>
            <w:tcW w:w="1951" w:type="dxa"/>
            <w:shd w:val="clear" w:color="auto" w:fill="auto"/>
          </w:tcPr>
          <w:p w:rsidR="00233D8B" w:rsidRPr="00E30ABD" w:rsidRDefault="00233D8B" w:rsidP="001E7729">
            <w:pPr>
              <w:rPr>
                <w:szCs w:val="22"/>
              </w:rPr>
            </w:pPr>
            <w:r w:rsidRPr="00E30ABD">
              <w:rPr>
                <w:szCs w:val="22"/>
              </w:rPr>
              <w:t>Általános tünetek, az alkalmazás helyén fellépő reakciók:</w:t>
            </w:r>
          </w:p>
        </w:tc>
        <w:tc>
          <w:tcPr>
            <w:tcW w:w="1843" w:type="dxa"/>
            <w:shd w:val="clear" w:color="auto" w:fill="auto"/>
          </w:tcPr>
          <w:p w:rsidR="00233D8B" w:rsidRPr="00E30ABD" w:rsidRDefault="00233D8B" w:rsidP="001E7729">
            <w:pPr>
              <w:rPr>
                <w:szCs w:val="22"/>
              </w:rPr>
            </w:pPr>
            <w:r w:rsidRPr="00E30ABD">
              <w:rPr>
                <w:szCs w:val="22"/>
              </w:rPr>
              <w:t xml:space="preserve">Vérzés a </w:t>
            </w:r>
            <w:r w:rsidR="00CA35A4" w:rsidRPr="00E30ABD">
              <w:rPr>
                <w:szCs w:val="22"/>
              </w:rPr>
              <w:t>szúrás</w:t>
            </w:r>
            <w:r w:rsidRPr="00E30ABD">
              <w:rPr>
                <w:szCs w:val="22"/>
              </w:rPr>
              <w:t xml:space="preserve"> helyén</w:t>
            </w:r>
          </w:p>
        </w:tc>
        <w:tc>
          <w:tcPr>
            <w:tcW w:w="1984" w:type="dxa"/>
            <w:shd w:val="clear" w:color="auto" w:fill="auto"/>
          </w:tcPr>
          <w:p w:rsidR="00233D8B" w:rsidRPr="00E30ABD" w:rsidRDefault="00233D8B" w:rsidP="001E7729">
            <w:pPr>
              <w:rPr>
                <w:szCs w:val="22"/>
              </w:rPr>
            </w:pPr>
          </w:p>
        </w:tc>
        <w:tc>
          <w:tcPr>
            <w:tcW w:w="1843" w:type="dxa"/>
            <w:shd w:val="clear" w:color="auto" w:fill="auto"/>
          </w:tcPr>
          <w:p w:rsidR="00233D8B" w:rsidRPr="00E30ABD" w:rsidRDefault="00233D8B" w:rsidP="001E7729">
            <w:pPr>
              <w:rPr>
                <w:szCs w:val="22"/>
              </w:rPr>
            </w:pPr>
          </w:p>
        </w:tc>
        <w:tc>
          <w:tcPr>
            <w:tcW w:w="2410" w:type="dxa"/>
            <w:shd w:val="clear" w:color="auto" w:fill="auto"/>
          </w:tcPr>
          <w:p w:rsidR="00233D8B" w:rsidRPr="00E30ABD" w:rsidRDefault="00233D8B" w:rsidP="001E7729">
            <w:pPr>
              <w:rPr>
                <w:szCs w:val="22"/>
              </w:rPr>
            </w:pPr>
            <w:r w:rsidRPr="00E30ABD">
              <w:rPr>
                <w:szCs w:val="22"/>
              </w:rPr>
              <w:t>Láz</w:t>
            </w:r>
          </w:p>
        </w:tc>
      </w:tr>
      <w:tr w:rsidR="00233D8B" w:rsidRPr="00E30ABD" w:rsidTr="00E30ABD">
        <w:trPr>
          <w:cantSplit/>
        </w:trPr>
        <w:tc>
          <w:tcPr>
            <w:tcW w:w="1951" w:type="dxa"/>
            <w:shd w:val="clear" w:color="auto" w:fill="auto"/>
          </w:tcPr>
          <w:p w:rsidR="00233D8B" w:rsidRPr="00E30ABD" w:rsidRDefault="00233D8B" w:rsidP="001E7729">
            <w:pPr>
              <w:rPr>
                <w:szCs w:val="22"/>
              </w:rPr>
            </w:pPr>
            <w:r w:rsidRPr="00E30ABD">
              <w:rPr>
                <w:szCs w:val="22"/>
              </w:rPr>
              <w:t xml:space="preserve">Laboratóriumi </w:t>
            </w:r>
            <w:r w:rsidR="00FB1F77" w:rsidRPr="00E30ABD">
              <w:rPr>
                <w:szCs w:val="22"/>
              </w:rPr>
              <w:t xml:space="preserve">és egyéb </w:t>
            </w:r>
            <w:r w:rsidRPr="00E30ABD">
              <w:rPr>
                <w:szCs w:val="22"/>
              </w:rPr>
              <w:t>vizsgálatok eredményei</w:t>
            </w:r>
          </w:p>
        </w:tc>
        <w:tc>
          <w:tcPr>
            <w:tcW w:w="1843" w:type="dxa"/>
            <w:shd w:val="clear" w:color="auto" w:fill="auto"/>
          </w:tcPr>
          <w:p w:rsidR="00233D8B" w:rsidRPr="00E30ABD" w:rsidRDefault="00233D8B" w:rsidP="001E7729">
            <w:pPr>
              <w:rPr>
                <w:szCs w:val="22"/>
              </w:rPr>
            </w:pPr>
          </w:p>
        </w:tc>
        <w:tc>
          <w:tcPr>
            <w:tcW w:w="1984" w:type="dxa"/>
            <w:shd w:val="clear" w:color="auto" w:fill="auto"/>
          </w:tcPr>
          <w:p w:rsidR="00233D8B" w:rsidRPr="00E30ABD" w:rsidRDefault="00233D8B" w:rsidP="001E7729">
            <w:pPr>
              <w:rPr>
                <w:szCs w:val="22"/>
              </w:rPr>
            </w:pPr>
            <w:r w:rsidRPr="00E30ABD">
              <w:rPr>
                <w:szCs w:val="22"/>
              </w:rPr>
              <w:t>Megnyúlt vérzési idő, csökkent neutrofil- és thrombocytaszám</w:t>
            </w:r>
          </w:p>
          <w:p w:rsidR="00233D8B" w:rsidRPr="00E30ABD" w:rsidRDefault="00233D8B" w:rsidP="001E7729">
            <w:pPr>
              <w:rPr>
                <w:szCs w:val="22"/>
              </w:rPr>
            </w:pPr>
          </w:p>
        </w:tc>
        <w:tc>
          <w:tcPr>
            <w:tcW w:w="1843" w:type="dxa"/>
            <w:shd w:val="clear" w:color="auto" w:fill="auto"/>
          </w:tcPr>
          <w:p w:rsidR="00233D8B" w:rsidRPr="00E30ABD" w:rsidRDefault="00233D8B" w:rsidP="001E7729">
            <w:pPr>
              <w:rPr>
                <w:szCs w:val="22"/>
              </w:rPr>
            </w:pPr>
          </w:p>
        </w:tc>
        <w:tc>
          <w:tcPr>
            <w:tcW w:w="2410" w:type="dxa"/>
            <w:shd w:val="clear" w:color="auto" w:fill="auto"/>
          </w:tcPr>
          <w:p w:rsidR="00233D8B" w:rsidRPr="00E30ABD" w:rsidRDefault="00233D8B" w:rsidP="001E7729">
            <w:pPr>
              <w:rPr>
                <w:szCs w:val="22"/>
              </w:rPr>
            </w:pPr>
          </w:p>
        </w:tc>
      </w:tr>
    </w:tbl>
    <w:p w:rsidR="00862B5B" w:rsidRDefault="00862B5B" w:rsidP="001E7729">
      <w:pPr>
        <w:ind w:left="708" w:hanging="708"/>
        <w:rPr>
          <w:szCs w:val="22"/>
        </w:rPr>
      </w:pPr>
      <w:r>
        <w:rPr>
          <w:szCs w:val="22"/>
        </w:rPr>
        <w:t>*A k</w:t>
      </w:r>
      <w:r w:rsidRPr="005A6E4E">
        <w:rPr>
          <w:szCs w:val="22"/>
        </w:rPr>
        <w:t>lopidogr</w:t>
      </w:r>
      <w:r>
        <w:rPr>
          <w:szCs w:val="22"/>
        </w:rPr>
        <w:t>é</w:t>
      </w:r>
      <w:r w:rsidRPr="005A6E4E">
        <w:rPr>
          <w:szCs w:val="22"/>
        </w:rPr>
        <w:t>l</w:t>
      </w:r>
      <w:r>
        <w:rPr>
          <w:szCs w:val="22"/>
        </w:rPr>
        <w:t>lel kapcsolatos</w:t>
      </w:r>
      <w:r w:rsidR="00096C1B">
        <w:rPr>
          <w:szCs w:val="22"/>
        </w:rPr>
        <w:t>,</w:t>
      </w:r>
      <w:r>
        <w:rPr>
          <w:szCs w:val="22"/>
        </w:rPr>
        <w:t xml:space="preserve"> </w:t>
      </w:r>
      <w:r w:rsidR="00096C1B">
        <w:rPr>
          <w:szCs w:val="22"/>
        </w:rPr>
        <w:t>„</w:t>
      </w:r>
      <w:r>
        <w:rPr>
          <w:szCs w:val="22"/>
        </w:rPr>
        <w:t>nem ismert</w:t>
      </w:r>
      <w:r w:rsidR="00096C1B">
        <w:rPr>
          <w:szCs w:val="22"/>
        </w:rPr>
        <w:t>”</w:t>
      </w:r>
      <w:r>
        <w:rPr>
          <w:szCs w:val="22"/>
        </w:rPr>
        <w:t xml:space="preserve"> gyakoriságú</w:t>
      </w:r>
      <w:r w:rsidRPr="005A6E4E">
        <w:rPr>
          <w:szCs w:val="22"/>
        </w:rPr>
        <w:t xml:space="preserve"> </w:t>
      </w:r>
      <w:r>
        <w:rPr>
          <w:szCs w:val="22"/>
        </w:rPr>
        <w:t>információ</w:t>
      </w:r>
      <w:r w:rsidRPr="005A6E4E">
        <w:rPr>
          <w:szCs w:val="22"/>
        </w:rPr>
        <w:t>.</w:t>
      </w:r>
    </w:p>
    <w:p w:rsidR="009F5DBE" w:rsidRDefault="009F5DBE" w:rsidP="001E7729">
      <w:pPr>
        <w:ind w:left="708" w:hanging="708"/>
        <w:rPr>
          <w:b/>
          <w:szCs w:val="22"/>
        </w:rPr>
      </w:pPr>
    </w:p>
    <w:p w:rsidR="009F5DBE" w:rsidRPr="00CF4DC9" w:rsidRDefault="009F5DBE" w:rsidP="001E7729">
      <w:pPr>
        <w:rPr>
          <w:u w:val="single"/>
        </w:rPr>
      </w:pPr>
      <w:r w:rsidRPr="00CF4DC9">
        <w:rPr>
          <w:u w:val="single"/>
        </w:rPr>
        <w:t>Feltételezett mellékhatások bejelentése</w:t>
      </w:r>
    </w:p>
    <w:p w:rsidR="009F5DBE" w:rsidRDefault="009F5DBE" w:rsidP="001E7729">
      <w:r w:rsidRPr="00D0750E">
        <w:t>A gyógyszer engedélyezését követően lényeges a feltételezett mellékhatások bejelentése, mert ez fontos eszköze annak, hogy a gyógyszer</w:t>
      </w:r>
      <w:r>
        <w:t xml:space="preserve"> </w:t>
      </w:r>
      <w:r w:rsidRPr="00D0750E">
        <w:t xml:space="preserve">előny/kockázat profilját folyamatosan figyelemmel lehessen kísérni. </w:t>
      </w:r>
    </w:p>
    <w:p w:rsidR="009F5DBE" w:rsidRDefault="009F5DBE" w:rsidP="001E7729">
      <w:r w:rsidRPr="00D0750E">
        <w:t>Az egészségügyi szakembereket kérjük,</w:t>
      </w:r>
      <w:r>
        <w:t xml:space="preserve"> </w:t>
      </w:r>
      <w:r w:rsidRPr="00D0750E">
        <w:t xml:space="preserve">hogy jelentsék be a feltételezett mellékhatásokat a hatóság részére az </w:t>
      </w:r>
      <w:hyperlink r:id="rId11" w:history="1">
        <w:r w:rsidRPr="00130037">
          <w:rPr>
            <w:rStyle w:val="Hyperlink"/>
            <w:highlight w:val="lightGray"/>
          </w:rPr>
          <w:t>V. függelékben</w:t>
        </w:r>
      </w:hyperlink>
      <w:r w:rsidRPr="00130037">
        <w:rPr>
          <w:highlight w:val="lightGray"/>
        </w:rPr>
        <w:t xml:space="preserve"> található elérhetőségek valamelyikén keresztül</w:t>
      </w:r>
    </w:p>
    <w:p w:rsidR="00122217" w:rsidRPr="008D2CB3" w:rsidRDefault="00122217" w:rsidP="001E7729">
      <w:pPr>
        <w:ind w:left="708" w:hanging="708"/>
        <w:rPr>
          <w:b/>
          <w:szCs w:val="22"/>
        </w:rPr>
      </w:pPr>
    </w:p>
    <w:p w:rsidR="00122217" w:rsidRPr="008D2CB3" w:rsidRDefault="00122217" w:rsidP="001E7729">
      <w:pPr>
        <w:numPr>
          <w:ilvl w:val="1"/>
          <w:numId w:val="9"/>
        </w:numPr>
        <w:rPr>
          <w:b/>
          <w:szCs w:val="22"/>
        </w:rPr>
      </w:pPr>
      <w:r w:rsidRPr="008D2CB3">
        <w:rPr>
          <w:b/>
          <w:szCs w:val="22"/>
        </w:rPr>
        <w:t>Túladagolás</w:t>
      </w:r>
    </w:p>
    <w:p w:rsidR="00122217" w:rsidRPr="008D2CB3" w:rsidRDefault="00122217" w:rsidP="001E7729">
      <w:pPr>
        <w:rPr>
          <w:b/>
          <w:szCs w:val="22"/>
        </w:rPr>
      </w:pPr>
    </w:p>
    <w:p w:rsidR="00122217" w:rsidRPr="008D2CB3" w:rsidRDefault="00122217" w:rsidP="001E7729">
      <w:pPr>
        <w:rPr>
          <w:szCs w:val="22"/>
        </w:rPr>
      </w:pPr>
      <w:r w:rsidRPr="008D2CB3">
        <w:rPr>
          <w:szCs w:val="22"/>
        </w:rPr>
        <w:t>Klopidogrél kezeléssel összefüggésben bekövetkező túladagolás megnyúlt vérzési időhöz, és ezt követően kialakuló vérzéses szövődményekhez vezethet. Amennyiben vérzések lépnek fel, mérlegelés szükséges az alkalmazott kezelési mód megválasztásához.</w:t>
      </w:r>
    </w:p>
    <w:p w:rsidR="00122217" w:rsidRPr="008D2CB3" w:rsidRDefault="00122217" w:rsidP="001E7729">
      <w:pPr>
        <w:jc w:val="both"/>
        <w:rPr>
          <w:szCs w:val="22"/>
        </w:rPr>
      </w:pPr>
    </w:p>
    <w:p w:rsidR="00122217" w:rsidRPr="008D2CB3" w:rsidRDefault="00122217" w:rsidP="001E7729">
      <w:pPr>
        <w:rPr>
          <w:szCs w:val="22"/>
        </w:rPr>
      </w:pPr>
      <w:r w:rsidRPr="008D2CB3">
        <w:rPr>
          <w:szCs w:val="22"/>
        </w:rPr>
        <w:t>A klopidogrél farmakológiai hatásával szembeni antidotumot eddig nem találtak. Ha a megnyúlt vérzési idő gyors ellensúlyozására van szükség, ebben az esetben a thrombocytatranszfúzió visszafordíthatja a klopidogrél hatásait.</w:t>
      </w:r>
    </w:p>
    <w:p w:rsidR="00122217" w:rsidRPr="008D2CB3" w:rsidRDefault="00122217" w:rsidP="001E7729">
      <w:pPr>
        <w:jc w:val="both"/>
        <w:rPr>
          <w:szCs w:val="22"/>
        </w:rPr>
      </w:pPr>
    </w:p>
    <w:p w:rsidR="00122217" w:rsidRPr="008D2CB3" w:rsidRDefault="00122217" w:rsidP="001E7729">
      <w:pPr>
        <w:jc w:val="both"/>
        <w:rPr>
          <w:szCs w:val="22"/>
        </w:rPr>
      </w:pPr>
    </w:p>
    <w:p w:rsidR="00122217" w:rsidRPr="008D2CB3" w:rsidRDefault="00122217" w:rsidP="001E7729">
      <w:pPr>
        <w:ind w:left="567" w:hanging="567"/>
        <w:jc w:val="both"/>
        <w:rPr>
          <w:szCs w:val="22"/>
        </w:rPr>
      </w:pPr>
      <w:r w:rsidRPr="008D2CB3">
        <w:rPr>
          <w:b/>
          <w:caps/>
          <w:szCs w:val="22"/>
        </w:rPr>
        <w:t>5.</w:t>
      </w:r>
      <w:r w:rsidRPr="008D2CB3">
        <w:rPr>
          <w:b/>
          <w:caps/>
          <w:szCs w:val="22"/>
        </w:rPr>
        <w:tab/>
        <w:t>Farmakológiai tulajdonságok</w:t>
      </w:r>
      <w:r w:rsidRPr="008D2CB3">
        <w:rPr>
          <w:szCs w:val="22"/>
        </w:rPr>
        <w:t xml:space="preserve"> </w:t>
      </w:r>
    </w:p>
    <w:p w:rsidR="00122217" w:rsidRPr="008D2CB3" w:rsidRDefault="00122217" w:rsidP="001E7729">
      <w:pPr>
        <w:ind w:left="567" w:hanging="567"/>
        <w:jc w:val="both"/>
        <w:rPr>
          <w:caps/>
          <w:szCs w:val="22"/>
        </w:rPr>
      </w:pPr>
    </w:p>
    <w:p w:rsidR="00122217" w:rsidRPr="008D2CB3" w:rsidRDefault="00122217" w:rsidP="001E7729">
      <w:pPr>
        <w:numPr>
          <w:ilvl w:val="1"/>
          <w:numId w:val="6"/>
        </w:numPr>
        <w:tabs>
          <w:tab w:val="clear" w:pos="705"/>
          <w:tab w:val="num" w:pos="567"/>
        </w:tabs>
        <w:jc w:val="both"/>
        <w:rPr>
          <w:b/>
          <w:szCs w:val="22"/>
        </w:rPr>
      </w:pPr>
      <w:r w:rsidRPr="008D2CB3">
        <w:rPr>
          <w:b/>
          <w:szCs w:val="22"/>
        </w:rPr>
        <w:t>Farmakodinámiás tulajdonságok</w:t>
      </w:r>
    </w:p>
    <w:p w:rsidR="00122217" w:rsidRPr="008D2CB3" w:rsidRDefault="00122217" w:rsidP="001E7729">
      <w:pPr>
        <w:jc w:val="both"/>
        <w:rPr>
          <w:szCs w:val="22"/>
        </w:rPr>
      </w:pPr>
    </w:p>
    <w:p w:rsidR="00122217" w:rsidRPr="008D2CB3" w:rsidRDefault="00122217" w:rsidP="001E7729">
      <w:pPr>
        <w:rPr>
          <w:szCs w:val="22"/>
        </w:rPr>
      </w:pPr>
      <w:r w:rsidRPr="008D2CB3">
        <w:rPr>
          <w:szCs w:val="22"/>
        </w:rPr>
        <w:t>Farmakoterápiás csoport: thrombocytaaggregáció-gátlók kivéve a heparint,</w:t>
      </w:r>
      <w:r w:rsidRPr="008D2CB3">
        <w:rPr>
          <w:b/>
          <w:szCs w:val="22"/>
        </w:rPr>
        <w:t xml:space="preserve"> </w:t>
      </w:r>
      <w:r w:rsidRPr="008D2CB3">
        <w:rPr>
          <w:szCs w:val="22"/>
        </w:rPr>
        <w:t xml:space="preserve">ATC: </w:t>
      </w:r>
      <w:r w:rsidR="00471FD8" w:rsidRPr="008D2CB3">
        <w:rPr>
          <w:szCs w:val="22"/>
        </w:rPr>
        <w:t>B01A</w:t>
      </w:r>
      <w:r w:rsidR="00494473" w:rsidRPr="008D2CB3">
        <w:rPr>
          <w:szCs w:val="22"/>
        </w:rPr>
        <w:t xml:space="preserve"> </w:t>
      </w:r>
      <w:r w:rsidRPr="008D2CB3">
        <w:rPr>
          <w:szCs w:val="22"/>
        </w:rPr>
        <w:t>C04.</w:t>
      </w:r>
    </w:p>
    <w:p w:rsidR="00B11C83" w:rsidRDefault="00B11C83" w:rsidP="001E7729">
      <w:pPr>
        <w:rPr>
          <w:szCs w:val="22"/>
        </w:rPr>
      </w:pPr>
    </w:p>
    <w:p w:rsidR="00B11C83" w:rsidRDefault="00B11C83" w:rsidP="001E7729">
      <w:pPr>
        <w:rPr>
          <w:szCs w:val="22"/>
        </w:rPr>
      </w:pPr>
      <w:r w:rsidRPr="004A6BEE">
        <w:rPr>
          <w:i/>
          <w:szCs w:val="24"/>
        </w:rPr>
        <w:t>Hatásmechanizmus</w:t>
      </w:r>
      <w:r w:rsidRPr="008D2CB3">
        <w:rPr>
          <w:szCs w:val="22"/>
        </w:rPr>
        <w:t xml:space="preserve"> </w:t>
      </w:r>
    </w:p>
    <w:p w:rsidR="00B11C83" w:rsidRDefault="00B11C83" w:rsidP="001E7729">
      <w:pPr>
        <w:rPr>
          <w:szCs w:val="22"/>
        </w:rPr>
      </w:pPr>
    </w:p>
    <w:p w:rsidR="00122217" w:rsidRPr="008D2CB3" w:rsidRDefault="00841B4F" w:rsidP="001E7729">
      <w:pPr>
        <w:rPr>
          <w:szCs w:val="22"/>
        </w:rPr>
      </w:pPr>
      <w:r w:rsidRPr="008D2CB3">
        <w:rPr>
          <w:szCs w:val="22"/>
        </w:rPr>
        <w:t>A klopidogrél egy prodrug, melynek egyik metabolitja a thrombocytaaggregációt gátolja. A klopidogrélt a CYP450 enzimeknek kell lebontaniuk ahhoz, hogy a thrombocytaaggregációt gátló aktív metabolit alakuljon ki. A klopidogrél aktív metabolitja szelektíven gátolja az adenozin-difoszfát (ADP) kötődését a thrombocyta P2Y</w:t>
      </w:r>
      <w:r w:rsidRPr="008D2CB3">
        <w:rPr>
          <w:szCs w:val="22"/>
          <w:vertAlign w:val="subscript"/>
        </w:rPr>
        <w:t>12</w:t>
      </w:r>
      <w:r w:rsidRPr="008D2CB3">
        <w:rPr>
          <w:szCs w:val="22"/>
        </w:rPr>
        <w:t>-receptorához, és az ezt követő – ADP-közvetített – glikoprotein GPIIb/IIIa-komplex aktiválódást, ilyen módon gátolva a thrombocytaaggregációt. Az irreverzíbilis kötődésnek köszönhetően, a klopidogrél-hatásnak kitett vérlemezkéken fennmaradó élettartamukra (kb. 7-10 nap) a hatás megmarad, így a normális thrombocyta-működés a thrombocyta turnover-nek megfelelő ütemben áll helyre. Az ADP-n kívül, egyéb agonisták által okozott thrombocytaaggregáció is gátolható a kibocsátott ADP thrombocyta-aktivációt fokozó hatásának gátlásával.</w:t>
      </w:r>
    </w:p>
    <w:p w:rsidR="00841B4F" w:rsidRPr="008D2CB3" w:rsidRDefault="00841B4F" w:rsidP="001E7729">
      <w:pPr>
        <w:rPr>
          <w:szCs w:val="22"/>
        </w:rPr>
      </w:pPr>
    </w:p>
    <w:p w:rsidR="00122217" w:rsidRPr="008D2CB3" w:rsidRDefault="00821D3E" w:rsidP="001E7729">
      <w:pPr>
        <w:jc w:val="both"/>
        <w:rPr>
          <w:szCs w:val="22"/>
        </w:rPr>
      </w:pPr>
      <w:r w:rsidRPr="008D2CB3">
        <w:rPr>
          <w:szCs w:val="22"/>
        </w:rPr>
        <w:t>Tekintettel arra, hogy az aktív metabolit a CYP450 enzimek segítségével jön létre</w:t>
      </w:r>
      <w:r w:rsidR="00334BCE" w:rsidRPr="008D2CB3">
        <w:rPr>
          <w:szCs w:val="22"/>
        </w:rPr>
        <w:t>, melyek közül néhány polimorf</w:t>
      </w:r>
      <w:r w:rsidR="00A2452D" w:rsidRPr="008D2CB3">
        <w:rPr>
          <w:szCs w:val="22"/>
        </w:rPr>
        <w:t>,</w:t>
      </w:r>
      <w:r w:rsidR="00334BCE" w:rsidRPr="008D2CB3">
        <w:rPr>
          <w:szCs w:val="22"/>
        </w:rPr>
        <w:t xml:space="preserve"> illetve más gyógyszerek gát</w:t>
      </w:r>
      <w:r w:rsidR="00A2452D" w:rsidRPr="008D2CB3">
        <w:rPr>
          <w:szCs w:val="22"/>
        </w:rPr>
        <w:t>o</w:t>
      </w:r>
      <w:r w:rsidR="00334BCE" w:rsidRPr="008D2CB3">
        <w:rPr>
          <w:szCs w:val="22"/>
        </w:rPr>
        <w:t xml:space="preserve">lják a működésüket, nem minden betegnél érhető el megfelelő </w:t>
      </w:r>
      <w:r w:rsidR="00CF0F67" w:rsidRPr="008D2CB3">
        <w:rPr>
          <w:szCs w:val="22"/>
        </w:rPr>
        <w:t>thrombocyta</w:t>
      </w:r>
      <w:r w:rsidR="00334BCE" w:rsidRPr="008D2CB3">
        <w:rPr>
          <w:szCs w:val="22"/>
        </w:rPr>
        <w:t>-gátlás.</w:t>
      </w:r>
    </w:p>
    <w:p w:rsidR="00841B4F" w:rsidRPr="008D2CB3" w:rsidRDefault="00841B4F" w:rsidP="001E7729">
      <w:pPr>
        <w:jc w:val="both"/>
        <w:rPr>
          <w:szCs w:val="22"/>
        </w:rPr>
      </w:pPr>
    </w:p>
    <w:p w:rsidR="00B353AF" w:rsidRDefault="00B353AF" w:rsidP="001E7729">
      <w:pPr>
        <w:rPr>
          <w:i/>
          <w:noProof/>
          <w:szCs w:val="24"/>
          <w:u w:val="single"/>
        </w:rPr>
      </w:pPr>
      <w:r w:rsidRPr="004A6BEE">
        <w:rPr>
          <w:i/>
          <w:noProof/>
          <w:szCs w:val="24"/>
        </w:rPr>
        <w:t>Farmakodinámiás</w:t>
      </w:r>
      <w:r w:rsidRPr="001B3F2C">
        <w:rPr>
          <w:i/>
          <w:noProof/>
          <w:szCs w:val="24"/>
        </w:rPr>
        <w:t xml:space="preserve"> hatások</w:t>
      </w:r>
    </w:p>
    <w:p w:rsidR="00B353AF" w:rsidRDefault="00B353AF" w:rsidP="001E7729">
      <w:pPr>
        <w:rPr>
          <w:szCs w:val="22"/>
        </w:rPr>
      </w:pPr>
    </w:p>
    <w:p w:rsidR="00122217" w:rsidRPr="008D2CB3" w:rsidRDefault="00122217" w:rsidP="001E7729">
      <w:pPr>
        <w:rPr>
          <w:szCs w:val="22"/>
        </w:rPr>
      </w:pPr>
      <w:r w:rsidRPr="008D2CB3">
        <w:rPr>
          <w:szCs w:val="22"/>
        </w:rPr>
        <w:t>Napi 75 mg adagok ismételt adagolása az első naptól kezdve lényegesen gátolta az ADP-indukálta thrombocytaaggregációt; ez a hatás fokozatosan növekedett és a 3-7. nap között alakult ki az egyensúlyi állapot. Ebben az egyensúlyi állapotban az átlag gátlási szint 75 mg napi adag mellett 40% és 60% között volt. Fokozatosan, általában 5 nappal a kezelés megszakítása után állt vissza az alapértékre a thrombocytaaggregáció és a vérzési idő.</w:t>
      </w:r>
    </w:p>
    <w:p w:rsidR="00122217" w:rsidRDefault="00122217" w:rsidP="001E7729">
      <w:pPr>
        <w:rPr>
          <w:szCs w:val="22"/>
        </w:rPr>
      </w:pPr>
    </w:p>
    <w:p w:rsidR="00B353AF" w:rsidRDefault="00B353AF" w:rsidP="001E7729">
      <w:pPr>
        <w:rPr>
          <w:i/>
          <w:noProof/>
          <w:szCs w:val="24"/>
        </w:rPr>
      </w:pPr>
      <w:r w:rsidRPr="004A6BEE">
        <w:rPr>
          <w:i/>
          <w:noProof/>
          <w:szCs w:val="24"/>
        </w:rPr>
        <w:t>Klinikai hatásosság és biztonságosság</w:t>
      </w:r>
    </w:p>
    <w:p w:rsidR="00B353AF" w:rsidRPr="008D2CB3" w:rsidRDefault="00B353AF" w:rsidP="001E7729">
      <w:pPr>
        <w:rPr>
          <w:szCs w:val="22"/>
        </w:rPr>
      </w:pPr>
    </w:p>
    <w:p w:rsidR="00E950FB" w:rsidRDefault="00E950FB" w:rsidP="00E950FB">
      <w:pPr>
        <w:keepNext/>
        <w:rPr>
          <w:szCs w:val="22"/>
        </w:rPr>
      </w:pPr>
      <w:r>
        <w:rPr>
          <w:szCs w:val="22"/>
        </w:rPr>
        <w:t xml:space="preserve">A klopidogrél biztonságosságát és hatásosságát 7 kettős vak klinikai vizsgálatban értékelték, melyekbe több mint 100 000 beteget vontak be: a CAPRIE vizsgálat (a klopidogrél és az ASA összehasonlítása), és a CURE, CLARITY, COMMIT, CHANCE, POINT és az ACTIVE-A vizsgálatok (a klopidogrél placebóval történő összehasonlítása), mindkét gyógyszer ASA-val és más standard terápiákkal kombinálva. </w:t>
      </w:r>
    </w:p>
    <w:p w:rsidR="000937A4" w:rsidRPr="008D2CB3" w:rsidRDefault="000937A4" w:rsidP="001E7729">
      <w:pPr>
        <w:rPr>
          <w:b/>
          <w:szCs w:val="22"/>
        </w:rPr>
      </w:pPr>
    </w:p>
    <w:p w:rsidR="00122217" w:rsidRPr="008D2CB3" w:rsidRDefault="00122217" w:rsidP="001E7729">
      <w:pPr>
        <w:rPr>
          <w:i/>
          <w:szCs w:val="22"/>
        </w:rPr>
      </w:pPr>
      <w:r w:rsidRPr="008D2CB3">
        <w:rPr>
          <w:i/>
          <w:szCs w:val="22"/>
        </w:rPr>
        <w:t>Friss myocardi</w:t>
      </w:r>
      <w:r w:rsidR="00690135">
        <w:rPr>
          <w:i/>
          <w:szCs w:val="22"/>
        </w:rPr>
        <w:t>a</w:t>
      </w:r>
      <w:r w:rsidRPr="008D2CB3">
        <w:rPr>
          <w:i/>
          <w:szCs w:val="22"/>
        </w:rPr>
        <w:t>lis infarctus (MI), friss stroke vagy igazolt perifériás artériás betegség</w:t>
      </w:r>
    </w:p>
    <w:p w:rsidR="00122217" w:rsidRPr="008D2CB3" w:rsidRDefault="00122217" w:rsidP="001E7729">
      <w:pPr>
        <w:rPr>
          <w:b/>
          <w:szCs w:val="22"/>
        </w:rPr>
      </w:pPr>
    </w:p>
    <w:p w:rsidR="00122217" w:rsidRPr="008D2CB3" w:rsidRDefault="00122217" w:rsidP="001E7729">
      <w:pPr>
        <w:rPr>
          <w:szCs w:val="22"/>
        </w:rPr>
      </w:pPr>
      <w:r w:rsidRPr="008D2CB3">
        <w:rPr>
          <w:szCs w:val="22"/>
        </w:rPr>
        <w:t>A CAPRIE</w:t>
      </w:r>
      <w:r w:rsidR="007E67D5">
        <w:rPr>
          <w:szCs w:val="22"/>
        </w:rPr>
        <w:t xml:space="preserve"> </w:t>
      </w:r>
      <w:r w:rsidRPr="008D2CB3">
        <w:rPr>
          <w:szCs w:val="22"/>
        </w:rPr>
        <w:t>vizsgálatban 19 185 beteg vett részt, akiknek atherothrombosisa friss myocardialis infarctus (&lt;35 nap), ischaemias stroke (7. nap és 6. hónap között) vagy igazolt perifériás artériás betegség (PAD) formájában nyilvánult meg. A betegeket randomizáltan 75 mg/nap klopidogréllel vagy 325 mg/nap ASA-val kezelték és 1-3 éven át figyelték meg. A myocardialis infarctus alcsoportban a legtöbb beteg az akut myocardialis infarctust követő néhány napon ASA-t kapott.</w:t>
      </w:r>
    </w:p>
    <w:p w:rsidR="00122217" w:rsidRPr="008D2CB3" w:rsidRDefault="00122217" w:rsidP="001E7729">
      <w:pPr>
        <w:rPr>
          <w:szCs w:val="22"/>
        </w:rPr>
      </w:pPr>
    </w:p>
    <w:p w:rsidR="00122217" w:rsidRPr="008D2CB3" w:rsidRDefault="00122217" w:rsidP="001E7729">
      <w:pPr>
        <w:rPr>
          <w:szCs w:val="22"/>
        </w:rPr>
      </w:pPr>
      <w:r w:rsidRPr="008D2CB3">
        <w:rPr>
          <w:szCs w:val="22"/>
        </w:rPr>
        <w:t>A klopidogrél szignifikánsan csökkentette az új ischaemiás történések előfordulását (myocardialis infarctus, ischaemiás stroke és vascularis halál összesített végpontja) az ASA-val összehasonlítva. Az "intention to treat" analízisben 939 eseményt figyeltek meg a klopidogrél</w:t>
      </w:r>
      <w:r w:rsidR="00684FA7" w:rsidRPr="008D2CB3">
        <w:rPr>
          <w:szCs w:val="22"/>
        </w:rPr>
        <w:noBreakHyphen/>
      </w:r>
      <w:r w:rsidRPr="008D2CB3">
        <w:rPr>
          <w:szCs w:val="22"/>
        </w:rPr>
        <w:t>csoportban és 1020 eseményt az ASA-val kezeltekben (relatív rizikó csökkenés (RRR) 8,7%, [95%</w:t>
      </w:r>
      <w:r w:rsidR="00690135">
        <w:rPr>
          <w:szCs w:val="22"/>
        </w:rPr>
        <w:noBreakHyphen/>
        <w:t>os</w:t>
      </w:r>
      <w:r w:rsidRPr="008D2CB3">
        <w:rPr>
          <w:szCs w:val="22"/>
        </w:rPr>
        <w:t xml:space="preserve"> CI: 0,2-16,4]; p =</w:t>
      </w:r>
      <w:r w:rsidR="00841B4F" w:rsidRPr="008D2CB3">
        <w:rPr>
          <w:szCs w:val="22"/>
        </w:rPr>
        <w:t> </w:t>
      </w:r>
      <w:r w:rsidRPr="008D2CB3">
        <w:rPr>
          <w:szCs w:val="22"/>
        </w:rPr>
        <w:t>0,045), ami azt jelenti, hogy minden 1000, két évig kezelt beteg esetében további 10 [CI: 0-20] betegben megelőzték az újabb ischaemiás történést. A teljes mortalitás, mint másodlagos végpont analízise nem mutatott szignifikáns különbséget a klopidogrél (5,8%) és az ASA (6,0%) csoport között.</w:t>
      </w:r>
    </w:p>
    <w:p w:rsidR="00122217" w:rsidRPr="008D2CB3" w:rsidRDefault="00122217" w:rsidP="001E7729">
      <w:pPr>
        <w:rPr>
          <w:szCs w:val="22"/>
        </w:rPr>
      </w:pPr>
    </w:p>
    <w:p w:rsidR="00122217" w:rsidRPr="008D2CB3" w:rsidRDefault="00122217" w:rsidP="001E7729">
      <w:pPr>
        <w:rPr>
          <w:szCs w:val="22"/>
        </w:rPr>
      </w:pPr>
      <w:r w:rsidRPr="008D2CB3">
        <w:rPr>
          <w:szCs w:val="22"/>
        </w:rPr>
        <w:t>Egy alcsoportok szerinti analízisben (myocardialis infarctus, ischaemiás stroke, és PAD) a legelőnyösebb hatásúnak (statisztikai szignifikancia p</w:t>
      </w:r>
      <w:r w:rsidR="00841B4F" w:rsidRPr="008D2CB3">
        <w:rPr>
          <w:szCs w:val="22"/>
        </w:rPr>
        <w:t> </w:t>
      </w:r>
      <w:r w:rsidRPr="008D2CB3">
        <w:rPr>
          <w:szCs w:val="22"/>
        </w:rPr>
        <w:t>=</w:t>
      </w:r>
      <w:r w:rsidR="00841B4F" w:rsidRPr="008D2CB3">
        <w:rPr>
          <w:szCs w:val="22"/>
        </w:rPr>
        <w:t> </w:t>
      </w:r>
      <w:r w:rsidRPr="008D2CB3">
        <w:rPr>
          <w:szCs w:val="22"/>
        </w:rPr>
        <w:t>0,003) a PAD miatt beválasztott betegek esetén mutatkozott a szer (főleg azokban, akiknek anamnézisében myocardialis infarctus szerepelt) (RRR = 23,7%, CI: 8,9 -36,2)</w:t>
      </w:r>
      <w:r w:rsidR="00444925" w:rsidRPr="008D2CB3">
        <w:rPr>
          <w:szCs w:val="22"/>
        </w:rPr>
        <w:t>,</w:t>
      </w:r>
      <w:r w:rsidRPr="008D2CB3">
        <w:rPr>
          <w:szCs w:val="22"/>
        </w:rPr>
        <w:t xml:space="preserve"> míg a legkevésbé előnyös (nem különbözött szignifikánsan az ASA-tól) stroke-os betegekben (RRR= 7,3%; CI: -5,7 - 18,7) </w:t>
      </w:r>
      <w:r w:rsidR="00FC76D8" w:rsidRPr="008D2CB3">
        <w:rPr>
          <w:szCs w:val="22"/>
        </w:rPr>
        <w:t>[p</w:t>
      </w:r>
      <w:r w:rsidR="00841B4F" w:rsidRPr="008D2CB3">
        <w:rPr>
          <w:szCs w:val="22"/>
        </w:rPr>
        <w:t> </w:t>
      </w:r>
      <w:r w:rsidR="00FC76D8" w:rsidRPr="008D2CB3">
        <w:rPr>
          <w:szCs w:val="22"/>
        </w:rPr>
        <w:t>=</w:t>
      </w:r>
      <w:r w:rsidR="00841B4F" w:rsidRPr="008D2CB3">
        <w:rPr>
          <w:szCs w:val="22"/>
        </w:rPr>
        <w:t> </w:t>
      </w:r>
      <w:r w:rsidR="00FC76D8" w:rsidRPr="008D2CB3">
        <w:rPr>
          <w:szCs w:val="22"/>
        </w:rPr>
        <w:t xml:space="preserve">0,258] </w:t>
      </w:r>
      <w:r w:rsidRPr="008D2CB3">
        <w:rPr>
          <w:szCs w:val="22"/>
        </w:rPr>
        <w:t>volt. Azokban a betegekben, akiket kizárólag friss myocardialis infarctus alapján választottak be a vizsgálatba, a klopidogrél kevésbé előnyösnek mutatkozott az eredményeket tekintve, de statisztikailag nem különbözött az ASA-tól (RRR= -4,0%; C</w:t>
      </w:r>
      <w:r w:rsidR="00841B4F" w:rsidRPr="008D2CB3">
        <w:rPr>
          <w:szCs w:val="22"/>
        </w:rPr>
        <w:t>I</w:t>
      </w:r>
      <w:r w:rsidRPr="008D2CB3">
        <w:rPr>
          <w:szCs w:val="22"/>
        </w:rPr>
        <w:t>: -22,5 – 11,7)</w:t>
      </w:r>
      <w:r w:rsidR="00FC76D8" w:rsidRPr="008D2CB3">
        <w:rPr>
          <w:szCs w:val="22"/>
        </w:rPr>
        <w:t xml:space="preserve"> </w:t>
      </w:r>
      <w:r w:rsidR="00530AFF" w:rsidRPr="008D2CB3">
        <w:rPr>
          <w:szCs w:val="22"/>
        </w:rPr>
        <w:t>[</w:t>
      </w:r>
      <w:r w:rsidR="00FC76D8" w:rsidRPr="008D2CB3">
        <w:rPr>
          <w:szCs w:val="22"/>
        </w:rPr>
        <w:t>p</w:t>
      </w:r>
      <w:r w:rsidR="00841B4F" w:rsidRPr="008D2CB3">
        <w:rPr>
          <w:szCs w:val="22"/>
        </w:rPr>
        <w:t> </w:t>
      </w:r>
      <w:r w:rsidR="00FC76D8" w:rsidRPr="008D2CB3">
        <w:rPr>
          <w:szCs w:val="22"/>
        </w:rPr>
        <w:t>=</w:t>
      </w:r>
      <w:r w:rsidR="00841B4F" w:rsidRPr="008D2CB3">
        <w:rPr>
          <w:szCs w:val="22"/>
        </w:rPr>
        <w:t> </w:t>
      </w:r>
      <w:r w:rsidR="00FC76D8" w:rsidRPr="008D2CB3">
        <w:rPr>
          <w:szCs w:val="22"/>
        </w:rPr>
        <w:t>0,639]</w:t>
      </w:r>
      <w:r w:rsidRPr="008D2CB3">
        <w:rPr>
          <w:szCs w:val="22"/>
        </w:rPr>
        <w:t xml:space="preserve">. Ezen felül egy életkor szerinti alcsoport-értékelés alapján a 75 év feletti betegekben a klopidogrél alkalmazása kevésbé volt előnyös, mint a </w:t>
      </w:r>
      <w:r w:rsidRPr="008D2CB3">
        <w:rPr>
          <w:szCs w:val="22"/>
        </w:rPr>
        <w:sym w:font="Symbol" w:char="F0A3"/>
      </w:r>
      <w:r w:rsidRPr="008D2CB3">
        <w:rPr>
          <w:szCs w:val="22"/>
        </w:rPr>
        <w:t xml:space="preserve"> 75 éves betegekben.</w:t>
      </w:r>
    </w:p>
    <w:p w:rsidR="00122217" w:rsidRPr="008D2CB3" w:rsidRDefault="00122217" w:rsidP="001E7729">
      <w:pPr>
        <w:rPr>
          <w:szCs w:val="22"/>
        </w:rPr>
      </w:pPr>
    </w:p>
    <w:p w:rsidR="00122217" w:rsidRPr="008D2CB3" w:rsidRDefault="00122217" w:rsidP="001E7729">
      <w:pPr>
        <w:rPr>
          <w:szCs w:val="22"/>
        </w:rPr>
      </w:pPr>
      <w:r w:rsidRPr="008D2CB3">
        <w:rPr>
          <w:szCs w:val="22"/>
        </w:rPr>
        <w:t>Mivel a CAPRIE</w:t>
      </w:r>
      <w:r w:rsidR="00690135">
        <w:rPr>
          <w:szCs w:val="22"/>
        </w:rPr>
        <w:t xml:space="preserve"> </w:t>
      </w:r>
      <w:r w:rsidRPr="008D2CB3">
        <w:rPr>
          <w:szCs w:val="22"/>
        </w:rPr>
        <w:t>vizsgálatot nem tervezték úgy, hogy a hatékonyságot az egyes alcsoportokban is vizsgálják, nem egyértelmű, hogy a relatív kockázat csökkenése az egyes állapotokban valóságos, vagy a véletlen eredménye.</w:t>
      </w:r>
    </w:p>
    <w:p w:rsidR="00122217" w:rsidRPr="008D2CB3" w:rsidRDefault="00122217" w:rsidP="001E7729">
      <w:pPr>
        <w:rPr>
          <w:szCs w:val="22"/>
        </w:rPr>
      </w:pPr>
    </w:p>
    <w:p w:rsidR="00122217" w:rsidRPr="008D2CB3" w:rsidRDefault="00122217" w:rsidP="001E7729">
      <w:pPr>
        <w:rPr>
          <w:i/>
          <w:szCs w:val="22"/>
        </w:rPr>
      </w:pPr>
      <w:r w:rsidRPr="008D2CB3">
        <w:rPr>
          <w:i/>
          <w:szCs w:val="22"/>
        </w:rPr>
        <w:t xml:space="preserve">Akut </w:t>
      </w:r>
      <w:r w:rsidR="004327CF" w:rsidRPr="008D2CB3">
        <w:rPr>
          <w:i/>
          <w:szCs w:val="22"/>
        </w:rPr>
        <w:t>coronaria</w:t>
      </w:r>
      <w:r w:rsidRPr="008D2CB3">
        <w:rPr>
          <w:i/>
          <w:szCs w:val="22"/>
        </w:rPr>
        <w:t xml:space="preserve"> szindróma</w:t>
      </w:r>
    </w:p>
    <w:p w:rsidR="00122217" w:rsidRPr="008D2CB3" w:rsidRDefault="00122217" w:rsidP="001E7729">
      <w:pPr>
        <w:rPr>
          <w:szCs w:val="22"/>
        </w:rPr>
      </w:pPr>
    </w:p>
    <w:p w:rsidR="00122217" w:rsidRPr="008D2CB3" w:rsidRDefault="00122217" w:rsidP="001E7729">
      <w:pPr>
        <w:rPr>
          <w:szCs w:val="22"/>
        </w:rPr>
      </w:pPr>
      <w:r w:rsidRPr="008D2CB3">
        <w:rPr>
          <w:szCs w:val="22"/>
        </w:rPr>
        <w:t>A CURE</w:t>
      </w:r>
      <w:r w:rsidR="00690135">
        <w:rPr>
          <w:szCs w:val="22"/>
        </w:rPr>
        <w:t xml:space="preserve"> </w:t>
      </w:r>
      <w:r w:rsidRPr="008D2CB3">
        <w:rPr>
          <w:szCs w:val="22"/>
        </w:rPr>
        <w:t xml:space="preserve">vizsgálatban 12 562 ST-elevációval nem járó, akut </w:t>
      </w:r>
      <w:r w:rsidR="004327CF" w:rsidRPr="008D2CB3">
        <w:rPr>
          <w:szCs w:val="22"/>
        </w:rPr>
        <w:t>coronaria</w:t>
      </w:r>
      <w:r w:rsidRPr="008D2CB3">
        <w:rPr>
          <w:szCs w:val="22"/>
        </w:rPr>
        <w:t xml:space="preserve"> szindrómás (instabil angina és non-Q myocardialis infarctus) beteget vizsgáltak, akiket az akut mellkasi fájdalom vagy az ischaemiának megfelelő klinikai tünetek jelentkezése után 24 órán belül választottak be a vizsgálatba. Azok a betegek feleltek meg a beválasztás követelményeinek, akik, új ischaemiára utaló EKG eltéréssel vagy legalább a normális felső határérték kétszereséig emelkedett szívizomenzim vagy troponin I vagy T szinttel kerültek felvételre. A betegeket randomizált módon klopidogréllel (300 mg telítődózis, majd 75 mg/nap, n</w:t>
      </w:r>
      <w:r w:rsidRPr="008D2CB3">
        <w:rPr>
          <w:szCs w:val="22"/>
        </w:rPr>
        <w:sym w:font="Symbol" w:char="F03D"/>
      </w:r>
      <w:r w:rsidRPr="008D2CB3">
        <w:rPr>
          <w:szCs w:val="22"/>
        </w:rPr>
        <w:t>6259) vagy placebóval (n</w:t>
      </w:r>
      <w:r w:rsidRPr="008D2CB3">
        <w:rPr>
          <w:szCs w:val="22"/>
        </w:rPr>
        <w:sym w:font="Symbol" w:char="F03D"/>
      </w:r>
      <w:r w:rsidRPr="008D2CB3">
        <w:rPr>
          <w:szCs w:val="22"/>
        </w:rPr>
        <w:t>6303), és mindkét csoportot ASA (75</w:t>
      </w:r>
      <w:r w:rsidRPr="008D2CB3">
        <w:rPr>
          <w:szCs w:val="22"/>
        </w:rPr>
        <w:noBreakHyphen/>
        <w:t xml:space="preserve">325 mg/nap) és más standard terápiával kombinálva kezelték. A betegek kezelése 1 évig tartott. A CURE-ban 823 (6,6%) beteg kapott GPIIb/IIIa receptor antagonistát is. A betegek több mint 90%-a részesült heparin kezelésben, és az együttadott heparin nem befolyásolta szignifikáns mértékben a klopidogrél és placebocsoport között a vérzések relatív előfordulási arányát. </w:t>
      </w:r>
    </w:p>
    <w:p w:rsidR="00122217" w:rsidRPr="008D2CB3" w:rsidRDefault="00122217" w:rsidP="001E7729">
      <w:pPr>
        <w:rPr>
          <w:szCs w:val="22"/>
        </w:rPr>
      </w:pPr>
    </w:p>
    <w:p w:rsidR="00122217" w:rsidRPr="008D2CB3" w:rsidRDefault="00122217" w:rsidP="001E7729">
      <w:pPr>
        <w:numPr>
          <w:ilvl w:val="12"/>
          <w:numId w:val="0"/>
        </w:numPr>
        <w:rPr>
          <w:szCs w:val="22"/>
        </w:rPr>
      </w:pPr>
      <w:r w:rsidRPr="008D2CB3">
        <w:rPr>
          <w:szCs w:val="22"/>
        </w:rPr>
        <w:t>Az elsődleges végpont [cardiovascularis halál, myocardialis infarctus (MI) vagy stroke] a klopidogrél</w:t>
      </w:r>
      <w:r w:rsidR="0083448A" w:rsidRPr="008D2CB3">
        <w:rPr>
          <w:szCs w:val="22"/>
        </w:rPr>
        <w:noBreakHyphen/>
      </w:r>
      <w:r w:rsidRPr="008D2CB3">
        <w:rPr>
          <w:szCs w:val="22"/>
        </w:rPr>
        <w:t>csoportban 582 (9,3%) míg a placebocsoportban 719 (11,4%) betegben lépett fel. Ez a klopidogrél</w:t>
      </w:r>
      <w:r w:rsidR="0083448A" w:rsidRPr="008D2CB3">
        <w:rPr>
          <w:szCs w:val="22"/>
        </w:rPr>
        <w:noBreakHyphen/>
      </w:r>
      <w:r w:rsidRPr="008D2CB3">
        <w:rPr>
          <w:szCs w:val="22"/>
        </w:rPr>
        <w:t xml:space="preserve">csoportban 20% relatív rizikócsökkenést jelent (95%-os CI 10%-28%, p=0,00009) [17% a relatív rizikócsökkenés a konzervatívan kezelt betegekben, 29% a </w:t>
      </w:r>
      <w:r w:rsidRPr="00F86A77">
        <w:rPr>
          <w:szCs w:val="22"/>
        </w:rPr>
        <w:t>stenttel vagy stent nélkül</w:t>
      </w:r>
      <w:r w:rsidRPr="008D2CB3">
        <w:rPr>
          <w:szCs w:val="22"/>
        </w:rPr>
        <w:t xml:space="preserve"> végrehajtott </w:t>
      </w:r>
      <w:r w:rsidR="002542BF" w:rsidRPr="008D2CB3">
        <w:rPr>
          <w:szCs w:val="22"/>
        </w:rPr>
        <w:t>percutan transluminaris coronaria angioplastica (</w:t>
      </w:r>
      <w:r w:rsidRPr="008D2CB3">
        <w:rPr>
          <w:szCs w:val="22"/>
        </w:rPr>
        <w:t>PTCA</w:t>
      </w:r>
      <w:r w:rsidR="002542BF" w:rsidRPr="008D2CB3">
        <w:rPr>
          <w:szCs w:val="22"/>
        </w:rPr>
        <w:t>)</w:t>
      </w:r>
      <w:r w:rsidRPr="008D2CB3">
        <w:rPr>
          <w:szCs w:val="22"/>
        </w:rPr>
        <w:t xml:space="preserve"> és 10% a </w:t>
      </w:r>
      <w:r w:rsidR="002542BF" w:rsidRPr="008D2CB3">
        <w:rPr>
          <w:szCs w:val="22"/>
        </w:rPr>
        <w:t>coronaria arteria bypass graft (</w:t>
      </w:r>
      <w:r w:rsidRPr="008D2CB3">
        <w:rPr>
          <w:szCs w:val="22"/>
        </w:rPr>
        <w:t>CABG</w:t>
      </w:r>
      <w:r w:rsidR="002542BF" w:rsidRPr="008D2CB3">
        <w:rPr>
          <w:szCs w:val="22"/>
        </w:rPr>
        <w:t>)</w:t>
      </w:r>
      <w:r w:rsidR="00DA344D" w:rsidRPr="008D2CB3">
        <w:rPr>
          <w:szCs w:val="22"/>
        </w:rPr>
        <w:t xml:space="preserve"> esetén</w:t>
      </w:r>
      <w:r w:rsidR="00DA344D" w:rsidRPr="008D2CB3" w:rsidDel="00513358">
        <w:rPr>
          <w:szCs w:val="22"/>
        </w:rPr>
        <w:t xml:space="preserve"> </w:t>
      </w:r>
      <w:r w:rsidRPr="008D2CB3">
        <w:rPr>
          <w:szCs w:val="22"/>
        </w:rPr>
        <w:t>. Az új cardiovascularis eseményeket (elsődleges végpont) a 0-1 hónapban 22%-os (CI: 8,6, 33,4); az 1.-3. hónapban 32%-os (CI: 12,8, 46,4); a 3-6 hónapban 4%-os (CI: -26,9, 26,7); a 6.-9. hónapban 6%-os (CI: -33,5, 34,3) és a 9.-12. hónapban 14%-os (CI: -31,6, 44,2) relatív kockázatcsökkenéssel előzték meg. Következésképpen, a három hónapot meghaladó kezelés esetén, a klopidogrél + ASA</w:t>
      </w:r>
      <w:r w:rsidR="0083448A" w:rsidRPr="008D2CB3">
        <w:rPr>
          <w:szCs w:val="22"/>
        </w:rPr>
        <w:noBreakHyphen/>
      </w:r>
      <w:r w:rsidRPr="008D2CB3">
        <w:rPr>
          <w:szCs w:val="22"/>
        </w:rPr>
        <w:t>csoportban megfigyelt előny tovább nem növekedett, ugyanakkor a vérzés kockázata változatlanul fennállt (lásd 4.4, Különleges figyelmeztetések és az alkalmazással kapcsolatos óvintézkedések).</w:t>
      </w:r>
    </w:p>
    <w:p w:rsidR="00122217" w:rsidRPr="008D2CB3" w:rsidRDefault="00122217" w:rsidP="001E7729">
      <w:pPr>
        <w:numPr>
          <w:ilvl w:val="12"/>
          <w:numId w:val="0"/>
        </w:numPr>
        <w:rPr>
          <w:szCs w:val="22"/>
        </w:rPr>
      </w:pPr>
    </w:p>
    <w:p w:rsidR="00122217" w:rsidRPr="008D2CB3" w:rsidRDefault="00122217" w:rsidP="001E7729">
      <w:pPr>
        <w:rPr>
          <w:szCs w:val="22"/>
        </w:rPr>
      </w:pPr>
      <w:r w:rsidRPr="008D2CB3">
        <w:rPr>
          <w:szCs w:val="22"/>
        </w:rPr>
        <w:t>A CURE</w:t>
      </w:r>
      <w:r w:rsidR="00690135">
        <w:rPr>
          <w:szCs w:val="22"/>
        </w:rPr>
        <w:t xml:space="preserve"> </w:t>
      </w:r>
      <w:r w:rsidRPr="008D2CB3">
        <w:rPr>
          <w:szCs w:val="22"/>
        </w:rPr>
        <w:t>vizsgálatban klopidogrél alkalmazása mellett csökkent a thrombolyticus kezelés (RRR=43,3% CI:24,3%, 57,5%) és GPIIb/IIIa inhibitorok alkalmazása iránti igény (RRR=18,2% CI:</w:t>
      </w:r>
      <w:r w:rsidR="00AE7B20" w:rsidRPr="008D2CB3">
        <w:rPr>
          <w:szCs w:val="22"/>
        </w:rPr>
        <w:t xml:space="preserve"> </w:t>
      </w:r>
      <w:r w:rsidRPr="008D2CB3">
        <w:rPr>
          <w:szCs w:val="22"/>
        </w:rPr>
        <w:t>6,5%, 28,3%).</w:t>
      </w:r>
    </w:p>
    <w:p w:rsidR="00122217" w:rsidRPr="008D2CB3" w:rsidRDefault="00122217" w:rsidP="001E7729">
      <w:pPr>
        <w:rPr>
          <w:szCs w:val="22"/>
        </w:rPr>
      </w:pPr>
    </w:p>
    <w:p w:rsidR="00122217" w:rsidRPr="008D2CB3" w:rsidRDefault="00122217" w:rsidP="001E7729">
      <w:pPr>
        <w:rPr>
          <w:szCs w:val="22"/>
        </w:rPr>
      </w:pPr>
      <w:r w:rsidRPr="008D2CB3">
        <w:rPr>
          <w:szCs w:val="22"/>
        </w:rPr>
        <w:t xml:space="preserve">A kiegészített (co-primary) elsődleges végpont előfordulást (cardiovascularis halál, MI, stroke vagy refrakter ischaemia) 1035 (16,5%) betegben tapasztalták a </w:t>
      </w:r>
      <w:r w:rsidR="004D17BC" w:rsidRPr="008D2CB3">
        <w:rPr>
          <w:szCs w:val="22"/>
        </w:rPr>
        <w:t>klopidog</w:t>
      </w:r>
      <w:r w:rsidR="006874B5" w:rsidRPr="008D2CB3">
        <w:rPr>
          <w:szCs w:val="22"/>
        </w:rPr>
        <w:t>r</w:t>
      </w:r>
      <w:r w:rsidR="004D17BC" w:rsidRPr="008D2CB3">
        <w:rPr>
          <w:szCs w:val="22"/>
        </w:rPr>
        <w:t>él</w:t>
      </w:r>
      <w:r w:rsidR="0083448A" w:rsidRPr="008D2CB3">
        <w:rPr>
          <w:szCs w:val="22"/>
        </w:rPr>
        <w:noBreakHyphen/>
      </w:r>
      <w:r w:rsidRPr="008D2CB3">
        <w:rPr>
          <w:szCs w:val="22"/>
        </w:rPr>
        <w:t xml:space="preserve">csoportban és 1187 betegben (18,8%) a placebocsoportban. Ez a </w:t>
      </w:r>
      <w:r w:rsidR="004D17BC" w:rsidRPr="008D2CB3">
        <w:rPr>
          <w:szCs w:val="22"/>
        </w:rPr>
        <w:t>klopidog</w:t>
      </w:r>
      <w:r w:rsidR="006874B5" w:rsidRPr="008D2CB3">
        <w:rPr>
          <w:szCs w:val="22"/>
        </w:rPr>
        <w:t>r</w:t>
      </w:r>
      <w:r w:rsidR="004D17BC" w:rsidRPr="008D2CB3">
        <w:rPr>
          <w:szCs w:val="22"/>
        </w:rPr>
        <w:t>él</w:t>
      </w:r>
      <w:r w:rsidR="0083448A" w:rsidRPr="008D2CB3">
        <w:rPr>
          <w:szCs w:val="22"/>
        </w:rPr>
        <w:noBreakHyphen/>
      </w:r>
      <w:r w:rsidRPr="008D2CB3">
        <w:rPr>
          <w:szCs w:val="22"/>
        </w:rPr>
        <w:t>csoportban 14%-os relatív rizikó csökkenés (95%-os CI 6%-21%, p=0,0005). A haszon főleg a statisztikailag szignifikáns MI előfordulási gyakoriságának csökkenéséből származott [287 (4,6%) a klopidogrél</w:t>
      </w:r>
      <w:r w:rsidR="0083448A" w:rsidRPr="008D2CB3">
        <w:rPr>
          <w:szCs w:val="22"/>
        </w:rPr>
        <w:noBreakHyphen/>
      </w:r>
      <w:r w:rsidRPr="008D2CB3">
        <w:rPr>
          <w:szCs w:val="22"/>
        </w:rPr>
        <w:t>csoportban és 363 (5,8%) a placebocsoportban]. Az instabil angina miatt történt rehospitalizációs arányban nem észleltek hatást.</w:t>
      </w:r>
    </w:p>
    <w:p w:rsidR="00122217" w:rsidRPr="008D2CB3" w:rsidRDefault="00122217" w:rsidP="001E7729">
      <w:pPr>
        <w:rPr>
          <w:szCs w:val="22"/>
        </w:rPr>
      </w:pPr>
    </w:p>
    <w:p w:rsidR="00235088" w:rsidRPr="008D2CB3" w:rsidRDefault="00122217" w:rsidP="001E7729">
      <w:pPr>
        <w:ind w:right="-29"/>
        <w:rPr>
          <w:szCs w:val="22"/>
        </w:rPr>
      </w:pPr>
      <w:r w:rsidRPr="008D2CB3">
        <w:rPr>
          <w:szCs w:val="22"/>
        </w:rPr>
        <w:t xml:space="preserve">A betegek különböző alcsoportjaiban (pl. instabil angina, non-Q myocardialis infarctus, alacsonytól magas rizikószintű betegek, diabetes, revascularisatio igénye, kor, nem, stb.) elért eredmények megegyeztek az elsődleges értékelés eredményeivel. </w:t>
      </w:r>
      <w:r w:rsidR="005B32A7" w:rsidRPr="008D2CB3">
        <w:rPr>
          <w:szCs w:val="22"/>
        </w:rPr>
        <w:t>Ez kifejezetten igaz arra a 2172</w:t>
      </w:r>
      <w:r w:rsidR="00B61A84" w:rsidRPr="008D2CB3">
        <w:rPr>
          <w:szCs w:val="22"/>
        </w:rPr>
        <w:t>,</w:t>
      </w:r>
      <w:r w:rsidR="005B32A7" w:rsidRPr="008D2CB3">
        <w:rPr>
          <w:szCs w:val="22"/>
        </w:rPr>
        <w:t xml:space="preserve"> s</w:t>
      </w:r>
      <w:r w:rsidR="00152290" w:rsidRPr="008D2CB3">
        <w:rPr>
          <w:szCs w:val="22"/>
        </w:rPr>
        <w:t>t</w:t>
      </w:r>
      <w:r w:rsidR="005B32A7" w:rsidRPr="008D2CB3">
        <w:rPr>
          <w:szCs w:val="22"/>
        </w:rPr>
        <w:t>ent beültetésen átesett betegre (Stent-CURE) (</w:t>
      </w:r>
      <w:r w:rsidR="00B61A84" w:rsidRPr="008D2CB3">
        <w:rPr>
          <w:szCs w:val="22"/>
        </w:rPr>
        <w:t>ami</w:t>
      </w:r>
      <w:r w:rsidR="005B32A7" w:rsidRPr="008D2CB3">
        <w:rPr>
          <w:szCs w:val="22"/>
        </w:rPr>
        <w:t xml:space="preserve"> 17%-a</w:t>
      </w:r>
      <w:r w:rsidR="00B61A84" w:rsidRPr="008D2CB3">
        <w:rPr>
          <w:szCs w:val="22"/>
        </w:rPr>
        <w:t xml:space="preserve"> a</w:t>
      </w:r>
      <w:r w:rsidR="005B32A7" w:rsidRPr="008D2CB3">
        <w:rPr>
          <w:szCs w:val="22"/>
        </w:rPr>
        <w:t xml:space="preserve"> teljes CURE populációnak)</w:t>
      </w:r>
      <w:r w:rsidR="00EE7879" w:rsidRPr="008D2CB3">
        <w:rPr>
          <w:szCs w:val="22"/>
        </w:rPr>
        <w:t>, akiknél egy post-hoc értékelés alapján a klopidogrél</w:t>
      </w:r>
      <w:r w:rsidR="009F2131" w:rsidRPr="008D2CB3">
        <w:rPr>
          <w:szCs w:val="22"/>
        </w:rPr>
        <w:t>re nézve kedvezőbb,</w:t>
      </w:r>
      <w:r w:rsidR="00EE7879" w:rsidRPr="008D2CB3">
        <w:rPr>
          <w:szCs w:val="22"/>
        </w:rPr>
        <w:t xml:space="preserve"> </w:t>
      </w:r>
      <w:r w:rsidR="000277DB" w:rsidRPr="008D2CB3">
        <w:rPr>
          <w:szCs w:val="22"/>
        </w:rPr>
        <w:t>szignifikáns</w:t>
      </w:r>
      <w:r w:rsidR="00EE7879" w:rsidRPr="008D2CB3">
        <w:rPr>
          <w:szCs w:val="22"/>
        </w:rPr>
        <w:t>,</w:t>
      </w:r>
      <w:r w:rsidR="000277DB" w:rsidRPr="008D2CB3">
        <w:rPr>
          <w:szCs w:val="22"/>
        </w:rPr>
        <w:t xml:space="preserve"> 26,2%-os</w:t>
      </w:r>
      <w:r w:rsidR="004518B3" w:rsidRPr="008D2CB3">
        <w:rPr>
          <w:szCs w:val="22"/>
        </w:rPr>
        <w:t>,</w:t>
      </w:r>
      <w:r w:rsidR="000277DB" w:rsidRPr="008D2CB3">
        <w:rPr>
          <w:szCs w:val="22"/>
        </w:rPr>
        <w:t xml:space="preserve"> RRR-t mutatott a placebóhoz viszonyítva, a</w:t>
      </w:r>
      <w:r w:rsidR="00235088" w:rsidRPr="008D2CB3">
        <w:rPr>
          <w:szCs w:val="22"/>
        </w:rPr>
        <w:t xml:space="preserve"> kiegészített (co-primary) elsődleges végpont</w:t>
      </w:r>
      <w:r w:rsidR="008F6643" w:rsidRPr="008D2CB3">
        <w:rPr>
          <w:szCs w:val="22"/>
        </w:rPr>
        <w:t xml:space="preserve"> </w:t>
      </w:r>
      <w:r w:rsidR="000277DB" w:rsidRPr="008D2CB3">
        <w:rPr>
          <w:szCs w:val="22"/>
        </w:rPr>
        <w:t>(cardiovascularis halál, MI, stroke)</w:t>
      </w:r>
      <w:r w:rsidR="00235088" w:rsidRPr="008D2CB3">
        <w:rPr>
          <w:szCs w:val="22"/>
        </w:rPr>
        <w:t>, és szintén szignifikáns 23,9%-os RRR-t mutatott a második kiegészített (co-primary) elsődleges végpont</w:t>
      </w:r>
      <w:r w:rsidR="000277DB" w:rsidRPr="008D2CB3">
        <w:rPr>
          <w:szCs w:val="22"/>
        </w:rPr>
        <w:t xml:space="preserve"> </w:t>
      </w:r>
      <w:r w:rsidR="00235088" w:rsidRPr="008D2CB3">
        <w:rPr>
          <w:szCs w:val="22"/>
        </w:rPr>
        <w:t>(cardiovascularis halál, MI, stroke vagy refrakter ischaemia) tekintetében. Ezenfelül</w:t>
      </w:r>
      <w:r w:rsidR="004F4B32" w:rsidRPr="008D2CB3">
        <w:rPr>
          <w:szCs w:val="22"/>
        </w:rPr>
        <w:t>, a betegek ezen alcsoportjában, a klopidogr</w:t>
      </w:r>
      <w:r w:rsidR="009D6BD2" w:rsidRPr="008D2CB3">
        <w:rPr>
          <w:szCs w:val="22"/>
        </w:rPr>
        <w:t>él biztonságossági profilj</w:t>
      </w:r>
      <w:r w:rsidR="00D353A1" w:rsidRPr="008D2CB3">
        <w:rPr>
          <w:szCs w:val="22"/>
        </w:rPr>
        <w:t>ában nem jelentkezett olyan tényező, mely különleges aggodalomra adott volna okot.</w:t>
      </w:r>
      <w:r w:rsidR="004F4B32" w:rsidRPr="008D2CB3">
        <w:rPr>
          <w:szCs w:val="22"/>
        </w:rPr>
        <w:t xml:space="preserve"> </w:t>
      </w:r>
      <w:r w:rsidR="00D353A1" w:rsidRPr="008D2CB3">
        <w:rPr>
          <w:szCs w:val="22"/>
        </w:rPr>
        <w:t>Ennek megfelelően</w:t>
      </w:r>
      <w:r w:rsidR="004F4B32" w:rsidRPr="008D2CB3">
        <w:rPr>
          <w:szCs w:val="22"/>
        </w:rPr>
        <w:t xml:space="preserve"> </w:t>
      </w:r>
      <w:r w:rsidR="00D353A1" w:rsidRPr="008D2CB3">
        <w:rPr>
          <w:szCs w:val="22"/>
        </w:rPr>
        <w:t>az ebből az</w:t>
      </w:r>
      <w:r w:rsidR="004F4B32" w:rsidRPr="008D2CB3">
        <w:rPr>
          <w:szCs w:val="22"/>
        </w:rPr>
        <w:t xml:space="preserve"> alcsoport</w:t>
      </w:r>
      <w:r w:rsidR="00D353A1" w:rsidRPr="008D2CB3">
        <w:rPr>
          <w:szCs w:val="22"/>
        </w:rPr>
        <w:t xml:space="preserve">ból származó </w:t>
      </w:r>
      <w:r w:rsidR="004F4B32" w:rsidRPr="008D2CB3">
        <w:rPr>
          <w:szCs w:val="22"/>
        </w:rPr>
        <w:t>eredménye</w:t>
      </w:r>
      <w:r w:rsidR="00D353A1" w:rsidRPr="008D2CB3">
        <w:rPr>
          <w:szCs w:val="22"/>
        </w:rPr>
        <w:t>k</w:t>
      </w:r>
      <w:r w:rsidR="004F4B32" w:rsidRPr="008D2CB3">
        <w:rPr>
          <w:szCs w:val="22"/>
        </w:rPr>
        <w:t xml:space="preserve"> összhangban van</w:t>
      </w:r>
      <w:r w:rsidR="00D353A1" w:rsidRPr="008D2CB3">
        <w:rPr>
          <w:szCs w:val="22"/>
        </w:rPr>
        <w:t>nak</w:t>
      </w:r>
      <w:r w:rsidR="004F4B32" w:rsidRPr="008D2CB3">
        <w:rPr>
          <w:szCs w:val="22"/>
        </w:rPr>
        <w:t xml:space="preserve"> </w:t>
      </w:r>
      <w:r w:rsidR="004518B3" w:rsidRPr="008D2CB3">
        <w:rPr>
          <w:szCs w:val="22"/>
        </w:rPr>
        <w:t xml:space="preserve">a </w:t>
      </w:r>
      <w:r w:rsidR="004F4B32" w:rsidRPr="008D2CB3">
        <w:rPr>
          <w:szCs w:val="22"/>
        </w:rPr>
        <w:t xml:space="preserve">vizsgálat </w:t>
      </w:r>
      <w:r w:rsidR="004518B3" w:rsidRPr="008D2CB3">
        <w:rPr>
          <w:szCs w:val="22"/>
        </w:rPr>
        <w:t xml:space="preserve">egészének </w:t>
      </w:r>
      <w:r w:rsidR="004F4B32" w:rsidRPr="008D2CB3">
        <w:rPr>
          <w:szCs w:val="22"/>
        </w:rPr>
        <w:t xml:space="preserve">eredményével. </w:t>
      </w:r>
    </w:p>
    <w:p w:rsidR="009D6BD2" w:rsidRPr="008D2CB3" w:rsidRDefault="009D6BD2" w:rsidP="001E7729">
      <w:pPr>
        <w:rPr>
          <w:szCs w:val="22"/>
        </w:rPr>
      </w:pPr>
    </w:p>
    <w:p w:rsidR="00122217" w:rsidRPr="008D2CB3" w:rsidRDefault="00122217" w:rsidP="001E7729">
      <w:pPr>
        <w:rPr>
          <w:szCs w:val="22"/>
        </w:rPr>
      </w:pPr>
      <w:r w:rsidRPr="008D2CB3">
        <w:rPr>
          <w:szCs w:val="22"/>
        </w:rPr>
        <w:t xml:space="preserve">A klopidogréllel tapasztalt előny nem függött az egyéb, akut vagy hosszú távú, cardiovascularis terápiától (mint heparin/LMWH, GPIIb/IIIa antagonisták, lipidcsökkentő </w:t>
      </w:r>
      <w:r w:rsidR="009920EF" w:rsidRPr="008D2CB3">
        <w:rPr>
          <w:szCs w:val="22"/>
        </w:rPr>
        <w:t>gyógyszerek</w:t>
      </w:r>
      <w:r w:rsidRPr="008D2CB3">
        <w:rPr>
          <w:szCs w:val="22"/>
        </w:rPr>
        <w:t>, béta-blokkolók és ACE-gátlók). A klopidogrél hatékonysága az alkalmazott ASA dózisától (75</w:t>
      </w:r>
      <w:r w:rsidR="00494473" w:rsidRPr="008D2CB3">
        <w:rPr>
          <w:szCs w:val="22"/>
        </w:rPr>
        <w:noBreakHyphen/>
      </w:r>
      <w:r w:rsidRPr="008D2CB3">
        <w:rPr>
          <w:szCs w:val="22"/>
        </w:rPr>
        <w:t>325</w:t>
      </w:r>
      <w:r w:rsidR="00494473" w:rsidRPr="008D2CB3">
        <w:rPr>
          <w:szCs w:val="22"/>
        </w:rPr>
        <w:t> </w:t>
      </w:r>
      <w:r w:rsidRPr="008D2CB3">
        <w:rPr>
          <w:szCs w:val="22"/>
        </w:rPr>
        <w:t xml:space="preserve">mg/nap) függetlenül megnyilvánult. </w:t>
      </w:r>
    </w:p>
    <w:p w:rsidR="00122217" w:rsidRPr="008D2CB3" w:rsidRDefault="00122217" w:rsidP="001E7729">
      <w:pPr>
        <w:rPr>
          <w:b/>
          <w:szCs w:val="22"/>
        </w:rPr>
      </w:pPr>
    </w:p>
    <w:p w:rsidR="00122217" w:rsidRPr="008D2CB3" w:rsidRDefault="00122217" w:rsidP="001E7729">
      <w:pPr>
        <w:rPr>
          <w:szCs w:val="22"/>
        </w:rPr>
      </w:pPr>
      <w:r w:rsidRPr="008D2CB3">
        <w:rPr>
          <w:szCs w:val="22"/>
        </w:rPr>
        <w:t>A klopidogrél biztonságosságát és hatásosságát ST- elevációval járó akut myocardialis infactusban szenvedő betegekben, 2 randomizált, placebokontrollos, kettős</w:t>
      </w:r>
      <w:r w:rsidR="003A0149">
        <w:rPr>
          <w:szCs w:val="22"/>
        </w:rPr>
        <w:t xml:space="preserve"> </w:t>
      </w:r>
      <w:r w:rsidRPr="008D2CB3">
        <w:rPr>
          <w:szCs w:val="22"/>
        </w:rPr>
        <w:t>vak klinikai vizsgálatban, a CLARITY- és COMMIT</w:t>
      </w:r>
      <w:r w:rsidR="003A0149">
        <w:rPr>
          <w:szCs w:val="22"/>
        </w:rPr>
        <w:t xml:space="preserve"> </w:t>
      </w:r>
      <w:r w:rsidRPr="008D2CB3">
        <w:rPr>
          <w:szCs w:val="22"/>
        </w:rPr>
        <w:t xml:space="preserve">vizsgálatokban értékelték. </w:t>
      </w:r>
    </w:p>
    <w:p w:rsidR="00122217" w:rsidRPr="008D2CB3" w:rsidRDefault="00122217" w:rsidP="001E7729">
      <w:pPr>
        <w:rPr>
          <w:szCs w:val="22"/>
        </w:rPr>
      </w:pPr>
    </w:p>
    <w:p w:rsidR="00122217" w:rsidRPr="008D2CB3" w:rsidRDefault="00122217" w:rsidP="001E7729">
      <w:pPr>
        <w:rPr>
          <w:szCs w:val="22"/>
        </w:rPr>
      </w:pPr>
      <w:r w:rsidRPr="008D2CB3">
        <w:rPr>
          <w:szCs w:val="22"/>
        </w:rPr>
        <w:t>A CLARITY</w:t>
      </w:r>
      <w:r w:rsidR="003A0149">
        <w:rPr>
          <w:szCs w:val="22"/>
        </w:rPr>
        <w:t xml:space="preserve"> </w:t>
      </w:r>
      <w:r w:rsidRPr="008D2CB3">
        <w:rPr>
          <w:szCs w:val="22"/>
        </w:rPr>
        <w:t>vizsgálatban 3491 beteget vizsgáltak, akiknek 12 órán belüli, ST</w:t>
      </w:r>
      <w:r w:rsidR="003A0149">
        <w:rPr>
          <w:szCs w:val="22"/>
        </w:rPr>
        <w:noBreakHyphen/>
      </w:r>
      <w:r w:rsidRPr="008D2CB3">
        <w:rPr>
          <w:szCs w:val="22"/>
        </w:rPr>
        <w:t>elevációval járó myoacrdi</w:t>
      </w:r>
      <w:r w:rsidR="003A0149">
        <w:rPr>
          <w:szCs w:val="22"/>
        </w:rPr>
        <w:t>a</w:t>
      </w:r>
      <w:r w:rsidRPr="008D2CB3">
        <w:rPr>
          <w:szCs w:val="22"/>
        </w:rPr>
        <w:t>lis infarctusuk volt, és trombol</w:t>
      </w:r>
      <w:r w:rsidR="003A0149">
        <w:rPr>
          <w:szCs w:val="22"/>
        </w:rPr>
        <w:t>i</w:t>
      </w:r>
      <w:r w:rsidRPr="008D2CB3">
        <w:rPr>
          <w:szCs w:val="22"/>
        </w:rPr>
        <w:t>tikus kezelést terveztek náluk. A betegek klopidogrélt (300</w:t>
      </w:r>
      <w:r w:rsidR="00494473" w:rsidRPr="008D2CB3">
        <w:rPr>
          <w:szCs w:val="22"/>
        </w:rPr>
        <w:t> </w:t>
      </w:r>
      <w:r w:rsidRPr="008D2CB3">
        <w:rPr>
          <w:szCs w:val="22"/>
        </w:rPr>
        <w:t>mg telítő adag, majd 75 mg/nap, n=1752) vagy placebót (n=1739) kaptak, mindkettő ASA-val (150-325 mg telítő adag, majd 75-162 mg/nap), fibrinolítkus szerrel</w:t>
      </w:r>
      <w:r w:rsidR="00494473" w:rsidRPr="008D2CB3">
        <w:rPr>
          <w:szCs w:val="22"/>
        </w:rPr>
        <w:t>,</w:t>
      </w:r>
      <w:r w:rsidRPr="008D2CB3">
        <w:rPr>
          <w:szCs w:val="22"/>
        </w:rPr>
        <w:t xml:space="preserve"> és amikor az helyes volt, heparinnal kombinálva. A betegek követése 30 napig tartott. Az elsődleges összetett végpont egy, az infarctussal összefüggésben elzárt arteria képének megjelenése az elbocsátás előtti angiogramon, vagy halál, vagy a coronarográfia előtti ismételt myocardi</w:t>
      </w:r>
      <w:r w:rsidR="003A0149">
        <w:rPr>
          <w:szCs w:val="22"/>
        </w:rPr>
        <w:t>a</w:t>
      </w:r>
      <w:r w:rsidRPr="008D2CB3">
        <w:rPr>
          <w:szCs w:val="22"/>
        </w:rPr>
        <w:t>lis infarctus volt. Azoknál a betegeknél, akiknél nem volt angiográfia, az elsődleges végpont a halál vagy az ismételt myocardi</w:t>
      </w:r>
      <w:r w:rsidR="003A0149">
        <w:rPr>
          <w:szCs w:val="22"/>
        </w:rPr>
        <w:t>a</w:t>
      </w:r>
      <w:r w:rsidRPr="008D2CB3">
        <w:rPr>
          <w:szCs w:val="22"/>
        </w:rPr>
        <w:t>lis infarctus volt a 8</w:t>
      </w:r>
      <w:r w:rsidR="005D3809" w:rsidRPr="008D2CB3">
        <w:rPr>
          <w:szCs w:val="22"/>
        </w:rPr>
        <w:t>.</w:t>
      </w:r>
      <w:r w:rsidR="00805774" w:rsidRPr="008D2CB3">
        <w:rPr>
          <w:szCs w:val="22"/>
        </w:rPr>
        <w:t> </w:t>
      </w:r>
      <w:r w:rsidRPr="008D2CB3">
        <w:rPr>
          <w:szCs w:val="22"/>
        </w:rPr>
        <w:t>nap</w:t>
      </w:r>
      <w:r w:rsidR="005D3809" w:rsidRPr="008D2CB3">
        <w:rPr>
          <w:szCs w:val="22"/>
        </w:rPr>
        <w:t>ig</w:t>
      </w:r>
      <w:r w:rsidRPr="008D2CB3">
        <w:rPr>
          <w:szCs w:val="22"/>
        </w:rPr>
        <w:t xml:space="preserve"> vagy a kórházi elbocsátás</w:t>
      </w:r>
      <w:r w:rsidR="005D3809" w:rsidRPr="008D2CB3">
        <w:rPr>
          <w:szCs w:val="22"/>
        </w:rPr>
        <w:t>ig</w:t>
      </w:r>
      <w:r w:rsidRPr="008D2CB3">
        <w:rPr>
          <w:szCs w:val="22"/>
        </w:rPr>
        <w:t xml:space="preserve">. A betegpopuláció 19,7%-a nő volt és 29,2%-a </w:t>
      </w:r>
      <w:r w:rsidRPr="008D2CB3">
        <w:rPr>
          <w:szCs w:val="22"/>
        </w:rPr>
        <w:sym w:font="Symbol" w:char="F0B3"/>
      </w:r>
      <w:r w:rsidRPr="008D2CB3">
        <w:rPr>
          <w:szCs w:val="22"/>
        </w:rPr>
        <w:t xml:space="preserve"> 65 éves. Összesen a betegek 99,7%-a részesült fibrinol</w:t>
      </w:r>
      <w:r w:rsidR="0025079B">
        <w:rPr>
          <w:szCs w:val="22"/>
        </w:rPr>
        <w:t>i</w:t>
      </w:r>
      <w:r w:rsidRPr="008D2CB3">
        <w:rPr>
          <w:szCs w:val="22"/>
        </w:rPr>
        <w:t>tikus (fibrin-specifikus: 68,7%, nem fibrin-specifikus:</w:t>
      </w:r>
      <w:r w:rsidR="00494473" w:rsidRPr="008D2CB3">
        <w:rPr>
          <w:szCs w:val="22"/>
        </w:rPr>
        <w:t xml:space="preserve"> </w:t>
      </w:r>
      <w:r w:rsidRPr="008D2CB3">
        <w:rPr>
          <w:szCs w:val="22"/>
        </w:rPr>
        <w:t>31,1%), 89,5% heparin, 78,7% béta-blokkoló, 54,7% ACE-gátló</w:t>
      </w:r>
      <w:r w:rsidR="003A0149">
        <w:rPr>
          <w:szCs w:val="22"/>
        </w:rPr>
        <w:noBreakHyphen/>
      </w:r>
      <w:r w:rsidRPr="008D2CB3">
        <w:rPr>
          <w:szCs w:val="22"/>
        </w:rPr>
        <w:t xml:space="preserve"> és 63% sztatin</w:t>
      </w:r>
      <w:r w:rsidR="003A0149">
        <w:rPr>
          <w:szCs w:val="22"/>
        </w:rPr>
        <w:noBreakHyphen/>
      </w:r>
      <w:r w:rsidRPr="008D2CB3">
        <w:rPr>
          <w:szCs w:val="22"/>
        </w:rPr>
        <w:t>kezelésben.</w:t>
      </w:r>
    </w:p>
    <w:p w:rsidR="00122217" w:rsidRPr="008D2CB3" w:rsidRDefault="00122217" w:rsidP="001E7729">
      <w:pPr>
        <w:rPr>
          <w:szCs w:val="22"/>
        </w:rPr>
      </w:pPr>
    </w:p>
    <w:p w:rsidR="00122217" w:rsidRPr="008D2CB3" w:rsidRDefault="00122217" w:rsidP="001E7729">
      <w:pPr>
        <w:rPr>
          <w:szCs w:val="22"/>
        </w:rPr>
      </w:pPr>
      <w:r w:rsidRPr="008D2CB3">
        <w:rPr>
          <w:szCs w:val="22"/>
        </w:rPr>
        <w:t>A klopid</w:t>
      </w:r>
      <w:r w:rsidR="00B07EE1" w:rsidRPr="008D2CB3">
        <w:rPr>
          <w:szCs w:val="22"/>
        </w:rPr>
        <w:t>o</w:t>
      </w:r>
      <w:r w:rsidRPr="008D2CB3">
        <w:rPr>
          <w:szCs w:val="22"/>
        </w:rPr>
        <w:t>grél</w:t>
      </w:r>
      <w:r w:rsidR="0083448A" w:rsidRPr="008D2CB3">
        <w:rPr>
          <w:szCs w:val="22"/>
        </w:rPr>
        <w:noBreakHyphen/>
      </w:r>
      <w:r w:rsidRPr="008D2CB3">
        <w:rPr>
          <w:szCs w:val="22"/>
        </w:rPr>
        <w:t>csoport betegeinek 15%-a és a placebocsoport betegeinek 21,7%-a érte el az elsődleges végpontot, ami a klopidogrél javára 6,7% abszolút csökkenést és a valószínűség 36%-os csökkenését (95%</w:t>
      </w:r>
      <w:r w:rsidR="003A0149">
        <w:rPr>
          <w:szCs w:val="22"/>
        </w:rPr>
        <w:noBreakHyphen/>
        <w:t>os</w:t>
      </w:r>
      <w:r w:rsidRPr="008D2CB3">
        <w:rPr>
          <w:szCs w:val="22"/>
        </w:rPr>
        <w:t xml:space="preserve"> CI: 24, 47%</w:t>
      </w:r>
      <w:r w:rsidRPr="008D2CB3">
        <w:rPr>
          <w:szCs w:val="22"/>
        </w:rPr>
        <w:sym w:font="Symbol" w:char="F03B"/>
      </w:r>
      <w:r w:rsidRPr="008D2CB3">
        <w:rPr>
          <w:szCs w:val="22"/>
        </w:rPr>
        <w:t xml:space="preserve"> p</w:t>
      </w:r>
      <w:r w:rsidRPr="008D2CB3">
        <w:rPr>
          <w:szCs w:val="22"/>
        </w:rPr>
        <w:sym w:font="Symbol" w:char="F03C"/>
      </w:r>
      <w:r w:rsidRPr="008D2CB3">
        <w:rPr>
          <w:szCs w:val="22"/>
        </w:rPr>
        <w:t xml:space="preserve">0,001) jelenti, főként az infarctus következtében elzárt arteriák </w:t>
      </w:r>
      <w:r w:rsidR="003A0149">
        <w:rPr>
          <w:szCs w:val="22"/>
        </w:rPr>
        <w:t>számának</w:t>
      </w:r>
      <w:r w:rsidRPr="008D2CB3">
        <w:rPr>
          <w:szCs w:val="22"/>
        </w:rPr>
        <w:t xml:space="preserve"> csökkenésével függött össze.</w:t>
      </w:r>
      <w:r w:rsidR="001A22B6" w:rsidRPr="008D2CB3">
        <w:rPr>
          <w:szCs w:val="22"/>
        </w:rPr>
        <w:t xml:space="preserve"> </w:t>
      </w:r>
      <w:r w:rsidRPr="008D2CB3">
        <w:rPr>
          <w:szCs w:val="22"/>
        </w:rPr>
        <w:t>Ez a kedvező hatás az összes, előre meghatározott alcsoportokon belül is, köztük a betegek életkora, neme, az infarctus lokalizációja és az alkalmazott fibrinol</w:t>
      </w:r>
      <w:r w:rsidR="003A0149">
        <w:rPr>
          <w:szCs w:val="22"/>
        </w:rPr>
        <w:t>i</w:t>
      </w:r>
      <w:r w:rsidRPr="008D2CB3">
        <w:rPr>
          <w:szCs w:val="22"/>
        </w:rPr>
        <w:t>tikus vagy heparin kezelés esetén is megegyezett.</w:t>
      </w:r>
    </w:p>
    <w:p w:rsidR="00122217" w:rsidRPr="008D2CB3" w:rsidRDefault="00122217" w:rsidP="001E7729">
      <w:pPr>
        <w:rPr>
          <w:szCs w:val="22"/>
        </w:rPr>
      </w:pPr>
    </w:p>
    <w:p w:rsidR="00122217" w:rsidRPr="008D2CB3" w:rsidRDefault="00122217" w:rsidP="001E7729">
      <w:pPr>
        <w:rPr>
          <w:szCs w:val="22"/>
        </w:rPr>
      </w:pPr>
      <w:r w:rsidRPr="008D2CB3">
        <w:rPr>
          <w:szCs w:val="22"/>
        </w:rPr>
        <w:t>A 2</w:t>
      </w:r>
      <w:r w:rsidR="00805774" w:rsidRPr="008D2CB3">
        <w:rPr>
          <w:szCs w:val="22"/>
        </w:rPr>
        <w:t> × </w:t>
      </w:r>
      <w:r w:rsidRPr="008D2CB3">
        <w:rPr>
          <w:szCs w:val="22"/>
        </w:rPr>
        <w:t>2 faktoriális COMMIT</w:t>
      </w:r>
      <w:r w:rsidR="003A0149">
        <w:rPr>
          <w:szCs w:val="22"/>
        </w:rPr>
        <w:t xml:space="preserve"> </w:t>
      </w:r>
      <w:r w:rsidRPr="008D2CB3">
        <w:rPr>
          <w:szCs w:val="22"/>
        </w:rPr>
        <w:t>vizsgálatban 45 852 beteget vizsgáltak, akiknél 24 órán belül EKG eltérésekkel (úgymint ST</w:t>
      </w:r>
      <w:r w:rsidR="003A0149">
        <w:rPr>
          <w:szCs w:val="22"/>
        </w:rPr>
        <w:noBreakHyphen/>
      </w:r>
      <w:r w:rsidRPr="008D2CB3">
        <w:rPr>
          <w:szCs w:val="22"/>
        </w:rPr>
        <w:t>eleváció, ST depresszió vagy balszárblokk) igazolt myocardi</w:t>
      </w:r>
      <w:r w:rsidR="003A0149">
        <w:rPr>
          <w:szCs w:val="22"/>
        </w:rPr>
        <w:t>a</w:t>
      </w:r>
      <w:r w:rsidRPr="008D2CB3">
        <w:rPr>
          <w:szCs w:val="22"/>
        </w:rPr>
        <w:t>lis infarctusra utaló tünetek jelentkeztek. A betegek klopidogrélt (75 mg/nap, n=22</w:t>
      </w:r>
      <w:r w:rsidR="00DA723E" w:rsidRPr="008D2CB3">
        <w:rPr>
          <w:szCs w:val="22"/>
        </w:rPr>
        <w:t> </w:t>
      </w:r>
      <w:r w:rsidRPr="008D2CB3">
        <w:rPr>
          <w:szCs w:val="22"/>
        </w:rPr>
        <w:t>961) vagy placebót (n=22</w:t>
      </w:r>
      <w:r w:rsidR="00DA723E" w:rsidRPr="008D2CB3">
        <w:rPr>
          <w:szCs w:val="22"/>
        </w:rPr>
        <w:t> </w:t>
      </w:r>
      <w:r w:rsidRPr="008D2CB3">
        <w:rPr>
          <w:szCs w:val="22"/>
        </w:rPr>
        <w:t xml:space="preserve">891) kaptak, ASA-val (162 mg/nap) kombinálva 28 napig vagy a kórházi elbocsátásig. Az együttes elsődleges (co-primary) végpont a bármely okból bekövetkezett halál és az ismételten fellépő infarctus, stroke és halál első előfordulása volt. A betegpopuláció 27,8%-a nő volt, 58,8%-a </w:t>
      </w:r>
      <w:r w:rsidRPr="008D2CB3">
        <w:rPr>
          <w:szCs w:val="22"/>
        </w:rPr>
        <w:sym w:font="Symbol" w:char="F0B3"/>
      </w:r>
      <w:r w:rsidRPr="008D2CB3">
        <w:rPr>
          <w:szCs w:val="22"/>
        </w:rPr>
        <w:t>65 év</w:t>
      </w:r>
      <w:r w:rsidR="003A0149">
        <w:rPr>
          <w:szCs w:val="22"/>
        </w:rPr>
        <w:t>es</w:t>
      </w:r>
      <w:r w:rsidRPr="008D2CB3">
        <w:rPr>
          <w:szCs w:val="22"/>
        </w:rPr>
        <w:t xml:space="preserve"> (26% </w:t>
      </w:r>
      <w:r w:rsidRPr="008D2CB3">
        <w:rPr>
          <w:szCs w:val="22"/>
        </w:rPr>
        <w:sym w:font="Symbol" w:char="F0B3"/>
      </w:r>
      <w:r w:rsidRPr="008D2CB3">
        <w:rPr>
          <w:szCs w:val="22"/>
        </w:rPr>
        <w:t xml:space="preserve"> 70 év) és 54,5% része</w:t>
      </w:r>
      <w:r w:rsidR="00A419CA" w:rsidRPr="008D2CB3">
        <w:rPr>
          <w:szCs w:val="22"/>
        </w:rPr>
        <w:t>s</w:t>
      </w:r>
      <w:r w:rsidRPr="008D2CB3">
        <w:rPr>
          <w:szCs w:val="22"/>
        </w:rPr>
        <w:t>ült fibrinol</w:t>
      </w:r>
      <w:r w:rsidR="003A0149">
        <w:rPr>
          <w:szCs w:val="22"/>
        </w:rPr>
        <w:t>i</w:t>
      </w:r>
      <w:r w:rsidRPr="008D2CB3">
        <w:rPr>
          <w:szCs w:val="22"/>
        </w:rPr>
        <w:t>tikus kezelésben.</w:t>
      </w:r>
    </w:p>
    <w:p w:rsidR="00122217" w:rsidRPr="008D2CB3" w:rsidRDefault="00122217" w:rsidP="001E7729">
      <w:pPr>
        <w:rPr>
          <w:szCs w:val="22"/>
        </w:rPr>
      </w:pPr>
    </w:p>
    <w:p w:rsidR="00122217" w:rsidRDefault="00122217" w:rsidP="001E7729">
      <w:pPr>
        <w:rPr>
          <w:szCs w:val="22"/>
        </w:rPr>
      </w:pPr>
      <w:r w:rsidRPr="008D2CB3">
        <w:rPr>
          <w:szCs w:val="22"/>
        </w:rPr>
        <w:t>A klopidogrél szignifikánsan, 7%-kal csökkentette a bármely okból bekövetkező halál relatív rizikóját (p=0,029) és az ismételt infarctus, stroke vagy halál kombinációjának relatív rizikóját 9%-kal (p=0,002), ami sorrendben 0,5%-os, illetve 0,9%-os abszolút csökkenést jelent. A kedvező hatás hasonló volt az életkor, a nemek és fibrinol</w:t>
      </w:r>
      <w:r w:rsidR="003A0149">
        <w:rPr>
          <w:szCs w:val="22"/>
        </w:rPr>
        <w:t>i</w:t>
      </w:r>
      <w:r w:rsidRPr="008D2CB3">
        <w:rPr>
          <w:szCs w:val="22"/>
        </w:rPr>
        <w:t>tikummal kezelt vagy nem kezelt betegek esetén, és már 24 órán belül megfigyelhető volt.</w:t>
      </w:r>
    </w:p>
    <w:p w:rsidR="00974437" w:rsidRPr="008D2CB3" w:rsidRDefault="00974437" w:rsidP="001E7729">
      <w:pPr>
        <w:rPr>
          <w:szCs w:val="22"/>
        </w:rPr>
      </w:pPr>
    </w:p>
    <w:p w:rsidR="00974437" w:rsidRPr="00D45534" w:rsidRDefault="00974437" w:rsidP="00974437">
      <w:pPr>
        <w:rPr>
          <w:szCs w:val="22"/>
          <w:u w:val="single"/>
        </w:rPr>
      </w:pPr>
      <w:r w:rsidRPr="00FE2C24">
        <w:rPr>
          <w:szCs w:val="22"/>
          <w:u w:val="single"/>
        </w:rPr>
        <w:t>P2Y</w:t>
      </w:r>
      <w:r w:rsidRPr="00FE2C24">
        <w:rPr>
          <w:szCs w:val="22"/>
          <w:u w:val="single"/>
          <w:vertAlign w:val="subscript"/>
        </w:rPr>
        <w:t xml:space="preserve">12 </w:t>
      </w:r>
      <w:r w:rsidRPr="00D45534">
        <w:rPr>
          <w:szCs w:val="22"/>
          <w:u w:val="single"/>
        </w:rPr>
        <w:t xml:space="preserve">gátló szerek </w:t>
      </w:r>
      <w:r>
        <w:rPr>
          <w:szCs w:val="22"/>
          <w:u w:val="single"/>
        </w:rPr>
        <w:t>de-eszkalációja</w:t>
      </w:r>
      <w:r w:rsidDel="008043D1">
        <w:rPr>
          <w:szCs w:val="22"/>
          <w:u w:val="single"/>
        </w:rPr>
        <w:t xml:space="preserve"> </w:t>
      </w:r>
      <w:r>
        <w:rPr>
          <w:szCs w:val="22"/>
          <w:u w:val="single"/>
        </w:rPr>
        <w:t xml:space="preserve">(fokozatosan csökkentett adagok alkalmazása) </w:t>
      </w:r>
      <w:r w:rsidRPr="00D45534">
        <w:rPr>
          <w:szCs w:val="22"/>
          <w:u w:val="single"/>
        </w:rPr>
        <w:t xml:space="preserve">akut coronaria szindrómában </w:t>
      </w:r>
    </w:p>
    <w:p w:rsidR="00E77674" w:rsidRDefault="00E77674" w:rsidP="00E77674">
      <w:pPr>
        <w:rPr>
          <w:szCs w:val="22"/>
        </w:rPr>
      </w:pPr>
      <w:r>
        <w:rPr>
          <w:szCs w:val="22"/>
        </w:rPr>
        <w:t xml:space="preserve">Egy erősebb </w:t>
      </w:r>
      <w:r w:rsidRPr="0010171C">
        <w:rPr>
          <w:szCs w:val="22"/>
        </w:rPr>
        <w:t>P2Y</w:t>
      </w:r>
      <w:r w:rsidRPr="0010171C">
        <w:rPr>
          <w:szCs w:val="22"/>
          <w:vertAlign w:val="subscript"/>
        </w:rPr>
        <w:t>12</w:t>
      </w:r>
      <w:r>
        <w:rPr>
          <w:szCs w:val="22"/>
        </w:rPr>
        <w:t>-receptor-g</w:t>
      </w:r>
      <w:r w:rsidRPr="000268F4">
        <w:rPr>
          <w:szCs w:val="22"/>
        </w:rPr>
        <w:t>átló</w:t>
      </w:r>
      <w:r>
        <w:rPr>
          <w:szCs w:val="22"/>
        </w:rPr>
        <w:t xml:space="preserve">ról klopidogrélre való váltást értékelték acetilszalicilsav mellett, az akut coronaria szindróma (ACS) </w:t>
      </w:r>
      <w:bookmarkStart w:id="5" w:name="_Hlk25679208"/>
      <w:r>
        <w:rPr>
          <w:szCs w:val="22"/>
        </w:rPr>
        <w:t>akut fázisát követően, két</w:t>
      </w:r>
      <w:bookmarkEnd w:id="5"/>
      <w:r>
        <w:rPr>
          <w:szCs w:val="22"/>
        </w:rPr>
        <w:t xml:space="preserve"> randomizált, vizsgáló által szponzorált (investigator-sponsored study, </w:t>
      </w:r>
      <w:r w:rsidRPr="00202DFB">
        <w:rPr>
          <w:szCs w:val="22"/>
        </w:rPr>
        <w:t>ISS</w:t>
      </w:r>
      <w:r>
        <w:rPr>
          <w:szCs w:val="22"/>
        </w:rPr>
        <w:t>) – TOPIC és a TROPICAL-ACS – vizsgálatban, a kezelés kimenetelére vonatkozó adatokkal együtt.</w:t>
      </w:r>
    </w:p>
    <w:p w:rsidR="00974437" w:rsidRDefault="00974437" w:rsidP="00974437">
      <w:pPr>
        <w:rPr>
          <w:szCs w:val="22"/>
        </w:rPr>
      </w:pPr>
    </w:p>
    <w:p w:rsidR="00E77674" w:rsidRDefault="00974437" w:rsidP="00E77674">
      <w:pPr>
        <w:rPr>
          <w:szCs w:val="22"/>
        </w:rPr>
      </w:pPr>
      <w:r>
        <w:rPr>
          <w:szCs w:val="22"/>
        </w:rPr>
        <w:t xml:space="preserve">Az erősebb </w:t>
      </w:r>
      <w:r w:rsidRPr="0010171C">
        <w:rPr>
          <w:szCs w:val="22"/>
        </w:rPr>
        <w:t>P2Y</w:t>
      </w:r>
      <w:r w:rsidRPr="0010171C">
        <w:rPr>
          <w:szCs w:val="22"/>
          <w:vertAlign w:val="subscript"/>
        </w:rPr>
        <w:t xml:space="preserve">12 </w:t>
      </w:r>
      <w:r>
        <w:rPr>
          <w:szCs w:val="22"/>
        </w:rPr>
        <w:t>g</w:t>
      </w:r>
      <w:r w:rsidRPr="000268F4">
        <w:rPr>
          <w:szCs w:val="22"/>
        </w:rPr>
        <w:t>átló</w:t>
      </w:r>
      <w:r>
        <w:rPr>
          <w:szCs w:val="22"/>
        </w:rPr>
        <w:t xml:space="preserve">, </w:t>
      </w:r>
      <w:r w:rsidRPr="00202DFB">
        <w:rPr>
          <w:szCs w:val="22"/>
        </w:rPr>
        <w:t>ticagrelor</w:t>
      </w:r>
      <w:r>
        <w:rPr>
          <w:szCs w:val="22"/>
        </w:rPr>
        <w:t xml:space="preserve"> és </w:t>
      </w:r>
      <w:r w:rsidRPr="00202DFB">
        <w:rPr>
          <w:szCs w:val="22"/>
        </w:rPr>
        <w:t>prasugrel</w:t>
      </w:r>
      <w:r>
        <w:rPr>
          <w:szCs w:val="22"/>
        </w:rPr>
        <w:t xml:space="preserve"> adta klinikai előny, a pivotális vizsgálataikban a visszatérő ischaemiás események [köztük az akut és szubakut stent</w:t>
      </w:r>
      <w:r>
        <w:rPr>
          <w:szCs w:val="22"/>
        </w:rPr>
        <w:noBreakHyphen/>
        <w:t xml:space="preserve">trombózis (ST), a </w:t>
      </w:r>
      <w:r>
        <w:t xml:space="preserve">myocardialis infarctus, és a sürgős </w:t>
      </w:r>
      <w:r>
        <w:rPr>
          <w:szCs w:val="22"/>
        </w:rPr>
        <w:t xml:space="preserve">revascularisatió] szignifikáns csökkentésével függ össze. Bár az ischaemiás előny konzisztens volt az első évben, az ACS utáni visszatérő ischaemiás események újbóli előfordulásának nagyobb mértékű csökkenését figyelték meg a kezelés kezdetét követő napokban. </w:t>
      </w:r>
      <w:r w:rsidR="00E77674">
        <w:rPr>
          <w:szCs w:val="22"/>
        </w:rPr>
        <w:t xml:space="preserve">Ezzel ellentétben, a post hoc elemzések az erősebb </w:t>
      </w:r>
      <w:r w:rsidR="00E77674" w:rsidRPr="0010171C">
        <w:rPr>
          <w:szCs w:val="22"/>
        </w:rPr>
        <w:t>P2Y</w:t>
      </w:r>
      <w:r w:rsidR="00E77674" w:rsidRPr="0010171C">
        <w:rPr>
          <w:szCs w:val="22"/>
          <w:vertAlign w:val="subscript"/>
        </w:rPr>
        <w:t xml:space="preserve">12 </w:t>
      </w:r>
      <w:r w:rsidR="00E77674">
        <w:rPr>
          <w:szCs w:val="22"/>
        </w:rPr>
        <w:t>g</w:t>
      </w:r>
      <w:r w:rsidR="00E77674" w:rsidRPr="000268F4">
        <w:rPr>
          <w:szCs w:val="22"/>
        </w:rPr>
        <w:t>átló</w:t>
      </w:r>
      <w:r w:rsidR="00E77674">
        <w:rPr>
          <w:szCs w:val="22"/>
        </w:rPr>
        <w:t xml:space="preserve">kkal kapcsolatos vérzési kockázat statisztikailag szignifikáns emelkedését mutatták, elsősorban a fenntartó fázisban, az </w:t>
      </w:r>
      <w:bookmarkStart w:id="6" w:name="_Hlk25679232"/>
      <w:r w:rsidR="00E77674">
        <w:rPr>
          <w:szCs w:val="22"/>
        </w:rPr>
        <w:t>ACS-t követő egy hónap után. A</w:t>
      </w:r>
      <w:bookmarkEnd w:id="6"/>
      <w:r w:rsidR="00E77674">
        <w:rPr>
          <w:szCs w:val="22"/>
        </w:rPr>
        <w:t xml:space="preserve"> TOPIC és TROPICAL-ACS vizsgálatokat úgy tervezték, hogy azt vizsgálják, hogyan csökkenthetők a vérzési események a hatásosság fenntartása mellett.</w:t>
      </w:r>
    </w:p>
    <w:p w:rsidR="00974437" w:rsidRDefault="00974437" w:rsidP="00974437">
      <w:pPr>
        <w:rPr>
          <w:szCs w:val="22"/>
        </w:rPr>
      </w:pPr>
    </w:p>
    <w:p w:rsidR="00974437" w:rsidRDefault="00974437" w:rsidP="00974437">
      <w:pPr>
        <w:rPr>
          <w:szCs w:val="22"/>
        </w:rPr>
      </w:pPr>
      <w:r w:rsidRPr="00291C51">
        <w:rPr>
          <w:b/>
          <w:szCs w:val="22"/>
        </w:rPr>
        <w:t>TOPIC</w:t>
      </w:r>
      <w:r>
        <w:rPr>
          <w:szCs w:val="22"/>
        </w:rPr>
        <w:t xml:space="preserve"> (</w:t>
      </w:r>
      <w:r w:rsidRPr="00291C51">
        <w:rPr>
          <w:i/>
          <w:szCs w:val="22"/>
        </w:rPr>
        <w:t>akut coronaria szindróma utáni thrombocyta-gátlás időzítése</w:t>
      </w:r>
      <w:r>
        <w:rPr>
          <w:szCs w:val="22"/>
        </w:rPr>
        <w:t xml:space="preserve">, </w:t>
      </w:r>
      <w:r w:rsidRPr="0092275C">
        <w:rPr>
          <w:i/>
          <w:szCs w:val="22"/>
        </w:rPr>
        <w:t>Timing Of Platelet Inhibition after acute Coronary syndrome</w:t>
      </w:r>
      <w:r w:rsidRPr="00291C51">
        <w:rPr>
          <w:i/>
          <w:szCs w:val="22"/>
        </w:rPr>
        <w:t>)</w:t>
      </w:r>
    </w:p>
    <w:p w:rsidR="00974437" w:rsidRDefault="00974437" w:rsidP="00974437">
      <w:pPr>
        <w:rPr>
          <w:szCs w:val="22"/>
        </w:rPr>
      </w:pPr>
    </w:p>
    <w:p w:rsidR="00974437" w:rsidRDefault="00974437" w:rsidP="00974437">
      <w:pPr>
        <w:rPr>
          <w:szCs w:val="22"/>
        </w:rPr>
      </w:pPr>
      <w:r>
        <w:rPr>
          <w:szCs w:val="22"/>
        </w:rPr>
        <w:t xml:space="preserve">Ebbe a vizsgáló által szponzorált, randomizált, nyílt vizsgálatba </w:t>
      </w:r>
      <w:r w:rsidR="00BD2284">
        <w:rPr>
          <w:szCs w:val="22"/>
        </w:rPr>
        <w:t>percutan coronaria intervenciót (</w:t>
      </w:r>
      <w:r>
        <w:rPr>
          <w:szCs w:val="22"/>
        </w:rPr>
        <w:t>PCI-t</w:t>
      </w:r>
      <w:r w:rsidR="00BD2284">
        <w:rPr>
          <w:szCs w:val="22"/>
        </w:rPr>
        <w:t>)</w:t>
      </w:r>
      <w:r>
        <w:rPr>
          <w:szCs w:val="22"/>
        </w:rPr>
        <w:t xml:space="preserve"> igénylő ACS-ben szenvedő betegeket vontak be. Az első hónapban mellékhatást nem mutató, acetil-szalicilsavat és egy erősebb </w:t>
      </w:r>
      <w:r w:rsidRPr="0010171C">
        <w:rPr>
          <w:szCs w:val="22"/>
        </w:rPr>
        <w:t>P2Y</w:t>
      </w:r>
      <w:r w:rsidRPr="0010171C">
        <w:rPr>
          <w:szCs w:val="22"/>
          <w:vertAlign w:val="subscript"/>
        </w:rPr>
        <w:t xml:space="preserve">12 </w:t>
      </w:r>
      <w:r>
        <w:rPr>
          <w:szCs w:val="22"/>
        </w:rPr>
        <w:t>g</w:t>
      </w:r>
      <w:r w:rsidRPr="000268F4">
        <w:rPr>
          <w:szCs w:val="22"/>
        </w:rPr>
        <w:t>átló</w:t>
      </w:r>
      <w:r>
        <w:rPr>
          <w:szCs w:val="22"/>
        </w:rPr>
        <w:t xml:space="preserve">t szedő betegeket, acetil-szalicilsav+klopidogrél fix kombinációjára [deeszkalált kettős thrombocytaaggregáció-gátló kezelésre (dual antiplatelet therapy, </w:t>
      </w:r>
      <w:r w:rsidRPr="00202DFB">
        <w:rPr>
          <w:szCs w:val="22"/>
        </w:rPr>
        <w:t>DAPT</w:t>
      </w:r>
      <w:r>
        <w:rPr>
          <w:szCs w:val="22"/>
        </w:rPr>
        <w:t>)] állították át, vagy folytatták a gyógyszeres kezelésüket (változatlan DAPT).</w:t>
      </w:r>
    </w:p>
    <w:p w:rsidR="00974437" w:rsidRDefault="00974437" w:rsidP="00974437">
      <w:pPr>
        <w:rPr>
          <w:szCs w:val="22"/>
        </w:rPr>
      </w:pPr>
    </w:p>
    <w:p w:rsidR="00974437" w:rsidRDefault="00974437" w:rsidP="00974437">
      <w:r>
        <w:rPr>
          <w:szCs w:val="22"/>
        </w:rPr>
        <w:t>A 646</w:t>
      </w:r>
      <w:r w:rsidR="00BD2284">
        <w:rPr>
          <w:szCs w:val="22"/>
        </w:rPr>
        <w:t>, ST-elevációval járó myocardialis infarctusban</w:t>
      </w:r>
      <w:r>
        <w:rPr>
          <w:szCs w:val="22"/>
        </w:rPr>
        <w:t xml:space="preserve"> </w:t>
      </w:r>
      <w:r w:rsidR="00BD2284">
        <w:rPr>
          <w:szCs w:val="22"/>
        </w:rPr>
        <w:t>(</w:t>
      </w:r>
      <w:r>
        <w:rPr>
          <w:szCs w:val="22"/>
        </w:rPr>
        <w:t>STEMI-ben</w:t>
      </w:r>
      <w:r w:rsidR="00BD2284">
        <w:rPr>
          <w:szCs w:val="22"/>
        </w:rPr>
        <w:t>)</w:t>
      </w:r>
      <w:r>
        <w:rPr>
          <w:szCs w:val="22"/>
        </w:rPr>
        <w:t>,</w:t>
      </w:r>
      <w:r w:rsidR="00BD2284">
        <w:rPr>
          <w:szCs w:val="22"/>
        </w:rPr>
        <w:t xml:space="preserve"> vagy</w:t>
      </w:r>
      <w:r>
        <w:rPr>
          <w:szCs w:val="22"/>
        </w:rPr>
        <w:t xml:space="preserve"> </w:t>
      </w:r>
      <w:r w:rsidR="00BD2284">
        <w:rPr>
          <w:szCs w:val="22"/>
        </w:rPr>
        <w:t>ST-eleváció</w:t>
      </w:r>
      <w:r w:rsidR="00FE4466">
        <w:rPr>
          <w:szCs w:val="22"/>
        </w:rPr>
        <w:t xml:space="preserve"> nélküli</w:t>
      </w:r>
      <w:r w:rsidR="00BD2284">
        <w:rPr>
          <w:szCs w:val="22"/>
        </w:rPr>
        <w:t xml:space="preserve"> myocardialis infarctusban (</w:t>
      </w:r>
      <w:r>
        <w:rPr>
          <w:szCs w:val="22"/>
        </w:rPr>
        <w:t>NSTEMI-ben</w:t>
      </w:r>
      <w:r w:rsidR="00BD2284">
        <w:rPr>
          <w:szCs w:val="22"/>
        </w:rPr>
        <w:t>)</w:t>
      </w:r>
      <w:r>
        <w:rPr>
          <w:szCs w:val="22"/>
        </w:rPr>
        <w:t>, vagy instabil anginában szenvedő betegből összesen 645 beteget elemeztek [deeszkalált DAPT (n=322); változatlan DAPT (n=323)]. Egy éves utánkövetést a deeszkalált DAPT csoportban 316 betegnél (98,1%), a változatlan DAPT csoportban 318 betegnél (98,5</w:t>
      </w:r>
      <w:r w:rsidR="00705F72">
        <w:rPr>
          <w:szCs w:val="22"/>
        </w:rPr>
        <w:t>%</w:t>
      </w:r>
      <w:r>
        <w:rPr>
          <w:szCs w:val="22"/>
        </w:rPr>
        <w:t>) végeztek. A</w:t>
      </w:r>
      <w:r w:rsidR="003A0149">
        <w:rPr>
          <w:szCs w:val="22"/>
        </w:rPr>
        <w:t>z</w:t>
      </w:r>
      <w:r>
        <w:rPr>
          <w:szCs w:val="22"/>
        </w:rPr>
        <w:t xml:space="preserve"> utánkövetési idő </w:t>
      </w:r>
      <w:r w:rsidR="003A0149">
        <w:rPr>
          <w:szCs w:val="22"/>
        </w:rPr>
        <w:t xml:space="preserve">mediánja </w:t>
      </w:r>
      <w:r>
        <w:rPr>
          <w:szCs w:val="22"/>
        </w:rPr>
        <w:t>359 nap volt mindkét csoportban. A vizsgált csoportok jellemzői hasonlóak voltak a két </w:t>
      </w:r>
      <w:r>
        <w:t>csoportban.</w:t>
      </w:r>
    </w:p>
    <w:p w:rsidR="00974437" w:rsidRDefault="00974437" w:rsidP="00974437"/>
    <w:p w:rsidR="00974437" w:rsidRDefault="00974437" w:rsidP="00974437">
      <w:pPr>
        <w:rPr>
          <w:szCs w:val="22"/>
        </w:rPr>
      </w:pPr>
      <w:r>
        <w:t>Az elsődleges kimenetel, a szív-érrendszeri halálozás, a stroke, a sürgős revascularisatio, és BARC (</w:t>
      </w:r>
      <w:r w:rsidRPr="00202DFB">
        <w:rPr>
          <w:szCs w:val="22"/>
        </w:rPr>
        <w:t>Bleeding Academic Research Consortium</w:t>
      </w:r>
      <w:r>
        <w:rPr>
          <w:szCs w:val="22"/>
        </w:rPr>
        <w:t xml:space="preserve">) kritériumok szerinti </w:t>
      </w:r>
      <w:r w:rsidRPr="00202DFB">
        <w:rPr>
          <w:szCs w:val="22"/>
        </w:rPr>
        <w:t>≥</w:t>
      </w:r>
      <w:r>
        <w:rPr>
          <w:szCs w:val="22"/>
        </w:rPr>
        <w:t> </w:t>
      </w:r>
      <w:r w:rsidRPr="00202DFB">
        <w:rPr>
          <w:szCs w:val="22"/>
        </w:rPr>
        <w:t>2</w:t>
      </w:r>
      <w:r>
        <w:rPr>
          <w:szCs w:val="22"/>
        </w:rPr>
        <w:t xml:space="preserve"> fokozatú vérzések az ACS utáni 1 évben,</w:t>
      </w:r>
      <w:r w:rsidRPr="00202DFB">
        <w:rPr>
          <w:szCs w:val="22"/>
        </w:rPr>
        <w:t xml:space="preserve"> </w:t>
      </w:r>
      <w:r>
        <w:t>43 betegnél (13,4%) fordult elő a de-eszkalált DAPT csoportban és 85 betegnél (26,3%) a változatlan DAPT csoportban (</w:t>
      </w:r>
      <w:r w:rsidRPr="00202DFB">
        <w:rPr>
          <w:szCs w:val="22"/>
        </w:rPr>
        <w:t>p</w:t>
      </w:r>
      <w:r>
        <w:rPr>
          <w:szCs w:val="22"/>
        </w:rPr>
        <w:t> </w:t>
      </w:r>
      <w:r w:rsidRPr="00202DFB">
        <w:rPr>
          <w:szCs w:val="22"/>
        </w:rPr>
        <w:t>&lt;</w:t>
      </w:r>
      <w:r>
        <w:rPr>
          <w:szCs w:val="22"/>
        </w:rPr>
        <w:t> 0,</w:t>
      </w:r>
      <w:r w:rsidRPr="00202DFB">
        <w:rPr>
          <w:szCs w:val="22"/>
        </w:rPr>
        <w:t>01)</w:t>
      </w:r>
      <w:r>
        <w:rPr>
          <w:szCs w:val="22"/>
        </w:rPr>
        <w:t xml:space="preserve">. Ezt a statisztikailag szignifikáns különbséget nagyrészt a kevesebb vérzési esemény adta, az ischaemiás végpontokban eltérést nem jelentettek (p=0,36), míg a BARC kritériumok szerinti </w:t>
      </w:r>
      <w:r w:rsidRPr="00202DFB">
        <w:rPr>
          <w:szCs w:val="22"/>
        </w:rPr>
        <w:t>≥</w:t>
      </w:r>
      <w:r>
        <w:rPr>
          <w:szCs w:val="22"/>
        </w:rPr>
        <w:t> </w:t>
      </w:r>
      <w:r w:rsidRPr="00202DFB">
        <w:rPr>
          <w:szCs w:val="22"/>
        </w:rPr>
        <w:t>2</w:t>
      </w:r>
      <w:r>
        <w:rPr>
          <w:szCs w:val="22"/>
        </w:rPr>
        <w:t xml:space="preserve"> fokozatú vérzések gyakorisága csökkent a deeszkalált DAPT csoportban (4,0%) a változatlan DAPT csoportban észlelt 14,9%-hoz képest (</w:t>
      </w:r>
      <w:r w:rsidRPr="00202DFB">
        <w:rPr>
          <w:szCs w:val="22"/>
        </w:rPr>
        <w:t>p</w:t>
      </w:r>
      <w:r>
        <w:rPr>
          <w:szCs w:val="22"/>
        </w:rPr>
        <w:t> </w:t>
      </w:r>
      <w:r w:rsidRPr="00202DFB">
        <w:rPr>
          <w:szCs w:val="22"/>
        </w:rPr>
        <w:t>&lt;</w:t>
      </w:r>
      <w:r>
        <w:rPr>
          <w:szCs w:val="22"/>
        </w:rPr>
        <w:t> 0,</w:t>
      </w:r>
      <w:r w:rsidRPr="00202DFB">
        <w:rPr>
          <w:szCs w:val="22"/>
        </w:rPr>
        <w:t>01</w:t>
      </w:r>
      <w:r>
        <w:rPr>
          <w:szCs w:val="22"/>
        </w:rPr>
        <w:t>). BARC kritériumok szerinti vérzési események 30 </w:t>
      </w:r>
      <w:r>
        <w:t>betegnél (9,3%) jelentkeztek a deeszkalált DAPT csoportban és 76 betegnél (23,5%) a változatlan DAPT csoportban (</w:t>
      </w:r>
      <w:r w:rsidRPr="00202DFB">
        <w:rPr>
          <w:szCs w:val="22"/>
        </w:rPr>
        <w:t>p</w:t>
      </w:r>
      <w:r>
        <w:rPr>
          <w:szCs w:val="22"/>
        </w:rPr>
        <w:t> </w:t>
      </w:r>
      <w:r w:rsidRPr="00202DFB">
        <w:rPr>
          <w:szCs w:val="22"/>
        </w:rPr>
        <w:t>&lt;</w:t>
      </w:r>
      <w:r>
        <w:rPr>
          <w:szCs w:val="22"/>
        </w:rPr>
        <w:t> 0,</w:t>
      </w:r>
      <w:r w:rsidRPr="00202DFB">
        <w:rPr>
          <w:szCs w:val="22"/>
        </w:rPr>
        <w:t>01)</w:t>
      </w:r>
      <w:r>
        <w:rPr>
          <w:szCs w:val="22"/>
        </w:rPr>
        <w:t>.</w:t>
      </w:r>
    </w:p>
    <w:p w:rsidR="00974437" w:rsidRDefault="00974437" w:rsidP="00974437">
      <w:pPr>
        <w:rPr>
          <w:szCs w:val="22"/>
        </w:rPr>
      </w:pPr>
    </w:p>
    <w:p w:rsidR="00974437" w:rsidRPr="00A8627C" w:rsidRDefault="00974437" w:rsidP="00974437">
      <w:r w:rsidRPr="00FD22E6">
        <w:rPr>
          <w:b/>
        </w:rPr>
        <w:t>TROPICAL-ACS</w:t>
      </w:r>
      <w:r>
        <w:t xml:space="preserve"> </w:t>
      </w:r>
      <w:r w:rsidRPr="00202DFB">
        <w:rPr>
          <w:szCs w:val="22"/>
        </w:rPr>
        <w:t>(</w:t>
      </w:r>
      <w:r w:rsidRPr="00FD22E6">
        <w:rPr>
          <w:i/>
          <w:szCs w:val="22"/>
        </w:rPr>
        <w:t>a thrombocyta gátlásra adott válasz vizsgálata krónikus thrombocytaaggregáció</w:t>
      </w:r>
      <w:r w:rsidR="003A0149">
        <w:rPr>
          <w:i/>
          <w:szCs w:val="22"/>
        </w:rPr>
        <w:noBreakHyphen/>
      </w:r>
      <w:r w:rsidRPr="00FD22E6">
        <w:rPr>
          <w:i/>
          <w:szCs w:val="22"/>
        </w:rPr>
        <w:t>gátló kezelés során akut coronaria szindrómában,</w:t>
      </w:r>
      <w:r>
        <w:rPr>
          <w:szCs w:val="22"/>
        </w:rPr>
        <w:t xml:space="preserve"> </w:t>
      </w:r>
      <w:r w:rsidRPr="00202DFB">
        <w:rPr>
          <w:i/>
          <w:szCs w:val="22"/>
        </w:rPr>
        <w:t>Testing Responsiveness to Platelet Inhibition on Chronic Antiplatelet Treatment for Acute Coronary Syndromes</w:t>
      </w:r>
      <w:r w:rsidRPr="00202DFB">
        <w:rPr>
          <w:szCs w:val="22"/>
        </w:rPr>
        <w:t>)</w:t>
      </w:r>
    </w:p>
    <w:p w:rsidR="00974437" w:rsidRDefault="00974437" w:rsidP="00974437"/>
    <w:p w:rsidR="00974437" w:rsidRDefault="00974437" w:rsidP="00974437">
      <w:pPr>
        <w:rPr>
          <w:szCs w:val="22"/>
        </w:rPr>
      </w:pPr>
      <w:r>
        <w:t>Ebbe a randomizált, nyílt vizsgálatba 2610 biomarker pozitív, sikeres PCI-n átesett, ACS-ben szenvedő beteget vontak be. A betegek ASA-val kombinációban (&lt; 100 mg/nap), randomizáltan vagy 5 vagy 10 mg/nap prasugrelt (0-14 napig) (n=130</w:t>
      </w:r>
      <w:r w:rsidR="00705F72">
        <w:t>6</w:t>
      </w:r>
      <w:r>
        <w:t>), vagy 5 vagy 10 mg/nap prasugrelt (0-7 napig) majd 75 mg/napra deeszkalált adag klopidogrélt (8-14 napig) (n=1 30</w:t>
      </w:r>
      <w:r w:rsidR="00705F72">
        <w:t>4</w:t>
      </w:r>
      <w:r>
        <w:t xml:space="preserve">) kaptak. A 14. napon </w:t>
      </w:r>
      <w:r>
        <w:rPr>
          <w:szCs w:val="22"/>
        </w:rPr>
        <w:t>thrombocyta-funkciós vizsgálatot végeztek. A csak prasugrelt kapó betegek kezelését folytatták még 11,5 hónapig.</w:t>
      </w:r>
    </w:p>
    <w:p w:rsidR="00974437" w:rsidRDefault="00974437" w:rsidP="00974437">
      <w:pPr>
        <w:rPr>
          <w:szCs w:val="22"/>
        </w:rPr>
      </w:pPr>
    </w:p>
    <w:p w:rsidR="00974437" w:rsidRDefault="00974437" w:rsidP="00974437">
      <w:r>
        <w:rPr>
          <w:szCs w:val="22"/>
        </w:rPr>
        <w:t>A deeszkalált adagot kapó betegeknél magas thrombocyta reaktivitás (HPR) vizsgálatot végeztek. Ha a H</w:t>
      </w:r>
      <w:r w:rsidR="00705F72">
        <w:rPr>
          <w:szCs w:val="22"/>
        </w:rPr>
        <w:t>P</w:t>
      </w:r>
      <w:r>
        <w:rPr>
          <w:szCs w:val="22"/>
        </w:rPr>
        <w:t xml:space="preserve">R eredmény ≥ 46 egység volt, a betegeket visszaállították 5 vagy 10 mg/nap prasugrelre 11,5 </w:t>
      </w:r>
      <w:r>
        <w:t xml:space="preserve">hónapig, ha </w:t>
      </w:r>
      <w:r>
        <w:rPr>
          <w:szCs w:val="22"/>
        </w:rPr>
        <w:t>a H</w:t>
      </w:r>
      <w:r w:rsidR="00705F72">
        <w:rPr>
          <w:szCs w:val="22"/>
        </w:rPr>
        <w:t>P</w:t>
      </w:r>
      <w:r>
        <w:rPr>
          <w:szCs w:val="22"/>
        </w:rPr>
        <w:t>R eredmény &lt; 46 egység volt, a betegek folytatták a 75</w:t>
      </w:r>
      <w:r>
        <w:t>mg/nap</w:t>
      </w:r>
      <w:r>
        <w:rPr>
          <w:szCs w:val="22"/>
        </w:rPr>
        <w:t xml:space="preserve"> klopidogrél kezelést 11,5 </w:t>
      </w:r>
      <w:r>
        <w:t>hónapig. Ezért a felügyelve deeszkalált kezelési karon lévő betegek vagy prasugrelt (40%) vagy klopidogrélt (60%) kaptak. Minden beteg kapott továbbra is acetil-szalicilsavat és egy évig utánkövették őket.</w:t>
      </w:r>
    </w:p>
    <w:p w:rsidR="00974437" w:rsidRDefault="00974437" w:rsidP="00974437"/>
    <w:p w:rsidR="00122217" w:rsidRDefault="00974437" w:rsidP="00974437">
      <w:r>
        <w:t>Az elsődleges végpont (a szív-érrendszeri halálozás, a myocardi</w:t>
      </w:r>
      <w:r w:rsidR="003A0149">
        <w:t>a</w:t>
      </w:r>
      <w:r>
        <w:t xml:space="preserve">lis infarctus, a stroke, és a BARC </w:t>
      </w:r>
      <w:r>
        <w:rPr>
          <w:szCs w:val="22"/>
        </w:rPr>
        <w:t xml:space="preserve">kritériumok szerinti </w:t>
      </w:r>
      <w:r w:rsidRPr="00202DFB">
        <w:rPr>
          <w:szCs w:val="22"/>
        </w:rPr>
        <w:t>≥</w:t>
      </w:r>
      <w:r>
        <w:rPr>
          <w:szCs w:val="22"/>
        </w:rPr>
        <w:t> </w:t>
      </w:r>
      <w:r w:rsidRPr="00202DFB">
        <w:rPr>
          <w:szCs w:val="22"/>
        </w:rPr>
        <w:t>2</w:t>
      </w:r>
      <w:r>
        <w:rPr>
          <w:szCs w:val="22"/>
        </w:rPr>
        <w:t xml:space="preserve"> fokozatú vérzések</w:t>
      </w:r>
      <w:r>
        <w:t xml:space="preserve"> összesített incidenciája a 12. hónapban) teljesült, non-inferior volt. 95 betegnél (7%) a felügyelve deeszkalált csoportból és 118 betegnél (9%) a kontrollcsoportból (non-inferioritási p=0,0004) volt esemény. A felügyelt deeszkaláció nem eredményezett emelkedést sem az ischaemiás események (2,5% a csökkentett csoportban és 3,2% a kontrollcsoportban, non-inferioritási p=0,0115), sem a BARC kritériumok </w:t>
      </w:r>
      <w:r>
        <w:rPr>
          <w:szCs w:val="22"/>
        </w:rPr>
        <w:t xml:space="preserve">szerinti </w:t>
      </w:r>
      <w:r w:rsidRPr="00202DFB">
        <w:rPr>
          <w:szCs w:val="22"/>
        </w:rPr>
        <w:t>≥</w:t>
      </w:r>
      <w:r>
        <w:rPr>
          <w:szCs w:val="22"/>
        </w:rPr>
        <w:t> </w:t>
      </w:r>
      <w:r w:rsidRPr="00202DFB">
        <w:rPr>
          <w:szCs w:val="22"/>
        </w:rPr>
        <w:t>2</w:t>
      </w:r>
      <w:r>
        <w:rPr>
          <w:szCs w:val="22"/>
        </w:rPr>
        <w:t xml:space="preserve"> fokozatú vérzésekre vonatkozó fő másodlagos végpont [5% a deeszkalált csoportban a kontrollcsoporthoz képest (6%, p=0,23)] </w:t>
      </w:r>
      <w:r>
        <w:t>összkockázatában</w:t>
      </w:r>
      <w:r>
        <w:rPr>
          <w:szCs w:val="22"/>
        </w:rPr>
        <w:t>. Az összes vérzési esemény (BARC kritériumok szerinti 1-5 fokozat) kumulatív incidenciája 9% (114 </w:t>
      </w:r>
      <w:r>
        <w:t>esemény) volt a deeszkalált csoportban, szemben a kontrollcsoportban tapasztalható 11%-kal (137 esemény) (p=0,14).</w:t>
      </w:r>
    </w:p>
    <w:p w:rsidR="00974437" w:rsidRDefault="00974437" w:rsidP="00974437"/>
    <w:p w:rsidR="00E950FB" w:rsidRPr="00DE56D7" w:rsidRDefault="00E950FB" w:rsidP="00E950FB">
      <w:pPr>
        <w:rPr>
          <w:iCs/>
          <w:u w:val="single"/>
        </w:rPr>
      </w:pPr>
      <w:r w:rsidRPr="00DE56D7">
        <w:rPr>
          <w:iCs/>
          <w:u w:val="single"/>
        </w:rPr>
        <w:t xml:space="preserve">Kettős thrombocytaaggregáció-gátló kezelés akut, minor IS-ban vagy közepes vagy </w:t>
      </w:r>
      <w:r>
        <w:rPr>
          <w:iCs/>
        </w:rPr>
        <w:t>magas</w:t>
      </w:r>
      <w:r w:rsidRPr="00DE56D7">
        <w:rPr>
          <w:iCs/>
          <w:u w:val="single"/>
        </w:rPr>
        <w:t xml:space="preserve"> kockázatú TIA-ban szenvedő betegeknél</w:t>
      </w:r>
    </w:p>
    <w:p w:rsidR="00E950FB" w:rsidRDefault="00E950FB" w:rsidP="00E950FB"/>
    <w:p w:rsidR="00E950FB" w:rsidRDefault="00E950FB" w:rsidP="00E950FB">
      <w:r>
        <w:t>Minor IS vagy közepes vagy nagy kockázatú TIA utáni stroke megelőzéseként klopidogrél+ASA kombinációval végzett, kettős thrombocytaaggregáció-gátló kezelés klinikai biztonságossági és hatásossági kimenetelre vonatkozó adatait 2, randomizált, a vizsgáló által szponzorált vizsgálatban (CHANCE és POINT) értékelték.</w:t>
      </w:r>
    </w:p>
    <w:p w:rsidR="00E950FB" w:rsidRDefault="00E950FB" w:rsidP="00E950FB"/>
    <w:p w:rsidR="00E950FB" w:rsidRDefault="00E950FB" w:rsidP="00E950FB">
      <w:pPr>
        <w:rPr>
          <w:bCs/>
          <w:szCs w:val="22"/>
        </w:rPr>
      </w:pPr>
      <w:r w:rsidRPr="00333DB9">
        <w:rPr>
          <w:b/>
          <w:bCs/>
          <w:szCs w:val="22"/>
        </w:rPr>
        <w:t>CHANCE</w:t>
      </w:r>
      <w:r w:rsidRPr="00A141BB">
        <w:rPr>
          <w:bCs/>
          <w:szCs w:val="22"/>
        </w:rPr>
        <w:t xml:space="preserve"> (</w:t>
      </w:r>
      <w:r w:rsidRPr="00333DB9">
        <w:rPr>
          <w:bCs/>
          <w:i/>
          <w:szCs w:val="22"/>
        </w:rPr>
        <w:t>Clopidogrel in High-risk patients with Acute Non-disabling Cerebrovascular Events</w:t>
      </w:r>
      <w:r>
        <w:rPr>
          <w:bCs/>
          <w:i/>
          <w:szCs w:val="22"/>
        </w:rPr>
        <w:t>; klopidogrél kezelés akut, tartós károsodáshoz nem vezető, cerebrovascularis eseményt átélt, magas kockázatú betegeknél</w:t>
      </w:r>
      <w:r w:rsidRPr="00A141BB">
        <w:rPr>
          <w:bCs/>
          <w:szCs w:val="22"/>
        </w:rPr>
        <w:t>)</w:t>
      </w:r>
    </w:p>
    <w:p w:rsidR="00E950FB" w:rsidRDefault="00E950FB" w:rsidP="00E950FB">
      <w:r>
        <w:t xml:space="preserve">Ebbe a randomizált, kettős vak, multicentrikus, placebokontrollos vizsgálatba 5170 olyan kínai beteget vontak be, akik akut TIA-ban (ABCD2 pontszám </w:t>
      </w:r>
      <w:r w:rsidRPr="00A141BB">
        <w:rPr>
          <w:bCs/>
          <w:szCs w:val="22"/>
        </w:rPr>
        <w:t>≥4</w:t>
      </w:r>
      <w:r>
        <w:t xml:space="preserve">) vagy akut, minor stroke-ban </w:t>
      </w:r>
      <w:r w:rsidRPr="00A141BB">
        <w:rPr>
          <w:bCs/>
          <w:szCs w:val="22"/>
        </w:rPr>
        <w:t>(NIHSS ≤3)</w:t>
      </w:r>
      <w:r>
        <w:rPr>
          <w:bCs/>
          <w:szCs w:val="22"/>
        </w:rPr>
        <w:t xml:space="preserve"> </w:t>
      </w:r>
      <w:r>
        <w:t>szenvedtek. Mindkét csoport betegei nyílt módon (a kezelőorvos döntése alapján 75</w:t>
      </w:r>
      <w:r>
        <w:noBreakHyphen/>
        <w:t>300 mg) ASA-t kaptak az 1. napon. A klopidogrél-ASA kombinációra randomizált betegek 300 mg telítő adag klopidogrélt kaptak az 1. napon, melyet 75 mg klopidogrél követett a 2. naptól a 90. napig, és naponta 75 mg ASA-t kaptak a 2. naptól a 21. napig. Az ASA csoportba randomizált betegek placebo-klopidogrélt kaptak az 1. naptól a 90. napig és naponta 75 mg ASA-t a 2. naptól a 90. napig.</w:t>
      </w:r>
    </w:p>
    <w:p w:rsidR="00E950FB" w:rsidRDefault="00E950FB" w:rsidP="00E950FB"/>
    <w:p w:rsidR="00E950FB" w:rsidRDefault="00E950FB" w:rsidP="00E950FB">
      <w:pPr>
        <w:rPr>
          <w:bCs/>
          <w:szCs w:val="22"/>
        </w:rPr>
      </w:pPr>
      <w:r>
        <w:t xml:space="preserve">Az elsődleges hatásossági végpont bármilyen új (ischaemias vagy vérzéses) stroke esemény előfordulása volt az akut, minor IS vagy </w:t>
      </w:r>
      <w:r>
        <w:rPr>
          <w:iCs/>
        </w:rPr>
        <w:t>magas</w:t>
      </w:r>
      <w:r>
        <w:t xml:space="preserve"> kockázatú TIA utáni első 90 napon belül. Ez a klopidogrél-ASA csoportban 212 betegnél (8,2%) fordult elő, míg az ASA-csoportban 303 betegnél (11,7%), (relatív hazárd [RH]: 0,68; 95%-os konfidencia intervallum [CI]: 0,57</w:t>
      </w:r>
      <w:r>
        <w:softHyphen/>
        <w:t xml:space="preserve">0.81; P&lt;0,001). IS a klopidogrél-ASA csoportban 204 betegnél (7,9%) jelentkezett, míg az ASA-csoportban 295 betegnél (11,4%), </w:t>
      </w:r>
      <w:r>
        <w:rPr>
          <w:bCs/>
          <w:szCs w:val="22"/>
        </w:rPr>
        <w:t>(RH: 0,67; 95%-os CI: 0,56-0,81; P&lt;0,001). Vérzéses stroke 8 betegnél (0,3%) jelentkezett mindkét csoportban. Közepesen súlyos vagy súlyos vérzés 7 betegnél (0,3%) jelentkezett a klopidogrél-ASA csoportban és 8 betegnél (0,3%) az ASA-csoportban (P=0,73). A bármilyen vérzéses esemény előfordulásának aránya 2,3% volt a klopidogrél-ASA csoportban és 1,6% az ASA-csoportban (RH: 1,41; 95%-os CI: 0,95-2,10; P=0,09).</w:t>
      </w:r>
    </w:p>
    <w:p w:rsidR="00E950FB" w:rsidRDefault="00E950FB" w:rsidP="00E950FB">
      <w:pPr>
        <w:rPr>
          <w:bCs/>
          <w:szCs w:val="22"/>
        </w:rPr>
      </w:pPr>
    </w:p>
    <w:p w:rsidR="00E950FB" w:rsidRDefault="00E950FB" w:rsidP="00E950FB">
      <w:pPr>
        <w:rPr>
          <w:bCs/>
          <w:szCs w:val="22"/>
        </w:rPr>
      </w:pPr>
      <w:r>
        <w:rPr>
          <w:b/>
          <w:bCs/>
          <w:szCs w:val="22"/>
        </w:rPr>
        <w:t>POINT</w:t>
      </w:r>
      <w:r>
        <w:rPr>
          <w:bCs/>
          <w:szCs w:val="22"/>
        </w:rPr>
        <w:t xml:space="preserve"> (</w:t>
      </w:r>
      <w:r>
        <w:rPr>
          <w:bCs/>
          <w:i/>
          <w:szCs w:val="22"/>
        </w:rPr>
        <w:t>Platelet-Oriented Inhibition in New TIA and Minor Ischemic Stroke; Thrombocyta-orientált gátlás újonnan jelentkező TIA és minor ischaemias stroke esetén</w:t>
      </w:r>
      <w:r>
        <w:rPr>
          <w:bCs/>
          <w:szCs w:val="22"/>
        </w:rPr>
        <w:t>)</w:t>
      </w:r>
    </w:p>
    <w:p w:rsidR="00E950FB" w:rsidRDefault="00E950FB" w:rsidP="00E950FB">
      <w:r>
        <w:t xml:space="preserve">Ebbe a randomizált, kettős vak, multicentrikus, placebokontrollos vizsgálatba nemzetközi szinten 4881 olyan beteget vontak be, akik akut TIA-ban (ABCD2 pontszám </w:t>
      </w:r>
      <w:r w:rsidRPr="00A141BB">
        <w:rPr>
          <w:bCs/>
          <w:szCs w:val="22"/>
        </w:rPr>
        <w:t>≥4</w:t>
      </w:r>
      <w:r>
        <w:t xml:space="preserve">) vagy akut, minor stroke-ban </w:t>
      </w:r>
      <w:r w:rsidRPr="00A141BB">
        <w:rPr>
          <w:bCs/>
          <w:szCs w:val="22"/>
        </w:rPr>
        <w:t>(NIHSS ≤3)</w:t>
      </w:r>
      <w:r>
        <w:rPr>
          <w:bCs/>
          <w:szCs w:val="22"/>
        </w:rPr>
        <w:t xml:space="preserve"> </w:t>
      </w:r>
      <w:r>
        <w:t>szenvedtek. Mindkét csoport minden betege nyílt módon (a kezelőorvos döntése alapján 50</w:t>
      </w:r>
      <w:r>
        <w:noBreakHyphen/>
        <w:t>325 mg) ASA-t kaptott az 1. naptól a 90. napig. A klopidogrél-csoportba randomizált betegek 600 mg telítő adag klopidogrélt kaptak az 1. napon, melyet napi 75 mg klopidogrél követett a 2. naptól a 90. napig. A placebocsoportba randomizált betegek placebo-klopidogrélt kaptak az 1. naptól a 90. napig.</w:t>
      </w:r>
    </w:p>
    <w:p w:rsidR="00E950FB" w:rsidRDefault="00E950FB" w:rsidP="00E950FB"/>
    <w:p w:rsidR="00E950FB" w:rsidRDefault="00E950FB" w:rsidP="00E950FB">
      <w:pPr>
        <w:rPr>
          <w:bCs/>
          <w:szCs w:val="22"/>
        </w:rPr>
      </w:pPr>
      <w:r>
        <w:t>Az elsődleges hatásossági végpont a major ischaemiás események (az IS, a MI, vagy a halál, melynek hátterében vascularis ischaemiás esemény állt) előfordulása volt a 90. napon. Ez a klopidogrél-ASA csoportban 121 betegnél (5,0%) fordult elő, míg az ASA-csoportban 160 betegnél (6,5%), (relatív hazárd [RH]: 0,75; 95%-os konfidencia intervallum [CI]: 0,59</w:t>
      </w:r>
      <w:r>
        <w:softHyphen/>
        <w:t xml:space="preserve">0.95; P=0,02). Az IS, ami másodlagos végpont volt, a klopidogrél-ASA csoportban 112 betegnél (4,6%) jelentkezett, míg az ASA-csoportban 155 betegnél (6,3%), </w:t>
      </w:r>
      <w:r>
        <w:rPr>
          <w:bCs/>
          <w:szCs w:val="22"/>
        </w:rPr>
        <w:t xml:space="preserve">(RH: 0,72; 95%-os CI: 0,56-0,92; P=0,01). Major vérzés, ami elsődleges biztonságossági végpont volt, a </w:t>
      </w:r>
      <w:r>
        <w:t>klopidogrél-ASA csoportban 2432 betegből 23-nál (0,9%), míg az ASA-csoportban 2449 betegből 10-nél (0,4%) jelentkezett</w:t>
      </w:r>
      <w:r>
        <w:rPr>
          <w:bCs/>
          <w:szCs w:val="22"/>
        </w:rPr>
        <w:t xml:space="preserve"> (RH: 2,32; 95%-os CI: 1,10-4,87; P=0,02). Minor vérzéses esemény a klopidogrél-ASA csoportban 40 betegnél (1,6%), míg az ASA-csoportban 13 betegnél (0,5%) jelentkezett (RH: 3,12; 95%-os CI: 1,67-5,83; P=0,001).</w:t>
      </w:r>
    </w:p>
    <w:p w:rsidR="00E950FB" w:rsidRDefault="00E950FB" w:rsidP="00E950FB">
      <w:pPr>
        <w:rPr>
          <w:bCs/>
          <w:szCs w:val="22"/>
        </w:rPr>
      </w:pPr>
    </w:p>
    <w:p w:rsidR="00E950FB" w:rsidRDefault="00E950FB" w:rsidP="00E950FB">
      <w:pPr>
        <w:rPr>
          <w:bCs/>
          <w:szCs w:val="22"/>
        </w:rPr>
      </w:pPr>
      <w:r>
        <w:rPr>
          <w:bCs/>
          <w:szCs w:val="22"/>
        </w:rPr>
        <w:t>A CHANCE és a POINT vizsgálat időközi elemzése</w:t>
      </w:r>
    </w:p>
    <w:p w:rsidR="00E950FB" w:rsidRDefault="00E950FB" w:rsidP="00E950FB">
      <w:pPr>
        <w:rPr>
          <w:bCs/>
          <w:szCs w:val="22"/>
        </w:rPr>
      </w:pPr>
      <w:r>
        <w:rPr>
          <w:bCs/>
          <w:szCs w:val="22"/>
        </w:rPr>
        <w:t>A kettős thrombocytaaggregáció-gátló-kezelés 21 napnál hosszabb ideig történő alkalmazása nem járt további előnyökkel a hatásosságra nézve. Az alkalmazott kezeléseknél előforduló major ischaemiás események és major vérzések előfordulásának időbeni megoszlását a rövidtávú kettős thrombocytaaggregáció-gátló-kezelés hatása miatt elemezték</w:t>
      </w:r>
    </w:p>
    <w:p w:rsidR="00E950FB" w:rsidRDefault="00E950FB" w:rsidP="00E950FB">
      <w:pPr>
        <w:rPr>
          <w:bCs/>
          <w:szCs w:val="22"/>
        </w:rPr>
      </w:pPr>
    </w:p>
    <w:p w:rsidR="00E950FB" w:rsidRPr="00DE56D7" w:rsidRDefault="00E950FB" w:rsidP="00DE56D7">
      <w:pPr>
        <w:jc w:val="center"/>
        <w:rPr>
          <w:b/>
          <w:szCs w:val="22"/>
        </w:rPr>
      </w:pPr>
      <w:r w:rsidRPr="00DE56D7">
        <w:rPr>
          <w:b/>
          <w:szCs w:val="22"/>
        </w:rPr>
        <w:t>1. táblázat – A major ischaemiás események és a major vérzések időbeni megoszlása az egyes kezelési csoportokban a CHANCE és a POINT vizsgálatban</w:t>
      </w:r>
    </w:p>
    <w:p w:rsidR="00E950FB" w:rsidRDefault="00E950FB" w:rsidP="00E950FB"/>
    <w:tbl>
      <w:tblPr>
        <w:tblW w:w="6913" w:type="dxa"/>
        <w:jc w:val="center"/>
        <w:tblCellMar>
          <w:left w:w="115" w:type="dxa"/>
          <w:right w:w="115" w:type="dxa"/>
        </w:tblCellMar>
        <w:tblLook w:val="04A0" w:firstRow="1" w:lastRow="0" w:firstColumn="1" w:lastColumn="0" w:noHBand="0" w:noVBand="1"/>
      </w:tblPr>
      <w:tblGrid>
        <w:gridCol w:w="1179"/>
        <w:gridCol w:w="1990"/>
        <w:gridCol w:w="1102"/>
        <w:gridCol w:w="940"/>
        <w:gridCol w:w="940"/>
        <w:gridCol w:w="762"/>
      </w:tblGrid>
      <w:tr w:rsidR="00E950FB" w:rsidRPr="00D840EC" w:rsidTr="0081020C">
        <w:trPr>
          <w:trHeight w:val="422"/>
          <w:jc w:val="center"/>
        </w:trPr>
        <w:tc>
          <w:tcPr>
            <w:tcW w:w="1179" w:type="dxa"/>
            <w:tcBorders>
              <w:top w:val="single" w:sz="4" w:space="0" w:color="auto"/>
              <w:left w:val="nil"/>
              <w:bottom w:val="single" w:sz="4" w:space="0" w:color="auto"/>
              <w:right w:val="nil"/>
            </w:tcBorders>
          </w:tcPr>
          <w:p w:rsidR="00E950FB" w:rsidRPr="00D840EC" w:rsidRDefault="00E950FB" w:rsidP="0081020C">
            <w:pPr>
              <w:ind w:right="-29"/>
              <w:rPr>
                <w:bCs/>
                <w:szCs w:val="22"/>
              </w:rPr>
            </w:pPr>
            <w:bookmarkStart w:id="7" w:name="_Hlk25225287"/>
          </w:p>
        </w:tc>
        <w:tc>
          <w:tcPr>
            <w:tcW w:w="1990" w:type="dxa"/>
            <w:tcBorders>
              <w:top w:val="single" w:sz="4" w:space="0" w:color="auto"/>
              <w:left w:val="nil"/>
              <w:bottom w:val="single" w:sz="4" w:space="0" w:color="auto"/>
              <w:right w:val="nil"/>
            </w:tcBorders>
            <w:noWrap/>
            <w:vAlign w:val="center"/>
            <w:hideMark/>
          </w:tcPr>
          <w:p w:rsidR="00E950FB" w:rsidRPr="00D840EC" w:rsidRDefault="00E950FB" w:rsidP="0081020C">
            <w:pPr>
              <w:rPr>
                <w:bCs/>
                <w:szCs w:val="22"/>
              </w:rPr>
            </w:pPr>
          </w:p>
        </w:tc>
        <w:tc>
          <w:tcPr>
            <w:tcW w:w="1102" w:type="dxa"/>
            <w:tcBorders>
              <w:top w:val="single" w:sz="4" w:space="0" w:color="auto"/>
              <w:left w:val="nil"/>
              <w:bottom w:val="single" w:sz="4" w:space="0" w:color="auto"/>
              <w:right w:val="nil"/>
            </w:tcBorders>
            <w:noWrap/>
            <w:vAlign w:val="center"/>
            <w:hideMark/>
          </w:tcPr>
          <w:p w:rsidR="00E950FB" w:rsidRPr="00D840EC" w:rsidRDefault="00E950FB" w:rsidP="0081020C">
            <w:pPr>
              <w:ind w:right="-143"/>
              <w:rPr>
                <w:bCs/>
                <w:szCs w:val="22"/>
                <w:lang w:val="en-US"/>
              </w:rPr>
            </w:pPr>
            <w:r w:rsidRPr="00D840EC">
              <w:rPr>
                <w:bCs/>
                <w:szCs w:val="22"/>
              </w:rPr>
              <w:t>Események száma</w:t>
            </w:r>
          </w:p>
        </w:tc>
        <w:tc>
          <w:tcPr>
            <w:tcW w:w="940" w:type="dxa"/>
            <w:tcBorders>
              <w:top w:val="single" w:sz="4" w:space="0" w:color="auto"/>
              <w:left w:val="nil"/>
              <w:bottom w:val="single" w:sz="4" w:space="0" w:color="auto"/>
              <w:right w:val="nil"/>
            </w:tcBorders>
            <w:noWrap/>
            <w:vAlign w:val="center"/>
            <w:hideMark/>
          </w:tcPr>
          <w:p w:rsidR="00E950FB" w:rsidRPr="00D840EC" w:rsidRDefault="00E950FB" w:rsidP="0081020C">
            <w:pPr>
              <w:rPr>
                <w:bCs/>
                <w:szCs w:val="22"/>
              </w:rPr>
            </w:pPr>
          </w:p>
        </w:tc>
        <w:tc>
          <w:tcPr>
            <w:tcW w:w="940" w:type="dxa"/>
            <w:tcBorders>
              <w:top w:val="single" w:sz="4" w:space="0" w:color="auto"/>
              <w:left w:val="nil"/>
              <w:bottom w:val="single" w:sz="4" w:space="0" w:color="auto"/>
              <w:right w:val="nil"/>
            </w:tcBorders>
            <w:noWrap/>
            <w:vAlign w:val="center"/>
            <w:hideMark/>
          </w:tcPr>
          <w:p w:rsidR="00E950FB" w:rsidRPr="00D840EC" w:rsidRDefault="00E950FB" w:rsidP="0081020C">
            <w:pPr>
              <w:rPr>
                <w:szCs w:val="22"/>
                <w:lang w:eastAsia="hu-HU"/>
              </w:rPr>
            </w:pPr>
          </w:p>
        </w:tc>
        <w:tc>
          <w:tcPr>
            <w:tcW w:w="762" w:type="dxa"/>
            <w:tcBorders>
              <w:top w:val="single" w:sz="4" w:space="0" w:color="auto"/>
              <w:left w:val="nil"/>
              <w:bottom w:val="single" w:sz="4" w:space="0" w:color="auto"/>
              <w:right w:val="nil"/>
            </w:tcBorders>
            <w:noWrap/>
            <w:vAlign w:val="center"/>
            <w:hideMark/>
          </w:tcPr>
          <w:p w:rsidR="00E950FB" w:rsidRPr="00D840EC" w:rsidRDefault="00E950FB" w:rsidP="0081020C">
            <w:pPr>
              <w:rPr>
                <w:szCs w:val="22"/>
                <w:lang w:eastAsia="hu-HU"/>
              </w:rPr>
            </w:pPr>
          </w:p>
        </w:tc>
      </w:tr>
      <w:tr w:rsidR="00E950FB" w:rsidRPr="00D840EC" w:rsidTr="0081020C">
        <w:trPr>
          <w:trHeight w:val="236"/>
          <w:jc w:val="center"/>
        </w:trPr>
        <w:tc>
          <w:tcPr>
            <w:tcW w:w="1179" w:type="dxa"/>
            <w:tcBorders>
              <w:top w:val="single" w:sz="4" w:space="0" w:color="auto"/>
              <w:left w:val="nil"/>
              <w:bottom w:val="single" w:sz="4" w:space="0" w:color="auto"/>
              <w:right w:val="nil"/>
            </w:tcBorders>
            <w:hideMark/>
          </w:tcPr>
          <w:p w:rsidR="00E950FB" w:rsidRPr="00D840EC" w:rsidRDefault="00E950FB" w:rsidP="0081020C">
            <w:pPr>
              <w:ind w:right="-29"/>
              <w:rPr>
                <w:bCs/>
                <w:szCs w:val="22"/>
                <w:lang w:val="en-US"/>
              </w:rPr>
            </w:pPr>
            <w:r w:rsidRPr="00D840EC">
              <w:rPr>
                <w:bCs/>
                <w:szCs w:val="22"/>
              </w:rPr>
              <w:t>A CHANCE és a POINT vizsgálat végpontjai</w:t>
            </w:r>
          </w:p>
        </w:tc>
        <w:tc>
          <w:tcPr>
            <w:tcW w:w="1990" w:type="dxa"/>
            <w:tcBorders>
              <w:top w:val="single" w:sz="4" w:space="0" w:color="auto"/>
              <w:left w:val="nil"/>
              <w:bottom w:val="single" w:sz="4" w:space="0" w:color="auto"/>
              <w:right w:val="nil"/>
            </w:tcBorders>
            <w:noWrap/>
            <w:vAlign w:val="center"/>
            <w:hideMark/>
          </w:tcPr>
          <w:p w:rsidR="00E950FB" w:rsidRPr="00D840EC" w:rsidRDefault="00E950FB" w:rsidP="0081020C">
            <w:pPr>
              <w:ind w:right="-29"/>
              <w:rPr>
                <w:bCs/>
                <w:szCs w:val="22"/>
              </w:rPr>
            </w:pPr>
            <w:r w:rsidRPr="00D840EC">
              <w:rPr>
                <w:bCs/>
                <w:szCs w:val="22"/>
              </w:rPr>
              <w:t>Kezelési csoport</w:t>
            </w:r>
          </w:p>
        </w:tc>
        <w:tc>
          <w:tcPr>
            <w:tcW w:w="1102" w:type="dxa"/>
            <w:tcBorders>
              <w:top w:val="single" w:sz="4" w:space="0" w:color="auto"/>
              <w:left w:val="nil"/>
              <w:bottom w:val="single" w:sz="4" w:space="0" w:color="auto"/>
              <w:right w:val="nil"/>
            </w:tcBorders>
            <w:noWrap/>
            <w:vAlign w:val="center"/>
            <w:hideMark/>
          </w:tcPr>
          <w:p w:rsidR="00E950FB" w:rsidRPr="00D840EC" w:rsidRDefault="00E950FB" w:rsidP="0081020C">
            <w:pPr>
              <w:ind w:right="-29"/>
              <w:rPr>
                <w:bCs/>
                <w:szCs w:val="22"/>
              </w:rPr>
            </w:pPr>
            <w:r w:rsidRPr="00D840EC">
              <w:rPr>
                <w:bCs/>
                <w:szCs w:val="22"/>
              </w:rPr>
              <w:t>Összesen</w:t>
            </w:r>
          </w:p>
        </w:tc>
        <w:tc>
          <w:tcPr>
            <w:tcW w:w="940" w:type="dxa"/>
            <w:tcBorders>
              <w:top w:val="single" w:sz="4" w:space="0" w:color="auto"/>
              <w:left w:val="nil"/>
              <w:bottom w:val="single" w:sz="4" w:space="0" w:color="auto"/>
              <w:right w:val="nil"/>
            </w:tcBorders>
            <w:noWrap/>
            <w:vAlign w:val="center"/>
            <w:hideMark/>
          </w:tcPr>
          <w:p w:rsidR="00E950FB" w:rsidRPr="00D840EC" w:rsidRDefault="00E950FB" w:rsidP="0081020C">
            <w:pPr>
              <w:ind w:right="-29"/>
              <w:rPr>
                <w:bCs/>
                <w:szCs w:val="22"/>
              </w:rPr>
            </w:pPr>
            <w:r w:rsidRPr="00D840EC">
              <w:rPr>
                <w:bCs/>
                <w:szCs w:val="22"/>
              </w:rPr>
              <w:t>1. hét</w:t>
            </w:r>
          </w:p>
        </w:tc>
        <w:tc>
          <w:tcPr>
            <w:tcW w:w="940" w:type="dxa"/>
            <w:tcBorders>
              <w:top w:val="single" w:sz="4" w:space="0" w:color="auto"/>
              <w:left w:val="nil"/>
              <w:bottom w:val="single" w:sz="4" w:space="0" w:color="auto"/>
              <w:right w:val="nil"/>
            </w:tcBorders>
            <w:noWrap/>
            <w:vAlign w:val="center"/>
            <w:hideMark/>
          </w:tcPr>
          <w:p w:rsidR="00E950FB" w:rsidRPr="00D840EC" w:rsidRDefault="00E950FB" w:rsidP="0081020C">
            <w:pPr>
              <w:ind w:right="-29"/>
              <w:rPr>
                <w:bCs/>
                <w:szCs w:val="22"/>
              </w:rPr>
            </w:pPr>
            <w:r w:rsidRPr="00D840EC">
              <w:rPr>
                <w:bCs/>
                <w:szCs w:val="22"/>
              </w:rPr>
              <w:t>2. hét</w:t>
            </w:r>
          </w:p>
        </w:tc>
        <w:tc>
          <w:tcPr>
            <w:tcW w:w="762" w:type="dxa"/>
            <w:tcBorders>
              <w:top w:val="single" w:sz="4" w:space="0" w:color="auto"/>
              <w:left w:val="nil"/>
              <w:bottom w:val="single" w:sz="4" w:space="0" w:color="auto"/>
              <w:right w:val="nil"/>
            </w:tcBorders>
            <w:noWrap/>
            <w:vAlign w:val="center"/>
            <w:hideMark/>
          </w:tcPr>
          <w:p w:rsidR="00E950FB" w:rsidRPr="00D840EC" w:rsidRDefault="00E950FB" w:rsidP="0081020C">
            <w:pPr>
              <w:ind w:right="-29"/>
              <w:rPr>
                <w:bCs/>
                <w:szCs w:val="22"/>
              </w:rPr>
            </w:pPr>
            <w:r w:rsidRPr="00D840EC">
              <w:rPr>
                <w:bCs/>
                <w:szCs w:val="22"/>
              </w:rPr>
              <w:t>3. hét</w:t>
            </w:r>
          </w:p>
        </w:tc>
      </w:tr>
      <w:tr w:rsidR="00E950FB" w:rsidRPr="00D840EC" w:rsidTr="0081020C">
        <w:trPr>
          <w:trHeight w:val="236"/>
          <w:jc w:val="center"/>
        </w:trPr>
        <w:tc>
          <w:tcPr>
            <w:tcW w:w="1179" w:type="dxa"/>
            <w:tcBorders>
              <w:top w:val="single" w:sz="4" w:space="0" w:color="auto"/>
              <w:left w:val="nil"/>
              <w:bottom w:val="nil"/>
              <w:right w:val="nil"/>
            </w:tcBorders>
            <w:hideMark/>
          </w:tcPr>
          <w:p w:rsidR="00E950FB" w:rsidRPr="00D840EC" w:rsidRDefault="00E950FB" w:rsidP="0081020C">
            <w:pPr>
              <w:ind w:right="-29"/>
              <w:rPr>
                <w:bCs/>
                <w:szCs w:val="22"/>
              </w:rPr>
            </w:pPr>
            <w:r w:rsidRPr="00D840EC">
              <w:rPr>
                <w:bCs/>
                <w:szCs w:val="22"/>
              </w:rPr>
              <w:t>Major ischaemiás események</w:t>
            </w:r>
          </w:p>
        </w:tc>
        <w:tc>
          <w:tcPr>
            <w:tcW w:w="1990" w:type="dxa"/>
            <w:tcBorders>
              <w:top w:val="single" w:sz="4" w:space="0" w:color="auto"/>
              <w:left w:val="nil"/>
              <w:bottom w:val="nil"/>
              <w:right w:val="nil"/>
            </w:tcBorders>
            <w:noWrap/>
            <w:hideMark/>
          </w:tcPr>
          <w:p w:rsidR="00E950FB" w:rsidRPr="00D840EC" w:rsidRDefault="00E950FB" w:rsidP="0081020C">
            <w:pPr>
              <w:ind w:right="-29"/>
              <w:rPr>
                <w:bCs/>
                <w:szCs w:val="22"/>
              </w:rPr>
            </w:pPr>
            <w:r w:rsidRPr="00D840EC">
              <w:rPr>
                <w:bCs/>
                <w:szCs w:val="22"/>
              </w:rPr>
              <w:t>ASA (n=5035)</w:t>
            </w:r>
          </w:p>
        </w:tc>
        <w:tc>
          <w:tcPr>
            <w:tcW w:w="1102" w:type="dxa"/>
            <w:tcBorders>
              <w:top w:val="single" w:sz="4" w:space="0" w:color="auto"/>
              <w:left w:val="nil"/>
              <w:bottom w:val="nil"/>
              <w:right w:val="nil"/>
            </w:tcBorders>
            <w:noWrap/>
            <w:hideMark/>
          </w:tcPr>
          <w:p w:rsidR="00E950FB" w:rsidRPr="00D840EC" w:rsidRDefault="00E950FB" w:rsidP="0081020C">
            <w:pPr>
              <w:ind w:right="-29"/>
              <w:rPr>
                <w:bCs/>
                <w:szCs w:val="22"/>
              </w:rPr>
            </w:pPr>
            <w:r w:rsidRPr="00D840EC">
              <w:rPr>
                <w:bCs/>
                <w:szCs w:val="22"/>
              </w:rPr>
              <w:t>458</w:t>
            </w:r>
          </w:p>
        </w:tc>
        <w:tc>
          <w:tcPr>
            <w:tcW w:w="940" w:type="dxa"/>
            <w:tcBorders>
              <w:top w:val="single" w:sz="4" w:space="0" w:color="auto"/>
              <w:left w:val="nil"/>
              <w:bottom w:val="nil"/>
              <w:right w:val="nil"/>
            </w:tcBorders>
            <w:noWrap/>
            <w:hideMark/>
          </w:tcPr>
          <w:p w:rsidR="00E950FB" w:rsidRPr="00D840EC" w:rsidRDefault="00E950FB" w:rsidP="0081020C">
            <w:pPr>
              <w:ind w:right="-29"/>
              <w:rPr>
                <w:bCs/>
                <w:szCs w:val="22"/>
              </w:rPr>
            </w:pPr>
            <w:r w:rsidRPr="00D840EC">
              <w:rPr>
                <w:bCs/>
                <w:szCs w:val="22"/>
              </w:rPr>
              <w:t>330</w:t>
            </w:r>
          </w:p>
        </w:tc>
        <w:tc>
          <w:tcPr>
            <w:tcW w:w="940" w:type="dxa"/>
            <w:tcBorders>
              <w:top w:val="single" w:sz="4" w:space="0" w:color="auto"/>
              <w:left w:val="nil"/>
              <w:bottom w:val="nil"/>
              <w:right w:val="nil"/>
            </w:tcBorders>
            <w:noWrap/>
            <w:hideMark/>
          </w:tcPr>
          <w:p w:rsidR="00E950FB" w:rsidRPr="00D840EC" w:rsidRDefault="00E950FB" w:rsidP="0081020C">
            <w:pPr>
              <w:ind w:right="-29"/>
              <w:rPr>
                <w:bCs/>
                <w:szCs w:val="22"/>
              </w:rPr>
            </w:pPr>
            <w:r w:rsidRPr="00D840EC">
              <w:rPr>
                <w:bCs/>
                <w:szCs w:val="22"/>
              </w:rPr>
              <w:t>36</w:t>
            </w:r>
          </w:p>
        </w:tc>
        <w:tc>
          <w:tcPr>
            <w:tcW w:w="762" w:type="dxa"/>
            <w:tcBorders>
              <w:top w:val="single" w:sz="4" w:space="0" w:color="auto"/>
              <w:left w:val="nil"/>
              <w:bottom w:val="nil"/>
              <w:right w:val="nil"/>
            </w:tcBorders>
            <w:noWrap/>
            <w:hideMark/>
          </w:tcPr>
          <w:p w:rsidR="00E950FB" w:rsidRPr="00D840EC" w:rsidRDefault="00E950FB" w:rsidP="0081020C">
            <w:pPr>
              <w:ind w:right="-29"/>
              <w:rPr>
                <w:bCs/>
                <w:szCs w:val="22"/>
              </w:rPr>
            </w:pPr>
            <w:r w:rsidRPr="00D840EC">
              <w:rPr>
                <w:bCs/>
                <w:szCs w:val="22"/>
              </w:rPr>
              <w:t>21</w:t>
            </w:r>
          </w:p>
        </w:tc>
      </w:tr>
      <w:tr w:rsidR="00E950FB" w:rsidRPr="00D840EC" w:rsidTr="0081020C">
        <w:trPr>
          <w:trHeight w:val="236"/>
          <w:jc w:val="center"/>
        </w:trPr>
        <w:tc>
          <w:tcPr>
            <w:tcW w:w="1179" w:type="dxa"/>
          </w:tcPr>
          <w:p w:rsidR="00E950FB" w:rsidRPr="00D840EC" w:rsidRDefault="00E950FB" w:rsidP="0081020C">
            <w:pPr>
              <w:ind w:right="-29"/>
              <w:rPr>
                <w:bCs/>
                <w:szCs w:val="22"/>
              </w:rPr>
            </w:pPr>
          </w:p>
        </w:tc>
        <w:tc>
          <w:tcPr>
            <w:tcW w:w="1990" w:type="dxa"/>
            <w:noWrap/>
            <w:hideMark/>
          </w:tcPr>
          <w:p w:rsidR="00E950FB" w:rsidRPr="00D840EC" w:rsidRDefault="00E950FB" w:rsidP="0081020C">
            <w:pPr>
              <w:ind w:right="-29"/>
              <w:rPr>
                <w:bCs/>
                <w:szCs w:val="22"/>
              </w:rPr>
            </w:pPr>
            <w:r w:rsidRPr="00D840EC">
              <w:rPr>
                <w:bCs/>
                <w:szCs w:val="22"/>
              </w:rPr>
              <w:t>CLP+ASA(n=5016)</w:t>
            </w:r>
          </w:p>
        </w:tc>
        <w:tc>
          <w:tcPr>
            <w:tcW w:w="1102" w:type="dxa"/>
            <w:noWrap/>
            <w:hideMark/>
          </w:tcPr>
          <w:p w:rsidR="00E950FB" w:rsidRPr="00D840EC" w:rsidRDefault="00E950FB" w:rsidP="0081020C">
            <w:pPr>
              <w:ind w:right="-29"/>
              <w:rPr>
                <w:bCs/>
                <w:szCs w:val="22"/>
              </w:rPr>
            </w:pPr>
            <w:r w:rsidRPr="00D840EC">
              <w:rPr>
                <w:bCs/>
                <w:szCs w:val="22"/>
              </w:rPr>
              <w:t>328</w:t>
            </w:r>
          </w:p>
        </w:tc>
        <w:tc>
          <w:tcPr>
            <w:tcW w:w="940" w:type="dxa"/>
            <w:noWrap/>
            <w:hideMark/>
          </w:tcPr>
          <w:p w:rsidR="00E950FB" w:rsidRPr="00D840EC" w:rsidRDefault="00E950FB" w:rsidP="0081020C">
            <w:pPr>
              <w:ind w:right="-29"/>
              <w:rPr>
                <w:bCs/>
                <w:szCs w:val="22"/>
              </w:rPr>
            </w:pPr>
            <w:r w:rsidRPr="00D840EC">
              <w:rPr>
                <w:bCs/>
                <w:szCs w:val="22"/>
              </w:rPr>
              <w:t>217</w:t>
            </w:r>
          </w:p>
        </w:tc>
        <w:tc>
          <w:tcPr>
            <w:tcW w:w="940" w:type="dxa"/>
            <w:noWrap/>
            <w:hideMark/>
          </w:tcPr>
          <w:p w:rsidR="00E950FB" w:rsidRPr="00D840EC" w:rsidRDefault="00E950FB" w:rsidP="0081020C">
            <w:pPr>
              <w:ind w:right="-29"/>
              <w:rPr>
                <w:bCs/>
                <w:szCs w:val="22"/>
              </w:rPr>
            </w:pPr>
            <w:r w:rsidRPr="00D840EC">
              <w:rPr>
                <w:bCs/>
                <w:szCs w:val="22"/>
              </w:rPr>
              <w:t>30</w:t>
            </w:r>
          </w:p>
        </w:tc>
        <w:tc>
          <w:tcPr>
            <w:tcW w:w="762" w:type="dxa"/>
            <w:noWrap/>
            <w:hideMark/>
          </w:tcPr>
          <w:p w:rsidR="00E950FB" w:rsidRPr="00D840EC" w:rsidRDefault="00E950FB" w:rsidP="0081020C">
            <w:pPr>
              <w:ind w:right="-29"/>
              <w:rPr>
                <w:bCs/>
                <w:szCs w:val="22"/>
              </w:rPr>
            </w:pPr>
            <w:r w:rsidRPr="00D840EC">
              <w:rPr>
                <w:bCs/>
                <w:szCs w:val="22"/>
              </w:rPr>
              <w:t>14</w:t>
            </w:r>
          </w:p>
        </w:tc>
      </w:tr>
      <w:tr w:rsidR="00E950FB" w:rsidRPr="00D840EC" w:rsidTr="0081020C">
        <w:trPr>
          <w:trHeight w:val="236"/>
          <w:jc w:val="center"/>
        </w:trPr>
        <w:tc>
          <w:tcPr>
            <w:tcW w:w="1179" w:type="dxa"/>
          </w:tcPr>
          <w:p w:rsidR="00E950FB" w:rsidRPr="00D840EC" w:rsidRDefault="00E950FB" w:rsidP="0081020C">
            <w:pPr>
              <w:ind w:right="-29"/>
              <w:rPr>
                <w:bCs/>
                <w:szCs w:val="22"/>
              </w:rPr>
            </w:pPr>
          </w:p>
        </w:tc>
        <w:tc>
          <w:tcPr>
            <w:tcW w:w="1990" w:type="dxa"/>
            <w:noWrap/>
            <w:hideMark/>
          </w:tcPr>
          <w:p w:rsidR="00E950FB" w:rsidRPr="00D840EC" w:rsidRDefault="00E950FB" w:rsidP="0081020C">
            <w:pPr>
              <w:ind w:right="-29"/>
              <w:rPr>
                <w:bCs/>
                <w:szCs w:val="22"/>
              </w:rPr>
            </w:pPr>
            <w:r w:rsidRPr="00D840EC">
              <w:rPr>
                <w:bCs/>
                <w:szCs w:val="22"/>
              </w:rPr>
              <w:t>Különbség</w:t>
            </w:r>
          </w:p>
        </w:tc>
        <w:tc>
          <w:tcPr>
            <w:tcW w:w="1102" w:type="dxa"/>
            <w:noWrap/>
            <w:vAlign w:val="center"/>
            <w:hideMark/>
          </w:tcPr>
          <w:p w:rsidR="00E950FB" w:rsidRPr="00D840EC" w:rsidRDefault="00E950FB" w:rsidP="0081020C">
            <w:pPr>
              <w:ind w:right="-29"/>
              <w:rPr>
                <w:bCs/>
                <w:szCs w:val="22"/>
              </w:rPr>
            </w:pPr>
            <w:r w:rsidRPr="00D840EC">
              <w:rPr>
                <w:bCs/>
                <w:szCs w:val="22"/>
              </w:rPr>
              <w:t>130</w:t>
            </w:r>
          </w:p>
        </w:tc>
        <w:tc>
          <w:tcPr>
            <w:tcW w:w="940" w:type="dxa"/>
            <w:noWrap/>
            <w:vAlign w:val="center"/>
            <w:hideMark/>
          </w:tcPr>
          <w:p w:rsidR="00E950FB" w:rsidRPr="00D840EC" w:rsidRDefault="00E950FB" w:rsidP="0081020C">
            <w:pPr>
              <w:ind w:right="-29"/>
              <w:rPr>
                <w:bCs/>
                <w:szCs w:val="22"/>
              </w:rPr>
            </w:pPr>
            <w:r w:rsidRPr="00D840EC">
              <w:rPr>
                <w:bCs/>
                <w:szCs w:val="22"/>
              </w:rPr>
              <w:t>113</w:t>
            </w:r>
          </w:p>
        </w:tc>
        <w:tc>
          <w:tcPr>
            <w:tcW w:w="940" w:type="dxa"/>
            <w:noWrap/>
            <w:vAlign w:val="center"/>
            <w:hideMark/>
          </w:tcPr>
          <w:p w:rsidR="00E950FB" w:rsidRPr="00D840EC" w:rsidRDefault="00E950FB" w:rsidP="0081020C">
            <w:pPr>
              <w:ind w:right="-29"/>
              <w:rPr>
                <w:bCs/>
                <w:szCs w:val="22"/>
              </w:rPr>
            </w:pPr>
            <w:r w:rsidRPr="00D840EC">
              <w:rPr>
                <w:bCs/>
                <w:szCs w:val="22"/>
              </w:rPr>
              <w:t xml:space="preserve"> 6</w:t>
            </w:r>
          </w:p>
        </w:tc>
        <w:tc>
          <w:tcPr>
            <w:tcW w:w="762" w:type="dxa"/>
            <w:noWrap/>
            <w:vAlign w:val="center"/>
            <w:hideMark/>
          </w:tcPr>
          <w:p w:rsidR="00E950FB" w:rsidRPr="00D840EC" w:rsidRDefault="00E950FB" w:rsidP="0081020C">
            <w:pPr>
              <w:ind w:right="-29"/>
              <w:rPr>
                <w:bCs/>
                <w:szCs w:val="22"/>
              </w:rPr>
            </w:pPr>
            <w:r w:rsidRPr="00D840EC">
              <w:rPr>
                <w:bCs/>
                <w:szCs w:val="22"/>
              </w:rPr>
              <w:t xml:space="preserve"> 7</w:t>
            </w:r>
          </w:p>
        </w:tc>
      </w:tr>
      <w:tr w:rsidR="00E950FB" w:rsidRPr="00D840EC" w:rsidTr="0081020C">
        <w:trPr>
          <w:trHeight w:val="236"/>
          <w:jc w:val="center"/>
        </w:trPr>
        <w:tc>
          <w:tcPr>
            <w:tcW w:w="1179" w:type="dxa"/>
            <w:hideMark/>
          </w:tcPr>
          <w:p w:rsidR="00E950FB" w:rsidRPr="00D840EC" w:rsidRDefault="00E950FB" w:rsidP="0081020C">
            <w:pPr>
              <w:ind w:right="-29"/>
              <w:rPr>
                <w:bCs/>
                <w:szCs w:val="22"/>
              </w:rPr>
            </w:pPr>
            <w:r w:rsidRPr="00D840EC">
              <w:rPr>
                <w:bCs/>
                <w:szCs w:val="22"/>
              </w:rPr>
              <w:t>major vérzés</w:t>
            </w:r>
          </w:p>
        </w:tc>
        <w:tc>
          <w:tcPr>
            <w:tcW w:w="1990" w:type="dxa"/>
            <w:noWrap/>
            <w:hideMark/>
          </w:tcPr>
          <w:p w:rsidR="00E950FB" w:rsidRPr="00D840EC" w:rsidRDefault="00E950FB" w:rsidP="0081020C">
            <w:pPr>
              <w:ind w:right="-29"/>
              <w:rPr>
                <w:bCs/>
                <w:szCs w:val="22"/>
              </w:rPr>
            </w:pPr>
            <w:r w:rsidRPr="00D840EC">
              <w:rPr>
                <w:bCs/>
                <w:szCs w:val="22"/>
              </w:rPr>
              <w:t>ASA (n=5035)</w:t>
            </w:r>
          </w:p>
        </w:tc>
        <w:tc>
          <w:tcPr>
            <w:tcW w:w="1102" w:type="dxa"/>
            <w:noWrap/>
            <w:hideMark/>
          </w:tcPr>
          <w:p w:rsidR="00E950FB" w:rsidRPr="00D840EC" w:rsidRDefault="00E950FB" w:rsidP="0081020C">
            <w:pPr>
              <w:ind w:right="-29"/>
              <w:rPr>
                <w:bCs/>
                <w:szCs w:val="22"/>
              </w:rPr>
            </w:pPr>
            <w:r w:rsidRPr="00D840EC">
              <w:rPr>
                <w:bCs/>
                <w:szCs w:val="22"/>
              </w:rPr>
              <w:t xml:space="preserve"> 18</w:t>
            </w:r>
          </w:p>
        </w:tc>
        <w:tc>
          <w:tcPr>
            <w:tcW w:w="940" w:type="dxa"/>
            <w:noWrap/>
            <w:hideMark/>
          </w:tcPr>
          <w:p w:rsidR="00E950FB" w:rsidRPr="00D840EC" w:rsidRDefault="00E950FB" w:rsidP="0081020C">
            <w:pPr>
              <w:ind w:right="-29"/>
              <w:rPr>
                <w:bCs/>
                <w:szCs w:val="22"/>
              </w:rPr>
            </w:pPr>
            <w:r w:rsidRPr="00D840EC">
              <w:rPr>
                <w:bCs/>
                <w:szCs w:val="22"/>
              </w:rPr>
              <w:t xml:space="preserve">  4</w:t>
            </w:r>
          </w:p>
        </w:tc>
        <w:tc>
          <w:tcPr>
            <w:tcW w:w="940" w:type="dxa"/>
            <w:noWrap/>
            <w:hideMark/>
          </w:tcPr>
          <w:p w:rsidR="00E950FB" w:rsidRPr="00D840EC" w:rsidRDefault="00E950FB" w:rsidP="0081020C">
            <w:pPr>
              <w:ind w:right="-29"/>
              <w:rPr>
                <w:bCs/>
                <w:szCs w:val="22"/>
              </w:rPr>
            </w:pPr>
            <w:r w:rsidRPr="00D840EC">
              <w:rPr>
                <w:bCs/>
                <w:szCs w:val="22"/>
              </w:rPr>
              <w:t xml:space="preserve"> 2</w:t>
            </w:r>
          </w:p>
        </w:tc>
        <w:tc>
          <w:tcPr>
            <w:tcW w:w="762" w:type="dxa"/>
            <w:noWrap/>
            <w:hideMark/>
          </w:tcPr>
          <w:p w:rsidR="00E950FB" w:rsidRPr="00D840EC" w:rsidRDefault="00E950FB" w:rsidP="0081020C">
            <w:pPr>
              <w:ind w:right="-29"/>
              <w:rPr>
                <w:bCs/>
                <w:szCs w:val="22"/>
              </w:rPr>
            </w:pPr>
            <w:r w:rsidRPr="00D840EC">
              <w:rPr>
                <w:bCs/>
                <w:szCs w:val="22"/>
              </w:rPr>
              <w:t xml:space="preserve"> 1</w:t>
            </w:r>
          </w:p>
        </w:tc>
      </w:tr>
      <w:tr w:rsidR="00E950FB" w:rsidRPr="00D840EC" w:rsidTr="0081020C">
        <w:trPr>
          <w:trHeight w:val="236"/>
          <w:jc w:val="center"/>
        </w:trPr>
        <w:tc>
          <w:tcPr>
            <w:tcW w:w="1179" w:type="dxa"/>
          </w:tcPr>
          <w:p w:rsidR="00E950FB" w:rsidRPr="00D840EC" w:rsidRDefault="00E950FB" w:rsidP="0081020C">
            <w:pPr>
              <w:ind w:right="-29"/>
              <w:rPr>
                <w:bCs/>
                <w:szCs w:val="22"/>
              </w:rPr>
            </w:pPr>
          </w:p>
        </w:tc>
        <w:tc>
          <w:tcPr>
            <w:tcW w:w="1990" w:type="dxa"/>
            <w:noWrap/>
            <w:hideMark/>
          </w:tcPr>
          <w:p w:rsidR="00E950FB" w:rsidRPr="00D840EC" w:rsidRDefault="00E950FB" w:rsidP="0081020C">
            <w:pPr>
              <w:ind w:right="-29"/>
              <w:rPr>
                <w:bCs/>
                <w:szCs w:val="22"/>
              </w:rPr>
            </w:pPr>
            <w:r w:rsidRPr="00D840EC">
              <w:rPr>
                <w:bCs/>
                <w:szCs w:val="22"/>
              </w:rPr>
              <w:t>CLP+ASA(n=5016)</w:t>
            </w:r>
          </w:p>
        </w:tc>
        <w:tc>
          <w:tcPr>
            <w:tcW w:w="1102" w:type="dxa"/>
            <w:noWrap/>
            <w:hideMark/>
          </w:tcPr>
          <w:p w:rsidR="00E950FB" w:rsidRPr="00D840EC" w:rsidRDefault="00E950FB" w:rsidP="0081020C">
            <w:pPr>
              <w:ind w:right="-29"/>
              <w:rPr>
                <w:bCs/>
                <w:szCs w:val="22"/>
              </w:rPr>
            </w:pPr>
            <w:r w:rsidRPr="00D840EC">
              <w:rPr>
                <w:bCs/>
                <w:szCs w:val="22"/>
              </w:rPr>
              <w:t xml:space="preserve"> 30</w:t>
            </w:r>
          </w:p>
        </w:tc>
        <w:tc>
          <w:tcPr>
            <w:tcW w:w="940" w:type="dxa"/>
            <w:noWrap/>
            <w:hideMark/>
          </w:tcPr>
          <w:p w:rsidR="00E950FB" w:rsidRPr="00D840EC" w:rsidRDefault="00E950FB" w:rsidP="0081020C">
            <w:pPr>
              <w:ind w:right="-29"/>
              <w:rPr>
                <w:bCs/>
                <w:szCs w:val="22"/>
              </w:rPr>
            </w:pPr>
            <w:r w:rsidRPr="00D840EC">
              <w:rPr>
                <w:bCs/>
                <w:szCs w:val="22"/>
              </w:rPr>
              <w:t xml:space="preserve"> 10</w:t>
            </w:r>
          </w:p>
        </w:tc>
        <w:tc>
          <w:tcPr>
            <w:tcW w:w="940" w:type="dxa"/>
            <w:noWrap/>
            <w:hideMark/>
          </w:tcPr>
          <w:p w:rsidR="00E950FB" w:rsidRPr="00D840EC" w:rsidRDefault="00E950FB" w:rsidP="0081020C">
            <w:pPr>
              <w:ind w:right="-29"/>
              <w:rPr>
                <w:bCs/>
                <w:szCs w:val="22"/>
              </w:rPr>
            </w:pPr>
            <w:r w:rsidRPr="00D840EC">
              <w:rPr>
                <w:bCs/>
                <w:szCs w:val="22"/>
              </w:rPr>
              <w:t xml:space="preserve"> 4</w:t>
            </w:r>
          </w:p>
        </w:tc>
        <w:tc>
          <w:tcPr>
            <w:tcW w:w="762" w:type="dxa"/>
            <w:noWrap/>
            <w:hideMark/>
          </w:tcPr>
          <w:p w:rsidR="00E950FB" w:rsidRPr="00D840EC" w:rsidRDefault="00E950FB" w:rsidP="0081020C">
            <w:pPr>
              <w:ind w:right="-29"/>
              <w:rPr>
                <w:bCs/>
                <w:szCs w:val="22"/>
              </w:rPr>
            </w:pPr>
            <w:r w:rsidRPr="00D840EC">
              <w:rPr>
                <w:bCs/>
                <w:szCs w:val="22"/>
              </w:rPr>
              <w:t xml:space="preserve"> 2</w:t>
            </w:r>
          </w:p>
        </w:tc>
      </w:tr>
      <w:tr w:rsidR="00E950FB" w:rsidRPr="00D840EC" w:rsidTr="0081020C">
        <w:trPr>
          <w:trHeight w:val="236"/>
          <w:jc w:val="center"/>
        </w:trPr>
        <w:tc>
          <w:tcPr>
            <w:tcW w:w="1179" w:type="dxa"/>
            <w:tcBorders>
              <w:top w:val="nil"/>
              <w:left w:val="nil"/>
              <w:bottom w:val="single" w:sz="4" w:space="0" w:color="auto"/>
              <w:right w:val="nil"/>
            </w:tcBorders>
          </w:tcPr>
          <w:p w:rsidR="00E950FB" w:rsidRPr="00D840EC" w:rsidRDefault="00E950FB" w:rsidP="0081020C">
            <w:pPr>
              <w:ind w:right="-29"/>
              <w:rPr>
                <w:bCs/>
                <w:szCs w:val="22"/>
              </w:rPr>
            </w:pPr>
          </w:p>
        </w:tc>
        <w:tc>
          <w:tcPr>
            <w:tcW w:w="1990" w:type="dxa"/>
            <w:tcBorders>
              <w:top w:val="nil"/>
              <w:left w:val="nil"/>
              <w:bottom w:val="single" w:sz="4" w:space="0" w:color="auto"/>
              <w:right w:val="nil"/>
            </w:tcBorders>
            <w:noWrap/>
            <w:hideMark/>
          </w:tcPr>
          <w:p w:rsidR="00E950FB" w:rsidRPr="00D840EC" w:rsidRDefault="00E950FB" w:rsidP="0081020C">
            <w:pPr>
              <w:ind w:right="-29"/>
              <w:rPr>
                <w:bCs/>
                <w:szCs w:val="22"/>
              </w:rPr>
            </w:pPr>
            <w:r w:rsidRPr="00D840EC">
              <w:rPr>
                <w:bCs/>
                <w:szCs w:val="22"/>
              </w:rPr>
              <w:t>Különbség</w:t>
            </w:r>
          </w:p>
        </w:tc>
        <w:tc>
          <w:tcPr>
            <w:tcW w:w="1102" w:type="dxa"/>
            <w:tcBorders>
              <w:top w:val="nil"/>
              <w:left w:val="nil"/>
              <w:bottom w:val="single" w:sz="4" w:space="0" w:color="auto"/>
              <w:right w:val="nil"/>
            </w:tcBorders>
            <w:noWrap/>
            <w:vAlign w:val="center"/>
            <w:hideMark/>
          </w:tcPr>
          <w:p w:rsidR="00E950FB" w:rsidRPr="00D840EC" w:rsidRDefault="00E950FB" w:rsidP="0081020C">
            <w:pPr>
              <w:ind w:right="-29"/>
              <w:rPr>
                <w:bCs/>
                <w:szCs w:val="22"/>
              </w:rPr>
            </w:pPr>
            <w:r w:rsidRPr="00D840EC">
              <w:rPr>
                <w:bCs/>
                <w:szCs w:val="22"/>
              </w:rPr>
              <w:t>-12</w:t>
            </w:r>
          </w:p>
        </w:tc>
        <w:tc>
          <w:tcPr>
            <w:tcW w:w="940" w:type="dxa"/>
            <w:tcBorders>
              <w:top w:val="nil"/>
              <w:left w:val="nil"/>
              <w:bottom w:val="single" w:sz="4" w:space="0" w:color="auto"/>
              <w:right w:val="nil"/>
            </w:tcBorders>
            <w:noWrap/>
            <w:vAlign w:val="center"/>
            <w:hideMark/>
          </w:tcPr>
          <w:p w:rsidR="00E950FB" w:rsidRPr="00D840EC" w:rsidRDefault="00E950FB" w:rsidP="0081020C">
            <w:pPr>
              <w:ind w:right="-29"/>
              <w:rPr>
                <w:bCs/>
                <w:szCs w:val="22"/>
              </w:rPr>
            </w:pPr>
            <w:r w:rsidRPr="00D840EC">
              <w:rPr>
                <w:bCs/>
                <w:szCs w:val="22"/>
              </w:rPr>
              <w:t>-6</w:t>
            </w:r>
          </w:p>
        </w:tc>
        <w:tc>
          <w:tcPr>
            <w:tcW w:w="940" w:type="dxa"/>
            <w:tcBorders>
              <w:top w:val="nil"/>
              <w:left w:val="nil"/>
              <w:bottom w:val="single" w:sz="4" w:space="0" w:color="auto"/>
              <w:right w:val="nil"/>
            </w:tcBorders>
            <w:noWrap/>
            <w:vAlign w:val="center"/>
            <w:hideMark/>
          </w:tcPr>
          <w:p w:rsidR="00E950FB" w:rsidRPr="00D840EC" w:rsidRDefault="00E950FB" w:rsidP="0081020C">
            <w:pPr>
              <w:ind w:right="-29"/>
              <w:rPr>
                <w:bCs/>
                <w:szCs w:val="22"/>
              </w:rPr>
            </w:pPr>
            <w:r w:rsidRPr="00D840EC">
              <w:rPr>
                <w:bCs/>
                <w:szCs w:val="22"/>
              </w:rPr>
              <w:t>-2</w:t>
            </w:r>
          </w:p>
        </w:tc>
        <w:tc>
          <w:tcPr>
            <w:tcW w:w="762" w:type="dxa"/>
            <w:tcBorders>
              <w:top w:val="nil"/>
              <w:left w:val="nil"/>
              <w:bottom w:val="single" w:sz="4" w:space="0" w:color="auto"/>
              <w:right w:val="nil"/>
            </w:tcBorders>
            <w:noWrap/>
            <w:vAlign w:val="center"/>
            <w:hideMark/>
          </w:tcPr>
          <w:p w:rsidR="00E950FB" w:rsidRPr="00D840EC" w:rsidRDefault="00E950FB" w:rsidP="0081020C">
            <w:pPr>
              <w:ind w:right="-29"/>
              <w:rPr>
                <w:bCs/>
                <w:szCs w:val="22"/>
              </w:rPr>
            </w:pPr>
            <w:r w:rsidRPr="00D840EC">
              <w:rPr>
                <w:bCs/>
                <w:szCs w:val="22"/>
              </w:rPr>
              <w:t>-1</w:t>
            </w:r>
          </w:p>
        </w:tc>
        <w:bookmarkEnd w:id="7"/>
      </w:tr>
    </w:tbl>
    <w:p w:rsidR="00E950FB" w:rsidRDefault="00E950FB" w:rsidP="00E950FB">
      <w:pPr>
        <w:rPr>
          <w:szCs w:val="22"/>
        </w:rPr>
      </w:pPr>
    </w:p>
    <w:p w:rsidR="00E950FB" w:rsidRPr="00137BF7" w:rsidRDefault="00E950FB" w:rsidP="00E950FB">
      <w:pPr>
        <w:keepNext/>
        <w:ind w:right="-29"/>
        <w:rPr>
          <w:i/>
        </w:rPr>
      </w:pPr>
      <w:r w:rsidRPr="00137BF7">
        <w:rPr>
          <w:i/>
        </w:rPr>
        <w:t>Pitvarfibrilláció</w:t>
      </w:r>
    </w:p>
    <w:p w:rsidR="00137BF7" w:rsidRPr="008D2CB3" w:rsidRDefault="00137BF7" w:rsidP="001E7729">
      <w:pPr>
        <w:ind w:right="-29"/>
      </w:pPr>
    </w:p>
    <w:p w:rsidR="00137BF7" w:rsidRPr="008D2CB3" w:rsidRDefault="00137BF7" w:rsidP="001E7729">
      <w:r w:rsidRPr="008D2CB3">
        <w:t>Az ACTIVE-W és az ACTIVE-A vizsgálatokban, amelyek az ACTIVE program</w:t>
      </w:r>
      <w:r w:rsidR="0029279C" w:rsidRPr="008D2CB3">
        <w:t>on belül különálló vizsgálatok</w:t>
      </w:r>
      <w:r w:rsidRPr="008D2CB3">
        <w:t>, olyan</w:t>
      </w:r>
      <w:r w:rsidR="0029279C" w:rsidRPr="008D2CB3">
        <w:t>,</w:t>
      </w:r>
      <w:r w:rsidRPr="008D2CB3">
        <w:t xml:space="preserve"> pitvarfibrillációban szenvedő betegeket vizsgáltak, akik </w:t>
      </w:r>
      <w:r w:rsidR="0029279C" w:rsidRPr="008D2CB3">
        <w:t xml:space="preserve">a vaszkuláris események kialakulásának </w:t>
      </w:r>
      <w:r w:rsidRPr="008D2CB3">
        <w:t>legalább egy kockázati tényező</w:t>
      </w:r>
      <w:r w:rsidR="0029279C" w:rsidRPr="008D2CB3">
        <w:t>jé</w:t>
      </w:r>
      <w:r w:rsidRPr="008D2CB3">
        <w:t>vel rendelkeztek. A be</w:t>
      </w:r>
      <w:r w:rsidR="0029279C" w:rsidRPr="008D2CB3">
        <w:t>válogatás</w:t>
      </w:r>
      <w:r w:rsidRPr="008D2CB3">
        <w:t xml:space="preserve">i kritériumok alapján az orvosok azokat a betegeket </w:t>
      </w:r>
      <w:r w:rsidR="0029279C" w:rsidRPr="008D2CB3">
        <w:t>válogatták</w:t>
      </w:r>
      <w:r w:rsidRPr="008D2CB3">
        <w:t xml:space="preserve"> be az ACTIVE-W vizsgálatba, akik alkalmasak voltak K</w:t>
      </w:r>
      <w:r w:rsidR="0029279C" w:rsidRPr="008D2CB3">
        <w:noBreakHyphen/>
      </w:r>
      <w:r w:rsidRPr="008D2CB3">
        <w:t xml:space="preserve">vitamin-antagonista terápiára (pl. warfarin). Az ACTIVE-A vizsgálatba azokat a betegeket </w:t>
      </w:r>
      <w:r w:rsidR="0029279C" w:rsidRPr="008D2CB3">
        <w:t>válogatták be</w:t>
      </w:r>
      <w:r w:rsidRPr="008D2CB3">
        <w:t>, akik nem részesülhettek K-vitamin-antagonista kezelésben, mert nem voltak alkalmasak</w:t>
      </w:r>
      <w:r w:rsidR="0029279C" w:rsidRPr="008D2CB3">
        <w:t xml:space="preserve"> arra</w:t>
      </w:r>
      <w:r w:rsidRPr="008D2CB3">
        <w:t>, vagy nem egyeztek bele a kezelésbe.</w:t>
      </w:r>
    </w:p>
    <w:p w:rsidR="00137BF7" w:rsidRPr="008D2CB3" w:rsidRDefault="00137BF7" w:rsidP="001E7729"/>
    <w:p w:rsidR="00137BF7" w:rsidRPr="008D2CB3" w:rsidRDefault="00137BF7" w:rsidP="001E7729">
      <w:r w:rsidRPr="008D2CB3">
        <w:t>Az ACTIVE-W vizsgálat bizonyította, hogy a K-vitamin-antagonista-kezelés hatékonyabb volt, mint a klopidogrél</w:t>
      </w:r>
      <w:r w:rsidR="0029279C" w:rsidRPr="008D2CB3">
        <w:t>-</w:t>
      </w:r>
      <w:r w:rsidRPr="008D2CB3">
        <w:t xml:space="preserve"> és ASA</w:t>
      </w:r>
      <w:r w:rsidR="0029279C" w:rsidRPr="008D2CB3">
        <w:noBreakHyphen/>
      </w:r>
      <w:r w:rsidRPr="008D2CB3">
        <w:t>kezelés.</w:t>
      </w:r>
    </w:p>
    <w:p w:rsidR="00137BF7" w:rsidRPr="008D2CB3" w:rsidRDefault="00137BF7" w:rsidP="001E7729"/>
    <w:p w:rsidR="00137BF7" w:rsidRPr="008D2CB3" w:rsidRDefault="00EF0C8F" w:rsidP="001E7729">
      <w:r w:rsidRPr="008D2CB3">
        <w:t>Az ACTIVE-A (N=7</w:t>
      </w:r>
      <w:r w:rsidR="00137BF7" w:rsidRPr="008D2CB3">
        <w:t>554) egy multicentrikus, randomizált, kettős</w:t>
      </w:r>
      <w:r w:rsidR="003A0149">
        <w:t xml:space="preserve"> </w:t>
      </w:r>
      <w:r w:rsidR="00137BF7" w:rsidRPr="008D2CB3">
        <w:t xml:space="preserve">vak, placebokontrollos vizsgálat volt, amelyben </w:t>
      </w:r>
      <w:r w:rsidRPr="008D2CB3">
        <w:t xml:space="preserve">napi </w:t>
      </w:r>
      <w:r w:rsidR="00137BF7" w:rsidRPr="008D2CB3">
        <w:t>75 mg klopidogrél + ASA (N=3772) hat</w:t>
      </w:r>
      <w:r w:rsidRPr="008D2CB3">
        <w:t>ásossá</w:t>
      </w:r>
      <w:r w:rsidR="00137BF7" w:rsidRPr="008D2CB3">
        <w:t xml:space="preserve">gát hasonlították össze </w:t>
      </w:r>
      <w:r w:rsidRPr="008D2CB3">
        <w:t xml:space="preserve">a </w:t>
      </w:r>
      <w:r w:rsidR="00137BF7" w:rsidRPr="008D2CB3">
        <w:t xml:space="preserve">placebo + </w:t>
      </w:r>
      <w:r w:rsidRPr="008D2CB3">
        <w:t>ASA (N=3</w:t>
      </w:r>
      <w:r w:rsidR="00137BF7" w:rsidRPr="008D2CB3">
        <w:t>782) hat</w:t>
      </w:r>
      <w:r w:rsidRPr="008D2CB3">
        <w:t>ásoss</w:t>
      </w:r>
      <w:r w:rsidR="00137BF7" w:rsidRPr="008D2CB3">
        <w:t xml:space="preserve">ágával. Az ASA javasolt napi adagja 75-100 mg volt. A betegeket </w:t>
      </w:r>
      <w:r w:rsidRPr="008D2CB3">
        <w:t xml:space="preserve">legfeljebb </w:t>
      </w:r>
      <w:r w:rsidR="00137BF7" w:rsidRPr="008D2CB3">
        <w:t>5</w:t>
      </w:r>
      <w:r w:rsidRPr="008D2CB3">
        <w:t> </w:t>
      </w:r>
      <w:r w:rsidR="00137BF7" w:rsidRPr="008D2CB3">
        <w:t>évig kezel</w:t>
      </w:r>
      <w:r w:rsidRPr="008D2CB3">
        <w:t>ték</w:t>
      </w:r>
      <w:r w:rsidR="00137BF7" w:rsidRPr="008D2CB3">
        <w:t>.</w:t>
      </w:r>
    </w:p>
    <w:p w:rsidR="00080FE0" w:rsidRPr="008D2CB3" w:rsidRDefault="00080FE0" w:rsidP="001E7729"/>
    <w:p w:rsidR="00137BF7" w:rsidRPr="008D2CB3" w:rsidRDefault="00137BF7" w:rsidP="001E7729">
      <w:r w:rsidRPr="008D2CB3">
        <w:t>Az ACTIVE</w:t>
      </w:r>
      <w:r w:rsidR="003A0149">
        <w:t xml:space="preserve"> </w:t>
      </w:r>
      <w:r w:rsidRPr="008D2CB3">
        <w:t xml:space="preserve">vizsgálatba dokumentált pitvarfibrillációban szenvedő betegeket </w:t>
      </w:r>
      <w:r w:rsidR="00EF0C8F" w:rsidRPr="008D2CB3">
        <w:t>randomizáltak</w:t>
      </w:r>
      <w:r w:rsidRPr="008D2CB3">
        <w:t>, akiknél vagy állandósult pitvarfibrilláció állt fenn, vagy akiknél az utóbbi 6 hónap során legalább két alkalommal jelentkezett átmeneti pitvarfibrilláció, illetve anamnézisükben a következők közül még legalább egy kockázati tényező szerepelt: 75 é</w:t>
      </w:r>
      <w:r w:rsidR="00EF0C8F" w:rsidRPr="008D2CB3">
        <w:t>ves vagy annál magasabb életkor, illetve</w:t>
      </w:r>
      <w:r w:rsidRPr="008D2CB3">
        <w:t xml:space="preserve"> 55 és 74 év</w:t>
      </w:r>
      <w:r w:rsidR="00EF0C8F" w:rsidRPr="008D2CB3">
        <w:t xml:space="preserve"> közti élet</w:t>
      </w:r>
      <w:r w:rsidRPr="008D2CB3">
        <w:t xml:space="preserve">kor </w:t>
      </w:r>
      <w:r w:rsidR="00EF0C8F" w:rsidRPr="008D2CB3">
        <w:t>és emellett vagy</w:t>
      </w:r>
      <w:r w:rsidRPr="008D2CB3">
        <w:t xml:space="preserve"> gyógyszeres kezelést igénylő cukorbetegség</w:t>
      </w:r>
      <w:r w:rsidR="00EF0C8F" w:rsidRPr="008D2CB3">
        <w:t>,</w:t>
      </w:r>
      <w:r w:rsidRPr="008D2CB3">
        <w:t xml:space="preserve"> vagy korábbi</w:t>
      </w:r>
      <w:r w:rsidR="00EF0C8F" w:rsidRPr="008D2CB3">
        <w:t>,</w:t>
      </w:r>
      <w:r w:rsidRPr="008D2CB3">
        <w:t xml:space="preserve"> dokumentált m</w:t>
      </w:r>
      <w:r w:rsidR="00EF0C8F" w:rsidRPr="008D2CB3">
        <w:t>y</w:t>
      </w:r>
      <w:r w:rsidRPr="008D2CB3">
        <w:t>o</w:t>
      </w:r>
      <w:r w:rsidR="00EF0C8F" w:rsidRPr="008D2CB3">
        <w:t>c</w:t>
      </w:r>
      <w:r w:rsidRPr="008D2CB3">
        <w:t>ardi</w:t>
      </w:r>
      <w:r w:rsidR="003A0149">
        <w:t>a</w:t>
      </w:r>
      <w:r w:rsidRPr="008D2CB3">
        <w:t>lis infar</w:t>
      </w:r>
      <w:r w:rsidR="00EF0C8F" w:rsidRPr="008D2CB3">
        <w:t>c</w:t>
      </w:r>
      <w:r w:rsidRPr="008D2CB3">
        <w:t xml:space="preserve">tus vagy </w:t>
      </w:r>
      <w:r w:rsidR="00EF0C8F" w:rsidRPr="008D2CB3">
        <w:t xml:space="preserve">dokumentált </w:t>
      </w:r>
      <w:r w:rsidRPr="008D2CB3">
        <w:t>koszorúér-betegség</w:t>
      </w:r>
      <w:r w:rsidR="00EF0C8F" w:rsidRPr="008D2CB3">
        <w:t>,</w:t>
      </w:r>
      <w:r w:rsidRPr="008D2CB3">
        <w:t xml:space="preserve"> kezelt </w:t>
      </w:r>
      <w:r w:rsidR="00EF0C8F" w:rsidRPr="008D2CB3">
        <w:t xml:space="preserve">szisztémás </w:t>
      </w:r>
      <w:r w:rsidRPr="008D2CB3">
        <w:t>magas vérnyomás</w:t>
      </w:r>
      <w:r w:rsidR="00EF0C8F" w:rsidRPr="008D2CB3">
        <w:t>,</w:t>
      </w:r>
      <w:r w:rsidRPr="008D2CB3">
        <w:t xml:space="preserve"> korábbi stroke, átmeneti agyi keringészavar (TIA) vagy nem közpon</w:t>
      </w:r>
      <w:r w:rsidR="00EF0C8F" w:rsidRPr="008D2CB3">
        <w:t>ti idegrendszeri szisztémás embo</w:t>
      </w:r>
      <w:r w:rsidRPr="008D2CB3">
        <w:t xml:space="preserve">lia; 45%-nál kisebb </w:t>
      </w:r>
      <w:r w:rsidR="00EF0C8F" w:rsidRPr="008D2CB3">
        <w:t xml:space="preserve">balkamrai </w:t>
      </w:r>
      <w:r w:rsidRPr="008D2CB3">
        <w:t>ejekciós frakcióval</w:t>
      </w:r>
      <w:r w:rsidR="00EF0C8F" w:rsidRPr="008D2CB3">
        <w:t xml:space="preserve"> járó balkamra diszfunkció,</w:t>
      </w:r>
      <w:r w:rsidRPr="008D2CB3">
        <w:t xml:space="preserve"> valamint dokumentált perifériás érbetegség. Az átlagos CHADS</w:t>
      </w:r>
      <w:r w:rsidR="0001173A" w:rsidRPr="008D2CB3">
        <w:rPr>
          <w:vertAlign w:val="subscript"/>
        </w:rPr>
        <w:t>2</w:t>
      </w:r>
      <w:r w:rsidRPr="008D2CB3">
        <w:t xml:space="preserve"> </w:t>
      </w:r>
      <w:r w:rsidR="00EF0C8F" w:rsidRPr="008D2CB3">
        <w:t>(a pitvarfibrilláló betegeknél a stroke kockázatát jelző) pontszám</w:t>
      </w:r>
      <w:r w:rsidRPr="008D2CB3">
        <w:t xml:space="preserve"> 2,0 volt (tartomány: 0-6).</w:t>
      </w:r>
    </w:p>
    <w:p w:rsidR="00137BF7" w:rsidRPr="008D2CB3" w:rsidRDefault="0017506A" w:rsidP="001E7729">
      <w:r w:rsidRPr="008D2CB3">
        <w:t>A betegek</w:t>
      </w:r>
      <w:r w:rsidR="0001173A" w:rsidRPr="008D2CB3">
        <w:t xml:space="preserve"> e</w:t>
      </w:r>
      <w:r w:rsidRPr="008D2CB3">
        <w:t>lsődleges kizárási kritérium</w:t>
      </w:r>
      <w:r w:rsidR="0001173A" w:rsidRPr="008D2CB3">
        <w:t>a,</w:t>
      </w:r>
      <w:r w:rsidRPr="008D2CB3">
        <w:t xml:space="preserve"> a</w:t>
      </w:r>
      <w:r w:rsidR="0001173A" w:rsidRPr="008D2CB3">
        <w:t>z utóbbi</w:t>
      </w:r>
      <w:r w:rsidRPr="008D2CB3">
        <w:t xml:space="preserve"> hat hónapban </w:t>
      </w:r>
      <w:r w:rsidR="00EF0C8F" w:rsidRPr="008D2CB3">
        <w:t>előforduló peptic</w:t>
      </w:r>
      <w:r w:rsidRPr="008D2CB3">
        <w:t>us fekélybetegség</w:t>
      </w:r>
      <w:r w:rsidR="00EF0C8F" w:rsidRPr="008D2CB3">
        <w:t>,</w:t>
      </w:r>
      <w:r w:rsidRPr="008D2CB3">
        <w:t xml:space="preserve"> korább</w:t>
      </w:r>
      <w:r w:rsidR="00EF0C8F" w:rsidRPr="008D2CB3">
        <w:t>i</w:t>
      </w:r>
      <w:r w:rsidRPr="008D2CB3">
        <w:t xml:space="preserve"> intracerebrális vérzés</w:t>
      </w:r>
      <w:r w:rsidR="00EF0C8F" w:rsidRPr="008D2CB3">
        <w:t>,</w:t>
      </w:r>
      <w:r w:rsidRPr="008D2CB3">
        <w:t xml:space="preserve"> </w:t>
      </w:r>
      <w:r w:rsidR="00EF0C8F" w:rsidRPr="008D2CB3">
        <w:t>jelentős</w:t>
      </w:r>
      <w:r w:rsidRPr="008D2CB3">
        <w:t xml:space="preserve"> thrombocytopenia (vérlemezkeszám &lt; 50 x 10</w:t>
      </w:r>
      <w:r w:rsidRPr="008D2CB3">
        <w:rPr>
          <w:vertAlign w:val="superscript"/>
        </w:rPr>
        <w:t>9</w:t>
      </w:r>
      <w:r w:rsidRPr="008D2CB3">
        <w:t>/l)</w:t>
      </w:r>
      <w:r w:rsidR="00EF0C8F" w:rsidRPr="008D2CB3">
        <w:t>,</w:t>
      </w:r>
      <w:r w:rsidRPr="008D2CB3">
        <w:t xml:space="preserve"> klopidogrél és orális antikoagulánsok alkalmazásának szükségessége</w:t>
      </w:r>
      <w:r w:rsidR="00EF0C8F" w:rsidRPr="008D2CB3">
        <w:t>,</w:t>
      </w:r>
      <w:r w:rsidRPr="008D2CB3">
        <w:t xml:space="preserve"> vagy </w:t>
      </w:r>
      <w:r w:rsidR="00EF0C8F" w:rsidRPr="008D2CB3">
        <w:t>a két</w:t>
      </w:r>
      <w:r w:rsidRPr="008D2CB3">
        <w:t xml:space="preserve"> összetevő </w:t>
      </w:r>
      <w:r w:rsidR="0017732D" w:rsidRPr="008D2CB3">
        <w:t>bármelyikével</w:t>
      </w:r>
      <w:r w:rsidRPr="008D2CB3">
        <w:t xml:space="preserve"> </w:t>
      </w:r>
      <w:r w:rsidR="0017732D" w:rsidRPr="008D2CB3">
        <w:t xml:space="preserve">szemben </w:t>
      </w:r>
      <w:r w:rsidRPr="008D2CB3">
        <w:t>fennálló intolerancia.</w:t>
      </w:r>
    </w:p>
    <w:p w:rsidR="0017506A" w:rsidRPr="008D2CB3" w:rsidRDefault="0017506A" w:rsidP="001E7729"/>
    <w:p w:rsidR="00137BF7" w:rsidRPr="008D2CB3" w:rsidRDefault="00137BF7" w:rsidP="001E7729">
      <w:r w:rsidRPr="008D2CB3">
        <w:t xml:space="preserve">Az ACTIVE-A vizsgálatba </w:t>
      </w:r>
      <w:r w:rsidR="0017732D" w:rsidRPr="008D2CB3">
        <w:t>bevont</w:t>
      </w:r>
      <w:r w:rsidRPr="008D2CB3">
        <w:t xml:space="preserve"> betegek </w:t>
      </w:r>
      <w:r w:rsidR="0017732D" w:rsidRPr="008D2CB3">
        <w:t>73%</w:t>
      </w:r>
      <w:r w:rsidR="0017732D" w:rsidRPr="008D2CB3">
        <w:noBreakHyphen/>
        <w:t>a</w:t>
      </w:r>
      <w:r w:rsidRPr="008D2CB3">
        <w:t xml:space="preserve"> orvosi megítélés alapján az INR (Nemzetközi Normalizált Ráta) ellenőrzéshez szükséges együttműködési képtelenség, az elesés, valamint a fejsérülés veszélye, illetve speciális vérzési kockázat miatt volt alkalmatlan a </w:t>
      </w:r>
      <w:r w:rsidR="0017732D" w:rsidRPr="008D2CB3">
        <w:t>K-vitamin-antagonista kezelésre,</w:t>
      </w:r>
      <w:r w:rsidRPr="008D2CB3">
        <w:t xml:space="preserve"> a betegek 26%-ánál a kezelőorvos döntésének alapja az volt, hogy a beteg nem egyezett bele K-vitamin-antagonista szedésébe. </w:t>
      </w:r>
    </w:p>
    <w:p w:rsidR="00137BF7" w:rsidRPr="008D2CB3" w:rsidRDefault="00137BF7" w:rsidP="001E7729">
      <w:pPr>
        <w:ind w:right="-29"/>
      </w:pPr>
    </w:p>
    <w:p w:rsidR="00137BF7" w:rsidRPr="008D2CB3" w:rsidRDefault="00137BF7" w:rsidP="001E7729">
      <w:r w:rsidRPr="008D2CB3">
        <w:t>A vizsgált betegpopuláció 41,8%-a nő volt. Az átlagéletkor 71 év volt, a páciensek 41,6%-a volt 75 éven felüli. A betegek összesen 23,0%-a részesült antiarr</w:t>
      </w:r>
      <w:r w:rsidR="0017732D" w:rsidRPr="008D2CB3">
        <w:t>hy</w:t>
      </w:r>
      <w:r w:rsidRPr="008D2CB3">
        <w:t>thmiás kezelésben, 52,1%-uk kapott béta-blokkolót, 54,6%-uk ACE-gátlót, 25,4 %-uk pedig sztatint.</w:t>
      </w:r>
    </w:p>
    <w:p w:rsidR="00137BF7" w:rsidRPr="008D2CB3" w:rsidRDefault="00137BF7" w:rsidP="001E7729"/>
    <w:p w:rsidR="00137BF7" w:rsidRPr="008D2CB3" w:rsidRDefault="00137BF7" w:rsidP="001E7729">
      <w:r w:rsidRPr="008D2CB3">
        <w:t>Azon betegek száma, akiknél bekövetkezett az elsődl</w:t>
      </w:r>
      <w:r w:rsidR="0017732D" w:rsidRPr="008D2CB3">
        <w:t>eges végpont (az első stroke, my</w:t>
      </w:r>
      <w:r w:rsidRPr="008D2CB3">
        <w:t>o</w:t>
      </w:r>
      <w:r w:rsidR="0017732D" w:rsidRPr="008D2CB3">
        <w:t>cardi</w:t>
      </w:r>
      <w:r w:rsidR="003A0149">
        <w:t>a</w:t>
      </w:r>
      <w:r w:rsidR="0017732D" w:rsidRPr="008D2CB3">
        <w:t>lis infarc</w:t>
      </w:r>
      <w:r w:rsidRPr="008D2CB3">
        <w:t>tus, nem központi idegrendszeri szisztémás emb</w:t>
      </w:r>
      <w:r w:rsidR="0017732D" w:rsidRPr="008D2CB3">
        <w:t>o</w:t>
      </w:r>
      <w:r w:rsidRPr="008D2CB3">
        <w:t xml:space="preserve">lia vagy éreredetű halálozás bekövetkeztéig eltelt idő) 832 (22,1%) volt a klopidogrél + ASA kombinációval kezelt csoportban és 924 (24,4%) a placebo + ASA csoportban (11,1%-os relatív </w:t>
      </w:r>
      <w:r w:rsidR="0017732D" w:rsidRPr="008D2CB3">
        <w:t>kockázat</w:t>
      </w:r>
      <w:r w:rsidRPr="008D2CB3">
        <w:t xml:space="preserve">csökkenés; 95%-os </w:t>
      </w:r>
      <w:r w:rsidR="0017732D" w:rsidRPr="008D2CB3">
        <w:t>CI</w:t>
      </w:r>
      <w:r w:rsidRPr="008D2CB3">
        <w:t>: 2,4%-19,1%; p</w:t>
      </w:r>
      <w:r w:rsidR="0017732D" w:rsidRPr="008D2CB3">
        <w:t> </w:t>
      </w:r>
      <w:r w:rsidRPr="008D2CB3">
        <w:t>=</w:t>
      </w:r>
      <w:r w:rsidR="0017732D" w:rsidRPr="008D2CB3">
        <w:t> </w:t>
      </w:r>
      <w:r w:rsidRPr="008D2CB3">
        <w:t>0,013</w:t>
      </w:r>
      <w:r w:rsidR="00080FE0" w:rsidRPr="008D2CB3">
        <w:t>)</w:t>
      </w:r>
      <w:r w:rsidR="0001173A" w:rsidRPr="008D2CB3">
        <w:t>. Ennek</w:t>
      </w:r>
      <w:r w:rsidR="00080FE0" w:rsidRPr="008D2CB3">
        <w:t xml:space="preserve"> hátterében elsősorban a stroke előfordulásának </w:t>
      </w:r>
      <w:r w:rsidR="0017732D" w:rsidRPr="008D2CB3">
        <w:t xml:space="preserve">nagymértékű </w:t>
      </w:r>
      <w:r w:rsidR="00080FE0" w:rsidRPr="008D2CB3">
        <w:t>csökkenése áll.</w:t>
      </w:r>
    </w:p>
    <w:p w:rsidR="00080FE0" w:rsidRPr="008D2CB3" w:rsidRDefault="00080FE0" w:rsidP="001E7729">
      <w:pPr>
        <w:ind w:right="-29"/>
      </w:pPr>
      <w:r w:rsidRPr="008D2CB3">
        <w:t xml:space="preserve">A klopidogrél + ASA kezelésben részesülő betegek között 296-nál (7,8%), a placebo + ASA kezelést kapó betegek között 408-nál (10,8%) következett be stroke (28,4%-os relatív </w:t>
      </w:r>
      <w:r w:rsidR="0017732D" w:rsidRPr="008D2CB3">
        <w:t>kockázat</w:t>
      </w:r>
      <w:r w:rsidRPr="008D2CB3">
        <w:t xml:space="preserve">csökkenés; 95%-os </w:t>
      </w:r>
      <w:r w:rsidR="00683721" w:rsidRPr="008D2CB3">
        <w:t>CI</w:t>
      </w:r>
      <w:r w:rsidRPr="008D2CB3">
        <w:t>: 16,8%-38,3%; p</w:t>
      </w:r>
      <w:r w:rsidR="00683721" w:rsidRPr="008D2CB3">
        <w:t> </w:t>
      </w:r>
      <w:r w:rsidRPr="008D2CB3">
        <w:t>=</w:t>
      </w:r>
      <w:r w:rsidR="00683721" w:rsidRPr="008D2CB3">
        <w:t> </w:t>
      </w:r>
      <w:r w:rsidRPr="008D2CB3">
        <w:t>0,00001).</w:t>
      </w:r>
    </w:p>
    <w:p w:rsidR="00137BF7" w:rsidRPr="008D2CB3" w:rsidRDefault="00137BF7" w:rsidP="001E7729">
      <w:pPr>
        <w:rPr>
          <w:szCs w:val="22"/>
        </w:rPr>
      </w:pPr>
    </w:p>
    <w:p w:rsidR="008871DD" w:rsidRPr="008D2CB3" w:rsidRDefault="008871DD" w:rsidP="001E7729">
      <w:pPr>
        <w:rPr>
          <w:i/>
          <w:szCs w:val="22"/>
        </w:rPr>
      </w:pPr>
      <w:r w:rsidRPr="008D2CB3">
        <w:rPr>
          <w:i/>
          <w:szCs w:val="22"/>
        </w:rPr>
        <w:t>Gyermek</w:t>
      </w:r>
      <w:r w:rsidR="00B353AF">
        <w:rPr>
          <w:i/>
          <w:szCs w:val="22"/>
        </w:rPr>
        <w:t>ek</w:t>
      </w:r>
      <w:r w:rsidR="00996526">
        <w:rPr>
          <w:i/>
          <w:szCs w:val="22"/>
        </w:rPr>
        <w:t>és serdülők</w:t>
      </w:r>
    </w:p>
    <w:p w:rsidR="00DD7E06" w:rsidRPr="008D2CB3" w:rsidRDefault="00DD7E06" w:rsidP="001E7729">
      <w:pPr>
        <w:rPr>
          <w:rFonts w:eastAsia="SimSun"/>
          <w:szCs w:val="22"/>
          <w:lang w:eastAsia="zh-CN"/>
        </w:rPr>
      </w:pPr>
      <w:r w:rsidRPr="008D2CB3">
        <w:rPr>
          <w:rFonts w:eastAsia="SimSun"/>
          <w:szCs w:val="22"/>
          <w:lang w:eastAsia="zh-CN"/>
        </w:rPr>
        <w:t>Egy dózisemeléses vizsgálatban (PICOLO), amelyet a trombózis kialakulása által veszélyeztetett 86 újszülött, illetve 24 hónapnál fiatalabb csecsemő bevonásával végeztek, a klopidogrélt újszülötteknél és csecsemőknél 0,01; 0,1 majd 0,2 mg/kg</w:t>
      </w:r>
      <w:r w:rsidRPr="008D2CB3">
        <w:rPr>
          <w:rFonts w:eastAsia="SimSun"/>
          <w:szCs w:val="22"/>
          <w:lang w:eastAsia="zh-CN"/>
        </w:rPr>
        <w:noBreakHyphen/>
        <w:t>os egymást követő dózisokkal, és csak újszülötteknél a 0,15 mg/kg</w:t>
      </w:r>
      <w:r w:rsidRPr="008D2CB3">
        <w:rPr>
          <w:rFonts w:eastAsia="SimSun"/>
          <w:szCs w:val="22"/>
          <w:lang w:eastAsia="zh-CN"/>
        </w:rPr>
        <w:noBreakHyphen/>
        <w:t>os dózissal értékelték. A 0,2 mg/kg adag 49,3%-os átlagos százalékos gátlást ért el (5 </w:t>
      </w:r>
      <w:r w:rsidR="003A0149">
        <w:rPr>
          <w:szCs w:val="22"/>
        </w:rPr>
        <w:t>mikro</w:t>
      </w:r>
      <w:r w:rsidRPr="008D2CB3">
        <w:rPr>
          <w:szCs w:val="22"/>
        </w:rPr>
        <w:t>M ADP</w:t>
      </w:r>
      <w:r w:rsidRPr="008D2CB3">
        <w:rPr>
          <w:szCs w:val="22"/>
        </w:rPr>
        <w:noBreakHyphen/>
        <w:t>indukált thrombocyta</w:t>
      </w:r>
      <w:r w:rsidR="003A0149">
        <w:rPr>
          <w:szCs w:val="22"/>
        </w:rPr>
        <w:noBreakHyphen/>
      </w:r>
      <w:r w:rsidRPr="008D2CB3">
        <w:rPr>
          <w:szCs w:val="22"/>
        </w:rPr>
        <w:t>aggregáció), amely hasonló volt a napi 75 mg-os adag Iscover</w:t>
      </w:r>
      <w:r w:rsidRPr="008D2CB3">
        <w:rPr>
          <w:szCs w:val="22"/>
        </w:rPr>
        <w:noBreakHyphen/>
        <w:t>t szedő felnőtteknél észlelthez.</w:t>
      </w:r>
    </w:p>
    <w:p w:rsidR="00DD7E06" w:rsidRPr="008D2CB3" w:rsidRDefault="00DD7E06" w:rsidP="001E7729">
      <w:pPr>
        <w:rPr>
          <w:szCs w:val="22"/>
        </w:rPr>
      </w:pPr>
    </w:p>
    <w:p w:rsidR="00DD7E06" w:rsidRPr="008D2CB3" w:rsidRDefault="00DD7E06" w:rsidP="001E7729">
      <w:pPr>
        <w:textAlignment w:val="top"/>
        <w:rPr>
          <w:rFonts w:eastAsia="MS Mincho"/>
          <w:szCs w:val="22"/>
          <w:lang w:eastAsia="ja-JP"/>
        </w:rPr>
      </w:pPr>
      <w:r w:rsidRPr="008D2CB3">
        <w:rPr>
          <w:szCs w:val="22"/>
        </w:rPr>
        <w:t>Egy randomizált, kettős</w:t>
      </w:r>
      <w:r w:rsidR="003A0149">
        <w:rPr>
          <w:szCs w:val="22"/>
        </w:rPr>
        <w:t xml:space="preserve"> </w:t>
      </w:r>
      <w:r w:rsidRPr="008D2CB3">
        <w:rPr>
          <w:szCs w:val="22"/>
        </w:rPr>
        <w:t>vak, párhuzamos csoportos vizsgálatban (CLARINET), 906, veleszületett cian</w:t>
      </w:r>
      <w:r w:rsidR="003A0149">
        <w:rPr>
          <w:szCs w:val="22"/>
        </w:rPr>
        <w:t>ózissal járó</w:t>
      </w:r>
      <w:r w:rsidRPr="008D2CB3">
        <w:rPr>
          <w:szCs w:val="22"/>
        </w:rPr>
        <w:t xml:space="preserve"> szívbetegségben szenvedő újszülöttet és csecsemőt, akiknél palliatív szisztémás-pulmonális arteriás shuntöt készítettek, úgy randomizáltak, hogy a műtétig második szakaszáig 0,2 mg/kg klopidogrélt (n = 467) vagy placebót (n = 439) kapjanak a bázisterápiával egyidejűleg. A palliatív shunt</w:t>
      </w:r>
      <w:r w:rsidRPr="008D2CB3">
        <w:rPr>
          <w:szCs w:val="22"/>
        </w:rPr>
        <w:noBreakHyphen/>
        <w:t>műtét és a vizsgálati készítmény első alkalmazása közt eltelt átlagos idő 20 nap volt. A betegek mintegy 88%</w:t>
      </w:r>
      <w:r w:rsidRPr="008D2CB3">
        <w:rPr>
          <w:szCs w:val="22"/>
        </w:rPr>
        <w:noBreakHyphen/>
        <w:t>a kapott egyidejűleg ASA</w:t>
      </w:r>
      <w:r w:rsidRPr="008D2CB3">
        <w:rPr>
          <w:szCs w:val="22"/>
        </w:rPr>
        <w:noBreakHyphen/>
        <w:t xml:space="preserve">t </w:t>
      </w:r>
      <w:r w:rsidRPr="008D2CB3">
        <w:rPr>
          <w:rFonts w:eastAsia="MS Mincho"/>
          <w:szCs w:val="22"/>
          <w:lang w:eastAsia="ja-JP"/>
        </w:rPr>
        <w:t>(1-23 mg/ttkg/nap dózistartományban). Az elsődleges összetett végpontot tekintve, amelyet a halálozás, a shunt</w:t>
      </w:r>
      <w:r w:rsidRPr="008D2CB3">
        <w:rPr>
          <w:rFonts w:eastAsia="MS Mincho"/>
          <w:szCs w:val="22"/>
          <w:lang w:eastAsia="ja-JP"/>
        </w:rPr>
        <w:noBreakHyphen/>
        <w:t xml:space="preserve">thrombosis vagy </w:t>
      </w:r>
      <w:r w:rsidRPr="008D2CB3">
        <w:t>egy thromboticus természetű eseményt követően a</w:t>
      </w:r>
      <w:r w:rsidRPr="008D2CB3">
        <w:rPr>
          <w:rFonts w:eastAsia="MS Mincho"/>
          <w:szCs w:val="22"/>
          <w:lang w:eastAsia="ja-JP"/>
        </w:rPr>
        <w:t xml:space="preserve"> 120 napos életkor előtti cardialis</w:t>
      </w:r>
      <w:r w:rsidRPr="008D2CB3">
        <w:t xml:space="preserve"> beavatkozás határoz meg, </w:t>
      </w:r>
      <w:r w:rsidRPr="008D2CB3">
        <w:rPr>
          <w:rFonts w:eastAsia="MS Mincho"/>
          <w:szCs w:val="22"/>
          <w:lang w:eastAsia="ja-JP"/>
        </w:rPr>
        <w:t xml:space="preserve">nem volt szignifikáns különbség a csoportok között: </w:t>
      </w:r>
      <w:r w:rsidRPr="008D2CB3">
        <w:rPr>
          <w:szCs w:val="22"/>
        </w:rPr>
        <w:t>(89 [19,1%] a klopidogrél</w:t>
      </w:r>
      <w:r w:rsidRPr="008D2CB3">
        <w:rPr>
          <w:szCs w:val="22"/>
        </w:rPr>
        <w:noBreakHyphen/>
        <w:t>csoportban és 90 [20,5%] a placebocsoportban) (lásd 4.2 pont)</w:t>
      </w:r>
      <w:r w:rsidRPr="008D2CB3">
        <w:rPr>
          <w:rFonts w:eastAsia="MS Mincho"/>
          <w:szCs w:val="22"/>
          <w:lang w:eastAsia="ja-JP"/>
        </w:rPr>
        <w:t>. A leggyakrabban jelentett mellékhatás a klopidogrél</w:t>
      </w:r>
      <w:r w:rsidRPr="008D2CB3">
        <w:rPr>
          <w:rFonts w:eastAsia="MS Mincho"/>
          <w:szCs w:val="22"/>
          <w:lang w:eastAsia="ja-JP"/>
        </w:rPr>
        <w:noBreakHyphen/>
        <w:t xml:space="preserve"> és a placebocsoportban egyaránt a vérzés volt, azonban nem volt szignifikáns különbség a csoportok között a vérzési arány tekintetében. Ennek a vizsgálatnak a hosszú távú biztonságossági követése során 26 beteg, akiknél még egyéves korukban sem távolították el a shuntöt, 18 hónapos koráig kapott klopidogrélt. A hosszú távú követés során nem merült fel új biztonságossági aggály. </w:t>
      </w:r>
    </w:p>
    <w:p w:rsidR="00DD7E06" w:rsidRPr="008D2CB3" w:rsidRDefault="00DD7E06" w:rsidP="001E7729">
      <w:pPr>
        <w:jc w:val="center"/>
        <w:rPr>
          <w:rFonts w:eastAsia="SimSun"/>
          <w:szCs w:val="22"/>
          <w:lang w:eastAsia="zh-CN"/>
        </w:rPr>
      </w:pPr>
    </w:p>
    <w:p w:rsidR="00DD7E06" w:rsidRPr="008D2CB3" w:rsidRDefault="00DD7E06" w:rsidP="001E7729">
      <w:pPr>
        <w:rPr>
          <w:rFonts w:eastAsia="SimSun"/>
          <w:szCs w:val="22"/>
          <w:lang w:eastAsia="zh-CN"/>
        </w:rPr>
      </w:pPr>
      <w:r w:rsidRPr="008D2CB3">
        <w:rPr>
          <w:rFonts w:eastAsia="SimSun"/>
          <w:szCs w:val="22"/>
          <w:lang w:eastAsia="zh-CN"/>
        </w:rPr>
        <w:t>A CLARINET és PICOLO</w:t>
      </w:r>
      <w:r w:rsidR="007E67D5">
        <w:rPr>
          <w:rFonts w:eastAsia="SimSun"/>
          <w:szCs w:val="22"/>
          <w:lang w:eastAsia="zh-CN"/>
        </w:rPr>
        <w:t xml:space="preserve"> </w:t>
      </w:r>
      <w:r w:rsidRPr="008D2CB3">
        <w:rPr>
          <w:rFonts w:eastAsia="SimSun"/>
          <w:szCs w:val="22"/>
          <w:lang w:eastAsia="zh-CN"/>
        </w:rPr>
        <w:t>vizsgálatokat a klopidogrél elkészített oldatával végezték. A felnőttek</w:t>
      </w:r>
      <w:r w:rsidR="003A0149">
        <w:rPr>
          <w:rFonts w:eastAsia="SimSun"/>
          <w:szCs w:val="22"/>
          <w:lang w:eastAsia="zh-CN"/>
        </w:rPr>
        <w:t>kel</w:t>
      </w:r>
      <w:r w:rsidRPr="008D2CB3">
        <w:rPr>
          <w:rFonts w:eastAsia="SimSun"/>
          <w:szCs w:val="22"/>
          <w:lang w:eastAsia="zh-CN"/>
        </w:rPr>
        <w:t xml:space="preserve"> végzett relatív biohasznosulási vizsgálatok során a klopidogrél elkészített oldata hasonló mértékben, fő keringő (inaktív) metabolitja kissé magasabb arányban szívódott fel a jóváhagyott tablettával összehasonlítva.</w:t>
      </w:r>
    </w:p>
    <w:p w:rsidR="00CE77A5" w:rsidRPr="008D2CB3" w:rsidRDefault="00CE77A5" w:rsidP="001E7729">
      <w:pPr>
        <w:rPr>
          <w:szCs w:val="22"/>
        </w:rPr>
      </w:pPr>
    </w:p>
    <w:p w:rsidR="00122217" w:rsidRPr="008D2CB3" w:rsidRDefault="00122217" w:rsidP="001E7729">
      <w:pPr>
        <w:ind w:left="567" w:hanging="567"/>
        <w:rPr>
          <w:b/>
          <w:szCs w:val="22"/>
        </w:rPr>
      </w:pPr>
      <w:r w:rsidRPr="008D2CB3">
        <w:rPr>
          <w:b/>
          <w:szCs w:val="22"/>
        </w:rPr>
        <w:t>5.2</w:t>
      </w:r>
      <w:r w:rsidRPr="008D2CB3">
        <w:rPr>
          <w:b/>
          <w:szCs w:val="22"/>
        </w:rPr>
        <w:tab/>
        <w:t>Farmakokinetikai tulajdonságok</w:t>
      </w:r>
    </w:p>
    <w:p w:rsidR="00122217" w:rsidRPr="008D2CB3" w:rsidRDefault="00122217" w:rsidP="001E7729">
      <w:pPr>
        <w:rPr>
          <w:b/>
          <w:szCs w:val="22"/>
        </w:rPr>
      </w:pPr>
    </w:p>
    <w:p w:rsidR="001D6372" w:rsidRPr="00F86A77" w:rsidRDefault="001D6372" w:rsidP="001E7729">
      <w:pPr>
        <w:rPr>
          <w:i/>
          <w:szCs w:val="22"/>
        </w:rPr>
      </w:pPr>
      <w:r w:rsidRPr="00F86A77">
        <w:rPr>
          <w:i/>
          <w:szCs w:val="22"/>
        </w:rPr>
        <w:t>Felszívódás</w:t>
      </w:r>
    </w:p>
    <w:p w:rsidR="00122217" w:rsidRPr="008D2CB3" w:rsidRDefault="00122217" w:rsidP="001E7729">
      <w:pPr>
        <w:rPr>
          <w:szCs w:val="22"/>
        </w:rPr>
      </w:pPr>
      <w:r w:rsidRPr="008D2CB3">
        <w:rPr>
          <w:szCs w:val="22"/>
        </w:rPr>
        <w:t xml:space="preserve">A klopidogrél napi 75 mg-os adagjának szájon át történő </w:t>
      </w:r>
      <w:r w:rsidR="00D829DF" w:rsidRPr="008D2CB3">
        <w:rPr>
          <w:szCs w:val="22"/>
        </w:rPr>
        <w:t xml:space="preserve">egyszeri és </w:t>
      </w:r>
      <w:r w:rsidRPr="008D2CB3">
        <w:rPr>
          <w:szCs w:val="22"/>
        </w:rPr>
        <w:t xml:space="preserve">ismételt adagolása után a szer gyorsan felszívódik. </w:t>
      </w:r>
      <w:r w:rsidR="00D829DF" w:rsidRPr="008D2CB3">
        <w:rPr>
          <w:szCs w:val="22"/>
        </w:rPr>
        <w:t>A</w:t>
      </w:r>
      <w:r w:rsidR="00E01D5E" w:rsidRPr="008D2CB3">
        <w:rPr>
          <w:szCs w:val="22"/>
        </w:rPr>
        <w:t xml:space="preserve"> változatlan klopidogrél </w:t>
      </w:r>
      <w:r w:rsidR="00DA723E" w:rsidRPr="008D2CB3">
        <w:rPr>
          <w:szCs w:val="22"/>
        </w:rPr>
        <w:t xml:space="preserve">átlagos </w:t>
      </w:r>
      <w:r w:rsidR="00D829DF" w:rsidRPr="008D2CB3">
        <w:rPr>
          <w:szCs w:val="22"/>
        </w:rPr>
        <w:t>plazma csúcskoncentráció</w:t>
      </w:r>
      <w:r w:rsidR="00E01D5E" w:rsidRPr="008D2CB3">
        <w:rPr>
          <w:szCs w:val="22"/>
        </w:rPr>
        <w:t>ja (kb. 2,2-2,5</w:t>
      </w:r>
      <w:r w:rsidR="00DA723E" w:rsidRPr="008D2CB3">
        <w:rPr>
          <w:szCs w:val="22"/>
        </w:rPr>
        <w:t> </w:t>
      </w:r>
      <w:r w:rsidR="00E01D5E" w:rsidRPr="008D2CB3">
        <w:rPr>
          <w:szCs w:val="22"/>
        </w:rPr>
        <w:t>ng/ml egyszeri 75</w:t>
      </w:r>
      <w:r w:rsidR="00DA723E" w:rsidRPr="008D2CB3">
        <w:rPr>
          <w:szCs w:val="22"/>
        </w:rPr>
        <w:t> </w:t>
      </w:r>
      <w:r w:rsidR="00E01D5E" w:rsidRPr="008D2CB3">
        <w:rPr>
          <w:szCs w:val="22"/>
        </w:rPr>
        <w:t xml:space="preserve">mg-os adag beadását követően) </w:t>
      </w:r>
      <w:r w:rsidR="00DA723E" w:rsidRPr="008D2CB3">
        <w:rPr>
          <w:szCs w:val="22"/>
        </w:rPr>
        <w:t>mintegy</w:t>
      </w:r>
      <w:r w:rsidR="001D6372" w:rsidRPr="008D2CB3">
        <w:rPr>
          <w:szCs w:val="22"/>
        </w:rPr>
        <w:t xml:space="preserve"> </w:t>
      </w:r>
      <w:r w:rsidR="00E01D5E" w:rsidRPr="008D2CB3">
        <w:rPr>
          <w:szCs w:val="22"/>
        </w:rPr>
        <w:t xml:space="preserve">45 perccel a beadást követően jelentkezett. </w:t>
      </w:r>
      <w:r w:rsidRPr="008D2CB3">
        <w:rPr>
          <w:szCs w:val="22"/>
        </w:rPr>
        <w:t>A klopidogrél</w:t>
      </w:r>
      <w:r w:rsidR="003A0149">
        <w:rPr>
          <w:szCs w:val="22"/>
        </w:rPr>
        <w:noBreakHyphen/>
      </w:r>
      <w:r w:rsidRPr="008D2CB3">
        <w:rPr>
          <w:szCs w:val="22"/>
        </w:rPr>
        <w:t>metabolitok vizelettel történő kiválasztása alapján a felszívódás legalább 50 %.</w:t>
      </w:r>
    </w:p>
    <w:p w:rsidR="00122217" w:rsidRPr="008D2CB3" w:rsidRDefault="00122217" w:rsidP="001E7729">
      <w:pPr>
        <w:rPr>
          <w:szCs w:val="22"/>
        </w:rPr>
      </w:pPr>
    </w:p>
    <w:p w:rsidR="001D6372" w:rsidRPr="00F86A77" w:rsidRDefault="00B353AF" w:rsidP="001E7729">
      <w:pPr>
        <w:rPr>
          <w:i/>
          <w:szCs w:val="22"/>
        </w:rPr>
      </w:pPr>
      <w:r>
        <w:rPr>
          <w:i/>
          <w:szCs w:val="22"/>
        </w:rPr>
        <w:t>El</w:t>
      </w:r>
      <w:r w:rsidR="001D6372" w:rsidRPr="00F86A77">
        <w:rPr>
          <w:i/>
          <w:szCs w:val="22"/>
        </w:rPr>
        <w:t>oszlás</w:t>
      </w:r>
    </w:p>
    <w:p w:rsidR="00383933" w:rsidRPr="008D2CB3" w:rsidRDefault="00383933" w:rsidP="001E7729">
      <w:pPr>
        <w:rPr>
          <w:szCs w:val="22"/>
        </w:rPr>
      </w:pPr>
      <w:r w:rsidRPr="008D2CB3">
        <w:rPr>
          <w:i/>
          <w:szCs w:val="22"/>
        </w:rPr>
        <w:t>In vitro</w:t>
      </w:r>
      <w:r w:rsidRPr="008D2CB3">
        <w:rPr>
          <w:szCs w:val="22"/>
        </w:rPr>
        <w:t xml:space="preserve"> a klopidogrél és fő keringő (inaktív) metabolitjai reverz</w:t>
      </w:r>
      <w:r w:rsidR="00DA723E" w:rsidRPr="008D2CB3">
        <w:rPr>
          <w:szCs w:val="22"/>
        </w:rPr>
        <w:t>í</w:t>
      </w:r>
      <w:r w:rsidRPr="008D2CB3">
        <w:rPr>
          <w:szCs w:val="22"/>
        </w:rPr>
        <w:t>bilisen kötődnek a humán plazma proteinekhez (</w:t>
      </w:r>
      <w:r w:rsidR="00DA723E" w:rsidRPr="008D2CB3">
        <w:rPr>
          <w:szCs w:val="22"/>
        </w:rPr>
        <w:t xml:space="preserve">sorrendben </w:t>
      </w:r>
      <w:r w:rsidRPr="008D2CB3">
        <w:rPr>
          <w:szCs w:val="22"/>
        </w:rPr>
        <w:t>98%</w:t>
      </w:r>
      <w:r w:rsidR="00DA723E" w:rsidRPr="008D2CB3">
        <w:rPr>
          <w:szCs w:val="22"/>
        </w:rPr>
        <w:t>,</w:t>
      </w:r>
      <w:r w:rsidRPr="008D2CB3">
        <w:rPr>
          <w:szCs w:val="22"/>
        </w:rPr>
        <w:t xml:space="preserve"> ill. 94%). </w:t>
      </w:r>
      <w:r w:rsidRPr="008D2CB3">
        <w:rPr>
          <w:i/>
          <w:szCs w:val="22"/>
        </w:rPr>
        <w:t>In vitro</w:t>
      </w:r>
      <w:r w:rsidRPr="008D2CB3">
        <w:rPr>
          <w:szCs w:val="22"/>
        </w:rPr>
        <w:t xml:space="preserve"> széles koncentrációhatárokon belül</w:t>
      </w:r>
      <w:r w:rsidR="00DA723E" w:rsidRPr="008D2CB3">
        <w:rPr>
          <w:szCs w:val="22"/>
        </w:rPr>
        <w:t xml:space="preserve"> a kötődés nem telíthető</w:t>
      </w:r>
      <w:r w:rsidRPr="008D2CB3">
        <w:rPr>
          <w:szCs w:val="22"/>
        </w:rPr>
        <w:t>.</w:t>
      </w:r>
    </w:p>
    <w:p w:rsidR="00383933" w:rsidRPr="008D2CB3" w:rsidRDefault="00383933" w:rsidP="001E7729">
      <w:pPr>
        <w:rPr>
          <w:szCs w:val="22"/>
        </w:rPr>
      </w:pPr>
    </w:p>
    <w:p w:rsidR="00383933" w:rsidRPr="00B353AF" w:rsidRDefault="00B353AF" w:rsidP="001E7729">
      <w:pPr>
        <w:rPr>
          <w:i/>
          <w:szCs w:val="22"/>
        </w:rPr>
      </w:pPr>
      <w:r>
        <w:rPr>
          <w:i/>
          <w:szCs w:val="22"/>
        </w:rPr>
        <w:t>Biotranszformáció</w:t>
      </w:r>
    </w:p>
    <w:p w:rsidR="00CC4EAB" w:rsidRPr="008D2CB3" w:rsidRDefault="00C9192E" w:rsidP="001E7729">
      <w:pPr>
        <w:rPr>
          <w:szCs w:val="22"/>
        </w:rPr>
      </w:pPr>
      <w:r w:rsidRPr="008D2CB3">
        <w:rPr>
          <w:szCs w:val="22"/>
        </w:rPr>
        <w:t>A k</w:t>
      </w:r>
      <w:r w:rsidR="00122217" w:rsidRPr="008D2CB3">
        <w:rPr>
          <w:szCs w:val="22"/>
        </w:rPr>
        <w:t xml:space="preserve">lopidogrélt </w:t>
      </w:r>
      <w:r w:rsidR="00CD4FC6" w:rsidRPr="008D2CB3">
        <w:rPr>
          <w:szCs w:val="22"/>
        </w:rPr>
        <w:t xml:space="preserve">a máj </w:t>
      </w:r>
      <w:r w:rsidR="00122217" w:rsidRPr="008D2CB3">
        <w:rPr>
          <w:szCs w:val="22"/>
        </w:rPr>
        <w:t>nagymértékben metabolizálja</w:t>
      </w:r>
      <w:r w:rsidR="00925C1A" w:rsidRPr="008D2CB3">
        <w:rPr>
          <w:szCs w:val="22"/>
        </w:rPr>
        <w:t xml:space="preserve">. </w:t>
      </w:r>
      <w:r w:rsidR="00925C1A" w:rsidRPr="008D2CB3">
        <w:rPr>
          <w:i/>
          <w:szCs w:val="22"/>
        </w:rPr>
        <w:t>In vitro</w:t>
      </w:r>
      <w:r w:rsidR="00925C1A" w:rsidRPr="008D2CB3">
        <w:rPr>
          <w:szCs w:val="22"/>
        </w:rPr>
        <w:t xml:space="preserve"> és </w:t>
      </w:r>
      <w:r w:rsidR="00925C1A" w:rsidRPr="008D2CB3">
        <w:rPr>
          <w:i/>
          <w:szCs w:val="22"/>
        </w:rPr>
        <w:t>in vivo</w:t>
      </w:r>
      <w:r w:rsidR="00925C1A" w:rsidRPr="008D2CB3">
        <w:rPr>
          <w:szCs w:val="22"/>
        </w:rPr>
        <w:t xml:space="preserve"> a klopidogrél két fő </w:t>
      </w:r>
      <w:r w:rsidR="0084742B" w:rsidRPr="008D2CB3">
        <w:rPr>
          <w:szCs w:val="22"/>
        </w:rPr>
        <w:t>anyagcsere</w:t>
      </w:r>
      <w:r w:rsidR="00925C1A" w:rsidRPr="008D2CB3">
        <w:rPr>
          <w:szCs w:val="22"/>
        </w:rPr>
        <w:t xml:space="preserve"> úton</w:t>
      </w:r>
      <w:r w:rsidR="00C443E3" w:rsidRPr="008D2CB3">
        <w:rPr>
          <w:szCs w:val="22"/>
        </w:rPr>
        <w:t xml:space="preserve"> metabolizálódik</w:t>
      </w:r>
      <w:r w:rsidR="0084742B" w:rsidRPr="008D2CB3">
        <w:rPr>
          <w:szCs w:val="22"/>
        </w:rPr>
        <w:t xml:space="preserve">, </w:t>
      </w:r>
      <w:r w:rsidR="00C443E3" w:rsidRPr="008D2CB3">
        <w:rPr>
          <w:szCs w:val="22"/>
        </w:rPr>
        <w:t>az egyik</w:t>
      </w:r>
      <w:r w:rsidR="00A309C4" w:rsidRPr="008D2CB3">
        <w:rPr>
          <w:szCs w:val="22"/>
        </w:rPr>
        <w:t xml:space="preserve"> egy</w:t>
      </w:r>
      <w:r w:rsidR="00C443E3" w:rsidRPr="008D2CB3">
        <w:rPr>
          <w:szCs w:val="22"/>
        </w:rPr>
        <w:t xml:space="preserve"> észterázok mediál</w:t>
      </w:r>
      <w:r w:rsidR="00A309C4" w:rsidRPr="008D2CB3">
        <w:rPr>
          <w:szCs w:val="22"/>
        </w:rPr>
        <w:t xml:space="preserve">ta hidrolízis, ennek </w:t>
      </w:r>
      <w:r w:rsidR="00C443E3" w:rsidRPr="008D2CB3">
        <w:rPr>
          <w:szCs w:val="22"/>
        </w:rPr>
        <w:t xml:space="preserve">egy inaktív </w:t>
      </w:r>
      <w:r w:rsidR="00501FBD" w:rsidRPr="008D2CB3">
        <w:rPr>
          <w:szCs w:val="22"/>
        </w:rPr>
        <w:t>k</w:t>
      </w:r>
      <w:r w:rsidR="00C443E3" w:rsidRPr="008D2CB3">
        <w:rPr>
          <w:szCs w:val="22"/>
        </w:rPr>
        <w:t>arboxilsav</w:t>
      </w:r>
      <w:r w:rsidR="00DA723E" w:rsidRPr="008D2CB3">
        <w:rPr>
          <w:szCs w:val="22"/>
        </w:rPr>
        <w:noBreakHyphen/>
      </w:r>
      <w:r w:rsidR="00C443E3" w:rsidRPr="008D2CB3">
        <w:rPr>
          <w:szCs w:val="22"/>
        </w:rPr>
        <w:t xml:space="preserve">származék (85%-a keringő metabolitoknak) </w:t>
      </w:r>
      <w:r w:rsidR="00A309C4" w:rsidRPr="008D2CB3">
        <w:rPr>
          <w:szCs w:val="22"/>
        </w:rPr>
        <w:t>az eredménye</w:t>
      </w:r>
      <w:r w:rsidR="00C443E3" w:rsidRPr="008D2CB3">
        <w:rPr>
          <w:szCs w:val="22"/>
        </w:rPr>
        <w:t xml:space="preserve">, </w:t>
      </w:r>
      <w:r w:rsidR="00A309C4" w:rsidRPr="008D2CB3">
        <w:rPr>
          <w:szCs w:val="22"/>
        </w:rPr>
        <w:t>míg</w:t>
      </w:r>
      <w:r w:rsidR="00C443E3" w:rsidRPr="008D2CB3">
        <w:rPr>
          <w:szCs w:val="22"/>
        </w:rPr>
        <w:t xml:space="preserve"> a másik</w:t>
      </w:r>
      <w:r w:rsidR="00A309C4" w:rsidRPr="008D2CB3">
        <w:rPr>
          <w:szCs w:val="22"/>
        </w:rPr>
        <w:t>at</w:t>
      </w:r>
      <w:r w:rsidR="00EB4553" w:rsidRPr="008D2CB3">
        <w:rPr>
          <w:szCs w:val="22"/>
        </w:rPr>
        <w:t xml:space="preserve"> </w:t>
      </w:r>
      <w:r w:rsidR="00DA723E" w:rsidRPr="008D2CB3">
        <w:rPr>
          <w:szCs w:val="22"/>
        </w:rPr>
        <w:t>több</w:t>
      </w:r>
      <w:r w:rsidR="00EB4553" w:rsidRPr="008D2CB3">
        <w:rPr>
          <w:szCs w:val="22"/>
        </w:rPr>
        <w:t xml:space="preserve"> citokróm P450 </w:t>
      </w:r>
      <w:r w:rsidR="00501FBD" w:rsidRPr="008D2CB3">
        <w:rPr>
          <w:szCs w:val="22"/>
        </w:rPr>
        <w:t>mediálja</w:t>
      </w:r>
      <w:r w:rsidR="00EB4553" w:rsidRPr="008D2CB3">
        <w:rPr>
          <w:szCs w:val="22"/>
        </w:rPr>
        <w:t xml:space="preserve">. </w:t>
      </w:r>
      <w:r w:rsidR="008E4666" w:rsidRPr="008D2CB3">
        <w:rPr>
          <w:szCs w:val="22"/>
        </w:rPr>
        <w:t xml:space="preserve">A klopidogrél először egy 2-oxo-klopidogrél </w:t>
      </w:r>
      <w:r w:rsidR="00B5593D" w:rsidRPr="008D2CB3">
        <w:rPr>
          <w:szCs w:val="22"/>
        </w:rPr>
        <w:t>intermedier metabolittá alakul át</w:t>
      </w:r>
      <w:r w:rsidR="008E4666" w:rsidRPr="008D2CB3">
        <w:rPr>
          <w:szCs w:val="22"/>
        </w:rPr>
        <w:t>. A 2</w:t>
      </w:r>
      <w:r w:rsidR="000165C8" w:rsidRPr="008D2CB3">
        <w:rPr>
          <w:szCs w:val="22"/>
        </w:rPr>
        <w:noBreakHyphen/>
      </w:r>
      <w:r w:rsidR="008E4666" w:rsidRPr="008D2CB3">
        <w:rPr>
          <w:szCs w:val="22"/>
        </w:rPr>
        <w:t>oxo</w:t>
      </w:r>
      <w:r w:rsidR="00B5593D" w:rsidRPr="008D2CB3">
        <w:rPr>
          <w:szCs w:val="22"/>
        </w:rPr>
        <w:t>-klopidogrél intermedier metabolit ezt követő átalakulása</w:t>
      </w:r>
      <w:r w:rsidR="00FF4ACF" w:rsidRPr="008D2CB3">
        <w:rPr>
          <w:szCs w:val="22"/>
        </w:rPr>
        <w:t xml:space="preserve"> egy aktív</w:t>
      </w:r>
      <w:r w:rsidR="00501FBD" w:rsidRPr="008D2CB3">
        <w:rPr>
          <w:szCs w:val="22"/>
        </w:rPr>
        <w:t xml:space="preserve"> metabolitot, a klopidogrél tiol</w:t>
      </w:r>
      <w:r w:rsidR="000165C8" w:rsidRPr="008D2CB3">
        <w:rPr>
          <w:szCs w:val="22"/>
        </w:rPr>
        <w:noBreakHyphen/>
      </w:r>
      <w:r w:rsidR="00501FBD" w:rsidRPr="008D2CB3">
        <w:rPr>
          <w:szCs w:val="22"/>
        </w:rPr>
        <w:t xml:space="preserve">származékát eredményezi. </w:t>
      </w:r>
      <w:r w:rsidR="008041D1">
        <w:rPr>
          <w:szCs w:val="22"/>
        </w:rPr>
        <w:t>Az aktív metabolit elsősorban a CYP2C19 izoenzim ál</w:t>
      </w:r>
      <w:r w:rsidR="00056D51">
        <w:rPr>
          <w:szCs w:val="22"/>
        </w:rPr>
        <w:t>t</w:t>
      </w:r>
      <w:r w:rsidR="008041D1">
        <w:rPr>
          <w:szCs w:val="22"/>
        </w:rPr>
        <w:t xml:space="preserve">al keletkezik, számos további CYP izoenzim, köztük </w:t>
      </w:r>
      <w:r w:rsidR="001B6B7C" w:rsidRPr="008D2CB3">
        <w:rPr>
          <w:szCs w:val="22"/>
        </w:rPr>
        <w:t xml:space="preserve"> a CYP3A4, CYP1A2 és CYP2B6</w:t>
      </w:r>
      <w:r w:rsidR="000165C8" w:rsidRPr="008D2CB3">
        <w:rPr>
          <w:szCs w:val="22"/>
        </w:rPr>
        <w:noBreakHyphen/>
      </w:r>
      <w:r w:rsidR="001B6B7C" w:rsidRPr="008D2CB3">
        <w:rPr>
          <w:szCs w:val="22"/>
        </w:rPr>
        <w:t xml:space="preserve">izoenzimek </w:t>
      </w:r>
      <w:r w:rsidR="008041D1">
        <w:rPr>
          <w:szCs w:val="22"/>
        </w:rPr>
        <w:t>közreműködésével</w:t>
      </w:r>
      <w:r w:rsidR="001B6B7C" w:rsidRPr="008D2CB3">
        <w:rPr>
          <w:szCs w:val="22"/>
        </w:rPr>
        <w:t xml:space="preserve">. Az </w:t>
      </w:r>
      <w:r w:rsidR="001B6B7C" w:rsidRPr="008D2CB3">
        <w:rPr>
          <w:i/>
          <w:szCs w:val="22"/>
        </w:rPr>
        <w:t>in vitro</w:t>
      </w:r>
      <w:r w:rsidR="001B6B7C" w:rsidRPr="008D2CB3">
        <w:rPr>
          <w:szCs w:val="22"/>
        </w:rPr>
        <w:t xml:space="preserve"> izolált aktív tiol</w:t>
      </w:r>
      <w:r w:rsidR="000165C8" w:rsidRPr="008D2CB3">
        <w:rPr>
          <w:szCs w:val="22"/>
        </w:rPr>
        <w:noBreakHyphen/>
      </w:r>
      <w:r w:rsidR="001B6B7C" w:rsidRPr="008D2CB3">
        <w:rPr>
          <w:szCs w:val="22"/>
        </w:rPr>
        <w:t>származék gyorsan és irreverz</w:t>
      </w:r>
      <w:r w:rsidR="000165C8" w:rsidRPr="008D2CB3">
        <w:rPr>
          <w:szCs w:val="22"/>
        </w:rPr>
        <w:t>í</w:t>
      </w:r>
      <w:r w:rsidR="001B6B7C" w:rsidRPr="008D2CB3">
        <w:rPr>
          <w:szCs w:val="22"/>
        </w:rPr>
        <w:t>bilisen kötődik a vérlemezke receptor</w:t>
      </w:r>
      <w:r w:rsidR="000165C8" w:rsidRPr="008D2CB3">
        <w:rPr>
          <w:szCs w:val="22"/>
        </w:rPr>
        <w:t>ok</w:t>
      </w:r>
      <w:r w:rsidR="001B6B7C" w:rsidRPr="008D2CB3">
        <w:rPr>
          <w:szCs w:val="22"/>
        </w:rPr>
        <w:t>hoz, ilyen módon gátolva a vérlemezke</w:t>
      </w:r>
      <w:r w:rsidR="00CD4FC6" w:rsidRPr="008D2CB3">
        <w:rPr>
          <w:szCs w:val="22"/>
        </w:rPr>
        <w:t>-</w:t>
      </w:r>
      <w:r w:rsidR="001B6B7C" w:rsidRPr="008D2CB3">
        <w:rPr>
          <w:szCs w:val="22"/>
        </w:rPr>
        <w:t>aggregációt.</w:t>
      </w:r>
    </w:p>
    <w:p w:rsidR="002D2A1D" w:rsidRPr="008D2CB3" w:rsidRDefault="002D2A1D" w:rsidP="001E7729">
      <w:pPr>
        <w:rPr>
          <w:szCs w:val="22"/>
        </w:rPr>
      </w:pPr>
    </w:p>
    <w:p w:rsidR="00417978" w:rsidRPr="008D2CB3" w:rsidRDefault="00417978" w:rsidP="001E7729">
      <w:pPr>
        <w:rPr>
          <w:szCs w:val="22"/>
        </w:rPr>
      </w:pPr>
      <w:r w:rsidRPr="008D2CB3">
        <w:rPr>
          <w:szCs w:val="22"/>
        </w:rPr>
        <w:t>Az aktív metabolit C</w:t>
      </w:r>
      <w:r w:rsidRPr="008D2CB3">
        <w:rPr>
          <w:szCs w:val="22"/>
          <w:vertAlign w:val="subscript"/>
        </w:rPr>
        <w:t>max</w:t>
      </w:r>
      <w:r w:rsidRPr="008D2CB3">
        <w:rPr>
          <w:szCs w:val="22"/>
        </w:rPr>
        <w:noBreakHyphen/>
        <w:t>értéke 300 mg klopidogrél egyszeri adását követően kétszerese a négy napon át alkalmazott 75 mg-os fenntartó dózisénak. A C</w:t>
      </w:r>
      <w:r w:rsidRPr="008D2CB3">
        <w:rPr>
          <w:szCs w:val="22"/>
          <w:vertAlign w:val="subscript"/>
        </w:rPr>
        <w:t>max</w:t>
      </w:r>
      <w:r w:rsidRPr="008D2CB3">
        <w:rPr>
          <w:szCs w:val="22"/>
        </w:rPr>
        <w:t xml:space="preserve"> 30-60 perccel az alkalmazást követően alakul ki. </w:t>
      </w:r>
    </w:p>
    <w:p w:rsidR="00CC4EAB" w:rsidRPr="008D2CB3" w:rsidRDefault="00CC4EAB" w:rsidP="001E7729">
      <w:pPr>
        <w:rPr>
          <w:szCs w:val="22"/>
        </w:rPr>
      </w:pPr>
    </w:p>
    <w:p w:rsidR="00CC4EAB" w:rsidRPr="00F86A77" w:rsidRDefault="00CC4EAB" w:rsidP="001E7729">
      <w:pPr>
        <w:rPr>
          <w:i/>
          <w:szCs w:val="22"/>
        </w:rPr>
      </w:pPr>
      <w:r w:rsidRPr="00F86A77">
        <w:rPr>
          <w:i/>
          <w:szCs w:val="22"/>
        </w:rPr>
        <w:t>Elimináció</w:t>
      </w:r>
    </w:p>
    <w:p w:rsidR="00CC4EAB" w:rsidRPr="008D2CB3" w:rsidRDefault="000165C8" w:rsidP="001E7729">
      <w:pPr>
        <w:rPr>
          <w:szCs w:val="22"/>
        </w:rPr>
      </w:pPr>
      <w:r w:rsidRPr="008D2CB3">
        <w:rPr>
          <w:szCs w:val="22"/>
        </w:rPr>
        <w:t xml:space="preserve">Embernél a </w:t>
      </w:r>
      <w:r w:rsidR="00CC4EAB" w:rsidRPr="008D2CB3">
        <w:rPr>
          <w:szCs w:val="22"/>
          <w:vertAlign w:val="superscript"/>
        </w:rPr>
        <w:t>14</w:t>
      </w:r>
      <w:r w:rsidR="00CC4EAB" w:rsidRPr="008D2CB3">
        <w:rPr>
          <w:szCs w:val="22"/>
        </w:rPr>
        <w:t xml:space="preserve">C-jelzett klopidogrél </w:t>
      </w:r>
      <w:r w:rsidRPr="008D2CB3">
        <w:rPr>
          <w:szCs w:val="22"/>
        </w:rPr>
        <w:t xml:space="preserve">egy </w:t>
      </w:r>
      <w:r w:rsidR="00CC4EAB" w:rsidRPr="008D2CB3">
        <w:rPr>
          <w:szCs w:val="22"/>
        </w:rPr>
        <w:t xml:space="preserve">per os </w:t>
      </w:r>
      <w:r w:rsidRPr="008D2CB3">
        <w:rPr>
          <w:szCs w:val="22"/>
        </w:rPr>
        <w:t xml:space="preserve">adagja </w:t>
      </w:r>
      <w:r w:rsidR="00CC4EAB" w:rsidRPr="008D2CB3">
        <w:rPr>
          <w:szCs w:val="22"/>
        </w:rPr>
        <w:t xml:space="preserve">után </w:t>
      </w:r>
      <w:r w:rsidRPr="008D2CB3">
        <w:rPr>
          <w:szCs w:val="22"/>
        </w:rPr>
        <w:t xml:space="preserve">az adagolást követő 120 órán belül </w:t>
      </w:r>
      <w:r w:rsidR="00CC4EAB" w:rsidRPr="008D2CB3">
        <w:rPr>
          <w:szCs w:val="22"/>
        </w:rPr>
        <w:t>kb. 50% ürül a vizelettel és kb. 46% a széklettel</w:t>
      </w:r>
      <w:r w:rsidRPr="008D2CB3">
        <w:rPr>
          <w:szCs w:val="22"/>
        </w:rPr>
        <w:t>.</w:t>
      </w:r>
      <w:r w:rsidR="00CC4EAB" w:rsidRPr="008D2CB3">
        <w:rPr>
          <w:szCs w:val="22"/>
        </w:rPr>
        <w:t xml:space="preserve"> Egyszeri 75</w:t>
      </w:r>
      <w:r w:rsidRPr="008D2CB3">
        <w:rPr>
          <w:szCs w:val="22"/>
        </w:rPr>
        <w:t> </w:t>
      </w:r>
      <w:r w:rsidR="00CC4EAB" w:rsidRPr="008D2CB3">
        <w:rPr>
          <w:szCs w:val="22"/>
        </w:rPr>
        <w:t>mg</w:t>
      </w:r>
      <w:r w:rsidRPr="008D2CB3">
        <w:rPr>
          <w:szCs w:val="22"/>
        </w:rPr>
        <w:t>-os per os</w:t>
      </w:r>
      <w:r w:rsidR="00CC4EAB" w:rsidRPr="008D2CB3">
        <w:rPr>
          <w:szCs w:val="22"/>
        </w:rPr>
        <w:t xml:space="preserve"> klopidogrél adag</w:t>
      </w:r>
      <w:r w:rsidRPr="008D2CB3">
        <w:rPr>
          <w:szCs w:val="22"/>
        </w:rPr>
        <w:t xml:space="preserve"> után</w:t>
      </w:r>
      <w:r w:rsidR="00CC4EAB" w:rsidRPr="008D2CB3">
        <w:rPr>
          <w:szCs w:val="22"/>
        </w:rPr>
        <w:t xml:space="preserve"> a félélet idő kb</w:t>
      </w:r>
      <w:r w:rsidRPr="008D2CB3">
        <w:rPr>
          <w:szCs w:val="22"/>
        </w:rPr>
        <w:t>.</w:t>
      </w:r>
      <w:r w:rsidR="00CC4EAB" w:rsidRPr="008D2CB3">
        <w:rPr>
          <w:szCs w:val="22"/>
        </w:rPr>
        <w:t xml:space="preserve"> 6 óra. A fő keringő metabolit (inaktív) eliminációs felezési ideje egyszeri és ismételt adagolás után 8 óra volt.</w:t>
      </w:r>
    </w:p>
    <w:p w:rsidR="00122217" w:rsidRPr="008D2CB3" w:rsidRDefault="00122217" w:rsidP="001E7729">
      <w:pPr>
        <w:rPr>
          <w:szCs w:val="22"/>
        </w:rPr>
      </w:pPr>
    </w:p>
    <w:p w:rsidR="004D1E82" w:rsidRPr="00F86A77" w:rsidRDefault="004D1E82" w:rsidP="001E7729">
      <w:pPr>
        <w:rPr>
          <w:i/>
          <w:szCs w:val="22"/>
        </w:rPr>
      </w:pPr>
      <w:r w:rsidRPr="00F86A77">
        <w:rPr>
          <w:i/>
          <w:szCs w:val="22"/>
        </w:rPr>
        <w:t>Farmakogenetika</w:t>
      </w:r>
    </w:p>
    <w:p w:rsidR="002D2A1D" w:rsidRPr="008D2CB3" w:rsidRDefault="00417978" w:rsidP="001E7729">
      <w:pPr>
        <w:rPr>
          <w:szCs w:val="22"/>
        </w:rPr>
      </w:pPr>
      <w:r w:rsidRPr="008D2CB3">
        <w:rPr>
          <w:szCs w:val="22"/>
        </w:rPr>
        <w:t>A CYP2C19 mind az aktív metabolit, mind a 2-oxo-klopidogrél intermedier kialakításában érintett. A klopidogrél aktív metabolit farmakokinetikai és thrombocytaaggregáció</w:t>
      </w:r>
      <w:r w:rsidR="0025079B">
        <w:rPr>
          <w:szCs w:val="22"/>
        </w:rPr>
        <w:noBreakHyphen/>
      </w:r>
      <w:r w:rsidRPr="008D2CB3">
        <w:rPr>
          <w:szCs w:val="22"/>
        </w:rPr>
        <w:t xml:space="preserve">gátló hatása, amint az </w:t>
      </w:r>
      <w:r w:rsidRPr="008D2CB3">
        <w:rPr>
          <w:i/>
          <w:szCs w:val="22"/>
        </w:rPr>
        <w:t>ex vivo</w:t>
      </w:r>
      <w:r w:rsidRPr="008D2CB3">
        <w:rPr>
          <w:szCs w:val="22"/>
        </w:rPr>
        <w:t xml:space="preserve"> thrombocytaaggregációs vizsgálatokban mérhető volt, függ a CYP2C19 genotípustól.</w:t>
      </w:r>
    </w:p>
    <w:p w:rsidR="00417978" w:rsidRPr="008D2CB3" w:rsidRDefault="00417978" w:rsidP="001E7729">
      <w:pPr>
        <w:rPr>
          <w:szCs w:val="22"/>
        </w:rPr>
      </w:pPr>
    </w:p>
    <w:p w:rsidR="00417978" w:rsidRPr="008D2CB3" w:rsidRDefault="00417978" w:rsidP="001E7729">
      <w:pPr>
        <w:rPr>
          <w:szCs w:val="22"/>
        </w:rPr>
      </w:pPr>
      <w:r w:rsidRPr="008D2CB3">
        <w:rPr>
          <w:szCs w:val="22"/>
        </w:rPr>
        <w:t>A CYP2C19*1 allél a teljes funkcionális metabolizmusért felelős, míg a CYP2C19*2 és a CYP2C19*3 allélek a nem funkcionális metabolizmusért felelősek. A gyengén metabolizáló fehér (85%) és ázsiai (99%) betegekben lévő, csökkent működésű allélek többségéért a CYP2C19*2 és CYP2C19*3 allélek a felelősek. További, a csökkent, illetve hiányzó metabolizmussal összefüggésbe hozható allélek a CYP2C19*4, *5, *6, *7 és *8. Egy gyengén metabolizáló beteg két, a fentiekben definiált, funkcióvesztéses alléllel rendelkezik. A gyengén metabolizáló genotípus publikált előfordulási gyakorisága a fehér populációban kb. 2%, a feketebőrűek között 4%, a kínaiak között pedig mintegy 14%. Vizsgálati módszerek rendelkezésre állnak a CYP2C19 genotípus meghatározására.</w:t>
      </w:r>
    </w:p>
    <w:p w:rsidR="002D2A1D" w:rsidRPr="008D2CB3" w:rsidRDefault="002D2A1D" w:rsidP="001E7729">
      <w:pPr>
        <w:rPr>
          <w:szCs w:val="22"/>
        </w:rPr>
      </w:pPr>
    </w:p>
    <w:p w:rsidR="000629F7" w:rsidRPr="008D2CB3" w:rsidRDefault="000629F7" w:rsidP="001E7729">
      <w:pPr>
        <w:rPr>
          <w:szCs w:val="22"/>
        </w:rPr>
      </w:pPr>
      <w:r w:rsidRPr="008D2CB3">
        <w:rPr>
          <w:szCs w:val="22"/>
        </w:rPr>
        <w:t>Egy keresztezett elrendezésű, 40 egészséges személyen akik közül 10-10 fő a négy CYP2C19</w:t>
      </w:r>
      <w:r w:rsidRPr="008D2CB3">
        <w:rPr>
          <w:szCs w:val="22"/>
        </w:rPr>
        <w:noBreakHyphen/>
        <w:t>metabolizáló csoportba tartozott (nagyon gyorsan, extenzíven, közepesen és gyengén metabolizáló csoport) végzett klinikai vizsgálatban a 300 mg-os telítő dózist követő 75 mg/nap-os, illetve a 600 mg-os telítő dózist követő 150 mg/nap-os adag 5 napon át történő adása mellett (dinamikus egyensúlyi állapotban) értékelték a klopidogrél farmakokinetikáját és vérlemezkékre gyakorolt hatását. A CYP2C19-et nagyon gyorsan, extenzíven és közepesen metabolizáló csoportok közt az aktívmetabolit</w:t>
      </w:r>
      <w:r w:rsidRPr="008D2CB3">
        <w:rPr>
          <w:szCs w:val="22"/>
        </w:rPr>
        <w:noBreakHyphen/>
        <w:t>expozíció és az átlagos thrombocytaaggregáció</w:t>
      </w:r>
      <w:r w:rsidR="0025079B">
        <w:rPr>
          <w:szCs w:val="22"/>
        </w:rPr>
        <w:noBreakHyphen/>
      </w:r>
      <w:r w:rsidRPr="008D2CB3">
        <w:rPr>
          <w:szCs w:val="22"/>
        </w:rPr>
        <w:t>gátlás (IPA) tekintetében nem volt lényeges különbség. Az extenzíven metabolizálókhoz képest a gyengén metabolizálók esetén 63-71%-kal csökkent az aktív metabolit</w:t>
      </w:r>
      <w:r w:rsidRPr="008D2CB3">
        <w:rPr>
          <w:szCs w:val="22"/>
        </w:rPr>
        <w:noBreakHyphen/>
        <w:t xml:space="preserve">expozíció. A 300 mg/75 mg adagolási módot követően, a gyengén metabolizálók esetén az átlagos IPA-ban kifejezett (5 </w:t>
      </w:r>
      <w:r w:rsidR="003A0149">
        <w:rPr>
          <w:szCs w:val="22"/>
        </w:rPr>
        <w:t>mikro</w:t>
      </w:r>
      <w:r w:rsidRPr="008D2CB3">
        <w:rPr>
          <w:szCs w:val="22"/>
        </w:rPr>
        <w:t>M ADP) thrombocyta</w:t>
      </w:r>
      <w:r w:rsidRPr="008D2CB3">
        <w:rPr>
          <w:szCs w:val="22"/>
        </w:rPr>
        <w:noBreakHyphen/>
        <w:t>gátló hatás 24%</w:t>
      </w:r>
      <w:r w:rsidRPr="008D2CB3">
        <w:rPr>
          <w:szCs w:val="22"/>
        </w:rPr>
        <w:noBreakHyphen/>
        <w:t>kal (24 óra) és 37%-kal (5. nap) csökkent, míg az extenzíven metabolizálók esetén az IPA 39%-kal (24 óra) és 58%-kal (5. nap) és a közepesen metabolizálóknál 37%-kal (24 óra) és 60%-kal (5. nap) csökkent. A 600 mg/150 mg terápiás protokollban részesülő gyengén metabolizáló egyének esetén nagyobb aktívmetabolit</w:t>
      </w:r>
      <w:r w:rsidRPr="008D2CB3">
        <w:rPr>
          <w:szCs w:val="22"/>
        </w:rPr>
        <w:noBreakHyphen/>
        <w:t>expozíció volt megfigyelhető, mint a 300 mg/75 mg terápiás protokollban részesülő gyengén metabolizáló csoport esetén. Továbbá, az IPA 32% (24 óra) és 61% (5. nap) volt, ami nagyobb volt, mint a 300 mg/75 mg terápiás protokollban részesülő, gyengén metabolizáló egyének esetén, és hasonló volt a 300 mg/75 mg terápiás protokollban részesülő, egyéb CYP2C19 metabolizáló csoportok esetén. A klinikai végpontvizsgálatok során ezen betegcsoportok számára nem állapítottak meg megfelelő adagolási rendet.</w:t>
      </w:r>
    </w:p>
    <w:p w:rsidR="000629F7" w:rsidRPr="008D2CB3" w:rsidRDefault="000629F7" w:rsidP="001E7729">
      <w:pPr>
        <w:rPr>
          <w:szCs w:val="22"/>
        </w:rPr>
      </w:pPr>
    </w:p>
    <w:p w:rsidR="000629F7" w:rsidRPr="008D2CB3" w:rsidRDefault="000629F7" w:rsidP="001E7729">
      <w:pPr>
        <w:rPr>
          <w:szCs w:val="22"/>
        </w:rPr>
      </w:pPr>
      <w:r w:rsidRPr="008D2CB3">
        <w:rPr>
          <w:szCs w:val="22"/>
        </w:rPr>
        <w:t>A fenti eredményeknek megfelelően, 335, klopidogrél</w:t>
      </w:r>
      <w:r w:rsidR="00E554E2">
        <w:rPr>
          <w:szCs w:val="22"/>
        </w:rPr>
        <w:t>l</w:t>
      </w:r>
      <w:r w:rsidRPr="008D2CB3">
        <w:rPr>
          <w:szCs w:val="22"/>
        </w:rPr>
        <w:t>el kezelt, dinamikus állapotban lévő beteggel végzett 6 vizsgálat meta-analízise során kimutatták, hogy az aktívmetabolit</w:t>
      </w:r>
      <w:r w:rsidRPr="008D2CB3">
        <w:rPr>
          <w:szCs w:val="22"/>
        </w:rPr>
        <w:noBreakHyphen/>
        <w:t>expozíció az extenzív metabolizálókhoz képest a közepes mértékben metabolizálók esetén 28%-kal, a gyengén metabolizálók esetén pedig 72%-kal, míg a thrombocytaaggregáció</w:t>
      </w:r>
      <w:r w:rsidR="0025079B">
        <w:rPr>
          <w:szCs w:val="22"/>
        </w:rPr>
        <w:noBreakHyphen/>
      </w:r>
      <w:r w:rsidRPr="008D2CB3">
        <w:rPr>
          <w:szCs w:val="22"/>
        </w:rPr>
        <w:t>gátlás IPA-ban kifejezve (5 μM ADP) rendre 5,9%-kal és 21,4%-kal csökkent.</w:t>
      </w:r>
    </w:p>
    <w:p w:rsidR="000629F7" w:rsidRPr="008D2CB3" w:rsidRDefault="000629F7" w:rsidP="001E7729">
      <w:pPr>
        <w:rPr>
          <w:szCs w:val="22"/>
        </w:rPr>
      </w:pPr>
    </w:p>
    <w:p w:rsidR="000629F7" w:rsidRPr="008D2CB3" w:rsidRDefault="000629F7" w:rsidP="001E7729">
      <w:pPr>
        <w:rPr>
          <w:szCs w:val="22"/>
        </w:rPr>
      </w:pPr>
      <w:r w:rsidRPr="008D2CB3">
        <w:rPr>
          <w:szCs w:val="22"/>
        </w:rPr>
        <w:t>A CYP2C19</w:t>
      </w:r>
      <w:r w:rsidR="0025079B">
        <w:rPr>
          <w:szCs w:val="22"/>
        </w:rPr>
        <w:noBreakHyphen/>
      </w:r>
      <w:r w:rsidRPr="008D2CB3">
        <w:rPr>
          <w:szCs w:val="22"/>
        </w:rPr>
        <w:t>genotípusnak a klopidogrél</w:t>
      </w:r>
      <w:r w:rsidR="00E554E2">
        <w:rPr>
          <w:szCs w:val="22"/>
        </w:rPr>
        <w:t>l</w:t>
      </w:r>
      <w:r w:rsidRPr="008D2CB3">
        <w:rPr>
          <w:szCs w:val="22"/>
        </w:rPr>
        <w:t>el kezelt betegek klinikai eredményeire gyakorolt hatását prospektív, randomizált, kontrollos vizsgálatok során nem értékelték. Számos retrospektív analízis és több publikált kohorszvizsgálat is van azonban, ami ezt a hatását olyan, klopidogrél</w:t>
      </w:r>
      <w:r w:rsidR="003210FB">
        <w:rPr>
          <w:szCs w:val="22"/>
        </w:rPr>
        <w:t>l</w:t>
      </w:r>
      <w:r w:rsidRPr="008D2CB3">
        <w:rPr>
          <w:szCs w:val="22"/>
        </w:rPr>
        <w:t>el kezelt betegeknél vizsgálta, akiknél rendelkezésre áll a genotipizálás eredménye: CURE (n = 2721), CHARISMA (n = 2428), CLARITY-TIMI 28 (n = 227), TRITON-TIMI 38 (n = 1477) és ACTIVE-A (n = 601).</w:t>
      </w:r>
    </w:p>
    <w:p w:rsidR="000629F7" w:rsidRPr="008D2CB3" w:rsidRDefault="000629F7" w:rsidP="001E7729">
      <w:pPr>
        <w:rPr>
          <w:szCs w:val="22"/>
        </w:rPr>
      </w:pPr>
      <w:r w:rsidRPr="008D2CB3">
        <w:rPr>
          <w:szCs w:val="22"/>
        </w:rPr>
        <w:t>A TRITON-TIMI 38 és 3 kohorszvizsgálatban (Collet, Sibbing, Giusti) a közepesen vagy gyengén metabolizálókból álló, kombinált csoportban magasabb volt a kardiovaszkuláris események (halál, myocardialis infarctus és stroke) vagy a stent</w:t>
      </w:r>
      <w:r w:rsidRPr="008D2CB3">
        <w:rPr>
          <w:szCs w:val="22"/>
        </w:rPr>
        <w:noBreakHyphen/>
        <w:t xml:space="preserve">trombózis aránya, mint a gyorsan metabolizálóknál. </w:t>
      </w:r>
    </w:p>
    <w:p w:rsidR="000629F7" w:rsidRPr="008D2CB3" w:rsidRDefault="000629F7" w:rsidP="001E7729">
      <w:pPr>
        <w:rPr>
          <w:szCs w:val="22"/>
        </w:rPr>
      </w:pPr>
    </w:p>
    <w:p w:rsidR="000629F7" w:rsidRPr="008D2CB3" w:rsidRDefault="000629F7" w:rsidP="001E7729">
      <w:pPr>
        <w:rPr>
          <w:szCs w:val="22"/>
        </w:rPr>
      </w:pPr>
      <w:r w:rsidRPr="008D2CB3">
        <w:rPr>
          <w:szCs w:val="22"/>
        </w:rPr>
        <w:t>A CHARISMA és egy kohorszvizsgálatban (Simon) a gyorsan metabolizálókhoz képest csak a gyengén metabolizálóknál észleltek emelkedett esemény</w:t>
      </w:r>
      <w:r w:rsidRPr="008D2CB3">
        <w:rPr>
          <w:szCs w:val="22"/>
        </w:rPr>
        <w:noBreakHyphen/>
        <w:t>rátát.</w:t>
      </w:r>
    </w:p>
    <w:p w:rsidR="000629F7" w:rsidRPr="008D2CB3" w:rsidRDefault="000629F7" w:rsidP="001E7729">
      <w:pPr>
        <w:rPr>
          <w:szCs w:val="22"/>
        </w:rPr>
      </w:pPr>
    </w:p>
    <w:p w:rsidR="000629F7" w:rsidRPr="008D2CB3" w:rsidRDefault="000629F7" w:rsidP="001E7729">
      <w:pPr>
        <w:rPr>
          <w:szCs w:val="22"/>
        </w:rPr>
      </w:pPr>
      <w:r w:rsidRPr="008D2CB3">
        <w:rPr>
          <w:szCs w:val="22"/>
        </w:rPr>
        <w:t>A CURE, CLARITY, ACTIVE-A és az egyik kohorszvizsgálatban (Trenk) nem figyeltek meg metabolizáció függő eseményráta</w:t>
      </w:r>
      <w:r w:rsidR="005E3DA5">
        <w:rPr>
          <w:szCs w:val="22"/>
        </w:rPr>
        <w:noBreakHyphen/>
      </w:r>
      <w:r w:rsidRPr="008D2CB3">
        <w:rPr>
          <w:szCs w:val="22"/>
        </w:rPr>
        <w:t>emelkedést.</w:t>
      </w:r>
    </w:p>
    <w:p w:rsidR="000629F7" w:rsidRPr="008D2CB3" w:rsidRDefault="000629F7" w:rsidP="001E7729">
      <w:pPr>
        <w:rPr>
          <w:szCs w:val="22"/>
        </w:rPr>
      </w:pPr>
    </w:p>
    <w:p w:rsidR="000629F7" w:rsidRPr="008D2CB3" w:rsidRDefault="000629F7" w:rsidP="001E7729">
      <w:pPr>
        <w:rPr>
          <w:szCs w:val="22"/>
        </w:rPr>
      </w:pPr>
      <w:r w:rsidRPr="008D2CB3">
        <w:rPr>
          <w:szCs w:val="22"/>
        </w:rPr>
        <w:t xml:space="preserve">Egyik vizsgálat sem volt megfelelő méretű ahhoz, hogy a kimenetelre vonatkozóan különbséget mutasson ki a gyengén metabolizálók között. </w:t>
      </w:r>
    </w:p>
    <w:p w:rsidR="00BA31C8" w:rsidRPr="008D2CB3" w:rsidRDefault="00BA31C8" w:rsidP="001E7729">
      <w:pPr>
        <w:rPr>
          <w:szCs w:val="22"/>
        </w:rPr>
      </w:pPr>
    </w:p>
    <w:p w:rsidR="007B296F" w:rsidRPr="00F86A77" w:rsidRDefault="005E3DA5" w:rsidP="001E7729">
      <w:pPr>
        <w:keepNext/>
        <w:rPr>
          <w:szCs w:val="22"/>
          <w:u w:val="single"/>
        </w:rPr>
      </w:pPr>
      <w:r>
        <w:rPr>
          <w:szCs w:val="22"/>
          <w:u w:val="single"/>
        </w:rPr>
        <w:t>Különleges</w:t>
      </w:r>
      <w:r w:rsidR="007B296F" w:rsidRPr="00F86A77">
        <w:rPr>
          <w:szCs w:val="22"/>
          <w:u w:val="single"/>
        </w:rPr>
        <w:t xml:space="preserve"> betegcsoportok</w:t>
      </w:r>
    </w:p>
    <w:p w:rsidR="00293CC8" w:rsidRPr="008D2CB3" w:rsidRDefault="00293CC8" w:rsidP="001E7729">
      <w:pPr>
        <w:keepNext/>
        <w:rPr>
          <w:szCs w:val="22"/>
        </w:rPr>
      </w:pPr>
    </w:p>
    <w:p w:rsidR="00293CC8" w:rsidRPr="008D2CB3" w:rsidRDefault="00293CC8" w:rsidP="001E7729">
      <w:pPr>
        <w:keepNext/>
        <w:rPr>
          <w:szCs w:val="22"/>
        </w:rPr>
      </w:pPr>
      <w:r w:rsidRPr="008D2CB3">
        <w:rPr>
          <w:szCs w:val="22"/>
        </w:rPr>
        <w:t xml:space="preserve">A klopidogrél aktív metabolitjának farmakokinetikája nem ismert ezekben a </w:t>
      </w:r>
      <w:r w:rsidR="005E3DA5">
        <w:rPr>
          <w:szCs w:val="22"/>
        </w:rPr>
        <w:t>különleges</w:t>
      </w:r>
      <w:r w:rsidR="005E3DA5" w:rsidRPr="008D2CB3">
        <w:rPr>
          <w:szCs w:val="22"/>
        </w:rPr>
        <w:t xml:space="preserve"> </w:t>
      </w:r>
      <w:r w:rsidRPr="008D2CB3">
        <w:rPr>
          <w:szCs w:val="22"/>
        </w:rPr>
        <w:t>betegcsoportokban.</w:t>
      </w:r>
    </w:p>
    <w:p w:rsidR="00293CC8" w:rsidRPr="008D2CB3" w:rsidRDefault="00293CC8" w:rsidP="001E7729">
      <w:pPr>
        <w:rPr>
          <w:szCs w:val="22"/>
        </w:rPr>
      </w:pPr>
    </w:p>
    <w:p w:rsidR="00293CC8" w:rsidRPr="00F86A77" w:rsidRDefault="00293CC8" w:rsidP="001E7729">
      <w:pPr>
        <w:rPr>
          <w:i/>
          <w:szCs w:val="22"/>
        </w:rPr>
      </w:pPr>
      <w:r w:rsidRPr="00F86A77">
        <w:rPr>
          <w:i/>
          <w:szCs w:val="22"/>
        </w:rPr>
        <w:t>Vesekárosodás</w:t>
      </w:r>
    </w:p>
    <w:p w:rsidR="00122217" w:rsidRPr="008D2CB3" w:rsidRDefault="00122217" w:rsidP="001E7729">
      <w:pPr>
        <w:rPr>
          <w:szCs w:val="22"/>
        </w:rPr>
      </w:pPr>
      <w:r w:rsidRPr="008D2CB3">
        <w:rPr>
          <w:szCs w:val="22"/>
        </w:rPr>
        <w:t>A klopidogrél 75 mg dózisának ismételt adagolása után súlyos vesebetegségben szenvedő betegekben (kreatinin clearance 5</w:t>
      </w:r>
      <w:r w:rsidRPr="008D2CB3">
        <w:rPr>
          <w:szCs w:val="22"/>
        </w:rPr>
        <w:noBreakHyphen/>
        <w:t>15 ml/perc</w:t>
      </w:r>
      <w:r w:rsidR="00177B13" w:rsidRPr="008D2CB3">
        <w:rPr>
          <w:szCs w:val="22"/>
        </w:rPr>
        <w:t>)</w:t>
      </w:r>
      <w:r w:rsidRPr="008D2CB3">
        <w:rPr>
          <w:szCs w:val="22"/>
        </w:rPr>
        <w:t xml:space="preserve"> az ADP-vel indukált thrombocytaaggregáció gátlása kisebb mértékű volt (25%) az egészségesekben megfigyeltnél, </w:t>
      </w:r>
      <w:r w:rsidR="00EE4162" w:rsidRPr="008D2CB3">
        <w:rPr>
          <w:szCs w:val="22"/>
        </w:rPr>
        <w:t xml:space="preserve">azonban </w:t>
      </w:r>
      <w:r w:rsidRPr="008D2CB3">
        <w:rPr>
          <w:szCs w:val="22"/>
        </w:rPr>
        <w:t>a vérzési idő meghosszabbodása hasonló volt a klopidogrél 75 mg napi adagját szedőkével, ezen felül a klinikai tolerancia jó volt valamennyi beteg esetén.</w:t>
      </w:r>
    </w:p>
    <w:p w:rsidR="00122217" w:rsidRPr="008D2CB3" w:rsidRDefault="00122217" w:rsidP="001E7729">
      <w:pPr>
        <w:rPr>
          <w:szCs w:val="22"/>
        </w:rPr>
      </w:pPr>
    </w:p>
    <w:p w:rsidR="00EE4162" w:rsidRPr="00F86A77" w:rsidRDefault="00EE4162" w:rsidP="001E7729">
      <w:pPr>
        <w:rPr>
          <w:i/>
          <w:szCs w:val="22"/>
        </w:rPr>
      </w:pPr>
      <w:r w:rsidRPr="00F86A77">
        <w:rPr>
          <w:i/>
          <w:szCs w:val="22"/>
        </w:rPr>
        <w:t>Májkárosodás</w:t>
      </w:r>
    </w:p>
    <w:p w:rsidR="00C206AF" w:rsidRPr="008D2CB3" w:rsidRDefault="00C206AF" w:rsidP="001E7729">
      <w:pPr>
        <w:rPr>
          <w:szCs w:val="22"/>
        </w:rPr>
      </w:pPr>
      <w:r w:rsidRPr="008D2CB3">
        <w:rPr>
          <w:szCs w:val="22"/>
        </w:rPr>
        <w:t>A klopidogrél napi 75 mg-os dózisának 10 napon át folyó ismételt adagolása után súlyos májkárosodásban szenvedő betegeknél az ADP-vel indukált thrombocytaaggregáció hasonló volt az egészségesekben megfigyelttel. A vérzési idő átlagos megnyúlása is hasonló volt a két csoportban.</w:t>
      </w:r>
    </w:p>
    <w:p w:rsidR="00EE4162" w:rsidRPr="008D2CB3" w:rsidRDefault="00EE4162" w:rsidP="001E7729">
      <w:pPr>
        <w:rPr>
          <w:szCs w:val="22"/>
        </w:rPr>
      </w:pPr>
    </w:p>
    <w:p w:rsidR="000937A4" w:rsidRPr="00F86A77" w:rsidRDefault="00E927B3" w:rsidP="001E7729">
      <w:pPr>
        <w:ind w:left="567" w:hanging="567"/>
        <w:jc w:val="both"/>
        <w:rPr>
          <w:i/>
          <w:szCs w:val="22"/>
        </w:rPr>
      </w:pPr>
      <w:r w:rsidRPr="00F86A77">
        <w:rPr>
          <w:i/>
          <w:szCs w:val="22"/>
        </w:rPr>
        <w:t>Rassz</w:t>
      </w:r>
    </w:p>
    <w:p w:rsidR="00C206AF" w:rsidRPr="008D2CB3" w:rsidRDefault="00C206AF" w:rsidP="001E7729">
      <w:pPr>
        <w:rPr>
          <w:szCs w:val="22"/>
        </w:rPr>
      </w:pPr>
      <w:r w:rsidRPr="008D2CB3">
        <w:rPr>
          <w:szCs w:val="22"/>
        </w:rPr>
        <w:t>A gyengén és közepesen metabolizáló CYP2C19-típusok kialakulásáért felelős CYP2C19 allélek prevalenciája a rassztól/etnikumtól függően eltérő (lásd Farmakogenetika). Ezen CYP-típus genotipizálásának a klinikai kimenetel eseményeire gyakorolt klinikai hatásainak megítéléséhez ázsiai populációk esetén korlátozott irodalmi adat áll rendelkezésre.</w:t>
      </w:r>
    </w:p>
    <w:p w:rsidR="00E927B3" w:rsidRPr="008D2CB3" w:rsidRDefault="00E927B3" w:rsidP="001E7729">
      <w:pPr>
        <w:jc w:val="both"/>
        <w:rPr>
          <w:szCs w:val="22"/>
        </w:rPr>
      </w:pPr>
    </w:p>
    <w:p w:rsidR="00122217" w:rsidRPr="008D2CB3" w:rsidRDefault="00122217" w:rsidP="001E7729">
      <w:pPr>
        <w:jc w:val="both"/>
        <w:rPr>
          <w:szCs w:val="22"/>
        </w:rPr>
      </w:pPr>
      <w:r w:rsidRPr="008D2CB3">
        <w:rPr>
          <w:b/>
          <w:szCs w:val="22"/>
        </w:rPr>
        <w:t>5.3</w:t>
      </w:r>
      <w:r w:rsidRPr="008D2CB3">
        <w:rPr>
          <w:b/>
          <w:szCs w:val="22"/>
        </w:rPr>
        <w:tab/>
        <w:t>A preklinikai biztonságossági vizsgálatok eredményei</w:t>
      </w:r>
    </w:p>
    <w:p w:rsidR="00122217" w:rsidRPr="008D2CB3" w:rsidRDefault="00122217" w:rsidP="001E7729">
      <w:pPr>
        <w:rPr>
          <w:szCs w:val="22"/>
        </w:rPr>
      </w:pPr>
    </w:p>
    <w:p w:rsidR="00122217" w:rsidRPr="008D2CB3" w:rsidRDefault="00122217" w:rsidP="001E7729">
      <w:pPr>
        <w:rPr>
          <w:szCs w:val="22"/>
        </w:rPr>
      </w:pPr>
      <w:r w:rsidRPr="008D2CB3">
        <w:rPr>
          <w:szCs w:val="22"/>
        </w:rPr>
        <w:t>Patkányban és majomban végzett nem klinikai jellegű vizsgálatokban a leggyakrabban megfigyelt hatások a májelváltozások voltak. Ezek az adatok a 75 mg/nap humán adagot legalább 25-szörösével meghaladó dózisok esetén fordultak elő, a máj metabolizáló enzimjeire gyakorolt hatás következményeiként. A klopidogrél terápiás adagjaival kezelt emberekben nem figyeltek meg a máj metabolizáló enzimjeire gyakorolt hatást.</w:t>
      </w:r>
    </w:p>
    <w:p w:rsidR="00122217" w:rsidRPr="008D2CB3" w:rsidRDefault="00122217" w:rsidP="001E7729">
      <w:pPr>
        <w:rPr>
          <w:szCs w:val="22"/>
        </w:rPr>
      </w:pPr>
    </w:p>
    <w:p w:rsidR="00122217" w:rsidRPr="008D2CB3" w:rsidRDefault="00122217" w:rsidP="001E7729">
      <w:pPr>
        <w:rPr>
          <w:szCs w:val="22"/>
        </w:rPr>
      </w:pPr>
      <w:r w:rsidRPr="008D2CB3">
        <w:rPr>
          <w:szCs w:val="22"/>
        </w:rPr>
        <w:t>Patkányokban és majmokban nagyon magas adagok esetén rossz gastricus tolerabilitásról számoltak be (gastritis, gyomor erosio és/vagy hányás).</w:t>
      </w:r>
    </w:p>
    <w:p w:rsidR="00122217" w:rsidRPr="008D2CB3" w:rsidRDefault="00122217" w:rsidP="001E7729">
      <w:pPr>
        <w:rPr>
          <w:szCs w:val="22"/>
        </w:rPr>
      </w:pPr>
    </w:p>
    <w:p w:rsidR="00122217" w:rsidRPr="008D2CB3" w:rsidRDefault="00122217" w:rsidP="001E7729">
      <w:pPr>
        <w:rPr>
          <w:szCs w:val="22"/>
        </w:rPr>
      </w:pPr>
      <w:r w:rsidRPr="008D2CB3">
        <w:rPr>
          <w:szCs w:val="22"/>
        </w:rPr>
        <w:t>Karcinogenitásra utaló jelet nem figyeltek meg amikor klopidogrélt 77 mg/kg napi adagig terjedő dózisokban 78 héten át egereknek és 104 héten át patkányoknak adagolták (ez legalább a 25-szöröse annak, amit 75 mg/nap humán adagolás mellett megfigyeltek).</w:t>
      </w:r>
    </w:p>
    <w:p w:rsidR="00122217" w:rsidRPr="008D2CB3" w:rsidRDefault="00122217" w:rsidP="001E7729">
      <w:pPr>
        <w:rPr>
          <w:szCs w:val="22"/>
        </w:rPr>
      </w:pPr>
    </w:p>
    <w:p w:rsidR="00122217" w:rsidRPr="008D2CB3" w:rsidRDefault="00122217" w:rsidP="001E7729">
      <w:pPr>
        <w:rPr>
          <w:szCs w:val="22"/>
        </w:rPr>
      </w:pPr>
      <w:r w:rsidRPr="008D2CB3">
        <w:rPr>
          <w:szCs w:val="22"/>
        </w:rPr>
        <w:t xml:space="preserve">A klopidogrélt vizsgálták számos </w:t>
      </w:r>
      <w:r w:rsidRPr="008D2CB3">
        <w:rPr>
          <w:i/>
          <w:szCs w:val="22"/>
        </w:rPr>
        <w:t>in vitro</w:t>
      </w:r>
      <w:r w:rsidRPr="008D2CB3">
        <w:rPr>
          <w:szCs w:val="22"/>
        </w:rPr>
        <w:t xml:space="preserve"> és </w:t>
      </w:r>
      <w:r w:rsidRPr="008D2CB3">
        <w:rPr>
          <w:i/>
          <w:szCs w:val="22"/>
        </w:rPr>
        <w:t>in vivo</w:t>
      </w:r>
      <w:r w:rsidRPr="008D2CB3">
        <w:rPr>
          <w:szCs w:val="22"/>
        </w:rPr>
        <w:t xml:space="preserve"> genotoxicitási vizsgálatban és nem mutatott genotoxikus hatást.</w:t>
      </w:r>
    </w:p>
    <w:p w:rsidR="00122217" w:rsidRPr="008D2CB3" w:rsidRDefault="00122217" w:rsidP="001E7729">
      <w:pPr>
        <w:jc w:val="both"/>
        <w:rPr>
          <w:szCs w:val="22"/>
        </w:rPr>
      </w:pPr>
    </w:p>
    <w:p w:rsidR="00122217" w:rsidRPr="008D2CB3" w:rsidRDefault="00122217" w:rsidP="001E7729">
      <w:pPr>
        <w:rPr>
          <w:szCs w:val="22"/>
        </w:rPr>
      </w:pPr>
      <w:r w:rsidRPr="008D2CB3">
        <w:rPr>
          <w:szCs w:val="22"/>
        </w:rPr>
        <w:t xml:space="preserve">Nem befolyásolta a nőstény és hím patkányok fertilitását és nem volt teratogén sem patkányokban, sem nyulakban. Szoptató patkányoknak adva, a klopidogrél enyhén késleltette az utódok fejlődését. </w:t>
      </w:r>
    </w:p>
    <w:p w:rsidR="00122217" w:rsidRPr="008D2CB3" w:rsidRDefault="00122217" w:rsidP="001E7729">
      <w:pPr>
        <w:rPr>
          <w:szCs w:val="22"/>
        </w:rPr>
      </w:pPr>
      <w:r w:rsidRPr="008D2CB3">
        <w:rPr>
          <w:szCs w:val="22"/>
        </w:rPr>
        <w:t xml:space="preserve">Izotóppal jelzett klopidogréllel végzett specifikus farmakokinetikai vizsgálatokban kimutatták, hogy az eredeti vegyület vagy metabolitjai kiválasztódnak az anyatejbe. Következésképpen közvetlen (enyhe toxicitás) vagy közvetett hatás (ízérzés csökkenése) nem zárható ki. </w:t>
      </w:r>
    </w:p>
    <w:p w:rsidR="004E5439" w:rsidRPr="008D2CB3" w:rsidRDefault="004E5439" w:rsidP="001E7729">
      <w:pPr>
        <w:ind w:left="567" w:hanging="567"/>
        <w:rPr>
          <w:b/>
          <w:caps/>
          <w:szCs w:val="22"/>
        </w:rPr>
      </w:pPr>
    </w:p>
    <w:p w:rsidR="004E5439" w:rsidRPr="008D2CB3" w:rsidRDefault="004E5439" w:rsidP="001E7729">
      <w:pPr>
        <w:ind w:left="567" w:hanging="567"/>
        <w:rPr>
          <w:b/>
          <w:caps/>
          <w:szCs w:val="22"/>
        </w:rPr>
      </w:pPr>
    </w:p>
    <w:p w:rsidR="00122217" w:rsidRPr="008D2CB3" w:rsidRDefault="00122217" w:rsidP="001E7729">
      <w:pPr>
        <w:ind w:left="567" w:hanging="567"/>
        <w:rPr>
          <w:b/>
          <w:caps/>
          <w:szCs w:val="22"/>
        </w:rPr>
      </w:pPr>
      <w:r w:rsidRPr="008D2CB3">
        <w:rPr>
          <w:b/>
          <w:caps/>
          <w:szCs w:val="22"/>
        </w:rPr>
        <w:t>6.</w:t>
      </w:r>
      <w:r w:rsidRPr="008D2CB3">
        <w:rPr>
          <w:caps/>
          <w:szCs w:val="22"/>
        </w:rPr>
        <w:tab/>
      </w:r>
      <w:r w:rsidRPr="008D2CB3">
        <w:rPr>
          <w:b/>
          <w:caps/>
          <w:szCs w:val="22"/>
        </w:rPr>
        <w:t>Gyógyszerészeti JELLEMZŐK</w:t>
      </w:r>
    </w:p>
    <w:p w:rsidR="00122217" w:rsidRPr="008D2CB3" w:rsidRDefault="00122217" w:rsidP="001E7729">
      <w:pPr>
        <w:rPr>
          <w:b/>
          <w:caps/>
          <w:szCs w:val="22"/>
        </w:rPr>
      </w:pPr>
    </w:p>
    <w:p w:rsidR="00122217" w:rsidRPr="008D2CB3" w:rsidRDefault="00122217" w:rsidP="001E7729">
      <w:pPr>
        <w:rPr>
          <w:b/>
          <w:szCs w:val="22"/>
        </w:rPr>
      </w:pPr>
      <w:r w:rsidRPr="008D2CB3">
        <w:rPr>
          <w:b/>
          <w:szCs w:val="22"/>
        </w:rPr>
        <w:t>6.1</w:t>
      </w:r>
      <w:r w:rsidRPr="008D2CB3">
        <w:rPr>
          <w:b/>
          <w:szCs w:val="22"/>
        </w:rPr>
        <w:tab/>
        <w:t>Segédanyagok felsorolása</w:t>
      </w:r>
    </w:p>
    <w:p w:rsidR="00122217" w:rsidRPr="008D2CB3" w:rsidRDefault="00122217" w:rsidP="001E7729">
      <w:pPr>
        <w:rPr>
          <w:szCs w:val="22"/>
        </w:rPr>
      </w:pPr>
    </w:p>
    <w:p w:rsidR="00122217" w:rsidRPr="008D2CB3" w:rsidRDefault="00122217" w:rsidP="001E7729">
      <w:pPr>
        <w:rPr>
          <w:i/>
          <w:szCs w:val="22"/>
        </w:rPr>
      </w:pPr>
      <w:r w:rsidRPr="008D2CB3">
        <w:rPr>
          <w:i/>
          <w:szCs w:val="22"/>
        </w:rPr>
        <w:t>Mag:</w:t>
      </w:r>
    </w:p>
    <w:p w:rsidR="00122217" w:rsidRPr="008D2CB3" w:rsidRDefault="00122217" w:rsidP="001E7729">
      <w:pPr>
        <w:ind w:left="567"/>
        <w:rPr>
          <w:szCs w:val="22"/>
        </w:rPr>
      </w:pPr>
      <w:r w:rsidRPr="008D2CB3">
        <w:rPr>
          <w:szCs w:val="22"/>
        </w:rPr>
        <w:t>mannit (E421)</w:t>
      </w:r>
    </w:p>
    <w:p w:rsidR="00122217" w:rsidRPr="008D2CB3" w:rsidRDefault="00122217" w:rsidP="001E7729">
      <w:pPr>
        <w:ind w:left="567"/>
        <w:rPr>
          <w:szCs w:val="22"/>
        </w:rPr>
      </w:pPr>
      <w:r w:rsidRPr="008D2CB3">
        <w:rPr>
          <w:szCs w:val="22"/>
        </w:rPr>
        <w:t>makrogol 6000</w:t>
      </w:r>
    </w:p>
    <w:p w:rsidR="00122217" w:rsidRPr="008D2CB3" w:rsidRDefault="00122217" w:rsidP="001E7729">
      <w:pPr>
        <w:ind w:left="567"/>
        <w:rPr>
          <w:szCs w:val="22"/>
        </w:rPr>
      </w:pPr>
      <w:r w:rsidRPr="008D2CB3">
        <w:rPr>
          <w:szCs w:val="22"/>
        </w:rPr>
        <w:t>mikrokristályos cellulóz</w:t>
      </w:r>
    </w:p>
    <w:p w:rsidR="00122217" w:rsidRPr="008D2CB3" w:rsidRDefault="00122217" w:rsidP="001E7729">
      <w:pPr>
        <w:ind w:left="567"/>
        <w:rPr>
          <w:szCs w:val="22"/>
        </w:rPr>
      </w:pPr>
      <w:r w:rsidRPr="008D2CB3">
        <w:rPr>
          <w:szCs w:val="22"/>
        </w:rPr>
        <w:t>hidrogénezett ricinusolaj</w:t>
      </w:r>
    </w:p>
    <w:p w:rsidR="00122217" w:rsidRPr="008D2CB3" w:rsidRDefault="00122217" w:rsidP="001E7729">
      <w:pPr>
        <w:ind w:left="567"/>
        <w:rPr>
          <w:szCs w:val="22"/>
        </w:rPr>
      </w:pPr>
      <w:r w:rsidRPr="008D2CB3">
        <w:rPr>
          <w:szCs w:val="22"/>
        </w:rPr>
        <w:t>kismértékben szubsztituált hidroxi-propilcellulóz</w:t>
      </w:r>
    </w:p>
    <w:p w:rsidR="00122217" w:rsidRPr="008D2CB3" w:rsidRDefault="00122217" w:rsidP="001E7729">
      <w:pPr>
        <w:rPr>
          <w:szCs w:val="22"/>
        </w:rPr>
      </w:pPr>
    </w:p>
    <w:p w:rsidR="00122217" w:rsidRPr="008D2CB3" w:rsidRDefault="00122217" w:rsidP="001E7729">
      <w:pPr>
        <w:rPr>
          <w:i/>
          <w:szCs w:val="22"/>
        </w:rPr>
      </w:pPr>
      <w:r w:rsidRPr="008D2CB3">
        <w:rPr>
          <w:i/>
          <w:szCs w:val="22"/>
        </w:rPr>
        <w:t xml:space="preserve">Bevonat: </w:t>
      </w:r>
    </w:p>
    <w:p w:rsidR="00122217" w:rsidRPr="008D2CB3" w:rsidRDefault="00122217" w:rsidP="001E7729">
      <w:pPr>
        <w:ind w:firstLine="567"/>
        <w:rPr>
          <w:szCs w:val="22"/>
        </w:rPr>
      </w:pPr>
      <w:r w:rsidRPr="008D2CB3">
        <w:rPr>
          <w:szCs w:val="22"/>
        </w:rPr>
        <w:t>hipromellóz (E464)</w:t>
      </w:r>
    </w:p>
    <w:p w:rsidR="00122217" w:rsidRPr="008D2CB3" w:rsidRDefault="00122217" w:rsidP="001E7729">
      <w:pPr>
        <w:ind w:firstLine="567"/>
        <w:rPr>
          <w:szCs w:val="22"/>
        </w:rPr>
      </w:pPr>
      <w:r w:rsidRPr="008D2CB3">
        <w:rPr>
          <w:szCs w:val="22"/>
        </w:rPr>
        <w:t>laktóz</w:t>
      </w:r>
      <w:r w:rsidR="00E3073D" w:rsidRPr="008D2CB3">
        <w:rPr>
          <w:szCs w:val="22"/>
        </w:rPr>
        <w:t xml:space="preserve"> monohidrát</w:t>
      </w:r>
    </w:p>
    <w:p w:rsidR="00122217" w:rsidRPr="008D2CB3" w:rsidRDefault="00122217" w:rsidP="001E7729">
      <w:pPr>
        <w:ind w:firstLine="567"/>
        <w:rPr>
          <w:szCs w:val="22"/>
        </w:rPr>
      </w:pPr>
      <w:r w:rsidRPr="008D2CB3">
        <w:rPr>
          <w:szCs w:val="22"/>
        </w:rPr>
        <w:t>triacetin (E1518)</w:t>
      </w:r>
    </w:p>
    <w:p w:rsidR="00122217" w:rsidRPr="008D2CB3" w:rsidRDefault="00122217" w:rsidP="001E7729">
      <w:pPr>
        <w:ind w:firstLine="567"/>
        <w:rPr>
          <w:szCs w:val="22"/>
        </w:rPr>
      </w:pPr>
      <w:r w:rsidRPr="008D2CB3">
        <w:rPr>
          <w:szCs w:val="22"/>
        </w:rPr>
        <w:t>titán-dioxid (E171)</w:t>
      </w:r>
    </w:p>
    <w:p w:rsidR="00122217" w:rsidRPr="008D2CB3" w:rsidRDefault="00122217" w:rsidP="001E7729">
      <w:pPr>
        <w:ind w:firstLine="567"/>
        <w:rPr>
          <w:szCs w:val="22"/>
        </w:rPr>
      </w:pPr>
      <w:r w:rsidRPr="008D2CB3">
        <w:rPr>
          <w:szCs w:val="22"/>
        </w:rPr>
        <w:t>vörös vas-oxid (E172)</w:t>
      </w:r>
    </w:p>
    <w:p w:rsidR="00FC548B" w:rsidRPr="008D2CB3" w:rsidRDefault="00FC548B" w:rsidP="001E7729">
      <w:pPr>
        <w:rPr>
          <w:szCs w:val="22"/>
        </w:rPr>
      </w:pPr>
    </w:p>
    <w:p w:rsidR="00FC548B" w:rsidRPr="008D2CB3" w:rsidRDefault="00FC548B" w:rsidP="001E7729">
      <w:pPr>
        <w:rPr>
          <w:i/>
          <w:szCs w:val="22"/>
        </w:rPr>
      </w:pPr>
      <w:r w:rsidRPr="008D2CB3">
        <w:rPr>
          <w:i/>
          <w:szCs w:val="22"/>
        </w:rPr>
        <w:t>Fényesítő anyag:</w:t>
      </w:r>
    </w:p>
    <w:p w:rsidR="00122217" w:rsidRPr="008D2CB3" w:rsidRDefault="00122217" w:rsidP="001E7729">
      <w:pPr>
        <w:ind w:firstLine="567"/>
        <w:rPr>
          <w:szCs w:val="22"/>
        </w:rPr>
      </w:pPr>
      <w:r w:rsidRPr="008D2CB3">
        <w:rPr>
          <w:szCs w:val="22"/>
        </w:rPr>
        <w:t>karnauba viasz</w:t>
      </w:r>
    </w:p>
    <w:p w:rsidR="00122217" w:rsidRPr="008D2CB3" w:rsidRDefault="00122217" w:rsidP="001E7729">
      <w:pPr>
        <w:rPr>
          <w:szCs w:val="22"/>
        </w:rPr>
      </w:pPr>
    </w:p>
    <w:p w:rsidR="00122217" w:rsidRPr="008D2CB3" w:rsidRDefault="00122217" w:rsidP="001E7729">
      <w:pPr>
        <w:numPr>
          <w:ilvl w:val="1"/>
          <w:numId w:val="11"/>
        </w:numPr>
        <w:tabs>
          <w:tab w:val="clear" w:pos="765"/>
          <w:tab w:val="num" w:pos="567"/>
        </w:tabs>
        <w:rPr>
          <w:b/>
          <w:szCs w:val="22"/>
        </w:rPr>
      </w:pPr>
      <w:r w:rsidRPr="008D2CB3">
        <w:rPr>
          <w:b/>
          <w:szCs w:val="22"/>
        </w:rPr>
        <w:t>Inkompatibilitások</w:t>
      </w:r>
    </w:p>
    <w:p w:rsidR="00122217" w:rsidRPr="008D2CB3" w:rsidRDefault="00122217" w:rsidP="001E7729">
      <w:pPr>
        <w:rPr>
          <w:b/>
          <w:szCs w:val="22"/>
        </w:rPr>
      </w:pPr>
    </w:p>
    <w:p w:rsidR="00122217" w:rsidRPr="008D2CB3" w:rsidRDefault="00122217" w:rsidP="001E7729">
      <w:pPr>
        <w:ind w:left="708" w:hanging="708"/>
        <w:rPr>
          <w:szCs w:val="22"/>
        </w:rPr>
      </w:pPr>
      <w:r w:rsidRPr="008D2CB3">
        <w:rPr>
          <w:szCs w:val="22"/>
        </w:rPr>
        <w:t>Nem értelmezhető.</w:t>
      </w:r>
    </w:p>
    <w:p w:rsidR="00122217" w:rsidRPr="008D2CB3" w:rsidRDefault="00122217" w:rsidP="001E7729">
      <w:pPr>
        <w:rPr>
          <w:szCs w:val="22"/>
        </w:rPr>
      </w:pPr>
    </w:p>
    <w:p w:rsidR="00122217" w:rsidRPr="008D2CB3" w:rsidRDefault="00122217" w:rsidP="001E7729">
      <w:pPr>
        <w:numPr>
          <w:ilvl w:val="1"/>
          <w:numId w:val="11"/>
        </w:numPr>
        <w:tabs>
          <w:tab w:val="clear" w:pos="765"/>
          <w:tab w:val="num" w:pos="567"/>
        </w:tabs>
        <w:spacing w:line="260" w:lineRule="atLeast"/>
        <w:jc w:val="both"/>
        <w:rPr>
          <w:b/>
          <w:szCs w:val="22"/>
        </w:rPr>
      </w:pPr>
      <w:r w:rsidRPr="008D2CB3">
        <w:rPr>
          <w:b/>
          <w:szCs w:val="22"/>
        </w:rPr>
        <w:t>Felhasználhatósági időtartam</w:t>
      </w:r>
    </w:p>
    <w:p w:rsidR="00122217" w:rsidRPr="008D2CB3" w:rsidRDefault="00122217" w:rsidP="001E7729">
      <w:pPr>
        <w:spacing w:line="260" w:lineRule="atLeast"/>
        <w:jc w:val="both"/>
        <w:rPr>
          <w:b/>
          <w:szCs w:val="22"/>
        </w:rPr>
      </w:pPr>
    </w:p>
    <w:p w:rsidR="00122217" w:rsidRPr="008D2CB3" w:rsidRDefault="00122217" w:rsidP="001E7729">
      <w:pPr>
        <w:ind w:left="708" w:hanging="708"/>
        <w:rPr>
          <w:szCs w:val="22"/>
        </w:rPr>
      </w:pPr>
      <w:r w:rsidRPr="008D2CB3">
        <w:rPr>
          <w:szCs w:val="22"/>
        </w:rPr>
        <w:t>3 év.</w:t>
      </w:r>
    </w:p>
    <w:p w:rsidR="00122217" w:rsidRPr="008D2CB3" w:rsidRDefault="00122217" w:rsidP="001E7729">
      <w:pPr>
        <w:rPr>
          <w:szCs w:val="22"/>
        </w:rPr>
      </w:pPr>
    </w:p>
    <w:p w:rsidR="00122217" w:rsidRPr="008D2CB3" w:rsidRDefault="00122217" w:rsidP="001E7729">
      <w:pPr>
        <w:numPr>
          <w:ilvl w:val="1"/>
          <w:numId w:val="11"/>
        </w:numPr>
        <w:tabs>
          <w:tab w:val="clear" w:pos="765"/>
          <w:tab w:val="num" w:pos="567"/>
        </w:tabs>
        <w:rPr>
          <w:b/>
          <w:szCs w:val="22"/>
        </w:rPr>
      </w:pPr>
      <w:r w:rsidRPr="008D2CB3">
        <w:rPr>
          <w:b/>
          <w:szCs w:val="22"/>
        </w:rPr>
        <w:t>Különleges tárolási előírások</w:t>
      </w:r>
    </w:p>
    <w:p w:rsidR="00122217" w:rsidRPr="008D2CB3" w:rsidRDefault="00122217" w:rsidP="001E7729">
      <w:pPr>
        <w:rPr>
          <w:b/>
          <w:szCs w:val="22"/>
        </w:rPr>
      </w:pPr>
    </w:p>
    <w:p w:rsidR="002760EA" w:rsidRPr="008D2CB3" w:rsidRDefault="002760EA" w:rsidP="001E7729">
      <w:pPr>
        <w:ind w:left="708" w:hanging="708"/>
        <w:rPr>
          <w:szCs w:val="22"/>
        </w:rPr>
      </w:pPr>
      <w:r w:rsidRPr="008D2CB3">
        <w:rPr>
          <w:bCs/>
          <w:szCs w:val="22"/>
        </w:rPr>
        <w:t xml:space="preserve">PVC/PVDC/Alu </w:t>
      </w:r>
      <w:r w:rsidRPr="008D2CB3">
        <w:t>buborék</w:t>
      </w:r>
      <w:r w:rsidR="00FB1F77" w:rsidRPr="008D2CB3">
        <w:t>csomagolásban</w:t>
      </w:r>
      <w:r w:rsidRPr="008D2CB3">
        <w:rPr>
          <w:bCs/>
          <w:szCs w:val="22"/>
        </w:rPr>
        <w:t xml:space="preserve"> legfeljebb </w:t>
      </w:r>
      <w:r w:rsidRPr="008D2CB3">
        <w:rPr>
          <w:szCs w:val="22"/>
        </w:rPr>
        <w:t>30°C</w:t>
      </w:r>
      <w:r w:rsidRPr="008D2CB3">
        <w:rPr>
          <w:bCs/>
          <w:szCs w:val="22"/>
        </w:rPr>
        <w:t>-on tárolandó</w:t>
      </w:r>
      <w:r w:rsidRPr="008D2CB3">
        <w:t>.</w:t>
      </w:r>
    </w:p>
    <w:p w:rsidR="00122217" w:rsidRPr="008D2CB3" w:rsidRDefault="002760EA" w:rsidP="001E7729">
      <w:pPr>
        <w:ind w:left="708" w:hanging="708"/>
        <w:rPr>
          <w:szCs w:val="22"/>
        </w:rPr>
      </w:pPr>
      <w:r w:rsidRPr="008D2CB3">
        <w:rPr>
          <w:bCs/>
          <w:szCs w:val="22"/>
        </w:rPr>
        <w:t xml:space="preserve">Alu/Alu </w:t>
      </w:r>
      <w:r w:rsidRPr="008D2CB3">
        <w:t>buborék</w:t>
      </w:r>
      <w:r w:rsidR="00FB1F77" w:rsidRPr="008D2CB3">
        <w:t>csomagolásban</w:t>
      </w:r>
      <w:r w:rsidRPr="008D2CB3">
        <w:rPr>
          <w:bCs/>
          <w:szCs w:val="22"/>
        </w:rPr>
        <w:t xml:space="preserve"> e</w:t>
      </w:r>
      <w:r w:rsidR="00F61D58" w:rsidRPr="008D2CB3">
        <w:rPr>
          <w:szCs w:val="22"/>
        </w:rPr>
        <w:t>z a</w:t>
      </w:r>
      <w:r w:rsidR="00122217" w:rsidRPr="008D2CB3">
        <w:rPr>
          <w:szCs w:val="22"/>
        </w:rPr>
        <w:t xml:space="preserve"> gyógyszer </w:t>
      </w:r>
      <w:r w:rsidR="00F61D58" w:rsidRPr="008D2CB3">
        <w:rPr>
          <w:szCs w:val="22"/>
        </w:rPr>
        <w:t xml:space="preserve">nem igényel </w:t>
      </w:r>
      <w:r w:rsidR="00122217" w:rsidRPr="008D2CB3">
        <w:rPr>
          <w:szCs w:val="22"/>
        </w:rPr>
        <w:t>különleges tárolást.</w:t>
      </w:r>
    </w:p>
    <w:p w:rsidR="004D6D06" w:rsidRPr="008D2CB3" w:rsidRDefault="004D6D06" w:rsidP="001E7729">
      <w:pPr>
        <w:rPr>
          <w:b/>
          <w:szCs w:val="22"/>
        </w:rPr>
      </w:pPr>
    </w:p>
    <w:p w:rsidR="00122217" w:rsidRPr="008D2CB3" w:rsidRDefault="00122217" w:rsidP="001E7729">
      <w:pPr>
        <w:numPr>
          <w:ilvl w:val="1"/>
          <w:numId w:val="11"/>
        </w:numPr>
        <w:tabs>
          <w:tab w:val="clear" w:pos="765"/>
          <w:tab w:val="num" w:pos="567"/>
        </w:tabs>
        <w:rPr>
          <w:b/>
          <w:szCs w:val="22"/>
        </w:rPr>
      </w:pPr>
      <w:r w:rsidRPr="008D2CB3">
        <w:rPr>
          <w:b/>
          <w:szCs w:val="22"/>
        </w:rPr>
        <w:t>Csomagolás típusa és kiszerelése</w:t>
      </w:r>
    </w:p>
    <w:p w:rsidR="00122217" w:rsidRPr="008D2CB3" w:rsidRDefault="00122217" w:rsidP="001E7729">
      <w:pPr>
        <w:rPr>
          <w:szCs w:val="22"/>
        </w:rPr>
      </w:pPr>
    </w:p>
    <w:p w:rsidR="004D6D06" w:rsidRPr="004D6D06" w:rsidRDefault="004D6D06" w:rsidP="001E7729">
      <w:pPr>
        <w:ind w:right="-29"/>
        <w:rPr>
          <w:szCs w:val="22"/>
          <w:u w:val="single"/>
        </w:rPr>
      </w:pPr>
      <w:r w:rsidRPr="004D6D06">
        <w:rPr>
          <w:szCs w:val="22"/>
          <w:u w:val="single"/>
        </w:rPr>
        <w:t>Iscover 75 mg filmtablet</w:t>
      </w:r>
      <w:r>
        <w:rPr>
          <w:szCs w:val="22"/>
          <w:u w:val="single"/>
        </w:rPr>
        <w:t>ta</w:t>
      </w:r>
    </w:p>
    <w:p w:rsidR="00122217" w:rsidRPr="008D2CB3" w:rsidRDefault="00592ECB" w:rsidP="001E7729">
      <w:r w:rsidRPr="008D2CB3">
        <w:t xml:space="preserve">7, </w:t>
      </w:r>
      <w:r w:rsidR="00A90450" w:rsidRPr="008D2CB3">
        <w:t xml:space="preserve">14, 28, 30, 84, 90 és 100 filmtablettát tartalmazó </w:t>
      </w:r>
      <w:r w:rsidR="00122217" w:rsidRPr="008D2CB3">
        <w:t xml:space="preserve">PVC/PVDC/Alumínium </w:t>
      </w:r>
      <w:r w:rsidR="00A90450" w:rsidRPr="008D2CB3">
        <w:t>buborék</w:t>
      </w:r>
      <w:r w:rsidR="00FB1F77" w:rsidRPr="008D2CB3">
        <w:t>csomagolásban</w:t>
      </w:r>
      <w:r w:rsidR="00A90450" w:rsidRPr="008D2CB3">
        <w:t xml:space="preserve"> </w:t>
      </w:r>
      <w:r w:rsidR="00122217" w:rsidRPr="008D2CB3">
        <w:t xml:space="preserve">vagy alumínium </w:t>
      </w:r>
      <w:r w:rsidR="00A90450" w:rsidRPr="008D2CB3">
        <w:t>buborék</w:t>
      </w:r>
      <w:r w:rsidR="00FB1F77" w:rsidRPr="008D2CB3">
        <w:t>csomagolásban</w:t>
      </w:r>
      <w:r w:rsidR="00122217" w:rsidRPr="008D2CB3">
        <w:t>, dobozban.</w:t>
      </w:r>
    </w:p>
    <w:p w:rsidR="00A90450" w:rsidRPr="008D2CB3" w:rsidRDefault="00A90450" w:rsidP="001E7729">
      <w:pPr>
        <w:ind w:left="708" w:hanging="708"/>
        <w:rPr>
          <w:szCs w:val="22"/>
        </w:rPr>
      </w:pPr>
    </w:p>
    <w:p w:rsidR="002621C1" w:rsidRPr="008D2CB3" w:rsidRDefault="002621C1" w:rsidP="001E7729">
      <w:r w:rsidRPr="008D2CB3">
        <w:t>50 × 1 filmtablett</w:t>
      </w:r>
      <w:r w:rsidR="00C85EE8" w:rsidRPr="008D2CB3">
        <w:t>át</w:t>
      </w:r>
      <w:r w:rsidRPr="008D2CB3">
        <w:t xml:space="preserve"> </w:t>
      </w:r>
      <w:r w:rsidR="00C85EE8" w:rsidRPr="008D2CB3">
        <w:t xml:space="preserve">tartalmazó </w:t>
      </w:r>
      <w:r w:rsidR="00E1030B">
        <w:t>egységadagos</w:t>
      </w:r>
      <w:r w:rsidRPr="008D2CB3">
        <w:t xml:space="preserve"> PVC/PVDC/alumínium buborék</w:t>
      </w:r>
      <w:r w:rsidR="00FB1F77" w:rsidRPr="008D2CB3">
        <w:t>csomagolásban</w:t>
      </w:r>
      <w:r w:rsidRPr="008D2CB3">
        <w:t xml:space="preserve"> vagy alumínium buborék</w:t>
      </w:r>
      <w:r w:rsidR="00FB1F77" w:rsidRPr="008D2CB3">
        <w:t>csomagolásban</w:t>
      </w:r>
      <w:r w:rsidR="00C85EE8" w:rsidRPr="008D2CB3">
        <w:t>,</w:t>
      </w:r>
      <w:r w:rsidRPr="008D2CB3">
        <w:t xml:space="preserve"> dobozban.</w:t>
      </w:r>
    </w:p>
    <w:p w:rsidR="004D6D06" w:rsidRDefault="004D6D06" w:rsidP="001E7729">
      <w:pPr>
        <w:rPr>
          <w:b/>
          <w:szCs w:val="22"/>
        </w:rPr>
      </w:pPr>
    </w:p>
    <w:p w:rsidR="004D6D06" w:rsidRPr="004D6D06" w:rsidRDefault="004D6D06" w:rsidP="001E7729">
      <w:pPr>
        <w:ind w:right="-29"/>
        <w:rPr>
          <w:szCs w:val="22"/>
          <w:u w:val="single"/>
        </w:rPr>
      </w:pPr>
      <w:r w:rsidRPr="004D6D06">
        <w:rPr>
          <w:szCs w:val="22"/>
          <w:u w:val="single"/>
        </w:rPr>
        <w:t xml:space="preserve">Iscover </w:t>
      </w:r>
      <w:r>
        <w:rPr>
          <w:szCs w:val="22"/>
          <w:u w:val="single"/>
        </w:rPr>
        <w:t>300</w:t>
      </w:r>
      <w:r w:rsidRPr="004D6D06">
        <w:rPr>
          <w:szCs w:val="22"/>
          <w:u w:val="single"/>
        </w:rPr>
        <w:t xml:space="preserve"> mg filmtablet</w:t>
      </w:r>
      <w:r>
        <w:rPr>
          <w:szCs w:val="22"/>
          <w:u w:val="single"/>
        </w:rPr>
        <w:t>ta</w:t>
      </w:r>
    </w:p>
    <w:p w:rsidR="004D6D06" w:rsidRDefault="004D6D06" w:rsidP="001E7729">
      <w:pPr>
        <w:rPr>
          <w:b/>
          <w:szCs w:val="22"/>
        </w:rPr>
      </w:pPr>
      <w:r w:rsidRPr="008D2CB3">
        <w:t xml:space="preserve">4 × 1, 10 × 1, 30 × 1 és 100 × 1 filmtabletta </w:t>
      </w:r>
      <w:r w:rsidR="00E1030B">
        <w:t>egységadagos</w:t>
      </w:r>
      <w:r w:rsidRPr="008D2CB3">
        <w:t xml:space="preserve"> alumínium buborékcsomagolást tartalmazó dobozban.</w:t>
      </w:r>
    </w:p>
    <w:p w:rsidR="00A90450" w:rsidRPr="008D2CB3" w:rsidRDefault="00A90450" w:rsidP="001E7729">
      <w:pPr>
        <w:ind w:left="708" w:hanging="708"/>
        <w:rPr>
          <w:szCs w:val="22"/>
        </w:rPr>
      </w:pPr>
    </w:p>
    <w:p w:rsidR="00122217" w:rsidRPr="008D2CB3" w:rsidRDefault="00122217" w:rsidP="001E7729">
      <w:pPr>
        <w:ind w:left="708" w:hanging="708"/>
        <w:rPr>
          <w:szCs w:val="22"/>
        </w:rPr>
      </w:pPr>
      <w:r w:rsidRPr="008D2CB3">
        <w:rPr>
          <w:szCs w:val="22"/>
        </w:rPr>
        <w:t>Nem feltétlenül mindegyik kiszerelés kerül kereskedelmi forgalomba.</w:t>
      </w:r>
    </w:p>
    <w:p w:rsidR="00122217" w:rsidRPr="008D2CB3" w:rsidRDefault="00122217" w:rsidP="001E7729">
      <w:pPr>
        <w:ind w:left="708" w:hanging="708"/>
        <w:rPr>
          <w:szCs w:val="22"/>
        </w:rPr>
      </w:pPr>
    </w:p>
    <w:p w:rsidR="00122217" w:rsidRPr="008D2CB3" w:rsidRDefault="00122217" w:rsidP="001E7729">
      <w:pPr>
        <w:keepNext/>
        <w:spacing w:line="260" w:lineRule="atLeast"/>
        <w:rPr>
          <w:b/>
          <w:szCs w:val="22"/>
        </w:rPr>
      </w:pPr>
      <w:r w:rsidRPr="008D2CB3">
        <w:rPr>
          <w:b/>
          <w:szCs w:val="22"/>
        </w:rPr>
        <w:t>6.6</w:t>
      </w:r>
      <w:r w:rsidRPr="008D2CB3">
        <w:rPr>
          <w:b/>
          <w:szCs w:val="22"/>
        </w:rPr>
        <w:tab/>
        <w:t>A megsemmisítésre vonatkozó különleges óvintézkedések</w:t>
      </w:r>
    </w:p>
    <w:p w:rsidR="00122217" w:rsidRPr="008D2CB3" w:rsidRDefault="00122217" w:rsidP="001E7729">
      <w:pPr>
        <w:keepNext/>
        <w:spacing w:line="260" w:lineRule="atLeast"/>
        <w:ind w:left="567" w:hanging="567"/>
        <w:rPr>
          <w:szCs w:val="22"/>
        </w:rPr>
      </w:pPr>
    </w:p>
    <w:p w:rsidR="00122217" w:rsidRPr="008D2CB3" w:rsidRDefault="00530AFF" w:rsidP="001E7729">
      <w:pPr>
        <w:keepNext/>
        <w:rPr>
          <w:b/>
          <w:caps/>
          <w:szCs w:val="22"/>
        </w:rPr>
      </w:pPr>
      <w:r w:rsidRPr="008D2CB3">
        <w:rPr>
          <w:noProof/>
        </w:rPr>
        <w:t xml:space="preserve">Bármilyen fel nem használt </w:t>
      </w:r>
      <w:r w:rsidR="00B353AF">
        <w:rPr>
          <w:noProof/>
        </w:rPr>
        <w:t>gyógyszer</w:t>
      </w:r>
      <w:r w:rsidRPr="008D2CB3">
        <w:rPr>
          <w:noProof/>
        </w:rPr>
        <w:t xml:space="preserve">, illetve hulladékanyag megsemmisítését a </w:t>
      </w:r>
      <w:r w:rsidR="00B353AF" w:rsidRPr="00F86A77">
        <w:rPr>
          <w:noProof/>
          <w:szCs w:val="24"/>
        </w:rPr>
        <w:t>gyógyszerekre vonatkozó</w:t>
      </w:r>
      <w:r w:rsidRPr="008D2CB3">
        <w:rPr>
          <w:noProof/>
        </w:rPr>
        <w:t xml:space="preserve"> előírások szerint kell végrehajtani.</w:t>
      </w:r>
    </w:p>
    <w:p w:rsidR="00122217" w:rsidRPr="008D2CB3" w:rsidRDefault="00122217" w:rsidP="001E7729">
      <w:pPr>
        <w:rPr>
          <w:b/>
          <w:caps/>
          <w:szCs w:val="22"/>
        </w:rPr>
      </w:pPr>
    </w:p>
    <w:p w:rsidR="000937A4" w:rsidRPr="008D2CB3" w:rsidRDefault="000937A4" w:rsidP="001E7729">
      <w:pPr>
        <w:rPr>
          <w:b/>
          <w:caps/>
          <w:szCs w:val="22"/>
        </w:rPr>
      </w:pPr>
    </w:p>
    <w:p w:rsidR="00122217" w:rsidRPr="008D2CB3" w:rsidRDefault="00122217" w:rsidP="001E7729">
      <w:pPr>
        <w:keepNext/>
        <w:numPr>
          <w:ilvl w:val="0"/>
          <w:numId w:val="12"/>
        </w:numPr>
        <w:tabs>
          <w:tab w:val="clear" w:pos="1065"/>
          <w:tab w:val="left" w:pos="567"/>
        </w:tabs>
        <w:ind w:left="0" w:firstLine="0"/>
        <w:rPr>
          <w:b/>
          <w:caps/>
          <w:szCs w:val="22"/>
        </w:rPr>
      </w:pPr>
      <w:r w:rsidRPr="008D2CB3">
        <w:rPr>
          <w:b/>
          <w:caps/>
          <w:szCs w:val="22"/>
        </w:rPr>
        <w:t>A Forgalombahozatali engedély jogosultja</w:t>
      </w:r>
    </w:p>
    <w:p w:rsidR="00122217" w:rsidRPr="008D2CB3" w:rsidRDefault="00122217" w:rsidP="001E7729">
      <w:pPr>
        <w:keepNext/>
        <w:rPr>
          <w:b/>
          <w:caps/>
          <w:szCs w:val="22"/>
        </w:rPr>
      </w:pPr>
    </w:p>
    <w:p w:rsidR="00AB3FB1" w:rsidRPr="0008524E" w:rsidRDefault="00FE7B46" w:rsidP="001E7729">
      <w:pPr>
        <w:keepNext/>
        <w:rPr>
          <w:szCs w:val="22"/>
          <w:lang w:val="fr-FR"/>
        </w:rPr>
      </w:pPr>
      <w:r>
        <w:rPr>
          <w:szCs w:val="22"/>
          <w:lang w:val="fr-FR"/>
        </w:rPr>
        <w:t>sanofi-aventis g</w:t>
      </w:r>
      <w:r w:rsidR="00AB3FB1" w:rsidRPr="0008524E">
        <w:rPr>
          <w:szCs w:val="22"/>
          <w:lang w:val="fr-FR"/>
        </w:rPr>
        <w:t>roupe</w:t>
      </w:r>
    </w:p>
    <w:p w:rsidR="00AB3FB1" w:rsidRPr="0008524E" w:rsidRDefault="00AB3FB1" w:rsidP="001E7729">
      <w:pPr>
        <w:rPr>
          <w:szCs w:val="22"/>
          <w:lang w:val="fr-FR"/>
        </w:rPr>
      </w:pPr>
      <w:r w:rsidRPr="0008524E">
        <w:rPr>
          <w:szCs w:val="22"/>
          <w:lang w:val="fr-FR"/>
        </w:rPr>
        <w:t>54, rue La Boétie</w:t>
      </w:r>
    </w:p>
    <w:p w:rsidR="00AB3FB1" w:rsidRDefault="00AB3FB1" w:rsidP="001E7729">
      <w:pPr>
        <w:rPr>
          <w:szCs w:val="22"/>
          <w:lang w:val="fr-FR"/>
        </w:rPr>
      </w:pPr>
      <w:r>
        <w:rPr>
          <w:szCs w:val="22"/>
          <w:lang w:val="fr-FR"/>
        </w:rPr>
        <w:t>F-75008 Paris</w:t>
      </w:r>
    </w:p>
    <w:p w:rsidR="00AB3FB1" w:rsidRDefault="00AB3FB1" w:rsidP="001E7729">
      <w:pPr>
        <w:tabs>
          <w:tab w:val="left" w:pos="567"/>
        </w:tabs>
        <w:ind w:left="142" w:hanging="142"/>
        <w:rPr>
          <w:szCs w:val="22"/>
        </w:rPr>
      </w:pPr>
      <w:r>
        <w:rPr>
          <w:szCs w:val="22"/>
        </w:rPr>
        <w:t>Franciaország</w:t>
      </w:r>
    </w:p>
    <w:p w:rsidR="000C0C89" w:rsidRPr="008D2CB3" w:rsidRDefault="000C0C89" w:rsidP="001E7729">
      <w:pPr>
        <w:tabs>
          <w:tab w:val="left" w:pos="567"/>
        </w:tabs>
        <w:ind w:left="142" w:hanging="142"/>
        <w:rPr>
          <w:b/>
          <w:szCs w:val="22"/>
        </w:rPr>
      </w:pPr>
    </w:p>
    <w:p w:rsidR="000C0C89" w:rsidRPr="008D2CB3" w:rsidRDefault="000C0C89" w:rsidP="001E7729">
      <w:pPr>
        <w:tabs>
          <w:tab w:val="left" w:pos="567"/>
        </w:tabs>
        <w:ind w:left="142" w:hanging="142"/>
        <w:rPr>
          <w:b/>
          <w:szCs w:val="22"/>
        </w:rPr>
      </w:pPr>
    </w:p>
    <w:p w:rsidR="00122217" w:rsidRPr="008D2CB3" w:rsidRDefault="00583604" w:rsidP="001E7729">
      <w:pPr>
        <w:keepNext/>
        <w:tabs>
          <w:tab w:val="left" w:pos="567"/>
        </w:tabs>
        <w:ind w:left="142" w:hanging="142"/>
        <w:rPr>
          <w:b/>
          <w:szCs w:val="22"/>
        </w:rPr>
      </w:pPr>
      <w:r w:rsidRPr="008D2CB3">
        <w:rPr>
          <w:b/>
          <w:szCs w:val="22"/>
        </w:rPr>
        <w:t>8.</w:t>
      </w:r>
      <w:r w:rsidRPr="008D2CB3">
        <w:rPr>
          <w:b/>
          <w:szCs w:val="22"/>
        </w:rPr>
        <w:tab/>
      </w:r>
      <w:r w:rsidR="00122217" w:rsidRPr="008D2CB3">
        <w:rPr>
          <w:b/>
          <w:szCs w:val="22"/>
        </w:rPr>
        <w:t>A FORGALOMBA HOZATALI ENGEDÉLY SZÁMA(I)</w:t>
      </w:r>
    </w:p>
    <w:p w:rsidR="00122217" w:rsidRPr="008D2CB3" w:rsidRDefault="00122217" w:rsidP="001E7729">
      <w:pPr>
        <w:keepNext/>
        <w:rPr>
          <w:b/>
          <w:szCs w:val="22"/>
        </w:rPr>
      </w:pPr>
    </w:p>
    <w:p w:rsidR="004D6D06" w:rsidRPr="004D6D06" w:rsidRDefault="004D6D06" w:rsidP="001E7729">
      <w:pPr>
        <w:ind w:right="-29"/>
        <w:rPr>
          <w:szCs w:val="22"/>
          <w:u w:val="single"/>
        </w:rPr>
      </w:pPr>
      <w:r w:rsidRPr="004D6D06">
        <w:rPr>
          <w:szCs w:val="22"/>
          <w:u w:val="single"/>
        </w:rPr>
        <w:t>Iscover 75 mg filmtablet</w:t>
      </w:r>
      <w:r>
        <w:rPr>
          <w:szCs w:val="22"/>
          <w:u w:val="single"/>
        </w:rPr>
        <w:t>ta</w:t>
      </w:r>
    </w:p>
    <w:p w:rsidR="002C0C2F" w:rsidRPr="008D2CB3" w:rsidRDefault="002C0C2F" w:rsidP="001E7729">
      <w:pPr>
        <w:keepNext/>
        <w:rPr>
          <w:bCs/>
          <w:szCs w:val="22"/>
        </w:rPr>
      </w:pPr>
      <w:r w:rsidRPr="008D2CB3">
        <w:rPr>
          <w:bCs/>
          <w:szCs w:val="22"/>
        </w:rPr>
        <w:t xml:space="preserve">EU/1/98/070/001 - 28 filmtabletta PVC/PVDC/Alu </w:t>
      </w:r>
      <w:r w:rsidRPr="008D2CB3">
        <w:t>buborékcsomagolásban</w:t>
      </w:r>
      <w:r w:rsidRPr="008D2CB3">
        <w:rPr>
          <w:bCs/>
          <w:szCs w:val="22"/>
        </w:rPr>
        <w:t xml:space="preserve"> dobozonként</w:t>
      </w:r>
    </w:p>
    <w:p w:rsidR="002C0C2F" w:rsidRPr="008D2CB3" w:rsidRDefault="002C0C2F" w:rsidP="001E7729">
      <w:pPr>
        <w:rPr>
          <w:bCs/>
          <w:szCs w:val="22"/>
        </w:rPr>
      </w:pPr>
      <w:r w:rsidRPr="008D2CB3">
        <w:rPr>
          <w:bCs/>
          <w:szCs w:val="22"/>
        </w:rPr>
        <w:t xml:space="preserve">EU/1/98/070/002 – 50 × 1 filmtabletta PVC/PVDC/Alu </w:t>
      </w:r>
      <w:r w:rsidRPr="008D2CB3">
        <w:t>buborékcsomagolásban</w:t>
      </w:r>
      <w:r w:rsidRPr="008D2CB3">
        <w:rPr>
          <w:bCs/>
          <w:szCs w:val="22"/>
        </w:rPr>
        <w:t xml:space="preserve"> dobozonként</w:t>
      </w:r>
    </w:p>
    <w:p w:rsidR="002C0C2F" w:rsidRPr="008D2CB3" w:rsidRDefault="002C0C2F" w:rsidP="001E7729">
      <w:pPr>
        <w:rPr>
          <w:bCs/>
          <w:szCs w:val="22"/>
        </w:rPr>
      </w:pPr>
      <w:r w:rsidRPr="008D2CB3">
        <w:rPr>
          <w:bCs/>
          <w:szCs w:val="22"/>
        </w:rPr>
        <w:t xml:space="preserve">EU/1/98/070/003 - 84 filmtabletta PVC/PVDC/Alu </w:t>
      </w:r>
      <w:r w:rsidRPr="008D2CB3">
        <w:t>buborékcsomagolásban</w:t>
      </w:r>
      <w:r w:rsidRPr="008D2CB3">
        <w:rPr>
          <w:bCs/>
          <w:szCs w:val="22"/>
        </w:rPr>
        <w:t xml:space="preserve"> dobozonként</w:t>
      </w:r>
    </w:p>
    <w:p w:rsidR="002C0C2F" w:rsidRPr="008D2CB3" w:rsidRDefault="002C0C2F" w:rsidP="001E7729">
      <w:pPr>
        <w:rPr>
          <w:bCs/>
          <w:szCs w:val="22"/>
        </w:rPr>
      </w:pPr>
      <w:r w:rsidRPr="008D2CB3">
        <w:rPr>
          <w:bCs/>
          <w:szCs w:val="22"/>
        </w:rPr>
        <w:t xml:space="preserve">EU/1/98/070/004 - 100 filmtabletta PVC/PVDC/Alu </w:t>
      </w:r>
      <w:r w:rsidRPr="008D2CB3">
        <w:t>buborékcsomagolásban</w:t>
      </w:r>
      <w:r w:rsidRPr="008D2CB3">
        <w:rPr>
          <w:bCs/>
          <w:szCs w:val="22"/>
        </w:rPr>
        <w:t xml:space="preserve"> dobozonként</w:t>
      </w:r>
    </w:p>
    <w:p w:rsidR="002C0C2F" w:rsidRPr="008D2CB3" w:rsidRDefault="002C0C2F" w:rsidP="001E7729">
      <w:pPr>
        <w:ind w:right="-29"/>
      </w:pPr>
      <w:r w:rsidRPr="008D2CB3">
        <w:t>EU/1/98/070/005 - 30 filmtabletta PVC/PVDC/Alu buborékcsomagolásban dobozonként</w:t>
      </w:r>
    </w:p>
    <w:p w:rsidR="002C0C2F" w:rsidRPr="008D2CB3" w:rsidRDefault="002C0C2F" w:rsidP="001E7729">
      <w:pPr>
        <w:ind w:right="-29"/>
      </w:pPr>
      <w:r w:rsidRPr="008D2CB3">
        <w:t>EU/1/98/070/006 - 90 filmtabletta PVC/PVDC/Alu buborékcsomagolásban dobozonként</w:t>
      </w:r>
    </w:p>
    <w:p w:rsidR="002C0C2F" w:rsidRPr="008D2CB3" w:rsidRDefault="002C0C2F" w:rsidP="001E7729">
      <w:pPr>
        <w:ind w:right="-29"/>
      </w:pPr>
      <w:r w:rsidRPr="008D2CB3">
        <w:t>EU/1/98/070/007 - 14 filmtabletta PVC/PVDC/Alu buborékcsomagolásban dobozonként</w:t>
      </w:r>
    </w:p>
    <w:p w:rsidR="002C0C2F" w:rsidRPr="008D2CB3" w:rsidRDefault="002C0C2F" w:rsidP="001E7729">
      <w:pPr>
        <w:ind w:right="-29"/>
        <w:rPr>
          <w:szCs w:val="22"/>
        </w:rPr>
      </w:pPr>
      <w:r w:rsidRPr="008D2CB3">
        <w:rPr>
          <w:szCs w:val="22"/>
        </w:rPr>
        <w:t xml:space="preserve">EU/1/98/070/011 – 7 filmtabletta </w:t>
      </w:r>
      <w:r w:rsidRPr="008D2CB3">
        <w:t>PVC/PVDC/Alu buborékcsomagolásban dobozonként</w:t>
      </w:r>
    </w:p>
    <w:p w:rsidR="00974437" w:rsidRDefault="00974437" w:rsidP="00974437">
      <w:pPr>
        <w:ind w:right="-29"/>
        <w:rPr>
          <w:bCs/>
          <w:szCs w:val="22"/>
        </w:rPr>
      </w:pPr>
      <w:r>
        <w:rPr>
          <w:bCs/>
          <w:szCs w:val="22"/>
        </w:rPr>
        <w:t xml:space="preserve">EU/1/98/070/013 – 28 filmtabletta Alu/Alu </w:t>
      </w:r>
      <w:r>
        <w:t>buborékcsomagolásban</w:t>
      </w:r>
      <w:r>
        <w:rPr>
          <w:bCs/>
          <w:szCs w:val="22"/>
        </w:rPr>
        <w:t xml:space="preserve"> dobozonként</w:t>
      </w:r>
    </w:p>
    <w:p w:rsidR="00974437" w:rsidRDefault="00974437" w:rsidP="00974437">
      <w:pPr>
        <w:ind w:right="-29"/>
        <w:rPr>
          <w:bCs/>
          <w:szCs w:val="22"/>
        </w:rPr>
      </w:pPr>
      <w:r>
        <w:rPr>
          <w:bCs/>
          <w:szCs w:val="22"/>
        </w:rPr>
        <w:t xml:space="preserve">EU/1/98/070/014 – 50x1 filmtabletta Alu/Alu </w:t>
      </w:r>
      <w:r>
        <w:t>buborékcsomagolásban</w:t>
      </w:r>
      <w:r>
        <w:rPr>
          <w:bCs/>
          <w:szCs w:val="22"/>
        </w:rPr>
        <w:t xml:space="preserve"> dobozonként</w:t>
      </w:r>
    </w:p>
    <w:p w:rsidR="00974437" w:rsidRDefault="00974437" w:rsidP="00974437">
      <w:pPr>
        <w:ind w:right="-29"/>
        <w:rPr>
          <w:bCs/>
          <w:szCs w:val="22"/>
        </w:rPr>
      </w:pPr>
      <w:r>
        <w:rPr>
          <w:bCs/>
          <w:szCs w:val="22"/>
        </w:rPr>
        <w:t xml:space="preserve">EU/1/98/070/015 – 84 filmtabletta Alu/Alu </w:t>
      </w:r>
      <w:r>
        <w:t>buborékcsomagolásban</w:t>
      </w:r>
      <w:r>
        <w:rPr>
          <w:bCs/>
          <w:szCs w:val="22"/>
        </w:rPr>
        <w:t xml:space="preserve"> dobozonként</w:t>
      </w:r>
    </w:p>
    <w:p w:rsidR="00974437" w:rsidRDefault="00974437" w:rsidP="00974437">
      <w:pPr>
        <w:ind w:right="-29"/>
        <w:rPr>
          <w:bCs/>
          <w:szCs w:val="22"/>
        </w:rPr>
      </w:pPr>
      <w:r>
        <w:rPr>
          <w:bCs/>
          <w:szCs w:val="22"/>
        </w:rPr>
        <w:t xml:space="preserve">EU/1/98/070/016 – 100 filmtabletta Alu/Alu </w:t>
      </w:r>
      <w:r>
        <w:t>buborékcsomagolásban</w:t>
      </w:r>
      <w:r>
        <w:rPr>
          <w:bCs/>
          <w:szCs w:val="22"/>
        </w:rPr>
        <w:t xml:space="preserve"> dobozonként</w:t>
      </w:r>
    </w:p>
    <w:p w:rsidR="00974437" w:rsidRDefault="00974437" w:rsidP="00974437">
      <w:pPr>
        <w:ind w:right="-29"/>
        <w:rPr>
          <w:bCs/>
          <w:szCs w:val="22"/>
        </w:rPr>
      </w:pPr>
      <w:r>
        <w:rPr>
          <w:bCs/>
          <w:szCs w:val="22"/>
        </w:rPr>
        <w:t xml:space="preserve">EU/1/98/070/017 – 30 filmtabletta Alu/Alu </w:t>
      </w:r>
      <w:r>
        <w:t>buborékcsomagolásban</w:t>
      </w:r>
      <w:r>
        <w:rPr>
          <w:bCs/>
          <w:szCs w:val="22"/>
        </w:rPr>
        <w:t xml:space="preserve"> dobozonként</w:t>
      </w:r>
    </w:p>
    <w:p w:rsidR="00974437" w:rsidRDefault="00974437" w:rsidP="00974437">
      <w:pPr>
        <w:ind w:right="-29"/>
        <w:rPr>
          <w:bCs/>
          <w:szCs w:val="22"/>
        </w:rPr>
      </w:pPr>
      <w:r>
        <w:rPr>
          <w:bCs/>
          <w:szCs w:val="22"/>
        </w:rPr>
        <w:t xml:space="preserve">EU/1/98/070/018 – 90 filmtabletta Alu/Alu </w:t>
      </w:r>
      <w:r>
        <w:t>buborékcsomagolásban</w:t>
      </w:r>
      <w:r>
        <w:rPr>
          <w:bCs/>
          <w:szCs w:val="22"/>
        </w:rPr>
        <w:t xml:space="preserve"> dobozonként</w:t>
      </w:r>
    </w:p>
    <w:p w:rsidR="00974437" w:rsidRDefault="00974437" w:rsidP="00974437">
      <w:pPr>
        <w:ind w:right="-29"/>
        <w:rPr>
          <w:bCs/>
          <w:szCs w:val="22"/>
        </w:rPr>
      </w:pPr>
      <w:r>
        <w:rPr>
          <w:bCs/>
          <w:szCs w:val="22"/>
        </w:rPr>
        <w:t xml:space="preserve">EU/1/98/070/019 – 14 filmtabletta Alu/Alu </w:t>
      </w:r>
      <w:r>
        <w:t>buborékcsomagolásban</w:t>
      </w:r>
      <w:r>
        <w:rPr>
          <w:bCs/>
          <w:szCs w:val="22"/>
        </w:rPr>
        <w:t xml:space="preserve"> dobozonként</w:t>
      </w:r>
    </w:p>
    <w:p w:rsidR="00122217" w:rsidRDefault="00974437" w:rsidP="00974437">
      <w:pPr>
        <w:jc w:val="both"/>
        <w:rPr>
          <w:bCs/>
          <w:szCs w:val="22"/>
        </w:rPr>
      </w:pPr>
      <w:r>
        <w:rPr>
          <w:bCs/>
          <w:szCs w:val="22"/>
        </w:rPr>
        <w:t xml:space="preserve">EU/1/98/070/020 – 7 filmtabletta Alu/Alu </w:t>
      </w:r>
      <w:r>
        <w:t>buborékcsomagolásban</w:t>
      </w:r>
      <w:r>
        <w:rPr>
          <w:bCs/>
          <w:szCs w:val="22"/>
        </w:rPr>
        <w:t xml:space="preserve"> dobozonként</w:t>
      </w:r>
    </w:p>
    <w:p w:rsidR="00974437" w:rsidRDefault="00974437" w:rsidP="00974437">
      <w:pPr>
        <w:jc w:val="both"/>
      </w:pPr>
    </w:p>
    <w:p w:rsidR="004D6D06" w:rsidRPr="004D6D06" w:rsidRDefault="004D6D06" w:rsidP="00D16754">
      <w:pPr>
        <w:keepNext/>
        <w:ind w:right="-28"/>
        <w:rPr>
          <w:szCs w:val="22"/>
          <w:u w:val="single"/>
        </w:rPr>
      </w:pPr>
      <w:r w:rsidRPr="004D6D06">
        <w:rPr>
          <w:szCs w:val="22"/>
          <w:u w:val="single"/>
        </w:rPr>
        <w:t xml:space="preserve">Iscover </w:t>
      </w:r>
      <w:r>
        <w:rPr>
          <w:szCs w:val="22"/>
          <w:u w:val="single"/>
        </w:rPr>
        <w:t>300</w:t>
      </w:r>
      <w:r w:rsidRPr="004D6D06">
        <w:rPr>
          <w:szCs w:val="22"/>
          <w:u w:val="single"/>
        </w:rPr>
        <w:t xml:space="preserve"> mg filmtablet</w:t>
      </w:r>
      <w:r>
        <w:rPr>
          <w:szCs w:val="22"/>
          <w:u w:val="single"/>
        </w:rPr>
        <w:t>ta</w:t>
      </w:r>
    </w:p>
    <w:p w:rsidR="004D6D06" w:rsidRPr="008D2CB3" w:rsidRDefault="004D6D06" w:rsidP="001E7729">
      <w:pPr>
        <w:keepNext/>
        <w:keepLines/>
      </w:pPr>
      <w:r w:rsidRPr="008D2CB3">
        <w:t xml:space="preserve">EU/1/98/070/008 </w:t>
      </w:r>
      <w:r w:rsidR="005E3DA5">
        <w:rPr>
          <w:bCs/>
          <w:szCs w:val="22"/>
        </w:rPr>
        <w:t>–</w:t>
      </w:r>
      <w:r w:rsidRPr="008D2CB3">
        <w:t xml:space="preserve"> 4×1 filmtabletta </w:t>
      </w:r>
      <w:r w:rsidR="00E1030B">
        <w:t>egységadagos</w:t>
      </w:r>
      <w:r w:rsidRPr="008D2CB3">
        <w:t xml:space="preserve"> alumínium buborékcsomagolásban, dobozban</w:t>
      </w:r>
    </w:p>
    <w:p w:rsidR="004D6D06" w:rsidRPr="008D2CB3" w:rsidRDefault="004D6D06" w:rsidP="001E7729">
      <w:pPr>
        <w:keepNext/>
        <w:keepLines/>
      </w:pPr>
      <w:r w:rsidRPr="008D2CB3">
        <w:t xml:space="preserve">EU/1/98/070/009 </w:t>
      </w:r>
      <w:r w:rsidR="005E3DA5">
        <w:rPr>
          <w:bCs/>
          <w:szCs w:val="22"/>
        </w:rPr>
        <w:t xml:space="preserve">– </w:t>
      </w:r>
      <w:r w:rsidRPr="008D2CB3">
        <w:t xml:space="preserve">30×1 filmtabletta </w:t>
      </w:r>
      <w:r w:rsidR="00E1030B">
        <w:t>egységadagos</w:t>
      </w:r>
      <w:r w:rsidRPr="008D2CB3">
        <w:t xml:space="preserve"> alumínium buborékcsomagolásban, dobozban</w:t>
      </w:r>
    </w:p>
    <w:p w:rsidR="004D6D06" w:rsidRPr="008D2CB3" w:rsidRDefault="004D6D06" w:rsidP="001E7729">
      <w:pPr>
        <w:keepNext/>
        <w:keepLines/>
      </w:pPr>
      <w:r w:rsidRPr="008D2CB3">
        <w:t xml:space="preserve">EU/1/98/070/010 </w:t>
      </w:r>
      <w:r w:rsidR="005E3DA5">
        <w:rPr>
          <w:bCs/>
          <w:szCs w:val="22"/>
        </w:rPr>
        <w:t xml:space="preserve">– </w:t>
      </w:r>
      <w:r w:rsidRPr="008D2CB3">
        <w:t xml:space="preserve">100×1 filmtabletta </w:t>
      </w:r>
      <w:r w:rsidR="00E1030B">
        <w:t>egységadagos</w:t>
      </w:r>
      <w:r w:rsidRPr="008D2CB3">
        <w:t xml:space="preserve"> alumínium buborékcsomagolásban, dobozban</w:t>
      </w:r>
    </w:p>
    <w:p w:rsidR="004D6D06" w:rsidRDefault="004D6D06" w:rsidP="001E7729">
      <w:r w:rsidRPr="008D2CB3">
        <w:t xml:space="preserve">EU/1/98/070/012 </w:t>
      </w:r>
      <w:r w:rsidR="005E3DA5">
        <w:rPr>
          <w:bCs/>
          <w:szCs w:val="22"/>
        </w:rPr>
        <w:t>–</w:t>
      </w:r>
      <w:r w:rsidRPr="008D2CB3">
        <w:t xml:space="preserve"> 10×1 filmtabletta </w:t>
      </w:r>
      <w:r w:rsidR="00E1030B">
        <w:t>egységadagos</w:t>
      </w:r>
      <w:r w:rsidRPr="008D2CB3">
        <w:t xml:space="preserve"> alumínium buborékcsomagolásban, dobozban</w:t>
      </w:r>
      <w:r>
        <w:t>.</w:t>
      </w:r>
    </w:p>
    <w:p w:rsidR="004D6D06" w:rsidRPr="008D2CB3" w:rsidRDefault="004D6D06" w:rsidP="001E7729">
      <w:pPr>
        <w:jc w:val="both"/>
      </w:pPr>
    </w:p>
    <w:p w:rsidR="00122217" w:rsidRPr="008D2CB3" w:rsidRDefault="00122217" w:rsidP="001E7729">
      <w:pPr>
        <w:rPr>
          <w:b/>
          <w:szCs w:val="22"/>
        </w:rPr>
      </w:pPr>
    </w:p>
    <w:p w:rsidR="00122217" w:rsidRPr="008D2CB3" w:rsidRDefault="00122217" w:rsidP="001E7729">
      <w:pPr>
        <w:pStyle w:val="BodyText"/>
        <w:ind w:left="564" w:hanging="564"/>
      </w:pPr>
      <w:r w:rsidRPr="008D2CB3">
        <w:t>9.</w:t>
      </w:r>
      <w:r w:rsidRPr="008D2CB3">
        <w:tab/>
        <w:t>A FORGALOMBA HOZATALI ENGEDÉLY ELSŐ KIADÁSÁNAK/ MEGÚJÍTÁSÁNAK DÁTUMA</w:t>
      </w:r>
    </w:p>
    <w:p w:rsidR="00122217" w:rsidRPr="008D2CB3" w:rsidRDefault="00122217" w:rsidP="001E7729">
      <w:pPr>
        <w:tabs>
          <w:tab w:val="left" w:pos="142"/>
        </w:tabs>
        <w:spacing w:line="260" w:lineRule="atLeast"/>
        <w:ind w:left="567" w:hanging="567"/>
        <w:rPr>
          <w:szCs w:val="22"/>
        </w:rPr>
      </w:pPr>
    </w:p>
    <w:p w:rsidR="000920D5" w:rsidRPr="008D2CB3" w:rsidRDefault="000920D5" w:rsidP="001E7729">
      <w:pPr>
        <w:spacing w:line="260" w:lineRule="atLeast"/>
        <w:rPr>
          <w:szCs w:val="22"/>
        </w:rPr>
      </w:pPr>
      <w:r w:rsidRPr="008D2CB3">
        <w:rPr>
          <w:szCs w:val="22"/>
        </w:rPr>
        <w:t>A</w:t>
      </w:r>
      <w:r w:rsidR="00B353AF">
        <w:rPr>
          <w:szCs w:val="22"/>
        </w:rPr>
        <w:t xml:space="preserve"> forgalomba hozatali</w:t>
      </w:r>
      <w:r w:rsidRPr="008D2CB3">
        <w:rPr>
          <w:szCs w:val="22"/>
        </w:rPr>
        <w:t xml:space="preserve"> engedély első kiadásának dátuma 1998. július 15.</w:t>
      </w:r>
    </w:p>
    <w:p w:rsidR="009E6FEF" w:rsidRDefault="009E6FEF" w:rsidP="009E6FEF">
      <w:pPr>
        <w:spacing w:line="260" w:lineRule="atLeast"/>
        <w:rPr>
          <w:szCs w:val="22"/>
        </w:rPr>
      </w:pPr>
      <w:r>
        <w:rPr>
          <w:szCs w:val="22"/>
        </w:rPr>
        <w:t>A forgalomba hozatali engedély legutóbbi megújításának dátuma: 2008. június 19.</w:t>
      </w:r>
    </w:p>
    <w:p w:rsidR="00122217" w:rsidRPr="008D2CB3" w:rsidRDefault="00122217" w:rsidP="001E7729">
      <w:pPr>
        <w:tabs>
          <w:tab w:val="left" w:pos="142"/>
        </w:tabs>
        <w:spacing w:line="260" w:lineRule="atLeast"/>
        <w:ind w:left="567" w:hanging="567"/>
        <w:rPr>
          <w:szCs w:val="22"/>
        </w:rPr>
      </w:pPr>
    </w:p>
    <w:p w:rsidR="00122217" w:rsidRPr="008D2CB3" w:rsidRDefault="00122217" w:rsidP="001E7729">
      <w:pPr>
        <w:tabs>
          <w:tab w:val="left" w:pos="142"/>
        </w:tabs>
        <w:spacing w:line="260" w:lineRule="atLeast"/>
        <w:ind w:left="567" w:hanging="567"/>
        <w:rPr>
          <w:szCs w:val="22"/>
        </w:rPr>
      </w:pPr>
    </w:p>
    <w:p w:rsidR="00122217" w:rsidRPr="008D2CB3" w:rsidRDefault="00122217" w:rsidP="001E7729">
      <w:pPr>
        <w:keepNext/>
        <w:ind w:left="567" w:hanging="567"/>
        <w:rPr>
          <w:b/>
        </w:rPr>
      </w:pPr>
      <w:r w:rsidRPr="008D2CB3">
        <w:rPr>
          <w:b/>
        </w:rPr>
        <w:t>10.</w:t>
      </w:r>
      <w:r w:rsidRPr="008D2CB3">
        <w:rPr>
          <w:b/>
        </w:rPr>
        <w:tab/>
        <w:t>A SZÖVEG ELLENŐRZÉSÉNEK DÁTUMA</w:t>
      </w:r>
    </w:p>
    <w:p w:rsidR="00122217" w:rsidRDefault="00122217" w:rsidP="001E7729">
      <w:pPr>
        <w:keepNext/>
        <w:spacing w:line="260" w:lineRule="atLeast"/>
        <w:jc w:val="both"/>
      </w:pPr>
    </w:p>
    <w:p w:rsidR="00B353AF" w:rsidRDefault="00B353AF" w:rsidP="001E7729">
      <w:pPr>
        <w:keepNext/>
        <w:spacing w:line="260" w:lineRule="atLeast"/>
        <w:jc w:val="both"/>
        <w:rPr>
          <w:noProof/>
          <w:szCs w:val="24"/>
          <w:lang w:val="da-DK"/>
        </w:rPr>
      </w:pPr>
      <w:r w:rsidRPr="00C27FBA">
        <w:rPr>
          <w:noProof/>
          <w:szCs w:val="24"/>
          <w:lang w:val="da-DK"/>
        </w:rPr>
        <w:t>&lt;ÉÉÉÉ.HH.NN.&gt;</w:t>
      </w:r>
    </w:p>
    <w:p w:rsidR="00B353AF" w:rsidRPr="008D2CB3" w:rsidRDefault="00B353AF" w:rsidP="001E7729">
      <w:pPr>
        <w:keepNext/>
        <w:spacing w:line="260" w:lineRule="atLeast"/>
        <w:jc w:val="both"/>
      </w:pPr>
    </w:p>
    <w:p w:rsidR="00A55BB5" w:rsidRDefault="00122217" w:rsidP="001E7729">
      <w:pPr>
        <w:keepNext/>
        <w:rPr>
          <w:iCs/>
          <w:noProof/>
          <w:szCs w:val="22"/>
        </w:rPr>
      </w:pPr>
      <w:r w:rsidRPr="008D2CB3">
        <w:rPr>
          <w:noProof/>
          <w:szCs w:val="22"/>
        </w:rPr>
        <w:t>A gyógyszerről részletes információ az Európai Gyógyszerügynökség internetes honlapján (</w:t>
      </w:r>
      <w:hyperlink r:id="rId12" w:history="1">
        <w:r w:rsidR="00A55BB5" w:rsidRPr="00C654C3">
          <w:rPr>
            <w:rStyle w:val="Hyperlink"/>
            <w:bCs/>
            <w:szCs w:val="22"/>
          </w:rPr>
          <w:t>http://www.ema.europa.eu/</w:t>
        </w:r>
      </w:hyperlink>
      <w:r w:rsidRPr="008D2CB3">
        <w:rPr>
          <w:iCs/>
          <w:noProof/>
          <w:szCs w:val="22"/>
        </w:rPr>
        <w:t>) található.</w:t>
      </w:r>
    </w:p>
    <w:p w:rsidR="00D239A0" w:rsidRDefault="00D239A0" w:rsidP="001E7729">
      <w:pPr>
        <w:keepNext/>
        <w:rPr>
          <w:iCs/>
          <w:noProof/>
          <w:szCs w:val="22"/>
        </w:rPr>
      </w:pPr>
    </w:p>
    <w:p w:rsidR="00122217" w:rsidRPr="008D2CB3" w:rsidRDefault="00FA6CA4" w:rsidP="001E7729">
      <w:pPr>
        <w:keepNext/>
        <w:rPr>
          <w:b/>
        </w:rPr>
      </w:pPr>
      <w:r w:rsidRPr="008D2CB3">
        <w:rPr>
          <w:iCs/>
          <w:noProof/>
          <w:szCs w:val="22"/>
        </w:rPr>
        <w:br w:type="page"/>
      </w: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p>
    <w:p w:rsidR="00122217" w:rsidRPr="008D2CB3" w:rsidRDefault="00122217" w:rsidP="001E7729">
      <w:pPr>
        <w:jc w:val="center"/>
        <w:rPr>
          <w:b/>
        </w:rPr>
      </w:pPr>
      <w:r w:rsidRPr="008D2CB3">
        <w:rPr>
          <w:b/>
        </w:rPr>
        <w:t>II. MELLÉKLET</w:t>
      </w:r>
    </w:p>
    <w:p w:rsidR="00122217" w:rsidRPr="008D2CB3" w:rsidRDefault="00122217" w:rsidP="001E7729">
      <w:pPr>
        <w:ind w:left="1701" w:right="1416" w:hanging="567"/>
      </w:pPr>
    </w:p>
    <w:p w:rsidR="00122217" w:rsidRPr="008D2CB3" w:rsidRDefault="00122217" w:rsidP="001E7729">
      <w:pPr>
        <w:tabs>
          <w:tab w:val="left" w:pos="1701"/>
        </w:tabs>
        <w:ind w:left="1701" w:right="1416" w:hanging="567"/>
        <w:rPr>
          <w:b/>
        </w:rPr>
      </w:pPr>
      <w:r w:rsidRPr="008D2CB3">
        <w:rPr>
          <w:b/>
        </w:rPr>
        <w:t>A.</w:t>
      </w:r>
      <w:r w:rsidRPr="008D2CB3">
        <w:rPr>
          <w:b/>
        </w:rPr>
        <w:tab/>
        <w:t>A GYÁRTÁSI TÉTELEK VÉGFELSZABADÍTÁSÁÉRT FELELŐS GYÁRT</w:t>
      </w:r>
      <w:r w:rsidR="0011305D">
        <w:rPr>
          <w:b/>
        </w:rPr>
        <w:t>ÓK</w:t>
      </w:r>
    </w:p>
    <w:p w:rsidR="00122217" w:rsidRPr="008D2CB3" w:rsidRDefault="00122217" w:rsidP="001E7729">
      <w:pPr>
        <w:ind w:left="1701" w:right="1416" w:hanging="567"/>
        <w:rPr>
          <w:bCs/>
        </w:rPr>
      </w:pPr>
    </w:p>
    <w:p w:rsidR="00122217" w:rsidRPr="008D2CB3" w:rsidRDefault="00122217" w:rsidP="001E7729">
      <w:pPr>
        <w:tabs>
          <w:tab w:val="left" w:pos="1701"/>
        </w:tabs>
        <w:ind w:left="1701" w:right="1416" w:hanging="567"/>
        <w:rPr>
          <w:b/>
        </w:rPr>
      </w:pPr>
      <w:r w:rsidRPr="008D2CB3">
        <w:rPr>
          <w:b/>
        </w:rPr>
        <w:t>B.</w:t>
      </w:r>
      <w:r w:rsidRPr="008D2CB3">
        <w:rPr>
          <w:b/>
        </w:rPr>
        <w:tab/>
        <w:t>FELTÉTELEK</w:t>
      </w:r>
      <w:r w:rsidR="00C4033D">
        <w:rPr>
          <w:b/>
        </w:rPr>
        <w:t xml:space="preserve"> </w:t>
      </w:r>
      <w:r w:rsidR="00C4033D" w:rsidRPr="00123EBC">
        <w:rPr>
          <w:b/>
          <w:noProof/>
          <w:szCs w:val="24"/>
        </w:rPr>
        <w:t>VAGY KORLÁTOZÁSOK AZ ELLÁTÁS ÉS HASZNÁLAT KAPCSÁN</w:t>
      </w:r>
    </w:p>
    <w:p w:rsidR="00C4033D" w:rsidRPr="00123EBC" w:rsidRDefault="00C4033D" w:rsidP="001E7729">
      <w:pPr>
        <w:suppressLineNumbers/>
        <w:ind w:left="1701" w:right="1416" w:hanging="708"/>
        <w:rPr>
          <w:rFonts w:ascii="SimSun" w:hAnsi="SimSun"/>
          <w:b/>
          <w:szCs w:val="24"/>
        </w:rPr>
      </w:pPr>
    </w:p>
    <w:p w:rsidR="00C4033D" w:rsidRPr="00123EBC" w:rsidRDefault="00C4033D" w:rsidP="001E7729">
      <w:pPr>
        <w:suppressLineNumbers/>
        <w:ind w:left="1701" w:right="1416" w:hanging="567"/>
        <w:rPr>
          <w:b/>
          <w:noProof/>
          <w:szCs w:val="24"/>
        </w:rPr>
      </w:pPr>
      <w:r w:rsidRPr="00123EBC">
        <w:rPr>
          <w:b/>
          <w:noProof/>
          <w:szCs w:val="24"/>
        </w:rPr>
        <w:t>C.</w:t>
      </w:r>
      <w:r w:rsidRPr="00123EBC">
        <w:rPr>
          <w:b/>
          <w:noProof/>
          <w:szCs w:val="24"/>
        </w:rPr>
        <w:tab/>
        <w:t>A FORGALOMBA HOZATALI ENGEDÉLY EGYÉB FELTÉTELEI ÉS KÖVETELMÉNYEI</w:t>
      </w:r>
    </w:p>
    <w:p w:rsidR="00C4033D" w:rsidRPr="00123EBC" w:rsidRDefault="00C4033D" w:rsidP="001E7729">
      <w:pPr>
        <w:suppressLineNumbers/>
        <w:ind w:left="1701" w:right="1416" w:hanging="567"/>
        <w:rPr>
          <w:b/>
          <w:noProof/>
          <w:szCs w:val="24"/>
        </w:rPr>
      </w:pPr>
    </w:p>
    <w:p w:rsidR="00C4033D" w:rsidRPr="00123EBC" w:rsidRDefault="00C4033D" w:rsidP="001E7729">
      <w:pPr>
        <w:suppressLineNumbers/>
        <w:ind w:left="1701" w:right="1416" w:hanging="567"/>
        <w:rPr>
          <w:b/>
          <w:szCs w:val="24"/>
        </w:rPr>
      </w:pPr>
      <w:r w:rsidRPr="00123EBC">
        <w:rPr>
          <w:b/>
          <w:noProof/>
          <w:szCs w:val="24"/>
        </w:rPr>
        <w:t>D.</w:t>
      </w:r>
      <w:r w:rsidRPr="00123EBC">
        <w:rPr>
          <w:b/>
          <w:noProof/>
          <w:szCs w:val="24"/>
        </w:rPr>
        <w:tab/>
        <w:t>FELTÉTELEK VAGY KORLÁTOZÁSOK A GYÓGYSZER BIZTONSÁGOS ÉS HATÉKONY ALKALMAZÁSÁRA VONATKOZÓAN</w:t>
      </w:r>
    </w:p>
    <w:p w:rsidR="00122217" w:rsidRPr="008D2CB3" w:rsidRDefault="00122217" w:rsidP="001E7729">
      <w:pPr>
        <w:ind w:left="1701" w:right="1416" w:hanging="567"/>
        <w:rPr>
          <w:bCs/>
        </w:rPr>
      </w:pPr>
    </w:p>
    <w:p w:rsidR="00122217" w:rsidRPr="008D2CB3" w:rsidRDefault="00122217" w:rsidP="001E7729">
      <w:pPr>
        <w:pStyle w:val="BookmarkB"/>
        <w:outlineLvl w:val="0"/>
      </w:pPr>
      <w:r w:rsidRPr="008D2CB3">
        <w:br w:type="page"/>
        <w:t>A.</w:t>
      </w:r>
      <w:r w:rsidRPr="008D2CB3">
        <w:tab/>
        <w:t>A GYÁRTÁSI TÉTELEK VÉGFELSZABADÍTÁSÁÉRT FELELŐS GYÁRT</w:t>
      </w:r>
      <w:r w:rsidR="00482B10">
        <w:t>ÓK</w:t>
      </w:r>
    </w:p>
    <w:p w:rsidR="00122217" w:rsidRPr="008D2CB3" w:rsidRDefault="00122217" w:rsidP="001E7729">
      <w:pPr>
        <w:ind w:right="1416"/>
        <w:jc w:val="both"/>
      </w:pPr>
    </w:p>
    <w:p w:rsidR="003A1CCA" w:rsidRPr="008D2CB3" w:rsidRDefault="003A1CCA" w:rsidP="001E7729">
      <w:pPr>
        <w:jc w:val="both"/>
      </w:pPr>
      <w:r w:rsidRPr="008D2CB3">
        <w:rPr>
          <w:u w:val="single"/>
        </w:rPr>
        <w:t xml:space="preserve">A </w:t>
      </w:r>
      <w:r w:rsidRPr="008D2CB3">
        <w:rPr>
          <w:szCs w:val="22"/>
          <w:u w:val="single"/>
        </w:rPr>
        <w:t>gyártási tételek végfelszabadításáért</w:t>
      </w:r>
      <w:r w:rsidRPr="008D2CB3">
        <w:rPr>
          <w:u w:val="single"/>
        </w:rPr>
        <w:t xml:space="preserve"> felelős gyártók neve és címe</w:t>
      </w:r>
    </w:p>
    <w:p w:rsidR="003A1CCA" w:rsidRPr="008D2CB3" w:rsidRDefault="003A1CCA" w:rsidP="001E7729">
      <w:pPr>
        <w:jc w:val="both"/>
      </w:pPr>
    </w:p>
    <w:p w:rsidR="003A1CCA" w:rsidRPr="00B521C8" w:rsidRDefault="00B521C8" w:rsidP="001E7729">
      <w:pPr>
        <w:tabs>
          <w:tab w:val="left" w:pos="540"/>
        </w:tabs>
        <w:jc w:val="both"/>
        <w:rPr>
          <w:szCs w:val="22"/>
        </w:rPr>
      </w:pPr>
      <w:r>
        <w:rPr>
          <w:szCs w:val="22"/>
        </w:rPr>
        <w:t>-</w:t>
      </w:r>
      <w:r>
        <w:rPr>
          <w:szCs w:val="22"/>
        </w:rPr>
        <w:tab/>
      </w:r>
      <w:r w:rsidR="009B10E4" w:rsidRPr="00B521C8">
        <w:rPr>
          <w:szCs w:val="22"/>
        </w:rPr>
        <w:t>Iscover</w:t>
      </w:r>
      <w:r w:rsidR="003A1CCA" w:rsidRPr="00B521C8">
        <w:rPr>
          <w:szCs w:val="22"/>
        </w:rPr>
        <w:t xml:space="preserve"> 75 mg filmtabletta</w:t>
      </w:r>
    </w:p>
    <w:p w:rsidR="003A1CCA" w:rsidRPr="008D2CB3" w:rsidRDefault="003A1CCA" w:rsidP="001E7729">
      <w:pPr>
        <w:jc w:val="both"/>
      </w:pPr>
    </w:p>
    <w:p w:rsidR="0005703C" w:rsidRPr="008D2CB3" w:rsidRDefault="003A1CCA" w:rsidP="001E7729">
      <w:pPr>
        <w:tabs>
          <w:tab w:val="left" w:pos="720"/>
        </w:tabs>
      </w:pPr>
      <w:r w:rsidRPr="008D2CB3">
        <w:t xml:space="preserve">Sanofi Winthrop Industrie </w:t>
      </w:r>
    </w:p>
    <w:p w:rsidR="00212D44" w:rsidRDefault="003A1CCA" w:rsidP="001E7729">
      <w:pPr>
        <w:tabs>
          <w:tab w:val="left" w:pos="720"/>
        </w:tabs>
      </w:pPr>
      <w:r w:rsidRPr="008D2CB3">
        <w:t xml:space="preserve">1, rue de la Vierge </w:t>
      </w:r>
    </w:p>
    <w:p w:rsidR="0005703C" w:rsidRPr="008D2CB3" w:rsidRDefault="003A1CCA" w:rsidP="001E7729">
      <w:pPr>
        <w:tabs>
          <w:tab w:val="left" w:pos="720"/>
        </w:tabs>
      </w:pPr>
      <w:r w:rsidRPr="008D2CB3">
        <w:t xml:space="preserve">Ambarès &amp; Lagrave </w:t>
      </w:r>
    </w:p>
    <w:p w:rsidR="0005703C" w:rsidRPr="008D2CB3" w:rsidRDefault="003A1CCA" w:rsidP="001E7729">
      <w:pPr>
        <w:tabs>
          <w:tab w:val="left" w:pos="720"/>
        </w:tabs>
      </w:pPr>
      <w:r w:rsidRPr="008D2CB3">
        <w:t xml:space="preserve">F-33565 Carbon Blanc cedex </w:t>
      </w:r>
    </w:p>
    <w:p w:rsidR="003A1CCA" w:rsidRPr="008D2CB3" w:rsidRDefault="003A1CCA" w:rsidP="001E7729">
      <w:pPr>
        <w:tabs>
          <w:tab w:val="left" w:pos="720"/>
        </w:tabs>
      </w:pPr>
      <w:r w:rsidRPr="008D2CB3">
        <w:t>Franciaország</w:t>
      </w:r>
    </w:p>
    <w:p w:rsidR="003A1CCA" w:rsidRPr="008D2CB3" w:rsidRDefault="003A1CCA" w:rsidP="001E7729">
      <w:pPr>
        <w:numPr>
          <w:ilvl w:val="12"/>
          <w:numId w:val="0"/>
        </w:numPr>
      </w:pPr>
    </w:p>
    <w:p w:rsidR="0005703C" w:rsidRPr="008D2CB3" w:rsidRDefault="00C93139" w:rsidP="001E7729">
      <w:pPr>
        <w:tabs>
          <w:tab w:val="left" w:pos="720"/>
        </w:tabs>
      </w:pPr>
      <w:r w:rsidRPr="003346F0">
        <w:rPr>
          <w:szCs w:val="22"/>
        </w:rPr>
        <w:t>Delpharm Dijon</w:t>
      </w:r>
    </w:p>
    <w:p w:rsidR="0005703C" w:rsidRPr="008D2CB3" w:rsidRDefault="003A1CCA" w:rsidP="001E7729">
      <w:pPr>
        <w:tabs>
          <w:tab w:val="left" w:pos="720"/>
        </w:tabs>
      </w:pPr>
      <w:r w:rsidRPr="008D2CB3">
        <w:t xml:space="preserve">6, Boulevard de l’Europe </w:t>
      </w:r>
    </w:p>
    <w:p w:rsidR="0005703C" w:rsidRPr="008D2CB3" w:rsidRDefault="003A1CCA" w:rsidP="001E7729">
      <w:pPr>
        <w:tabs>
          <w:tab w:val="left" w:pos="720"/>
        </w:tabs>
      </w:pPr>
      <w:r w:rsidRPr="008D2CB3">
        <w:t xml:space="preserve">F-21800 Quétigny </w:t>
      </w:r>
    </w:p>
    <w:p w:rsidR="003A1CCA" w:rsidRPr="008D2CB3" w:rsidRDefault="003A1CCA" w:rsidP="001E7729">
      <w:pPr>
        <w:tabs>
          <w:tab w:val="left" w:pos="720"/>
        </w:tabs>
      </w:pPr>
      <w:r w:rsidRPr="008D2CB3">
        <w:t>Franciaország</w:t>
      </w:r>
    </w:p>
    <w:p w:rsidR="003A1CCA" w:rsidRPr="008D2CB3" w:rsidRDefault="003A1CCA" w:rsidP="001E7729">
      <w:pPr>
        <w:numPr>
          <w:ilvl w:val="12"/>
          <w:numId w:val="0"/>
        </w:numPr>
      </w:pPr>
    </w:p>
    <w:p w:rsidR="00B521C8" w:rsidRPr="00AE4A97" w:rsidRDefault="00B521C8" w:rsidP="001E7729">
      <w:pPr>
        <w:tabs>
          <w:tab w:val="left" w:pos="720"/>
        </w:tabs>
        <w:jc w:val="both"/>
        <w:rPr>
          <w:szCs w:val="22"/>
        </w:rPr>
      </w:pPr>
      <w:r w:rsidRPr="00AE4A97">
        <w:rPr>
          <w:szCs w:val="22"/>
        </w:rPr>
        <w:t>Sanofi S.</w:t>
      </w:r>
      <w:r w:rsidR="00123EBC">
        <w:rPr>
          <w:szCs w:val="22"/>
        </w:rPr>
        <w:t>r.l.</w:t>
      </w:r>
    </w:p>
    <w:p w:rsidR="00B521C8" w:rsidRPr="00AE4A97" w:rsidRDefault="00B521C8" w:rsidP="001E7729">
      <w:pPr>
        <w:tabs>
          <w:tab w:val="left" w:pos="720"/>
        </w:tabs>
        <w:jc w:val="both"/>
        <w:rPr>
          <w:szCs w:val="22"/>
        </w:rPr>
      </w:pPr>
      <w:r w:rsidRPr="00AE4A97">
        <w:rPr>
          <w:szCs w:val="22"/>
        </w:rPr>
        <w:t>Strada Statale 17, Km 22</w:t>
      </w:r>
    </w:p>
    <w:p w:rsidR="00B521C8" w:rsidRDefault="00B521C8" w:rsidP="001E7729">
      <w:pPr>
        <w:tabs>
          <w:tab w:val="left" w:pos="720"/>
        </w:tabs>
        <w:jc w:val="both"/>
        <w:rPr>
          <w:szCs w:val="22"/>
        </w:rPr>
      </w:pPr>
      <w:r w:rsidRPr="00AE4A97">
        <w:rPr>
          <w:szCs w:val="22"/>
        </w:rPr>
        <w:t xml:space="preserve">67019 Scoppito (AQ) </w:t>
      </w:r>
      <w:r>
        <w:rPr>
          <w:szCs w:val="22"/>
        </w:rPr>
        <w:t>–</w:t>
      </w:r>
      <w:r w:rsidRPr="00AE4A97">
        <w:rPr>
          <w:szCs w:val="22"/>
        </w:rPr>
        <w:t xml:space="preserve"> </w:t>
      </w:r>
      <w:r>
        <w:rPr>
          <w:szCs w:val="22"/>
        </w:rPr>
        <w:t>Olaszország</w:t>
      </w:r>
    </w:p>
    <w:p w:rsidR="00B521C8" w:rsidRPr="008D2CB3" w:rsidRDefault="00B521C8" w:rsidP="001E7729">
      <w:pPr>
        <w:jc w:val="both"/>
        <w:rPr>
          <w:u w:val="single"/>
        </w:rPr>
      </w:pPr>
    </w:p>
    <w:p w:rsidR="003A1CCA" w:rsidRPr="008D2CB3" w:rsidRDefault="00B521C8" w:rsidP="001E7729">
      <w:pPr>
        <w:jc w:val="both"/>
      </w:pPr>
      <w:r>
        <w:t>-</w:t>
      </w:r>
      <w:r>
        <w:tab/>
      </w:r>
      <w:r w:rsidR="009B10E4" w:rsidRPr="008D2CB3">
        <w:t>Iscover</w:t>
      </w:r>
      <w:r w:rsidR="003A1CCA" w:rsidRPr="008D2CB3">
        <w:t xml:space="preserve"> 300 mg filmtabletta</w:t>
      </w:r>
    </w:p>
    <w:p w:rsidR="003A1CCA" w:rsidRPr="008D2CB3" w:rsidRDefault="003A1CCA" w:rsidP="001E7729">
      <w:pPr>
        <w:jc w:val="both"/>
      </w:pPr>
    </w:p>
    <w:p w:rsidR="0005703C" w:rsidRPr="008D2CB3" w:rsidRDefault="003A1CCA" w:rsidP="001E7729">
      <w:pPr>
        <w:tabs>
          <w:tab w:val="left" w:pos="720"/>
        </w:tabs>
      </w:pPr>
      <w:r w:rsidRPr="008D2CB3">
        <w:t xml:space="preserve">Sanofi Winthrop Industrie </w:t>
      </w:r>
    </w:p>
    <w:p w:rsidR="00212D44" w:rsidRDefault="003A1CCA" w:rsidP="001E7729">
      <w:pPr>
        <w:tabs>
          <w:tab w:val="left" w:pos="720"/>
        </w:tabs>
      </w:pPr>
      <w:r w:rsidRPr="008D2CB3">
        <w:t xml:space="preserve">1, rue de la Vierge </w:t>
      </w:r>
    </w:p>
    <w:p w:rsidR="0005703C" w:rsidRPr="008D2CB3" w:rsidRDefault="003A1CCA" w:rsidP="001E7729">
      <w:pPr>
        <w:tabs>
          <w:tab w:val="left" w:pos="720"/>
        </w:tabs>
      </w:pPr>
      <w:r w:rsidRPr="008D2CB3">
        <w:t>Ambarès &amp; Lagrave</w:t>
      </w:r>
    </w:p>
    <w:p w:rsidR="0005703C" w:rsidRPr="008D2CB3" w:rsidRDefault="003A1CCA" w:rsidP="001E7729">
      <w:pPr>
        <w:tabs>
          <w:tab w:val="left" w:pos="720"/>
        </w:tabs>
      </w:pPr>
      <w:r w:rsidRPr="008D2CB3">
        <w:t xml:space="preserve">F-33565 Carbon Blanc cedex </w:t>
      </w:r>
    </w:p>
    <w:p w:rsidR="003A1CCA" w:rsidRPr="008D2CB3" w:rsidRDefault="003A1CCA" w:rsidP="001E7729">
      <w:pPr>
        <w:tabs>
          <w:tab w:val="left" w:pos="720"/>
        </w:tabs>
      </w:pPr>
      <w:r w:rsidRPr="008D2CB3">
        <w:t>Franciaország</w:t>
      </w:r>
    </w:p>
    <w:p w:rsidR="0005703C" w:rsidRPr="008D2CB3" w:rsidRDefault="0005703C" w:rsidP="001E7729">
      <w:pPr>
        <w:tabs>
          <w:tab w:val="left" w:pos="720"/>
        </w:tabs>
      </w:pPr>
    </w:p>
    <w:p w:rsidR="0005703C" w:rsidRPr="008D2CB3" w:rsidRDefault="0005703C" w:rsidP="001E7729">
      <w:pPr>
        <w:numPr>
          <w:ilvl w:val="12"/>
          <w:numId w:val="0"/>
        </w:numPr>
      </w:pPr>
      <w:r w:rsidRPr="008D2CB3">
        <w:t>Az érintett gyártási tétel végfelszabadításáért felelős gyártó nevét és címét a gyógyszer betegtájékoztatójának tartalmaznia kell.</w:t>
      </w:r>
    </w:p>
    <w:p w:rsidR="003A1CCA" w:rsidRPr="008D2CB3" w:rsidRDefault="003A1CCA" w:rsidP="001E7729">
      <w:pPr>
        <w:jc w:val="both"/>
      </w:pPr>
    </w:p>
    <w:p w:rsidR="003A1CCA" w:rsidRPr="008D2CB3" w:rsidRDefault="003A1CCA" w:rsidP="001E7729">
      <w:pPr>
        <w:jc w:val="both"/>
      </w:pPr>
    </w:p>
    <w:p w:rsidR="003A1CCA" w:rsidRPr="008D2CB3" w:rsidRDefault="003A1CCA" w:rsidP="001E7729">
      <w:pPr>
        <w:pStyle w:val="BookmarkB"/>
        <w:outlineLvl w:val="0"/>
      </w:pPr>
      <w:r w:rsidRPr="008D2CB3">
        <w:t>B.</w:t>
      </w:r>
      <w:r w:rsidRPr="008D2CB3">
        <w:tab/>
        <w:t>FELTÉTELEK</w:t>
      </w:r>
      <w:r w:rsidR="00482B10" w:rsidRPr="00123EBC">
        <w:rPr>
          <w:noProof/>
        </w:rPr>
        <w:t xml:space="preserve"> VAGY KORLÁTOZÁSOK AZ ELLÁTÁS ÉS HASZNÁLAT KAPCSÁN</w:t>
      </w:r>
    </w:p>
    <w:p w:rsidR="003A1CCA" w:rsidRPr="008D2CB3" w:rsidRDefault="003A1CCA" w:rsidP="001E7729">
      <w:pPr>
        <w:jc w:val="both"/>
      </w:pPr>
    </w:p>
    <w:p w:rsidR="003A1CCA" w:rsidRPr="008D2CB3" w:rsidRDefault="003A1CCA" w:rsidP="001E7729">
      <w:pPr>
        <w:numPr>
          <w:ilvl w:val="12"/>
          <w:numId w:val="0"/>
        </w:numPr>
        <w:jc w:val="both"/>
      </w:pPr>
      <w:r w:rsidRPr="008D2CB3">
        <w:t>Orvosi rendelvényhez kötött gyógyszer.</w:t>
      </w:r>
    </w:p>
    <w:p w:rsidR="003A1CCA" w:rsidRPr="008D2CB3" w:rsidRDefault="003A1CCA" w:rsidP="001E7729">
      <w:pPr>
        <w:numPr>
          <w:ilvl w:val="12"/>
          <w:numId w:val="0"/>
        </w:numPr>
        <w:jc w:val="both"/>
      </w:pPr>
    </w:p>
    <w:p w:rsidR="00482B10" w:rsidRDefault="00482B10" w:rsidP="001E7729">
      <w:pPr>
        <w:numPr>
          <w:ilvl w:val="12"/>
          <w:numId w:val="0"/>
        </w:numPr>
        <w:jc w:val="both"/>
      </w:pPr>
    </w:p>
    <w:p w:rsidR="00482B10" w:rsidRPr="00F86A77" w:rsidRDefault="00482B10" w:rsidP="001E7729">
      <w:pPr>
        <w:pStyle w:val="BookmarkB"/>
        <w:outlineLvl w:val="0"/>
        <w:rPr>
          <w:noProof/>
        </w:rPr>
      </w:pPr>
      <w:r>
        <w:rPr>
          <w:noProof/>
        </w:rPr>
        <w:t>C.</w:t>
      </w:r>
      <w:r>
        <w:rPr>
          <w:noProof/>
        </w:rPr>
        <w:tab/>
      </w:r>
      <w:r w:rsidRPr="00F86A77">
        <w:rPr>
          <w:noProof/>
        </w:rPr>
        <w:t>A FORGALOMBA HOZATALI ENGEDÉLY EGYÉB FELTÉTELEI ÉS KÖVETELMÉNYEI</w:t>
      </w:r>
    </w:p>
    <w:p w:rsidR="00482B10" w:rsidRPr="00A24C7E" w:rsidRDefault="00482B10" w:rsidP="001E7729">
      <w:pPr>
        <w:pStyle w:val="EMEA2"/>
        <w:rPr>
          <w:noProof/>
        </w:rPr>
      </w:pPr>
    </w:p>
    <w:p w:rsidR="00482B10" w:rsidRPr="00C27FBA" w:rsidRDefault="00482B10" w:rsidP="001E7729">
      <w:pPr>
        <w:numPr>
          <w:ilvl w:val="0"/>
          <w:numId w:val="46"/>
        </w:numPr>
        <w:suppressLineNumbers/>
        <w:tabs>
          <w:tab w:val="left" w:pos="567"/>
        </w:tabs>
        <w:spacing w:line="260" w:lineRule="exact"/>
        <w:ind w:left="360"/>
        <w:rPr>
          <w:b/>
          <w:noProof/>
          <w:szCs w:val="24"/>
          <w:lang w:val="en-US"/>
        </w:rPr>
      </w:pPr>
      <w:r>
        <w:rPr>
          <w:b/>
          <w:noProof/>
          <w:szCs w:val="24"/>
          <w:lang w:val="en-US"/>
        </w:rPr>
        <w:t>Időszakos gyógyszerbiztonsági j</w:t>
      </w:r>
      <w:r w:rsidRPr="00C27FBA">
        <w:rPr>
          <w:b/>
          <w:noProof/>
          <w:szCs w:val="24"/>
          <w:lang w:val="en-US"/>
        </w:rPr>
        <w:t xml:space="preserve">elentések </w:t>
      </w:r>
    </w:p>
    <w:p w:rsidR="00482B10" w:rsidRDefault="00482B10" w:rsidP="001E7729">
      <w:pPr>
        <w:suppressLineNumbers/>
        <w:rPr>
          <w:b/>
          <w:noProof/>
          <w:szCs w:val="24"/>
          <w:lang w:val="en-US"/>
        </w:rPr>
      </w:pPr>
    </w:p>
    <w:p w:rsidR="00482B10" w:rsidRDefault="00482B10" w:rsidP="001E7729">
      <w:pPr>
        <w:suppressLineNumbers/>
        <w:rPr>
          <w:noProof/>
          <w:szCs w:val="24"/>
          <w:lang w:val="en-US"/>
        </w:rPr>
      </w:pPr>
      <w:r>
        <w:rPr>
          <w:noProof/>
          <w:szCs w:val="24"/>
          <w:lang w:val="en-US"/>
        </w:rPr>
        <w:t>A forgalomba hozatali engedély jogosultja az erre a termékre vonatkozó időszakos gyógyszerbiztonsági jelentéseket a 2001/83/EK irányelv 107c. cikkének (7) bekezdésében megállapított és az európai internetes gyógyszerportálon nyilvánosságra hozott uniós referencia</w:t>
      </w:r>
      <w:r w:rsidR="00553904">
        <w:rPr>
          <w:noProof/>
          <w:szCs w:val="24"/>
          <w:lang w:val="en-US"/>
        </w:rPr>
        <w:noBreakHyphen/>
      </w:r>
      <w:r>
        <w:rPr>
          <w:noProof/>
          <w:szCs w:val="24"/>
          <w:lang w:val="en-US"/>
        </w:rPr>
        <w:t>időpontok listája (EURD lista) szerinti követelményeknek megfelelően köteles benyújtani.</w:t>
      </w:r>
    </w:p>
    <w:p w:rsidR="00482B10" w:rsidRDefault="00482B10" w:rsidP="001E7729">
      <w:pPr>
        <w:suppressLineNumbers/>
        <w:rPr>
          <w:noProof/>
          <w:szCs w:val="24"/>
          <w:lang w:val="en-US"/>
        </w:rPr>
      </w:pPr>
    </w:p>
    <w:p w:rsidR="00482B10" w:rsidRDefault="00482B10" w:rsidP="001E7729">
      <w:pPr>
        <w:suppressLineNumbers/>
        <w:rPr>
          <w:noProof/>
          <w:szCs w:val="24"/>
          <w:lang w:val="en-US"/>
        </w:rPr>
      </w:pPr>
    </w:p>
    <w:p w:rsidR="00482B10" w:rsidRDefault="00482B10" w:rsidP="001E7729">
      <w:pPr>
        <w:pStyle w:val="BookmarkB"/>
        <w:keepNext/>
        <w:outlineLvl w:val="0"/>
        <w:rPr>
          <w:noProof/>
        </w:rPr>
      </w:pPr>
      <w:r>
        <w:rPr>
          <w:noProof/>
        </w:rPr>
        <w:t>D.</w:t>
      </w:r>
      <w:r>
        <w:rPr>
          <w:noProof/>
        </w:rPr>
        <w:tab/>
        <w:t>FELTÉTELEK VAGY KORLÁTOZÁSOK A GYÓGYSZER BIZTONSÁGOS ÉS HATÉKONY ALKALMAZÁSÁRA VONATKOZÓAN</w:t>
      </w:r>
    </w:p>
    <w:p w:rsidR="00482B10" w:rsidRDefault="00482B10" w:rsidP="001E7729">
      <w:pPr>
        <w:keepNext/>
        <w:suppressLineNumbers/>
        <w:ind w:left="567" w:hanging="567"/>
        <w:rPr>
          <w:noProof/>
          <w:szCs w:val="24"/>
        </w:rPr>
      </w:pPr>
    </w:p>
    <w:p w:rsidR="00482B10" w:rsidRDefault="00482B10" w:rsidP="001E7729">
      <w:pPr>
        <w:numPr>
          <w:ilvl w:val="0"/>
          <w:numId w:val="46"/>
        </w:numPr>
        <w:suppressLineNumbers/>
        <w:tabs>
          <w:tab w:val="left" w:pos="567"/>
        </w:tabs>
        <w:spacing w:line="260" w:lineRule="exact"/>
        <w:ind w:left="360"/>
        <w:rPr>
          <w:b/>
          <w:noProof/>
          <w:szCs w:val="24"/>
          <w:lang w:val="en-US"/>
        </w:rPr>
      </w:pPr>
      <w:r>
        <w:rPr>
          <w:b/>
          <w:noProof/>
          <w:szCs w:val="24"/>
          <w:lang w:val="en-US"/>
        </w:rPr>
        <w:t xml:space="preserve">Kockázatkezelési terv </w:t>
      </w:r>
    </w:p>
    <w:p w:rsidR="00482B10" w:rsidRDefault="00482B10" w:rsidP="001E7729">
      <w:pPr>
        <w:ind w:right="-1"/>
        <w:jc w:val="both"/>
        <w:rPr>
          <w:noProof/>
          <w:u w:val="single"/>
        </w:rPr>
      </w:pPr>
    </w:p>
    <w:p w:rsidR="00122217" w:rsidRPr="008D2CB3" w:rsidRDefault="00482B10" w:rsidP="001E7729">
      <w:pPr>
        <w:ind w:right="-1"/>
      </w:pPr>
      <w:r w:rsidRPr="00C27FBA">
        <w:rPr>
          <w:noProof/>
          <w:szCs w:val="24"/>
          <w:lang w:val="en-US"/>
        </w:rPr>
        <w:t>Nem értelmezhető</w:t>
      </w:r>
      <w:r w:rsidRPr="008D2CB3" w:rsidDel="00482B10">
        <w:rPr>
          <w:b/>
          <w:noProof/>
          <w:szCs w:val="22"/>
        </w:rPr>
        <w:t xml:space="preserve"> </w:t>
      </w:r>
    </w:p>
    <w:p w:rsidR="00122217" w:rsidRPr="008D2CB3" w:rsidRDefault="00122217" w:rsidP="001E7729">
      <w:pPr>
        <w:spacing w:line="260" w:lineRule="atLeast"/>
        <w:jc w:val="center"/>
        <w:rPr>
          <w:b/>
        </w:rPr>
      </w:pPr>
      <w:r w:rsidRPr="008D2CB3">
        <w:br w:type="page"/>
      </w: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r w:rsidRPr="008D2CB3">
        <w:rPr>
          <w:b/>
        </w:rPr>
        <w:t>III. MELLÉKLET</w:t>
      </w: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r w:rsidRPr="008D2CB3">
        <w:rPr>
          <w:b/>
        </w:rPr>
        <w:t>CÍMKESZÖVEG ÉS BETEGTÁJÉKOZTATÓ</w:t>
      </w:r>
      <w:r w:rsidRPr="008D2CB3">
        <w:br w:type="page"/>
      </w: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spacing w:line="260" w:lineRule="atLeast"/>
        <w:jc w:val="center"/>
        <w:rPr>
          <w:b/>
        </w:rPr>
      </w:pPr>
    </w:p>
    <w:p w:rsidR="00122217" w:rsidRPr="008D2CB3" w:rsidRDefault="00122217" w:rsidP="001E7729">
      <w:pPr>
        <w:pStyle w:val="BookmarkA"/>
      </w:pPr>
      <w:r w:rsidRPr="008D2CB3">
        <w:t>A. CÍMKESZÖVEG</w:t>
      </w:r>
      <w:r w:rsidRPr="008D2CB3">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AC4863" w:rsidRPr="00C21EB5" w:rsidTr="00C21EB5">
        <w:tc>
          <w:tcPr>
            <w:tcW w:w="9072" w:type="dxa"/>
            <w:shd w:val="clear" w:color="auto" w:fill="auto"/>
          </w:tcPr>
          <w:p w:rsidR="00AC4863" w:rsidRPr="00C21EB5" w:rsidRDefault="00AC4863" w:rsidP="001E7729">
            <w:pPr>
              <w:tabs>
                <w:tab w:val="left" w:pos="34"/>
                <w:tab w:val="left" w:pos="142"/>
              </w:tabs>
              <w:spacing w:line="260" w:lineRule="atLeast"/>
              <w:ind w:left="567" w:hanging="567"/>
              <w:rPr>
                <w:b/>
              </w:rPr>
            </w:pPr>
            <w:r w:rsidRPr="00C21EB5">
              <w:rPr>
                <w:b/>
              </w:rPr>
              <w:t>A KÜLSŐ CSOMAGOLÁSON FELTÜNTETENDŐ ADATOK</w:t>
            </w:r>
          </w:p>
          <w:p w:rsidR="00AC4863" w:rsidRPr="00C21EB5" w:rsidRDefault="00AC4863" w:rsidP="001E7729">
            <w:pPr>
              <w:tabs>
                <w:tab w:val="left" w:pos="142"/>
              </w:tabs>
              <w:spacing w:line="260" w:lineRule="atLeast"/>
              <w:ind w:left="567" w:hanging="567"/>
              <w:rPr>
                <w:b/>
              </w:rPr>
            </w:pPr>
          </w:p>
          <w:p w:rsidR="00AC4863" w:rsidRPr="00C21EB5" w:rsidRDefault="00AC4863" w:rsidP="001E7729">
            <w:pPr>
              <w:tabs>
                <w:tab w:val="left" w:pos="142"/>
              </w:tabs>
              <w:spacing w:line="260" w:lineRule="atLeast"/>
              <w:ind w:left="567" w:hanging="567"/>
              <w:rPr>
                <w:b/>
              </w:rPr>
            </w:pPr>
            <w:r w:rsidRPr="00C21EB5">
              <w:rPr>
                <w:b/>
              </w:rPr>
              <w:t>KÜLSŐ DOBOZ</w:t>
            </w:r>
          </w:p>
          <w:p w:rsidR="00AC4863" w:rsidRPr="00C21EB5" w:rsidRDefault="00AC4863" w:rsidP="001E7729">
            <w:pPr>
              <w:tabs>
                <w:tab w:val="left" w:pos="142"/>
              </w:tabs>
              <w:spacing w:line="260" w:lineRule="atLeast"/>
              <w:rPr>
                <w:b/>
              </w:rPr>
            </w:pPr>
          </w:p>
        </w:tc>
      </w:tr>
    </w:tbl>
    <w:p w:rsidR="00122217" w:rsidRPr="008D2CB3" w:rsidRDefault="00122217" w:rsidP="001E7729">
      <w:pPr>
        <w:spacing w:line="260" w:lineRule="atLeast"/>
      </w:pPr>
    </w:p>
    <w:p w:rsidR="00122217" w:rsidRPr="008D2CB3" w:rsidRDefault="00122217" w:rsidP="001E7729">
      <w:pPr>
        <w:spacing w:line="260" w:lineRule="atLeast"/>
      </w:pPr>
    </w:p>
    <w:tbl>
      <w:tblPr>
        <w:tblW w:w="9077" w:type="dxa"/>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1.</w:t>
            </w:r>
            <w:r w:rsidRPr="008D2CB3">
              <w:rPr>
                <w:b/>
              </w:rPr>
              <w:tab/>
              <w:t>A GYÓGYSZER NEVE</w:t>
            </w:r>
          </w:p>
        </w:tc>
      </w:tr>
    </w:tbl>
    <w:p w:rsidR="00122217" w:rsidRPr="008D2CB3" w:rsidRDefault="00122217" w:rsidP="001E7729">
      <w:pPr>
        <w:spacing w:line="260" w:lineRule="atLeast"/>
      </w:pPr>
    </w:p>
    <w:p w:rsidR="00122217" w:rsidRPr="008D2CB3" w:rsidRDefault="009B10E4" w:rsidP="001E7729">
      <w:pPr>
        <w:spacing w:line="260" w:lineRule="atLeast"/>
      </w:pPr>
      <w:r w:rsidRPr="008D2CB3">
        <w:t>Iscover</w:t>
      </w:r>
      <w:r w:rsidR="00675517" w:rsidRPr="008D2CB3">
        <w:t xml:space="preserve"> </w:t>
      </w:r>
      <w:r w:rsidR="00122217" w:rsidRPr="008D2CB3">
        <w:t>75 mg filmtabletta</w:t>
      </w:r>
    </w:p>
    <w:p w:rsidR="00122217" w:rsidRPr="008D2CB3" w:rsidRDefault="00D239A0" w:rsidP="001E7729">
      <w:pPr>
        <w:spacing w:line="260" w:lineRule="atLeast"/>
      </w:pPr>
      <w:r>
        <w:t>k</w:t>
      </w:r>
      <w:r w:rsidR="00122217" w:rsidRPr="008D2CB3">
        <w:t>lopidogrél</w:t>
      </w:r>
    </w:p>
    <w:p w:rsidR="00122217" w:rsidRPr="008D2CB3" w:rsidRDefault="00122217"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2.</w:t>
            </w:r>
            <w:r w:rsidRPr="008D2CB3">
              <w:rPr>
                <w:b/>
              </w:rPr>
              <w:tab/>
              <w:t>HATÓANYAG(OK) MEGNEVEZÉSE</w:t>
            </w:r>
          </w:p>
        </w:tc>
      </w:tr>
    </w:tbl>
    <w:p w:rsidR="00122217" w:rsidRPr="008D2CB3" w:rsidRDefault="00122217" w:rsidP="001E7729">
      <w:pPr>
        <w:spacing w:line="260" w:lineRule="atLeast"/>
      </w:pPr>
    </w:p>
    <w:p w:rsidR="00122217" w:rsidRPr="008D2CB3" w:rsidRDefault="00122217" w:rsidP="001E7729">
      <w:pPr>
        <w:spacing w:line="260" w:lineRule="atLeast"/>
      </w:pPr>
      <w:r w:rsidRPr="008D2CB3">
        <w:t>75 mg klopidogrél (hidrogén-szulfát formájában) tablettánként.</w:t>
      </w:r>
    </w:p>
    <w:p w:rsidR="00122217" w:rsidRPr="008D2CB3" w:rsidRDefault="00122217"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3.</w:t>
            </w:r>
            <w:r w:rsidRPr="008D2CB3">
              <w:rPr>
                <w:b/>
              </w:rPr>
              <w:tab/>
              <w:t>SEGÉDANYAGOK FELSOROLÁSA</w:t>
            </w:r>
          </w:p>
        </w:tc>
      </w:tr>
    </w:tbl>
    <w:p w:rsidR="00122217" w:rsidRPr="008D2CB3" w:rsidRDefault="00122217" w:rsidP="001E7729">
      <w:pPr>
        <w:spacing w:line="260" w:lineRule="atLeast"/>
      </w:pPr>
    </w:p>
    <w:p w:rsidR="00A50B6E" w:rsidRPr="008D2CB3" w:rsidRDefault="00122217" w:rsidP="001E7729">
      <w:pPr>
        <w:spacing w:line="260" w:lineRule="atLeast"/>
      </w:pPr>
      <w:r w:rsidRPr="008D2CB3">
        <w:t xml:space="preserve">Segédanyagként </w:t>
      </w:r>
      <w:r w:rsidR="004F4B32" w:rsidRPr="008D2CB3">
        <w:t>hidrogénezett ricinusolajat</w:t>
      </w:r>
      <w:r w:rsidR="008A4DD6" w:rsidRPr="008D2CB3">
        <w:t xml:space="preserve"> és laktózt</w:t>
      </w:r>
      <w:r w:rsidRPr="008D2CB3">
        <w:t xml:space="preserve"> is tartalmaz.</w:t>
      </w:r>
      <w:r w:rsidR="00A50B6E" w:rsidRPr="008D2CB3">
        <w:t xml:space="preserve"> További információkat lásd a betegtájékoztatóban.</w:t>
      </w:r>
    </w:p>
    <w:p w:rsidR="00122217" w:rsidRPr="008D2CB3" w:rsidRDefault="00122217"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4.</w:t>
            </w:r>
            <w:r w:rsidRPr="008D2CB3">
              <w:rPr>
                <w:b/>
              </w:rPr>
              <w:tab/>
              <w:t>GYÓGYSZERFORMA ÉS TARTALOM</w:t>
            </w:r>
          </w:p>
        </w:tc>
      </w:tr>
    </w:tbl>
    <w:p w:rsidR="00122217" w:rsidRPr="008D2CB3" w:rsidRDefault="00122217" w:rsidP="001E7729">
      <w:pPr>
        <w:spacing w:line="260" w:lineRule="atLeast"/>
      </w:pPr>
    </w:p>
    <w:p w:rsidR="00B95730" w:rsidRPr="008D2CB3" w:rsidRDefault="00BE5629" w:rsidP="001E7729">
      <w:pPr>
        <w:spacing w:line="260" w:lineRule="atLeast"/>
      </w:pPr>
      <w:r w:rsidRPr="008D2CB3">
        <w:t xml:space="preserve">28 </w:t>
      </w:r>
      <w:r w:rsidR="00B95730" w:rsidRPr="008D2CB3">
        <w:t>db filmtabletta</w:t>
      </w:r>
    </w:p>
    <w:p w:rsidR="0000443F" w:rsidRPr="008D2CB3" w:rsidRDefault="0000443F" w:rsidP="001E7729">
      <w:pPr>
        <w:spacing w:line="260" w:lineRule="atLeast"/>
        <w:rPr>
          <w:highlight w:val="lightGray"/>
        </w:rPr>
      </w:pPr>
      <w:r w:rsidRPr="008D2CB3">
        <w:rPr>
          <w:highlight w:val="lightGray"/>
        </w:rPr>
        <w:t>30 db filmtabletta</w:t>
      </w:r>
    </w:p>
    <w:p w:rsidR="00122217" w:rsidRPr="008D2CB3" w:rsidRDefault="00BE5629" w:rsidP="001E7729">
      <w:pPr>
        <w:spacing w:line="260" w:lineRule="atLeast"/>
        <w:rPr>
          <w:highlight w:val="lightGray"/>
        </w:rPr>
      </w:pPr>
      <w:r w:rsidRPr="008D2CB3">
        <w:rPr>
          <w:highlight w:val="lightGray"/>
        </w:rPr>
        <w:t>50</w:t>
      </w:r>
      <w:r w:rsidR="00CE128C" w:rsidRPr="008D2CB3">
        <w:rPr>
          <w:highlight w:val="lightGray"/>
        </w:rPr>
        <w:t> × </w:t>
      </w:r>
      <w:r w:rsidR="0000443F" w:rsidRPr="008D2CB3">
        <w:rPr>
          <w:highlight w:val="lightGray"/>
        </w:rPr>
        <w:t xml:space="preserve">1 </w:t>
      </w:r>
      <w:r w:rsidR="00122217" w:rsidRPr="008D2CB3">
        <w:rPr>
          <w:highlight w:val="lightGray"/>
        </w:rPr>
        <w:t>db filmtabletta</w:t>
      </w:r>
    </w:p>
    <w:p w:rsidR="00FC1EFB" w:rsidRPr="008D2CB3" w:rsidRDefault="00BE5629" w:rsidP="001E7729">
      <w:pPr>
        <w:spacing w:line="260" w:lineRule="atLeast"/>
        <w:rPr>
          <w:highlight w:val="lightGray"/>
        </w:rPr>
      </w:pPr>
      <w:r w:rsidRPr="008D2CB3">
        <w:rPr>
          <w:highlight w:val="lightGray"/>
        </w:rPr>
        <w:t xml:space="preserve">84 </w:t>
      </w:r>
      <w:r w:rsidR="00FC1EFB" w:rsidRPr="008D2CB3">
        <w:rPr>
          <w:highlight w:val="lightGray"/>
        </w:rPr>
        <w:t>db filmtabletta</w:t>
      </w:r>
    </w:p>
    <w:p w:rsidR="0000443F" w:rsidRPr="008D2CB3" w:rsidRDefault="0000443F" w:rsidP="001E7729">
      <w:pPr>
        <w:spacing w:line="260" w:lineRule="atLeast"/>
        <w:rPr>
          <w:highlight w:val="lightGray"/>
        </w:rPr>
      </w:pPr>
      <w:r w:rsidRPr="008D2CB3">
        <w:rPr>
          <w:highlight w:val="lightGray"/>
        </w:rPr>
        <w:t>90 db filmtabletta</w:t>
      </w:r>
    </w:p>
    <w:p w:rsidR="00122217" w:rsidRPr="008D2CB3" w:rsidRDefault="00BE5629" w:rsidP="001E7729">
      <w:pPr>
        <w:spacing w:line="260" w:lineRule="atLeast"/>
        <w:rPr>
          <w:highlight w:val="lightGray"/>
        </w:rPr>
      </w:pPr>
      <w:r w:rsidRPr="008D2CB3">
        <w:rPr>
          <w:highlight w:val="lightGray"/>
        </w:rPr>
        <w:t xml:space="preserve">100 </w:t>
      </w:r>
      <w:r w:rsidR="00122217" w:rsidRPr="008D2CB3">
        <w:rPr>
          <w:highlight w:val="lightGray"/>
        </w:rPr>
        <w:t>db filmtabletta</w:t>
      </w:r>
    </w:p>
    <w:p w:rsidR="00122217" w:rsidRPr="008D2CB3" w:rsidRDefault="00BE5629" w:rsidP="001E7729">
      <w:pPr>
        <w:spacing w:line="260" w:lineRule="atLeast"/>
      </w:pPr>
      <w:r w:rsidRPr="008D2CB3">
        <w:rPr>
          <w:highlight w:val="lightGray"/>
        </w:rPr>
        <w:t xml:space="preserve">14 </w:t>
      </w:r>
      <w:r w:rsidR="00122217" w:rsidRPr="008D2CB3">
        <w:rPr>
          <w:highlight w:val="lightGray"/>
        </w:rPr>
        <w:t>db filmtabletta</w:t>
      </w:r>
    </w:p>
    <w:p w:rsidR="00122217" w:rsidRPr="008D2CB3" w:rsidRDefault="000740C7" w:rsidP="001E7729">
      <w:pPr>
        <w:spacing w:line="260" w:lineRule="atLeast"/>
      </w:pPr>
      <w:r w:rsidRPr="008D2CB3">
        <w:rPr>
          <w:highlight w:val="lightGray"/>
        </w:rPr>
        <w:t>7 db filmtabletta</w:t>
      </w:r>
    </w:p>
    <w:p w:rsidR="00122217" w:rsidRPr="008D2CB3" w:rsidRDefault="00122217" w:rsidP="001E7729">
      <w:pPr>
        <w:spacing w:line="260" w:lineRule="atLeast"/>
      </w:pPr>
    </w:p>
    <w:p w:rsidR="00CE128C" w:rsidRPr="008D2CB3" w:rsidRDefault="00CE128C"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5.</w:t>
            </w:r>
            <w:r w:rsidRPr="008D2CB3">
              <w:rPr>
                <w:b/>
              </w:rPr>
              <w:tab/>
              <w:t>AZ ALKALMAZÁSSAL KAPCSOLATOS TUDNIVALÓK ÉS AZ ALKALMAZÁS  MÓDJA(I)</w:t>
            </w:r>
          </w:p>
        </w:tc>
      </w:tr>
    </w:tbl>
    <w:p w:rsidR="00122217" w:rsidRPr="008D2CB3" w:rsidRDefault="00122217" w:rsidP="001E7729">
      <w:pPr>
        <w:spacing w:line="260" w:lineRule="atLeast"/>
      </w:pPr>
    </w:p>
    <w:p w:rsidR="00122217" w:rsidRPr="008D2CB3" w:rsidRDefault="00122217" w:rsidP="001E7729">
      <w:pPr>
        <w:spacing w:line="260" w:lineRule="atLeast"/>
        <w:rPr>
          <w:noProof/>
          <w:szCs w:val="22"/>
        </w:rPr>
      </w:pPr>
      <w:r w:rsidRPr="008D2CB3">
        <w:rPr>
          <w:noProof/>
          <w:szCs w:val="22"/>
        </w:rPr>
        <w:t>Használat előtt olvassa el a mellékelt betegtájékoztatót!</w:t>
      </w:r>
    </w:p>
    <w:p w:rsidR="000B6BAB" w:rsidRPr="008D2CB3" w:rsidRDefault="000B6BAB" w:rsidP="001E7729">
      <w:pPr>
        <w:spacing w:line="260" w:lineRule="atLeast"/>
      </w:pPr>
      <w:r w:rsidRPr="008D2CB3">
        <w:t>Szájon át történő alkalmazás.</w:t>
      </w:r>
    </w:p>
    <w:p w:rsidR="00122217" w:rsidRPr="008D2CB3" w:rsidRDefault="00122217"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6.</w:t>
            </w:r>
            <w:r w:rsidRPr="008D2CB3">
              <w:rPr>
                <w:b/>
              </w:rPr>
              <w:tab/>
              <w:t>KÜLÖN FIGYELMEZTETÉS, MELY SZERINT A GYÓGYSZERT GYERMEKEKTŐL ELZÁRVA KELL TARTANI</w:t>
            </w:r>
          </w:p>
        </w:tc>
      </w:tr>
    </w:tbl>
    <w:p w:rsidR="00122217" w:rsidRPr="008D2CB3" w:rsidRDefault="00122217" w:rsidP="001E7729">
      <w:pPr>
        <w:spacing w:line="260" w:lineRule="atLeast"/>
      </w:pPr>
    </w:p>
    <w:p w:rsidR="00122217" w:rsidRPr="008D2CB3" w:rsidRDefault="00122217" w:rsidP="001E7729">
      <w:pPr>
        <w:spacing w:line="260" w:lineRule="atLeast"/>
      </w:pPr>
      <w:r w:rsidRPr="008D2CB3">
        <w:t>A gyógyszer gyermekektől elzárva tartandó!</w:t>
      </w:r>
    </w:p>
    <w:p w:rsidR="00122217" w:rsidRPr="008D2CB3" w:rsidRDefault="00122217"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7.</w:t>
            </w:r>
            <w:r w:rsidRPr="008D2CB3">
              <w:rPr>
                <w:b/>
              </w:rPr>
              <w:tab/>
              <w:t>TOVÁBBI FIGYELMEZTETÉS(EK), AMENNYIBEN SZÜKSÉGES</w:t>
            </w:r>
          </w:p>
        </w:tc>
      </w:tr>
    </w:tbl>
    <w:p w:rsidR="00122217" w:rsidRPr="008D2CB3" w:rsidRDefault="00122217"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8.</w:t>
            </w:r>
            <w:r w:rsidRPr="008D2CB3">
              <w:rPr>
                <w:b/>
              </w:rPr>
              <w:tab/>
              <w:t>LEJÁRATI IDŐ</w:t>
            </w:r>
          </w:p>
        </w:tc>
      </w:tr>
    </w:tbl>
    <w:p w:rsidR="00122217" w:rsidRPr="008D2CB3" w:rsidRDefault="00122217" w:rsidP="001E7729">
      <w:pPr>
        <w:spacing w:line="260" w:lineRule="atLeast"/>
      </w:pPr>
    </w:p>
    <w:p w:rsidR="00122217" w:rsidRPr="008D2CB3" w:rsidRDefault="00122217" w:rsidP="001E7729">
      <w:pPr>
        <w:spacing w:line="260" w:lineRule="atLeast"/>
      </w:pPr>
      <w:r w:rsidRPr="008D2CB3">
        <w:t>Felhasználható { hónap / év }</w:t>
      </w:r>
    </w:p>
    <w:p w:rsidR="00CE128C" w:rsidRPr="008D2CB3" w:rsidRDefault="00CE128C"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9.</w:t>
            </w:r>
            <w:r w:rsidRPr="008D2CB3">
              <w:rPr>
                <w:b/>
              </w:rPr>
              <w:tab/>
              <w:t>KÜLÖNLEGES TÁROLÁSI ELŐÍRÁSOK</w:t>
            </w:r>
          </w:p>
        </w:tc>
      </w:tr>
    </w:tbl>
    <w:p w:rsidR="00122217" w:rsidRPr="008D2CB3" w:rsidRDefault="00122217" w:rsidP="001E7729">
      <w:pPr>
        <w:spacing w:line="260" w:lineRule="atLeast"/>
      </w:pPr>
    </w:p>
    <w:p w:rsidR="004F49D9" w:rsidRPr="008D2CB3" w:rsidRDefault="004F49D9" w:rsidP="001E7729">
      <w:r w:rsidRPr="008D2CB3">
        <w:rPr>
          <w:szCs w:val="22"/>
        </w:rPr>
        <w:t xml:space="preserve">Legfeljebb 30°C-on tárolandó </w:t>
      </w:r>
      <w:r w:rsidRPr="008D2CB3">
        <w:rPr>
          <w:szCs w:val="22"/>
          <w:highlight w:val="lightGray"/>
        </w:rPr>
        <w:t>(</w:t>
      </w:r>
      <w:r w:rsidRPr="008D2CB3">
        <w:rPr>
          <w:bCs/>
          <w:szCs w:val="22"/>
          <w:highlight w:val="lightGray"/>
        </w:rPr>
        <w:t xml:space="preserve">PVC/PVDC/Alu </w:t>
      </w:r>
      <w:r w:rsidRPr="008D2CB3">
        <w:rPr>
          <w:highlight w:val="lightGray"/>
        </w:rPr>
        <w:t>buborék</w:t>
      </w:r>
      <w:r w:rsidR="00980E3C" w:rsidRPr="008D2CB3">
        <w:rPr>
          <w:highlight w:val="lightGray"/>
        </w:rPr>
        <w:t>csomagolásban</w:t>
      </w:r>
      <w:r w:rsidRPr="008D2CB3">
        <w:rPr>
          <w:highlight w:val="lightGray"/>
        </w:rPr>
        <w:t>)</w:t>
      </w:r>
    </w:p>
    <w:p w:rsidR="003E2CD4" w:rsidRPr="008D2CB3" w:rsidRDefault="003E2CD4" w:rsidP="001E7729">
      <w:pPr>
        <w:rPr>
          <w:szCs w:val="22"/>
        </w:rPr>
      </w:pPr>
      <w:r w:rsidRPr="008D2CB3">
        <w:rPr>
          <w:szCs w:val="22"/>
          <w:highlight w:val="lightGray"/>
        </w:rPr>
        <w:t>Vagy</w:t>
      </w:r>
      <w:r w:rsidR="00A74FE4" w:rsidRPr="008D2CB3">
        <w:rPr>
          <w:szCs w:val="22"/>
        </w:rPr>
        <w:t xml:space="preserve"> Ez a gyógyszer nem igényel különleges tárolást</w:t>
      </w:r>
      <w:r w:rsidR="00A74FE4" w:rsidRPr="008D2CB3">
        <w:rPr>
          <w:bCs/>
          <w:szCs w:val="22"/>
        </w:rPr>
        <w:t xml:space="preserve"> </w:t>
      </w:r>
      <w:r w:rsidR="00A74FE4" w:rsidRPr="008D2CB3">
        <w:rPr>
          <w:bCs/>
          <w:szCs w:val="22"/>
          <w:highlight w:val="lightGray"/>
        </w:rPr>
        <w:t xml:space="preserve">(Alu/Alu </w:t>
      </w:r>
      <w:r w:rsidR="00A74FE4" w:rsidRPr="008D2CB3">
        <w:rPr>
          <w:highlight w:val="lightGray"/>
        </w:rPr>
        <w:t>buborék</w:t>
      </w:r>
      <w:r w:rsidR="00980E3C" w:rsidRPr="008D2CB3">
        <w:rPr>
          <w:highlight w:val="lightGray"/>
        </w:rPr>
        <w:t>csomagolásban</w:t>
      </w:r>
      <w:r w:rsidR="00A74FE4" w:rsidRPr="008D2CB3">
        <w:rPr>
          <w:bCs/>
          <w:szCs w:val="22"/>
          <w:highlight w:val="lightGray"/>
        </w:rPr>
        <w:t>)</w:t>
      </w:r>
    </w:p>
    <w:p w:rsidR="00122217" w:rsidRPr="008D2CB3" w:rsidRDefault="00122217" w:rsidP="001E7729">
      <w:pPr>
        <w:spacing w:line="260" w:lineRule="atLeast"/>
      </w:pPr>
    </w:p>
    <w:p w:rsidR="00583604" w:rsidRPr="008D2CB3" w:rsidRDefault="00583604"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10.</w:t>
            </w:r>
            <w:r w:rsidRPr="008D2CB3">
              <w:rPr>
                <w:b/>
              </w:rPr>
              <w:tab/>
              <w:t>KÜLÖNLEGES ÓVINTÉZKEDÉSEK A FEL NEM HASZNÁLT GYÓGYSZEREK VAGY AZ ILYEN TERMÉKEKBŐL KELETKEZETT HULLADÉKANYAGOK ÁRTALMATLANNÁ TÉTELÉRE, HA ILYENEKRE SZÜKSÉG VAN</w:t>
            </w:r>
          </w:p>
        </w:tc>
      </w:tr>
    </w:tbl>
    <w:p w:rsidR="00122217" w:rsidRPr="008D2CB3" w:rsidRDefault="00122217"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11.</w:t>
            </w:r>
            <w:r w:rsidRPr="008D2CB3">
              <w:rPr>
                <w:b/>
              </w:rPr>
              <w:tab/>
              <w:t>A FORGALOMBA HOZATALI ENGEDÉLY JOGOSULTJÁNAK NEVE ÉS CÍME</w:t>
            </w:r>
          </w:p>
        </w:tc>
      </w:tr>
    </w:tbl>
    <w:p w:rsidR="00122217" w:rsidRPr="008D2CB3" w:rsidRDefault="00122217" w:rsidP="001E7729">
      <w:pPr>
        <w:spacing w:line="260" w:lineRule="atLeast"/>
      </w:pPr>
    </w:p>
    <w:p w:rsidR="00AB3FB1" w:rsidRPr="0008524E" w:rsidRDefault="00FE7B46" w:rsidP="001E7729">
      <w:pPr>
        <w:rPr>
          <w:szCs w:val="22"/>
          <w:lang w:val="fr-FR"/>
        </w:rPr>
      </w:pPr>
      <w:r>
        <w:rPr>
          <w:szCs w:val="22"/>
          <w:lang w:val="fr-FR"/>
        </w:rPr>
        <w:t>sanofi-aventis g</w:t>
      </w:r>
      <w:r w:rsidR="00AB3FB1" w:rsidRPr="0008524E">
        <w:rPr>
          <w:szCs w:val="22"/>
          <w:lang w:val="fr-FR"/>
        </w:rPr>
        <w:t>roupe</w:t>
      </w:r>
    </w:p>
    <w:p w:rsidR="00AB3FB1" w:rsidRPr="0008524E" w:rsidRDefault="00AB3FB1" w:rsidP="001E7729">
      <w:pPr>
        <w:rPr>
          <w:szCs w:val="22"/>
          <w:lang w:val="fr-FR"/>
        </w:rPr>
      </w:pPr>
      <w:r w:rsidRPr="0008524E">
        <w:rPr>
          <w:szCs w:val="22"/>
          <w:lang w:val="fr-FR"/>
        </w:rPr>
        <w:t>54, rue La Boétie</w:t>
      </w:r>
    </w:p>
    <w:p w:rsidR="00AB3FB1" w:rsidRDefault="00AB3FB1" w:rsidP="001E7729">
      <w:pPr>
        <w:rPr>
          <w:szCs w:val="22"/>
          <w:lang w:val="fr-FR"/>
        </w:rPr>
      </w:pPr>
      <w:r>
        <w:rPr>
          <w:szCs w:val="22"/>
          <w:lang w:val="fr-FR"/>
        </w:rPr>
        <w:t>F-75008 Paris</w:t>
      </w:r>
    </w:p>
    <w:p w:rsidR="00E80DBF" w:rsidRDefault="00AB3FB1" w:rsidP="001E7729">
      <w:pPr>
        <w:spacing w:line="260" w:lineRule="atLeast"/>
        <w:rPr>
          <w:szCs w:val="22"/>
        </w:rPr>
      </w:pPr>
      <w:r>
        <w:rPr>
          <w:szCs w:val="22"/>
        </w:rPr>
        <w:t>Franciaország</w:t>
      </w:r>
    </w:p>
    <w:p w:rsidR="00122217" w:rsidRPr="008D2CB3" w:rsidRDefault="00122217"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12.</w:t>
            </w:r>
            <w:r w:rsidRPr="008D2CB3">
              <w:rPr>
                <w:b/>
              </w:rPr>
              <w:tab/>
              <w:t>A FORGALOMBA HOZATALI ENGEDÉLY SZÁMA(I)</w:t>
            </w:r>
          </w:p>
        </w:tc>
      </w:tr>
    </w:tbl>
    <w:p w:rsidR="00122217" w:rsidRPr="008D2CB3" w:rsidRDefault="00122217" w:rsidP="001E7729">
      <w:pPr>
        <w:spacing w:line="260" w:lineRule="atLeast"/>
      </w:pPr>
    </w:p>
    <w:p w:rsidR="002C0C2F" w:rsidRPr="008D2CB3" w:rsidRDefault="002C0C2F" w:rsidP="001E7729">
      <w:pPr>
        <w:jc w:val="both"/>
        <w:rPr>
          <w:bCs/>
          <w:szCs w:val="22"/>
        </w:rPr>
      </w:pPr>
      <w:r w:rsidRPr="008D2CB3">
        <w:rPr>
          <w:bCs/>
          <w:szCs w:val="22"/>
        </w:rPr>
        <w:t xml:space="preserve">EU/1/98/070/001a </w:t>
      </w:r>
      <w:r w:rsidRPr="008D2CB3">
        <w:rPr>
          <w:bCs/>
          <w:szCs w:val="22"/>
          <w:highlight w:val="lightGray"/>
        </w:rPr>
        <w:t xml:space="preserve">28 </w:t>
      </w:r>
      <w:r w:rsidR="00974437">
        <w:rPr>
          <w:bCs/>
          <w:szCs w:val="22"/>
          <w:highlight w:val="lightGray"/>
        </w:rPr>
        <w:t>film</w:t>
      </w:r>
      <w:r w:rsidRPr="008D2CB3">
        <w:rPr>
          <w:bCs/>
          <w:szCs w:val="22"/>
          <w:highlight w:val="lightGray"/>
        </w:rPr>
        <w:t>tabletta</w:t>
      </w:r>
      <w:r w:rsidR="00974437" w:rsidRPr="00FA0AEB">
        <w:rPr>
          <w:bCs/>
          <w:szCs w:val="22"/>
          <w:highlight w:val="lightGray"/>
        </w:rPr>
        <w:t xml:space="preserve"> </w:t>
      </w:r>
      <w:r w:rsidR="00974437" w:rsidRPr="00A74FE4">
        <w:rPr>
          <w:bCs/>
          <w:szCs w:val="22"/>
          <w:highlight w:val="lightGray"/>
        </w:rPr>
        <w:t xml:space="preserve">PVC/PVDC/Alu </w:t>
      </w:r>
      <w:r w:rsidR="00974437" w:rsidRPr="00A74FE4">
        <w:rPr>
          <w:highlight w:val="lightGray"/>
        </w:rPr>
        <w:t>buborék</w:t>
      </w:r>
      <w:r w:rsidR="00974437">
        <w:rPr>
          <w:highlight w:val="lightGray"/>
        </w:rPr>
        <w:t>csomagolásban</w:t>
      </w:r>
    </w:p>
    <w:p w:rsidR="002C0C2F" w:rsidRPr="008D2CB3" w:rsidRDefault="002C0C2F" w:rsidP="001E7729">
      <w:pPr>
        <w:spacing w:line="260" w:lineRule="atLeast"/>
        <w:rPr>
          <w:highlight w:val="lightGray"/>
        </w:rPr>
      </w:pPr>
      <w:r w:rsidRPr="008D2CB3">
        <w:rPr>
          <w:highlight w:val="lightGray"/>
        </w:rPr>
        <w:t xml:space="preserve">EU/1/98/070/002a 50 × 1 </w:t>
      </w:r>
      <w:r w:rsidR="00974437">
        <w:rPr>
          <w:highlight w:val="lightGray"/>
        </w:rPr>
        <w:t>film</w:t>
      </w:r>
      <w:r w:rsidRPr="008D2CB3">
        <w:rPr>
          <w:highlight w:val="lightGray"/>
        </w:rPr>
        <w:t>tabletta</w:t>
      </w:r>
      <w:r w:rsidR="00974437" w:rsidRPr="00FA0AEB">
        <w:rPr>
          <w:bCs/>
          <w:szCs w:val="22"/>
          <w:highlight w:val="lightGray"/>
        </w:rPr>
        <w:t xml:space="preserve"> </w:t>
      </w:r>
      <w:r w:rsidR="00974437" w:rsidRPr="00A74FE4">
        <w:rPr>
          <w:bCs/>
          <w:szCs w:val="22"/>
          <w:highlight w:val="lightGray"/>
        </w:rPr>
        <w:t xml:space="preserve">PVC/PVDC/Alu </w:t>
      </w:r>
      <w:r w:rsidR="00974437" w:rsidRPr="00A74FE4">
        <w:rPr>
          <w:highlight w:val="lightGray"/>
        </w:rPr>
        <w:t>buborék</w:t>
      </w:r>
      <w:r w:rsidR="00974437">
        <w:rPr>
          <w:highlight w:val="lightGray"/>
        </w:rPr>
        <w:t>csomagolásban</w:t>
      </w:r>
    </w:p>
    <w:p w:rsidR="002C0C2F" w:rsidRPr="008D2CB3" w:rsidRDefault="002C0C2F" w:rsidP="001E7729">
      <w:pPr>
        <w:spacing w:line="260" w:lineRule="atLeast"/>
        <w:rPr>
          <w:highlight w:val="lightGray"/>
        </w:rPr>
      </w:pPr>
      <w:r w:rsidRPr="008D2CB3">
        <w:rPr>
          <w:highlight w:val="lightGray"/>
        </w:rPr>
        <w:t xml:space="preserve">EU/1/98/070/003a 84 </w:t>
      </w:r>
      <w:r w:rsidR="00974437">
        <w:rPr>
          <w:highlight w:val="lightGray"/>
        </w:rPr>
        <w:t>film</w:t>
      </w:r>
      <w:r w:rsidRPr="008D2CB3">
        <w:rPr>
          <w:highlight w:val="lightGray"/>
        </w:rPr>
        <w:t>tabletta</w:t>
      </w:r>
      <w:r w:rsidR="00974437" w:rsidRPr="00FA0AEB">
        <w:rPr>
          <w:bCs/>
          <w:szCs w:val="22"/>
          <w:highlight w:val="lightGray"/>
        </w:rPr>
        <w:t xml:space="preserve"> </w:t>
      </w:r>
      <w:r w:rsidR="00974437" w:rsidRPr="00A74FE4">
        <w:rPr>
          <w:bCs/>
          <w:szCs w:val="22"/>
          <w:highlight w:val="lightGray"/>
        </w:rPr>
        <w:t xml:space="preserve">PVC/PVDC/Alu </w:t>
      </w:r>
      <w:r w:rsidR="00974437" w:rsidRPr="00A74FE4">
        <w:rPr>
          <w:highlight w:val="lightGray"/>
        </w:rPr>
        <w:t>buborék</w:t>
      </w:r>
      <w:r w:rsidR="00974437">
        <w:rPr>
          <w:highlight w:val="lightGray"/>
        </w:rPr>
        <w:t>csomagolásban</w:t>
      </w:r>
    </w:p>
    <w:p w:rsidR="002C0C2F" w:rsidRPr="008D2CB3" w:rsidRDefault="002C0C2F" w:rsidP="001E7729">
      <w:pPr>
        <w:spacing w:line="260" w:lineRule="atLeast"/>
        <w:rPr>
          <w:highlight w:val="lightGray"/>
        </w:rPr>
      </w:pPr>
      <w:r w:rsidRPr="008D2CB3">
        <w:rPr>
          <w:highlight w:val="lightGray"/>
        </w:rPr>
        <w:t xml:space="preserve">EU/1/98/070/004a 100 </w:t>
      </w:r>
      <w:r w:rsidR="00974437">
        <w:rPr>
          <w:highlight w:val="lightGray"/>
        </w:rPr>
        <w:t>film</w:t>
      </w:r>
      <w:r w:rsidRPr="008D2CB3">
        <w:rPr>
          <w:highlight w:val="lightGray"/>
        </w:rPr>
        <w:t>tabletta</w:t>
      </w:r>
      <w:r w:rsidR="00974437" w:rsidRPr="00FA0AEB">
        <w:rPr>
          <w:bCs/>
          <w:szCs w:val="22"/>
          <w:highlight w:val="lightGray"/>
        </w:rPr>
        <w:t xml:space="preserve"> </w:t>
      </w:r>
      <w:r w:rsidR="00974437" w:rsidRPr="00A74FE4">
        <w:rPr>
          <w:bCs/>
          <w:szCs w:val="22"/>
          <w:highlight w:val="lightGray"/>
        </w:rPr>
        <w:t xml:space="preserve">PVC/PVDC/Alu </w:t>
      </w:r>
      <w:r w:rsidR="00974437" w:rsidRPr="00A74FE4">
        <w:rPr>
          <w:highlight w:val="lightGray"/>
        </w:rPr>
        <w:t>buborék</w:t>
      </w:r>
      <w:r w:rsidR="00974437">
        <w:rPr>
          <w:highlight w:val="lightGray"/>
        </w:rPr>
        <w:t>csomagolásban</w:t>
      </w:r>
    </w:p>
    <w:p w:rsidR="002C0C2F" w:rsidRPr="00D16754" w:rsidRDefault="002C0C2F" w:rsidP="001E7729">
      <w:pPr>
        <w:rPr>
          <w:highlight w:val="lightGray"/>
        </w:rPr>
      </w:pPr>
      <w:r w:rsidRPr="00D16754">
        <w:rPr>
          <w:highlight w:val="lightGray"/>
        </w:rPr>
        <w:t xml:space="preserve">EU/1/98/070/005a  30 </w:t>
      </w:r>
      <w:r w:rsidR="00974437" w:rsidRPr="00D16754">
        <w:rPr>
          <w:highlight w:val="lightGray"/>
        </w:rPr>
        <w:t>film</w:t>
      </w:r>
      <w:r w:rsidRPr="00D16754">
        <w:rPr>
          <w:highlight w:val="lightGray"/>
        </w:rPr>
        <w:t>tabletta</w:t>
      </w:r>
      <w:r w:rsidR="00974437" w:rsidRPr="00FA0AEB">
        <w:rPr>
          <w:bCs/>
          <w:szCs w:val="22"/>
          <w:highlight w:val="lightGray"/>
        </w:rPr>
        <w:t xml:space="preserve"> </w:t>
      </w:r>
      <w:r w:rsidR="00974437" w:rsidRPr="00A74FE4">
        <w:rPr>
          <w:bCs/>
          <w:szCs w:val="22"/>
          <w:highlight w:val="lightGray"/>
        </w:rPr>
        <w:t xml:space="preserve">PVC/PVDC/Alu </w:t>
      </w:r>
      <w:r w:rsidR="00974437" w:rsidRPr="00A74FE4">
        <w:rPr>
          <w:highlight w:val="lightGray"/>
        </w:rPr>
        <w:t>buborék</w:t>
      </w:r>
      <w:r w:rsidR="00974437">
        <w:rPr>
          <w:highlight w:val="lightGray"/>
        </w:rPr>
        <w:t>csomagolásban</w:t>
      </w:r>
    </w:p>
    <w:p w:rsidR="002C0C2F" w:rsidRPr="00D16754" w:rsidRDefault="002C0C2F" w:rsidP="001E7729">
      <w:pPr>
        <w:rPr>
          <w:highlight w:val="lightGray"/>
        </w:rPr>
      </w:pPr>
      <w:r w:rsidRPr="00D16754">
        <w:rPr>
          <w:highlight w:val="lightGray"/>
        </w:rPr>
        <w:t xml:space="preserve">EU/1/98/070/006a  90 </w:t>
      </w:r>
      <w:r w:rsidR="00974437" w:rsidRPr="00D16754">
        <w:rPr>
          <w:highlight w:val="lightGray"/>
        </w:rPr>
        <w:t>film</w:t>
      </w:r>
      <w:r w:rsidRPr="00D16754">
        <w:rPr>
          <w:highlight w:val="lightGray"/>
        </w:rPr>
        <w:t>tabletta</w:t>
      </w:r>
      <w:r w:rsidR="00974437" w:rsidRPr="00FA0AEB">
        <w:rPr>
          <w:bCs/>
          <w:szCs w:val="22"/>
          <w:highlight w:val="lightGray"/>
        </w:rPr>
        <w:t xml:space="preserve"> </w:t>
      </w:r>
      <w:r w:rsidR="00974437" w:rsidRPr="00A74FE4">
        <w:rPr>
          <w:bCs/>
          <w:szCs w:val="22"/>
          <w:highlight w:val="lightGray"/>
        </w:rPr>
        <w:t xml:space="preserve">PVC/PVDC/Alu </w:t>
      </w:r>
      <w:r w:rsidR="00974437" w:rsidRPr="00A74FE4">
        <w:rPr>
          <w:highlight w:val="lightGray"/>
        </w:rPr>
        <w:t>buborék</w:t>
      </w:r>
      <w:r w:rsidR="00974437">
        <w:rPr>
          <w:highlight w:val="lightGray"/>
        </w:rPr>
        <w:t>csomagolásban</w:t>
      </w:r>
    </w:p>
    <w:p w:rsidR="002C0C2F" w:rsidRPr="00D16754" w:rsidRDefault="002C0C2F" w:rsidP="001E7729">
      <w:pPr>
        <w:rPr>
          <w:highlight w:val="lightGray"/>
        </w:rPr>
      </w:pPr>
      <w:r w:rsidRPr="00D16754">
        <w:rPr>
          <w:highlight w:val="lightGray"/>
        </w:rPr>
        <w:t xml:space="preserve">EU/1/98/070/007a 14 </w:t>
      </w:r>
      <w:r w:rsidR="00974437" w:rsidRPr="00D16754">
        <w:rPr>
          <w:highlight w:val="lightGray"/>
        </w:rPr>
        <w:t>film</w:t>
      </w:r>
      <w:r w:rsidRPr="00D16754">
        <w:rPr>
          <w:highlight w:val="lightGray"/>
        </w:rPr>
        <w:t>tabletta</w:t>
      </w:r>
      <w:r w:rsidR="00974437" w:rsidRPr="00FA0AEB">
        <w:rPr>
          <w:bCs/>
          <w:szCs w:val="22"/>
          <w:highlight w:val="lightGray"/>
        </w:rPr>
        <w:t xml:space="preserve"> </w:t>
      </w:r>
      <w:r w:rsidR="00974437" w:rsidRPr="00A74FE4">
        <w:rPr>
          <w:bCs/>
          <w:szCs w:val="22"/>
          <w:highlight w:val="lightGray"/>
        </w:rPr>
        <w:t xml:space="preserve">PVC/PVDC/Alu </w:t>
      </w:r>
      <w:r w:rsidR="00974437" w:rsidRPr="00A74FE4">
        <w:rPr>
          <w:highlight w:val="lightGray"/>
        </w:rPr>
        <w:t>buborék</w:t>
      </w:r>
      <w:r w:rsidR="00974437">
        <w:rPr>
          <w:highlight w:val="lightGray"/>
        </w:rPr>
        <w:t>csomagolásban</w:t>
      </w:r>
    </w:p>
    <w:p w:rsidR="002C0C2F" w:rsidRPr="00D16754" w:rsidRDefault="002C0C2F" w:rsidP="001E7729">
      <w:pPr>
        <w:rPr>
          <w:highlight w:val="lightGray"/>
        </w:rPr>
      </w:pPr>
      <w:r w:rsidRPr="00D16754">
        <w:rPr>
          <w:highlight w:val="lightGray"/>
        </w:rPr>
        <w:t xml:space="preserve">EU/1/98/070/011a  7 </w:t>
      </w:r>
      <w:r w:rsidR="00974437" w:rsidRPr="00D16754">
        <w:rPr>
          <w:highlight w:val="lightGray"/>
        </w:rPr>
        <w:t>film</w:t>
      </w:r>
      <w:r w:rsidRPr="00D16754">
        <w:rPr>
          <w:highlight w:val="lightGray"/>
        </w:rPr>
        <w:t>tabletta</w:t>
      </w:r>
      <w:r w:rsidR="00974437" w:rsidRPr="00FA0AEB">
        <w:rPr>
          <w:bCs/>
          <w:szCs w:val="22"/>
          <w:highlight w:val="lightGray"/>
        </w:rPr>
        <w:t xml:space="preserve"> </w:t>
      </w:r>
      <w:r w:rsidR="00974437" w:rsidRPr="00A74FE4">
        <w:rPr>
          <w:bCs/>
          <w:szCs w:val="22"/>
          <w:highlight w:val="lightGray"/>
        </w:rPr>
        <w:t xml:space="preserve">PVC/PVDC/Alu </w:t>
      </w:r>
      <w:r w:rsidR="00974437" w:rsidRPr="00A74FE4">
        <w:rPr>
          <w:highlight w:val="lightGray"/>
        </w:rPr>
        <w:t>buborék</w:t>
      </w:r>
      <w:r w:rsidR="00974437">
        <w:rPr>
          <w:highlight w:val="lightGray"/>
        </w:rPr>
        <w:t>csomagolásban</w:t>
      </w:r>
    </w:p>
    <w:p w:rsidR="00974437" w:rsidRDefault="00974437" w:rsidP="00974437">
      <w:r>
        <w:rPr>
          <w:highlight w:val="lightGray"/>
        </w:rPr>
        <w:t>EU/1/98/070/013</w:t>
      </w:r>
      <w:r w:rsidRPr="00FA0AEB">
        <w:rPr>
          <w:bCs/>
          <w:szCs w:val="22"/>
          <w:highlight w:val="lightGray"/>
        </w:rPr>
        <w:t xml:space="preserve"> </w:t>
      </w:r>
      <w:r>
        <w:rPr>
          <w:bCs/>
          <w:szCs w:val="22"/>
          <w:highlight w:val="lightGray"/>
        </w:rPr>
        <w:t xml:space="preserve"> 28 filmtabletta </w:t>
      </w:r>
      <w:r w:rsidRPr="00A74FE4">
        <w:rPr>
          <w:bCs/>
          <w:szCs w:val="22"/>
          <w:highlight w:val="lightGray"/>
        </w:rPr>
        <w:t xml:space="preserve">Alu/Alu </w:t>
      </w:r>
      <w:r w:rsidRPr="00A74FE4">
        <w:rPr>
          <w:highlight w:val="lightGray"/>
        </w:rPr>
        <w:t>buborék</w:t>
      </w:r>
      <w:r>
        <w:rPr>
          <w:highlight w:val="lightGray"/>
        </w:rPr>
        <w:t>csomagolásban</w:t>
      </w:r>
    </w:p>
    <w:p w:rsidR="00974437" w:rsidRDefault="00974437" w:rsidP="00974437">
      <w:r>
        <w:rPr>
          <w:highlight w:val="lightGray"/>
        </w:rPr>
        <w:t>EU/1/98/070/014</w:t>
      </w:r>
      <w:r w:rsidRPr="00FA0AEB">
        <w:rPr>
          <w:bCs/>
          <w:szCs w:val="22"/>
          <w:highlight w:val="lightGray"/>
        </w:rPr>
        <w:t xml:space="preserve"> </w:t>
      </w:r>
      <w:r>
        <w:rPr>
          <w:bCs/>
          <w:szCs w:val="22"/>
          <w:highlight w:val="lightGray"/>
        </w:rPr>
        <w:t xml:space="preserve"> 50x1 filmtabletta </w:t>
      </w:r>
      <w:r w:rsidRPr="00A74FE4">
        <w:rPr>
          <w:bCs/>
          <w:szCs w:val="22"/>
          <w:highlight w:val="lightGray"/>
        </w:rPr>
        <w:t xml:space="preserve">Alu/Alu </w:t>
      </w:r>
      <w:r w:rsidRPr="00A74FE4">
        <w:rPr>
          <w:highlight w:val="lightGray"/>
        </w:rPr>
        <w:t>buborék</w:t>
      </w:r>
      <w:r>
        <w:rPr>
          <w:highlight w:val="lightGray"/>
        </w:rPr>
        <w:t>csomagolásban</w:t>
      </w:r>
    </w:p>
    <w:p w:rsidR="00974437" w:rsidRDefault="00974437" w:rsidP="00974437">
      <w:r>
        <w:rPr>
          <w:highlight w:val="lightGray"/>
        </w:rPr>
        <w:t>EU/1/98/070/015</w:t>
      </w:r>
      <w:r w:rsidRPr="00FA0AEB">
        <w:rPr>
          <w:bCs/>
          <w:szCs w:val="22"/>
          <w:highlight w:val="lightGray"/>
        </w:rPr>
        <w:t xml:space="preserve"> </w:t>
      </w:r>
      <w:r>
        <w:rPr>
          <w:bCs/>
          <w:szCs w:val="22"/>
          <w:highlight w:val="lightGray"/>
        </w:rPr>
        <w:t xml:space="preserve"> 84 filmtabletta </w:t>
      </w:r>
      <w:r w:rsidRPr="00A74FE4">
        <w:rPr>
          <w:bCs/>
          <w:szCs w:val="22"/>
          <w:highlight w:val="lightGray"/>
        </w:rPr>
        <w:t xml:space="preserve">Alu/Alu </w:t>
      </w:r>
      <w:r w:rsidRPr="00A74FE4">
        <w:rPr>
          <w:highlight w:val="lightGray"/>
        </w:rPr>
        <w:t>buborék</w:t>
      </w:r>
      <w:r>
        <w:rPr>
          <w:highlight w:val="lightGray"/>
        </w:rPr>
        <w:t>csomagolásban</w:t>
      </w:r>
    </w:p>
    <w:p w:rsidR="00974437" w:rsidRDefault="00974437" w:rsidP="00974437">
      <w:r>
        <w:rPr>
          <w:highlight w:val="lightGray"/>
        </w:rPr>
        <w:t>EU/1/98/070/016</w:t>
      </w:r>
      <w:r w:rsidRPr="00FA0AEB">
        <w:rPr>
          <w:bCs/>
          <w:szCs w:val="22"/>
          <w:highlight w:val="lightGray"/>
        </w:rPr>
        <w:t xml:space="preserve"> </w:t>
      </w:r>
      <w:r>
        <w:rPr>
          <w:bCs/>
          <w:szCs w:val="22"/>
          <w:highlight w:val="lightGray"/>
        </w:rPr>
        <w:t xml:space="preserve"> 100 filmtabletta </w:t>
      </w:r>
      <w:r w:rsidRPr="00A74FE4">
        <w:rPr>
          <w:bCs/>
          <w:szCs w:val="22"/>
          <w:highlight w:val="lightGray"/>
        </w:rPr>
        <w:t xml:space="preserve">Alu/Alu </w:t>
      </w:r>
      <w:r w:rsidRPr="00A74FE4">
        <w:rPr>
          <w:highlight w:val="lightGray"/>
        </w:rPr>
        <w:t>buborék</w:t>
      </w:r>
      <w:r>
        <w:rPr>
          <w:highlight w:val="lightGray"/>
        </w:rPr>
        <w:t>csomagolásban</w:t>
      </w:r>
    </w:p>
    <w:p w:rsidR="00974437" w:rsidRDefault="00974437" w:rsidP="00974437">
      <w:r>
        <w:rPr>
          <w:highlight w:val="lightGray"/>
        </w:rPr>
        <w:t>EU/1/98/070/017</w:t>
      </w:r>
      <w:r w:rsidRPr="00FA0AEB">
        <w:rPr>
          <w:bCs/>
          <w:szCs w:val="22"/>
          <w:highlight w:val="lightGray"/>
        </w:rPr>
        <w:t xml:space="preserve"> </w:t>
      </w:r>
      <w:r>
        <w:rPr>
          <w:bCs/>
          <w:szCs w:val="22"/>
          <w:highlight w:val="lightGray"/>
        </w:rPr>
        <w:t xml:space="preserve"> 30 filmtabletta </w:t>
      </w:r>
      <w:r w:rsidRPr="00A74FE4">
        <w:rPr>
          <w:bCs/>
          <w:szCs w:val="22"/>
          <w:highlight w:val="lightGray"/>
        </w:rPr>
        <w:t xml:space="preserve">Alu/Alu </w:t>
      </w:r>
      <w:r w:rsidRPr="00A74FE4">
        <w:rPr>
          <w:highlight w:val="lightGray"/>
        </w:rPr>
        <w:t>buborék</w:t>
      </w:r>
      <w:r>
        <w:rPr>
          <w:highlight w:val="lightGray"/>
        </w:rPr>
        <w:t>csomagolásban</w:t>
      </w:r>
    </w:p>
    <w:p w:rsidR="00974437" w:rsidRDefault="00974437" w:rsidP="00974437">
      <w:r>
        <w:rPr>
          <w:highlight w:val="lightGray"/>
        </w:rPr>
        <w:t>EU/1/98/070/018</w:t>
      </w:r>
      <w:r w:rsidRPr="00FA0AEB">
        <w:rPr>
          <w:bCs/>
          <w:szCs w:val="22"/>
          <w:highlight w:val="lightGray"/>
        </w:rPr>
        <w:t xml:space="preserve"> </w:t>
      </w:r>
      <w:r>
        <w:rPr>
          <w:bCs/>
          <w:szCs w:val="22"/>
          <w:highlight w:val="lightGray"/>
        </w:rPr>
        <w:t xml:space="preserve"> 90 filmtabletta </w:t>
      </w:r>
      <w:r w:rsidRPr="00A74FE4">
        <w:rPr>
          <w:bCs/>
          <w:szCs w:val="22"/>
          <w:highlight w:val="lightGray"/>
        </w:rPr>
        <w:t xml:space="preserve">Alu/Alu </w:t>
      </w:r>
      <w:r w:rsidRPr="00A74FE4">
        <w:rPr>
          <w:highlight w:val="lightGray"/>
        </w:rPr>
        <w:t>buborék</w:t>
      </w:r>
      <w:r>
        <w:rPr>
          <w:highlight w:val="lightGray"/>
        </w:rPr>
        <w:t>csomagolásban</w:t>
      </w:r>
    </w:p>
    <w:p w:rsidR="00974437" w:rsidRDefault="00974437" w:rsidP="00974437">
      <w:r>
        <w:rPr>
          <w:highlight w:val="lightGray"/>
        </w:rPr>
        <w:t>EU/1/98/070/019</w:t>
      </w:r>
      <w:r w:rsidRPr="00FA0AEB">
        <w:rPr>
          <w:bCs/>
          <w:szCs w:val="22"/>
          <w:highlight w:val="lightGray"/>
        </w:rPr>
        <w:t xml:space="preserve"> </w:t>
      </w:r>
      <w:r>
        <w:rPr>
          <w:bCs/>
          <w:szCs w:val="22"/>
          <w:highlight w:val="lightGray"/>
        </w:rPr>
        <w:t xml:space="preserve"> 14 filmtabletta </w:t>
      </w:r>
      <w:r w:rsidRPr="00A74FE4">
        <w:rPr>
          <w:bCs/>
          <w:szCs w:val="22"/>
          <w:highlight w:val="lightGray"/>
        </w:rPr>
        <w:t xml:space="preserve">Alu/Alu </w:t>
      </w:r>
      <w:r w:rsidRPr="00A74FE4">
        <w:rPr>
          <w:highlight w:val="lightGray"/>
        </w:rPr>
        <w:t>buborék</w:t>
      </w:r>
      <w:r>
        <w:rPr>
          <w:highlight w:val="lightGray"/>
        </w:rPr>
        <w:t>csomagolásban</w:t>
      </w:r>
    </w:p>
    <w:p w:rsidR="00974437" w:rsidRPr="00123EBC" w:rsidRDefault="00974437" w:rsidP="00974437">
      <w:pPr>
        <w:rPr>
          <w:szCs w:val="22"/>
        </w:rPr>
      </w:pPr>
      <w:r>
        <w:rPr>
          <w:highlight w:val="lightGray"/>
        </w:rPr>
        <w:t>EU/1/98/070/020</w:t>
      </w:r>
      <w:r w:rsidRPr="00FA0AEB">
        <w:rPr>
          <w:bCs/>
          <w:szCs w:val="22"/>
          <w:highlight w:val="lightGray"/>
        </w:rPr>
        <w:t xml:space="preserve"> </w:t>
      </w:r>
      <w:r>
        <w:rPr>
          <w:bCs/>
          <w:szCs w:val="22"/>
          <w:highlight w:val="lightGray"/>
        </w:rPr>
        <w:t xml:space="preserve"> 7 filmtabletta </w:t>
      </w:r>
      <w:r w:rsidRPr="00A74FE4">
        <w:rPr>
          <w:bCs/>
          <w:szCs w:val="22"/>
          <w:highlight w:val="lightGray"/>
        </w:rPr>
        <w:t xml:space="preserve">Alu/Alu </w:t>
      </w:r>
      <w:r w:rsidRPr="00A74FE4">
        <w:rPr>
          <w:highlight w:val="lightGray"/>
        </w:rPr>
        <w:t>buborék</w:t>
      </w:r>
      <w:r>
        <w:rPr>
          <w:highlight w:val="lightGray"/>
        </w:rPr>
        <w:t>csomagolásban</w:t>
      </w:r>
    </w:p>
    <w:p w:rsidR="00974437" w:rsidRPr="00D16754" w:rsidRDefault="00974437"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13.</w:t>
            </w:r>
            <w:r w:rsidRPr="008D2CB3">
              <w:rPr>
                <w:b/>
              </w:rPr>
              <w:tab/>
              <w:t>A GYÁRTÁSI TÉTEL SZÁMA</w:t>
            </w:r>
          </w:p>
        </w:tc>
      </w:tr>
    </w:tbl>
    <w:p w:rsidR="00122217" w:rsidRPr="008D2CB3" w:rsidRDefault="00122217" w:rsidP="001E7729">
      <w:pPr>
        <w:spacing w:line="260" w:lineRule="atLeast"/>
      </w:pPr>
    </w:p>
    <w:p w:rsidR="00122217" w:rsidRPr="008D2CB3" w:rsidRDefault="00122217" w:rsidP="001E7729">
      <w:pPr>
        <w:spacing w:line="260" w:lineRule="atLeast"/>
      </w:pPr>
      <w:r w:rsidRPr="008D2CB3">
        <w:t>Gy.sz.: {szám}</w:t>
      </w:r>
    </w:p>
    <w:p w:rsidR="00122217" w:rsidRPr="008D2CB3" w:rsidRDefault="00122217"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14.</w:t>
            </w:r>
            <w:r w:rsidRPr="008D2CB3">
              <w:rPr>
                <w:b/>
              </w:rPr>
              <w:tab/>
              <w:t>A GYÓGYSZER RENDELHETŐSÉG</w:t>
            </w:r>
            <w:r w:rsidR="00D83679">
              <w:rPr>
                <w:b/>
              </w:rPr>
              <w:t>E</w:t>
            </w:r>
            <w:r w:rsidRPr="008D2CB3">
              <w:rPr>
                <w:b/>
              </w:rPr>
              <w:t xml:space="preserve"> </w:t>
            </w:r>
          </w:p>
        </w:tc>
      </w:tr>
    </w:tbl>
    <w:p w:rsidR="00122217" w:rsidRPr="008D2CB3" w:rsidRDefault="00122217" w:rsidP="001E7729">
      <w:pPr>
        <w:spacing w:line="260" w:lineRule="atLeast"/>
      </w:pPr>
    </w:p>
    <w:p w:rsidR="00122217" w:rsidRPr="008D2CB3" w:rsidRDefault="00122217" w:rsidP="001E7729">
      <w:pPr>
        <w:spacing w:line="260" w:lineRule="atLeast"/>
      </w:pPr>
      <w:r w:rsidRPr="008D2CB3">
        <w:t>Orvosi rendelvényhez kötöt</w:t>
      </w:r>
      <w:r w:rsidR="00A50B6E" w:rsidRPr="008D2CB3">
        <w:t>t</w:t>
      </w:r>
      <w:r w:rsidRPr="008D2CB3">
        <w:t xml:space="preserve"> gyógyszer.</w:t>
      </w:r>
    </w:p>
    <w:p w:rsidR="00122217" w:rsidRPr="008D2CB3" w:rsidRDefault="00122217"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15.</w:t>
            </w:r>
            <w:r w:rsidRPr="008D2CB3">
              <w:rPr>
                <w:b/>
              </w:rPr>
              <w:tab/>
              <w:t>AZ ALKALMAZÁSRA VONATKOZÓ UTASÍTÁSOK</w:t>
            </w:r>
          </w:p>
        </w:tc>
      </w:tr>
    </w:tbl>
    <w:p w:rsidR="00122217" w:rsidRPr="008D2CB3" w:rsidRDefault="00122217" w:rsidP="001E7729">
      <w:pPr>
        <w:rPr>
          <w:u w:val="single"/>
        </w:rPr>
      </w:pPr>
    </w:p>
    <w:p w:rsidR="00122217" w:rsidRPr="008D2CB3" w:rsidRDefault="00122217" w:rsidP="001E7729">
      <w:pPr>
        <w:rPr>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3"/>
      </w:tblGrid>
      <w:tr w:rsidR="00122217" w:rsidRPr="008D2CB3">
        <w:tc>
          <w:tcPr>
            <w:tcW w:w="9103" w:type="dxa"/>
          </w:tcPr>
          <w:p w:rsidR="00122217" w:rsidRPr="008D2CB3" w:rsidRDefault="00122217" w:rsidP="001E7729">
            <w:pPr>
              <w:ind w:hanging="108"/>
              <w:rPr>
                <w:u w:val="single"/>
              </w:rPr>
            </w:pPr>
            <w:r w:rsidRPr="008D2CB3">
              <w:rPr>
                <w:b/>
              </w:rPr>
              <w:t>16.</w:t>
            </w:r>
            <w:r w:rsidRPr="008D2CB3">
              <w:rPr>
                <w:b/>
              </w:rPr>
              <w:tab/>
              <w:t>BRAILLE ÍRÁSSAL FELTÜNTETETT INFORMÁCIÓK</w:t>
            </w:r>
          </w:p>
        </w:tc>
      </w:tr>
    </w:tbl>
    <w:p w:rsidR="00122217" w:rsidRPr="008D2CB3" w:rsidRDefault="00122217" w:rsidP="001E7729">
      <w:pPr>
        <w:rPr>
          <w:u w:val="single"/>
        </w:rPr>
      </w:pPr>
    </w:p>
    <w:p w:rsidR="00122217" w:rsidRPr="00F86A77" w:rsidRDefault="009B10E4" w:rsidP="001E7729">
      <w:r w:rsidRPr="00F86A77">
        <w:t>Iscover</w:t>
      </w:r>
      <w:r w:rsidR="00BA65F2" w:rsidRPr="00F86A77">
        <w:t xml:space="preserve"> 75 mg</w:t>
      </w:r>
    </w:p>
    <w:p w:rsidR="00D239A0" w:rsidRDefault="00D239A0" w:rsidP="001E77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D239A0" w:rsidTr="00FD2C2B">
        <w:tc>
          <w:tcPr>
            <w:tcW w:w="9211" w:type="dxa"/>
            <w:shd w:val="clear" w:color="auto" w:fill="auto"/>
          </w:tcPr>
          <w:p w:rsidR="00D239A0" w:rsidRPr="003A3532" w:rsidRDefault="00D239A0" w:rsidP="001E7729">
            <w:pPr>
              <w:tabs>
                <w:tab w:val="left" w:pos="569"/>
              </w:tabs>
              <w:rPr>
                <w:b/>
              </w:rPr>
            </w:pPr>
            <w:r>
              <w:rPr>
                <w:b/>
              </w:rPr>
              <w:t>17.</w:t>
            </w:r>
            <w:r>
              <w:rPr>
                <w:b/>
              </w:rPr>
              <w:tab/>
            </w:r>
            <w:r w:rsidRPr="003A3532">
              <w:rPr>
                <w:b/>
                <w:noProof/>
              </w:rPr>
              <w:t>EGYEDI AZONOSÍTÓ – 2D VONALKÓD</w:t>
            </w:r>
          </w:p>
        </w:tc>
      </w:tr>
    </w:tbl>
    <w:p w:rsidR="00D239A0" w:rsidRDefault="00D239A0" w:rsidP="001E7729"/>
    <w:p w:rsidR="00B521C8" w:rsidRDefault="00B521C8" w:rsidP="001E7729">
      <w:r w:rsidRPr="00473DC3">
        <w:rPr>
          <w:noProof/>
          <w:highlight w:val="lightGray"/>
        </w:rPr>
        <w:t>Egyedi azonosítójú 2D vonalkóddal ellátva.</w:t>
      </w:r>
    </w:p>
    <w:p w:rsidR="00D239A0" w:rsidRDefault="00D239A0" w:rsidP="001E7729"/>
    <w:p w:rsidR="00B521C8" w:rsidRDefault="00B521C8" w:rsidP="001E7729"/>
    <w:p w:rsidR="00D239A0" w:rsidRPr="00C937E7" w:rsidRDefault="00D239A0" w:rsidP="001E7729">
      <w:pPr>
        <w:keepNext/>
        <w:pBdr>
          <w:top w:val="single" w:sz="4" w:space="1" w:color="auto"/>
          <w:left w:val="single" w:sz="4" w:space="4" w:color="auto"/>
          <w:bottom w:val="single" w:sz="4" w:space="1" w:color="auto"/>
          <w:right w:val="single" w:sz="4" w:space="4" w:color="auto"/>
        </w:pBdr>
        <w:tabs>
          <w:tab w:val="left" w:pos="0"/>
        </w:tabs>
        <w:ind w:left="-3"/>
        <w:rPr>
          <w:i/>
          <w:noProof/>
        </w:rPr>
      </w:pPr>
      <w:r>
        <w:rPr>
          <w:b/>
          <w:noProof/>
        </w:rPr>
        <w:t>18.</w:t>
      </w:r>
      <w:r>
        <w:rPr>
          <w:b/>
          <w:noProof/>
        </w:rPr>
        <w:tab/>
        <w:t>EGYEDI AZONOSÍTÓ OLVASHATÓ FORMÁTUMA</w:t>
      </w:r>
    </w:p>
    <w:p w:rsidR="00D239A0" w:rsidRPr="00C937E7" w:rsidRDefault="00D239A0" w:rsidP="001E7729">
      <w:pPr>
        <w:rPr>
          <w:noProof/>
        </w:rPr>
      </w:pPr>
    </w:p>
    <w:p w:rsidR="00B521C8" w:rsidRPr="001A2AF3" w:rsidRDefault="00B521C8" w:rsidP="001E7729">
      <w:r>
        <w:t>PC:</w:t>
      </w:r>
    </w:p>
    <w:p w:rsidR="00B521C8" w:rsidRPr="00C937E7" w:rsidRDefault="00B521C8" w:rsidP="001E7729">
      <w:r>
        <w:t>SN:</w:t>
      </w:r>
    </w:p>
    <w:p w:rsidR="00D239A0" w:rsidRDefault="00B521C8" w:rsidP="001E7729">
      <w:r>
        <w:t>NN:</w:t>
      </w:r>
    </w:p>
    <w:p w:rsidR="00B521C8" w:rsidRDefault="00B521C8" w:rsidP="001E7729"/>
    <w:p w:rsidR="00122217" w:rsidRPr="008D2CB3" w:rsidRDefault="00122217" w:rsidP="001E7729">
      <w:r w:rsidRPr="008D2CB3">
        <w:br w:type="page"/>
      </w:r>
    </w:p>
    <w:tbl>
      <w:tblPr>
        <w:tblW w:w="9077" w:type="dxa"/>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spacing w:line="260" w:lineRule="atLeast"/>
              <w:rPr>
                <w:b/>
              </w:rPr>
            </w:pPr>
            <w:r w:rsidRPr="008D2CB3">
              <w:br w:type="page"/>
            </w:r>
            <w:r w:rsidRPr="008D2CB3">
              <w:br w:type="page"/>
            </w:r>
            <w:r w:rsidRPr="008D2CB3">
              <w:br w:type="column"/>
            </w:r>
            <w:r w:rsidRPr="008D2CB3">
              <w:rPr>
                <w:b/>
              </w:rPr>
              <w:t>A BUBORÉK</w:t>
            </w:r>
            <w:r w:rsidR="00D83679">
              <w:rPr>
                <w:b/>
              </w:rPr>
              <w:t>CSOMAGOLÁSON</w:t>
            </w:r>
            <w:r w:rsidRPr="008D2CB3">
              <w:rPr>
                <w:b/>
              </w:rPr>
              <w:t xml:space="preserve"> FELTÜNTETENDŐ ADATOK</w:t>
            </w:r>
          </w:p>
          <w:p w:rsidR="00CE128C" w:rsidRPr="008D2CB3" w:rsidRDefault="00CE128C" w:rsidP="001E7729">
            <w:pPr>
              <w:spacing w:line="260" w:lineRule="atLeast"/>
              <w:rPr>
                <w:b/>
              </w:rPr>
            </w:pPr>
          </w:p>
          <w:p w:rsidR="00122217" w:rsidRPr="008D2CB3" w:rsidRDefault="00122217" w:rsidP="001E7729">
            <w:pPr>
              <w:spacing w:line="260" w:lineRule="atLeast"/>
              <w:rPr>
                <w:b/>
              </w:rPr>
            </w:pPr>
            <w:r w:rsidRPr="008D2CB3">
              <w:rPr>
                <w:b/>
              </w:rPr>
              <w:t>(</w:t>
            </w:r>
            <w:r w:rsidR="000740C7" w:rsidRPr="008D2CB3">
              <w:rPr>
                <w:b/>
              </w:rPr>
              <w:t xml:space="preserve">7, </w:t>
            </w:r>
            <w:r w:rsidR="00B95730" w:rsidRPr="008D2CB3">
              <w:rPr>
                <w:b/>
              </w:rPr>
              <w:t xml:space="preserve">14, </w:t>
            </w:r>
            <w:r w:rsidRPr="008D2CB3">
              <w:rPr>
                <w:b/>
              </w:rPr>
              <w:t xml:space="preserve">28 és 84 tablettát tartalmazó </w:t>
            </w:r>
            <w:r w:rsidR="000B6BAB" w:rsidRPr="008D2CB3">
              <w:rPr>
                <w:b/>
              </w:rPr>
              <w:t>buborékcsomagolás</w:t>
            </w:r>
            <w:r w:rsidRPr="008D2CB3">
              <w:rPr>
                <w:b/>
              </w:rPr>
              <w:t>)</w:t>
            </w:r>
          </w:p>
        </w:tc>
      </w:tr>
    </w:tbl>
    <w:p w:rsidR="00122217" w:rsidRPr="008D2CB3" w:rsidRDefault="00122217" w:rsidP="001E7729"/>
    <w:p w:rsidR="00122217" w:rsidRPr="008D2CB3" w:rsidRDefault="00122217" w:rsidP="001E7729"/>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1.</w:t>
            </w:r>
            <w:r w:rsidRPr="008D2CB3">
              <w:rPr>
                <w:b/>
              </w:rPr>
              <w:tab/>
              <w:t xml:space="preserve">A GYÓGYSZER </w:t>
            </w:r>
            <w:r w:rsidR="00440A96" w:rsidRPr="008D2CB3">
              <w:rPr>
                <w:b/>
              </w:rPr>
              <w:t>MEG</w:t>
            </w:r>
            <w:r w:rsidRPr="008D2CB3">
              <w:rPr>
                <w:b/>
              </w:rPr>
              <w:t>NEVE</w:t>
            </w:r>
            <w:r w:rsidR="00440A96" w:rsidRPr="008D2CB3">
              <w:rPr>
                <w:b/>
              </w:rPr>
              <w:t>ZÉSE</w:t>
            </w:r>
          </w:p>
        </w:tc>
      </w:tr>
    </w:tbl>
    <w:p w:rsidR="00122217" w:rsidRPr="008D2CB3" w:rsidRDefault="00122217" w:rsidP="001E7729">
      <w:pPr>
        <w:spacing w:line="260" w:lineRule="atLeast"/>
        <w:ind w:left="567" w:hanging="567"/>
      </w:pPr>
    </w:p>
    <w:p w:rsidR="00122217" w:rsidRPr="008D2CB3" w:rsidRDefault="009B10E4" w:rsidP="001E7729">
      <w:pPr>
        <w:spacing w:line="260" w:lineRule="atLeast"/>
        <w:ind w:left="567" w:hanging="567"/>
      </w:pPr>
      <w:r w:rsidRPr="008D2CB3">
        <w:t>Iscover</w:t>
      </w:r>
      <w:r w:rsidR="00675517" w:rsidRPr="008D2CB3">
        <w:t xml:space="preserve"> </w:t>
      </w:r>
      <w:r w:rsidR="00122217" w:rsidRPr="008D2CB3">
        <w:t>75 mg filmtabletta</w:t>
      </w:r>
    </w:p>
    <w:p w:rsidR="00122217" w:rsidRPr="008D2CB3" w:rsidRDefault="00D239A0" w:rsidP="001E7729">
      <w:pPr>
        <w:spacing w:line="260" w:lineRule="atLeast"/>
        <w:ind w:left="567" w:hanging="567"/>
      </w:pPr>
      <w:r>
        <w:t>k</w:t>
      </w:r>
      <w:r w:rsidR="00122217" w:rsidRPr="008D2CB3">
        <w:t>lopidogrél</w:t>
      </w:r>
    </w:p>
    <w:p w:rsidR="00122217" w:rsidRPr="008D2CB3" w:rsidRDefault="00122217"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2.</w:t>
            </w:r>
            <w:r w:rsidRPr="008D2CB3">
              <w:rPr>
                <w:b/>
              </w:rPr>
              <w:tab/>
              <w:t>A FORGALOMBA HOZATALI ENGEDÉLY JOGOSULTJÁNAK NEVE</w:t>
            </w:r>
          </w:p>
        </w:tc>
      </w:tr>
    </w:tbl>
    <w:p w:rsidR="00122217" w:rsidRPr="008D2CB3" w:rsidRDefault="00122217" w:rsidP="001E7729">
      <w:pPr>
        <w:spacing w:line="260" w:lineRule="atLeast"/>
      </w:pPr>
    </w:p>
    <w:p w:rsidR="002C0C2F" w:rsidRPr="008D2CB3" w:rsidRDefault="00FE7B46" w:rsidP="001E7729">
      <w:pPr>
        <w:ind w:left="708" w:hanging="708"/>
        <w:rPr>
          <w:szCs w:val="22"/>
        </w:rPr>
      </w:pPr>
      <w:r>
        <w:rPr>
          <w:szCs w:val="22"/>
        </w:rPr>
        <w:t>sanofi-aventis g</w:t>
      </w:r>
      <w:r w:rsidR="00AB3FB1">
        <w:rPr>
          <w:szCs w:val="22"/>
        </w:rPr>
        <w:t>roupe</w:t>
      </w:r>
    </w:p>
    <w:p w:rsidR="00122217" w:rsidRPr="008D2CB3" w:rsidRDefault="00122217"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3.</w:t>
            </w:r>
            <w:r w:rsidRPr="008D2CB3">
              <w:rPr>
                <w:b/>
              </w:rPr>
              <w:tab/>
              <w:t>LEJÁRATI IDŐ</w:t>
            </w:r>
          </w:p>
        </w:tc>
      </w:tr>
    </w:tbl>
    <w:p w:rsidR="00122217" w:rsidRPr="008D2CB3" w:rsidRDefault="00122217" w:rsidP="001E7729">
      <w:pPr>
        <w:spacing w:line="260" w:lineRule="atLeast"/>
      </w:pPr>
    </w:p>
    <w:p w:rsidR="00122217" w:rsidRPr="008D2CB3" w:rsidRDefault="00122217" w:rsidP="001E7729">
      <w:r w:rsidRPr="008D2CB3">
        <w:t>Felh.: {hónap/év}</w:t>
      </w:r>
    </w:p>
    <w:p w:rsidR="00122217" w:rsidRPr="008D2CB3" w:rsidRDefault="00122217"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4.</w:t>
            </w:r>
            <w:r w:rsidRPr="008D2CB3">
              <w:rPr>
                <w:b/>
              </w:rPr>
              <w:tab/>
              <w:t>A GYÁRTÁSI TÉTEL SZÁMA</w:t>
            </w:r>
          </w:p>
        </w:tc>
      </w:tr>
    </w:tbl>
    <w:p w:rsidR="00122217" w:rsidRPr="008D2CB3" w:rsidRDefault="00122217" w:rsidP="001E7729">
      <w:pPr>
        <w:spacing w:line="260" w:lineRule="atLeast"/>
      </w:pPr>
    </w:p>
    <w:p w:rsidR="00122217" w:rsidRPr="008D2CB3" w:rsidRDefault="00122217" w:rsidP="001E7729">
      <w:pPr>
        <w:rPr>
          <w:shd w:val="clear" w:color="auto" w:fill="FFFFFF"/>
        </w:rPr>
      </w:pPr>
      <w:r w:rsidRPr="008D2CB3">
        <w:rPr>
          <w:shd w:val="clear" w:color="auto" w:fill="FFFFFF"/>
        </w:rPr>
        <w:t>Gy.sz.: {szám}</w:t>
      </w:r>
    </w:p>
    <w:p w:rsidR="00122217" w:rsidRPr="008D2CB3" w:rsidRDefault="00122217" w:rsidP="001E7729">
      <w:pPr>
        <w:rPr>
          <w:shd w:val="clear" w:color="auto" w:fill="FFFFFF"/>
        </w:rPr>
      </w:pPr>
    </w:p>
    <w:p w:rsidR="00122217" w:rsidRPr="008D2CB3" w:rsidRDefault="00122217" w:rsidP="001E7729">
      <w:pPr>
        <w:rPr>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3"/>
      </w:tblGrid>
      <w:tr w:rsidR="00122217" w:rsidRPr="008D2CB3">
        <w:tc>
          <w:tcPr>
            <w:tcW w:w="9103" w:type="dxa"/>
          </w:tcPr>
          <w:p w:rsidR="00122217" w:rsidRPr="008D2CB3" w:rsidRDefault="00122217" w:rsidP="001E7729">
            <w:pPr>
              <w:tabs>
                <w:tab w:val="left" w:pos="459"/>
              </w:tabs>
              <w:ind w:hanging="108"/>
              <w:rPr>
                <w:b/>
                <w:shd w:val="clear" w:color="auto" w:fill="FFFFFF"/>
              </w:rPr>
            </w:pPr>
            <w:r w:rsidRPr="008D2CB3">
              <w:rPr>
                <w:b/>
                <w:shd w:val="clear" w:color="auto" w:fill="FFFFFF"/>
              </w:rPr>
              <w:t>5.</w:t>
            </w:r>
            <w:r w:rsidRPr="008D2CB3">
              <w:rPr>
                <w:b/>
              </w:rPr>
              <w:t xml:space="preserve"> </w:t>
            </w:r>
            <w:r w:rsidRPr="008D2CB3">
              <w:rPr>
                <w:b/>
              </w:rPr>
              <w:tab/>
              <w:t>EGYÉB INFORMÁCIÓK</w:t>
            </w:r>
          </w:p>
        </w:tc>
      </w:tr>
    </w:tbl>
    <w:p w:rsidR="00122217" w:rsidRPr="008D2CB3" w:rsidRDefault="00122217" w:rsidP="001E7729">
      <w:pPr>
        <w:rPr>
          <w:shd w:val="clear" w:color="auto" w:fill="FFFFFF"/>
        </w:rPr>
      </w:pPr>
    </w:p>
    <w:p w:rsidR="00122217" w:rsidRPr="008D2CB3" w:rsidRDefault="00122217" w:rsidP="001E7729">
      <w:pPr>
        <w:rPr>
          <w:shd w:val="clear" w:color="auto" w:fill="FFFFFF"/>
        </w:rPr>
      </w:pPr>
      <w:r w:rsidRPr="008D2CB3">
        <w:rPr>
          <w:highlight w:val="lightGray"/>
          <w:shd w:val="clear" w:color="auto" w:fill="FFFFFF"/>
        </w:rPr>
        <w:t>Naptári napok:</w:t>
      </w:r>
    </w:p>
    <w:p w:rsidR="00122217" w:rsidRPr="008D2CB3" w:rsidRDefault="00122217" w:rsidP="001E7729">
      <w:pPr>
        <w:rPr>
          <w:shd w:val="clear" w:color="auto" w:fill="FFFFFF"/>
        </w:rPr>
      </w:pPr>
      <w:r w:rsidRPr="008D2CB3">
        <w:rPr>
          <w:shd w:val="clear" w:color="auto" w:fill="FFFFFF"/>
        </w:rPr>
        <w:t>H</w:t>
      </w:r>
    </w:p>
    <w:p w:rsidR="00122217" w:rsidRPr="008D2CB3" w:rsidRDefault="00122217" w:rsidP="001E7729">
      <w:pPr>
        <w:rPr>
          <w:shd w:val="clear" w:color="auto" w:fill="FFFFFF"/>
        </w:rPr>
      </w:pPr>
      <w:r w:rsidRPr="008D2CB3">
        <w:rPr>
          <w:shd w:val="clear" w:color="auto" w:fill="FFFFFF"/>
        </w:rPr>
        <w:t>K</w:t>
      </w:r>
    </w:p>
    <w:p w:rsidR="00122217" w:rsidRPr="008D2CB3" w:rsidRDefault="00122217" w:rsidP="001E7729">
      <w:pPr>
        <w:rPr>
          <w:shd w:val="clear" w:color="auto" w:fill="FFFFFF"/>
        </w:rPr>
      </w:pPr>
      <w:r w:rsidRPr="008D2CB3">
        <w:rPr>
          <w:shd w:val="clear" w:color="auto" w:fill="FFFFFF"/>
        </w:rPr>
        <w:t>Sze</w:t>
      </w:r>
    </w:p>
    <w:p w:rsidR="00122217" w:rsidRPr="008D2CB3" w:rsidRDefault="00122217" w:rsidP="001E7729">
      <w:pPr>
        <w:rPr>
          <w:shd w:val="clear" w:color="auto" w:fill="FFFFFF"/>
        </w:rPr>
      </w:pPr>
      <w:r w:rsidRPr="008D2CB3">
        <w:rPr>
          <w:shd w:val="clear" w:color="auto" w:fill="FFFFFF"/>
        </w:rPr>
        <w:t>Cs</w:t>
      </w:r>
    </w:p>
    <w:p w:rsidR="00122217" w:rsidRPr="008D2CB3" w:rsidRDefault="00122217" w:rsidP="001E7729">
      <w:pPr>
        <w:rPr>
          <w:shd w:val="clear" w:color="auto" w:fill="FFFFFF"/>
        </w:rPr>
      </w:pPr>
      <w:r w:rsidRPr="008D2CB3">
        <w:rPr>
          <w:shd w:val="clear" w:color="auto" w:fill="FFFFFF"/>
        </w:rPr>
        <w:t>P</w:t>
      </w:r>
    </w:p>
    <w:p w:rsidR="00122217" w:rsidRPr="008D2CB3" w:rsidRDefault="00122217" w:rsidP="001E7729">
      <w:pPr>
        <w:rPr>
          <w:shd w:val="clear" w:color="auto" w:fill="FFFFFF"/>
        </w:rPr>
      </w:pPr>
      <w:r w:rsidRPr="008D2CB3">
        <w:rPr>
          <w:shd w:val="clear" w:color="auto" w:fill="FFFFFF"/>
        </w:rPr>
        <w:t>Szo</w:t>
      </w:r>
    </w:p>
    <w:p w:rsidR="00122217" w:rsidRPr="008D2CB3" w:rsidRDefault="00122217" w:rsidP="001E7729">
      <w:pPr>
        <w:rPr>
          <w:shd w:val="clear" w:color="auto" w:fill="FFFFFF"/>
        </w:rPr>
      </w:pPr>
      <w:r w:rsidRPr="008D2CB3">
        <w:rPr>
          <w:shd w:val="clear" w:color="auto" w:fill="FFFFFF"/>
        </w:rPr>
        <w:t>V</w:t>
      </w:r>
    </w:p>
    <w:p w:rsidR="00122217" w:rsidRPr="008D2CB3" w:rsidRDefault="00122217" w:rsidP="001E7729">
      <w:pPr>
        <w:rPr>
          <w:shd w:val="clear" w:color="auto" w:fill="FFFFFF"/>
        </w:rPr>
      </w:pPr>
    </w:p>
    <w:p w:rsidR="00122217" w:rsidRPr="008D2CB3" w:rsidRDefault="00122217" w:rsidP="001E7729">
      <w:pPr>
        <w:rPr>
          <w:highlight w:val="lightGray"/>
          <w:shd w:val="clear" w:color="auto" w:fill="FFFFFF"/>
        </w:rPr>
      </w:pPr>
      <w:r w:rsidRPr="008D2CB3">
        <w:rPr>
          <w:highlight w:val="lightGray"/>
          <w:shd w:val="clear" w:color="auto" w:fill="FFFFFF"/>
        </w:rPr>
        <w:t>1. hét</w:t>
      </w:r>
    </w:p>
    <w:p w:rsidR="00122217" w:rsidRPr="008D2CB3" w:rsidRDefault="00122217" w:rsidP="001E7729">
      <w:pPr>
        <w:rPr>
          <w:shd w:val="clear" w:color="auto" w:fill="FFFFFF"/>
        </w:rPr>
      </w:pPr>
      <w:r w:rsidRPr="008D2CB3">
        <w:rPr>
          <w:highlight w:val="lightGray"/>
          <w:shd w:val="clear" w:color="auto" w:fill="FFFFFF"/>
        </w:rPr>
        <w:t>2. hét</w:t>
      </w:r>
      <w:r w:rsidR="000740C7" w:rsidRPr="008D2CB3">
        <w:rPr>
          <w:highlight w:val="lightGray"/>
          <w:shd w:val="clear" w:color="auto" w:fill="FFFFFF"/>
        </w:rPr>
        <w:t xml:space="preserve"> Kizárólag 14, 28 vagy 84 tablettát tartalmazó dobozoknál</w:t>
      </w:r>
    </w:p>
    <w:p w:rsidR="00122217" w:rsidRPr="008D2CB3" w:rsidRDefault="00122217" w:rsidP="001E7729">
      <w:pPr>
        <w:rPr>
          <w:highlight w:val="lightGray"/>
        </w:rPr>
      </w:pPr>
      <w:r w:rsidRPr="008D2CB3">
        <w:rPr>
          <w:highlight w:val="lightGray"/>
          <w:shd w:val="clear" w:color="auto" w:fill="FFFFFF"/>
        </w:rPr>
        <w:t>3. hét</w:t>
      </w:r>
      <w:r w:rsidR="00B95730" w:rsidRPr="008D2CB3">
        <w:rPr>
          <w:highlight w:val="lightGray"/>
        </w:rPr>
        <w:t xml:space="preserve"> Kizárólag 28; 84 tablettát tartalmazó dobozoknál</w:t>
      </w:r>
    </w:p>
    <w:p w:rsidR="00B95730" w:rsidRPr="008D2CB3" w:rsidRDefault="00122217" w:rsidP="001E7729">
      <w:r w:rsidRPr="008D2CB3">
        <w:rPr>
          <w:highlight w:val="lightGray"/>
          <w:shd w:val="clear" w:color="auto" w:fill="FFFFFF"/>
        </w:rPr>
        <w:t>4. hét</w:t>
      </w:r>
      <w:r w:rsidR="00B95730" w:rsidRPr="008D2CB3">
        <w:rPr>
          <w:highlight w:val="lightGray"/>
        </w:rPr>
        <w:t xml:space="preserve"> Kizárólag 28; 84 tablettát tartalmazó dobozoknál</w:t>
      </w:r>
    </w:p>
    <w:p w:rsidR="00122217" w:rsidRPr="008D2CB3" w:rsidRDefault="00122217" w:rsidP="001E7729">
      <w:pPr>
        <w:rPr>
          <w:shd w:val="clear" w:color="auto" w:fill="FFFFFF"/>
        </w:rPr>
      </w:pPr>
    </w:p>
    <w:p w:rsidR="00122217" w:rsidRPr="008D2CB3" w:rsidRDefault="00122217" w:rsidP="001E7729">
      <w:pPr>
        <w:rPr>
          <w:shd w:val="clear" w:color="auto" w:fill="FFFFFF"/>
        </w:rPr>
      </w:pPr>
    </w:p>
    <w:p w:rsidR="00122217" w:rsidRPr="008D2CB3" w:rsidRDefault="00122217" w:rsidP="001E7729">
      <w:pPr>
        <w:rPr>
          <w:shd w:val="clear" w:color="auto" w:fill="FFFFFF"/>
        </w:rPr>
      </w:pPr>
      <w:r w:rsidRPr="008D2CB3">
        <w:rPr>
          <w:shd w:val="clear" w:color="auto" w:fill="FFFFFF"/>
        </w:rPr>
        <w:br w:type="column"/>
      </w:r>
    </w:p>
    <w:tbl>
      <w:tblPr>
        <w:tblW w:w="9077" w:type="dxa"/>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spacing w:line="260" w:lineRule="atLeast"/>
              <w:rPr>
                <w:b/>
              </w:rPr>
            </w:pPr>
            <w:r w:rsidRPr="008D2CB3">
              <w:br w:type="column"/>
            </w:r>
            <w:r w:rsidR="001F10A4" w:rsidRPr="008D2CB3">
              <w:rPr>
                <w:b/>
                <w:noProof/>
              </w:rPr>
              <w:t>A BUBORÉK</w:t>
            </w:r>
            <w:r w:rsidR="00D83679">
              <w:rPr>
                <w:b/>
                <w:noProof/>
              </w:rPr>
              <w:t>CSOMAGOLÁSON</w:t>
            </w:r>
            <w:r w:rsidR="001F10A4" w:rsidRPr="008D2CB3">
              <w:rPr>
                <w:b/>
                <w:noProof/>
              </w:rPr>
              <w:t xml:space="preserve"> VAGY A FÓLI</w:t>
            </w:r>
            <w:r w:rsidR="00D83679">
              <w:rPr>
                <w:b/>
                <w:noProof/>
              </w:rPr>
              <w:t>ACSÍKON</w:t>
            </w:r>
            <w:r w:rsidR="001F10A4" w:rsidRPr="008D2CB3">
              <w:rPr>
                <w:b/>
                <w:noProof/>
              </w:rPr>
              <w:t xml:space="preserve"> MINIMÁLISAN FELTÜNTETENDŐ ADATOK</w:t>
            </w:r>
          </w:p>
          <w:p w:rsidR="00122217" w:rsidRPr="008D2CB3" w:rsidRDefault="00FC1EFB" w:rsidP="001E7729">
            <w:pPr>
              <w:spacing w:line="260" w:lineRule="atLeast"/>
              <w:rPr>
                <w:b/>
              </w:rPr>
            </w:pPr>
            <w:r w:rsidRPr="008D2CB3">
              <w:rPr>
                <w:b/>
              </w:rPr>
              <w:t xml:space="preserve">30, </w:t>
            </w:r>
            <w:r w:rsidR="00122217" w:rsidRPr="008D2CB3">
              <w:rPr>
                <w:b/>
              </w:rPr>
              <w:t>50</w:t>
            </w:r>
            <w:r w:rsidR="00CE128C" w:rsidRPr="008D2CB3">
              <w:rPr>
                <w:b/>
              </w:rPr>
              <w:t> × </w:t>
            </w:r>
            <w:r w:rsidR="00BA65F2" w:rsidRPr="008D2CB3">
              <w:rPr>
                <w:b/>
              </w:rPr>
              <w:t>1</w:t>
            </w:r>
            <w:r w:rsidRPr="008D2CB3">
              <w:rPr>
                <w:b/>
              </w:rPr>
              <w:t>, 90</w:t>
            </w:r>
            <w:r w:rsidR="00122217" w:rsidRPr="008D2CB3">
              <w:rPr>
                <w:b/>
              </w:rPr>
              <w:t xml:space="preserve"> és 100 tablettát tartalmazó </w:t>
            </w:r>
            <w:r w:rsidR="00CE128C" w:rsidRPr="008D2CB3">
              <w:rPr>
                <w:b/>
              </w:rPr>
              <w:t>buborék</w:t>
            </w:r>
            <w:r w:rsidR="00B96BC9" w:rsidRPr="008D2CB3">
              <w:rPr>
                <w:b/>
              </w:rPr>
              <w:t>csomagolás</w:t>
            </w:r>
          </w:p>
        </w:tc>
      </w:tr>
    </w:tbl>
    <w:p w:rsidR="00122217" w:rsidRPr="008D2CB3" w:rsidRDefault="00122217" w:rsidP="001E7729"/>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1.</w:t>
            </w:r>
            <w:r w:rsidRPr="008D2CB3">
              <w:rPr>
                <w:b/>
              </w:rPr>
              <w:tab/>
              <w:t>A GYÓGYSZER NEVE</w:t>
            </w:r>
          </w:p>
        </w:tc>
      </w:tr>
    </w:tbl>
    <w:p w:rsidR="00122217" w:rsidRPr="008D2CB3" w:rsidRDefault="00122217" w:rsidP="001E7729">
      <w:pPr>
        <w:spacing w:line="260" w:lineRule="atLeast"/>
        <w:ind w:left="567" w:hanging="567"/>
      </w:pPr>
    </w:p>
    <w:p w:rsidR="00122217" w:rsidRPr="008D2CB3" w:rsidRDefault="009B10E4" w:rsidP="001E7729">
      <w:pPr>
        <w:spacing w:line="260" w:lineRule="atLeast"/>
        <w:ind w:left="567" w:hanging="567"/>
      </w:pPr>
      <w:r w:rsidRPr="008D2CB3">
        <w:t>Iscover</w:t>
      </w:r>
      <w:r w:rsidR="00122217" w:rsidRPr="008D2CB3">
        <w:t xml:space="preserve"> 75 mg filmtabletta</w:t>
      </w:r>
    </w:p>
    <w:p w:rsidR="00122217" w:rsidRPr="008D2CB3" w:rsidRDefault="00122217" w:rsidP="001E7729">
      <w:pPr>
        <w:spacing w:line="260" w:lineRule="atLeast"/>
        <w:ind w:left="567" w:hanging="567"/>
      </w:pPr>
      <w:r w:rsidRPr="008D2CB3">
        <w:t>Klopidogrél</w:t>
      </w:r>
    </w:p>
    <w:p w:rsidR="00122217" w:rsidRPr="008D2CB3" w:rsidRDefault="00122217"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2.</w:t>
            </w:r>
            <w:r w:rsidRPr="008D2CB3">
              <w:rPr>
                <w:b/>
              </w:rPr>
              <w:tab/>
              <w:t>A FORGALOMBA HOZATALI ENGEDÉLY JOGOSULTJÁNAK NEVE</w:t>
            </w:r>
          </w:p>
        </w:tc>
      </w:tr>
    </w:tbl>
    <w:p w:rsidR="00122217" w:rsidRPr="008D2CB3" w:rsidRDefault="00122217" w:rsidP="001E7729">
      <w:pPr>
        <w:spacing w:line="260" w:lineRule="atLeast"/>
      </w:pPr>
    </w:p>
    <w:p w:rsidR="002C0C2F" w:rsidRPr="008D2CB3" w:rsidRDefault="00FE7B46" w:rsidP="001E7729">
      <w:pPr>
        <w:ind w:left="708" w:hanging="708"/>
        <w:rPr>
          <w:szCs w:val="22"/>
        </w:rPr>
      </w:pPr>
      <w:r>
        <w:rPr>
          <w:szCs w:val="22"/>
        </w:rPr>
        <w:t>sanofi-aventis g</w:t>
      </w:r>
      <w:r w:rsidR="00AB3FB1">
        <w:rPr>
          <w:szCs w:val="22"/>
        </w:rPr>
        <w:t>roupe</w:t>
      </w:r>
    </w:p>
    <w:p w:rsidR="00122217" w:rsidRPr="008D2CB3" w:rsidRDefault="00122217"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3.</w:t>
            </w:r>
            <w:r w:rsidRPr="008D2CB3">
              <w:rPr>
                <w:b/>
              </w:rPr>
              <w:tab/>
              <w:t>LEJÁRATI IDŐ</w:t>
            </w:r>
          </w:p>
        </w:tc>
      </w:tr>
    </w:tbl>
    <w:p w:rsidR="00122217" w:rsidRPr="008D2CB3" w:rsidRDefault="00122217" w:rsidP="001E7729">
      <w:pPr>
        <w:spacing w:line="260" w:lineRule="atLeast"/>
      </w:pPr>
    </w:p>
    <w:p w:rsidR="00122217" w:rsidRPr="008D2CB3" w:rsidRDefault="00122217" w:rsidP="001E7729">
      <w:r w:rsidRPr="008D2CB3">
        <w:t>Felh.: {hónap/év}</w:t>
      </w:r>
    </w:p>
    <w:p w:rsidR="00122217" w:rsidRPr="008D2CB3" w:rsidRDefault="00122217" w:rsidP="001E7729">
      <w:pPr>
        <w:spacing w:line="260" w:lineRule="atLeast"/>
      </w:pPr>
    </w:p>
    <w:p w:rsidR="00122217" w:rsidRPr="008D2CB3" w:rsidRDefault="00122217"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122217"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122217" w:rsidRPr="008D2CB3" w:rsidRDefault="00122217" w:rsidP="001E7729">
            <w:pPr>
              <w:tabs>
                <w:tab w:val="left" w:pos="142"/>
              </w:tabs>
              <w:spacing w:line="260" w:lineRule="atLeast"/>
              <w:ind w:left="567" w:hanging="567"/>
              <w:rPr>
                <w:b/>
              </w:rPr>
            </w:pPr>
            <w:r w:rsidRPr="008D2CB3">
              <w:rPr>
                <w:b/>
              </w:rPr>
              <w:t>4.</w:t>
            </w:r>
            <w:r w:rsidRPr="008D2CB3">
              <w:rPr>
                <w:b/>
              </w:rPr>
              <w:tab/>
              <w:t>A GYÁRTÁSI TÉTEL SZÁMA</w:t>
            </w:r>
          </w:p>
        </w:tc>
      </w:tr>
    </w:tbl>
    <w:p w:rsidR="00122217" w:rsidRPr="008D2CB3" w:rsidRDefault="00122217" w:rsidP="001E7729">
      <w:pPr>
        <w:spacing w:line="260" w:lineRule="atLeast"/>
      </w:pPr>
    </w:p>
    <w:p w:rsidR="00122217" w:rsidRPr="008D2CB3" w:rsidRDefault="00122217" w:rsidP="001E7729">
      <w:pPr>
        <w:rPr>
          <w:shd w:val="clear" w:color="auto" w:fill="FFFFFF"/>
        </w:rPr>
      </w:pPr>
      <w:r w:rsidRPr="008D2CB3">
        <w:rPr>
          <w:shd w:val="clear" w:color="auto" w:fill="FFFFFF"/>
        </w:rPr>
        <w:t>Gy.sz.: {szám}</w:t>
      </w:r>
    </w:p>
    <w:p w:rsidR="00122217" w:rsidRPr="008D2CB3" w:rsidRDefault="00122217" w:rsidP="001E7729">
      <w:pPr>
        <w:rPr>
          <w:shd w:val="clear" w:color="auto" w:fill="FFFFFF"/>
        </w:rPr>
      </w:pPr>
    </w:p>
    <w:p w:rsidR="00122217" w:rsidRPr="008D2CB3" w:rsidRDefault="00122217" w:rsidP="001E7729">
      <w:pPr>
        <w:rPr>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3"/>
      </w:tblGrid>
      <w:tr w:rsidR="00122217" w:rsidRPr="008D2CB3">
        <w:tc>
          <w:tcPr>
            <w:tcW w:w="9103" w:type="dxa"/>
          </w:tcPr>
          <w:p w:rsidR="00122217" w:rsidRPr="008D2CB3" w:rsidRDefault="00122217" w:rsidP="001E7729">
            <w:pPr>
              <w:ind w:hanging="108"/>
              <w:rPr>
                <w:b/>
                <w:shd w:val="clear" w:color="auto" w:fill="FFFFFF"/>
              </w:rPr>
            </w:pPr>
            <w:r w:rsidRPr="008D2CB3">
              <w:rPr>
                <w:b/>
                <w:shd w:val="clear" w:color="auto" w:fill="FFFFFF"/>
              </w:rPr>
              <w:t>5.</w:t>
            </w:r>
            <w:r w:rsidR="00CE128C" w:rsidRPr="008D2CB3">
              <w:rPr>
                <w:b/>
              </w:rPr>
              <w:tab/>
            </w:r>
            <w:r w:rsidRPr="008D2CB3">
              <w:rPr>
                <w:b/>
              </w:rPr>
              <w:t>EGYÉB INFORMÁCIÓK</w:t>
            </w:r>
          </w:p>
        </w:tc>
      </w:tr>
    </w:tbl>
    <w:p w:rsidR="00D6444A" w:rsidRPr="008D2CB3" w:rsidRDefault="00D6444A" w:rsidP="001E7729">
      <w:pPr>
        <w:rPr>
          <w:shd w:val="clear" w:color="auto" w:fill="FFFFFF"/>
        </w:rPr>
      </w:pPr>
    </w:p>
    <w:p w:rsidR="00D6444A" w:rsidRPr="008D2CB3" w:rsidRDefault="00D6444A" w:rsidP="001E7729">
      <w:pPr>
        <w:rPr>
          <w:shd w:val="clear" w:color="auto" w:fill="FFFFFF"/>
        </w:rPr>
      </w:pPr>
      <w:r w:rsidRPr="008D2CB3">
        <w:rPr>
          <w:shd w:val="clear" w:color="auto" w:fill="FFFFFF"/>
        </w:rPr>
        <w:br w:type="column"/>
      </w: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trHeight w:val="1040"/>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spacing w:line="260" w:lineRule="atLeast"/>
              <w:rPr>
                <w:b/>
              </w:rPr>
            </w:pPr>
            <w:r w:rsidRPr="008D2CB3">
              <w:rPr>
                <w:b/>
              </w:rPr>
              <w:t>A KÜLSŐ CSOMAGOLÁSON FELTÜNTETENDŐ ADATOK</w:t>
            </w:r>
          </w:p>
          <w:p w:rsidR="00D6444A" w:rsidRPr="008D2CB3" w:rsidRDefault="00D6444A" w:rsidP="001E7729">
            <w:pPr>
              <w:spacing w:line="260" w:lineRule="atLeast"/>
              <w:rPr>
                <w:b/>
              </w:rPr>
            </w:pPr>
          </w:p>
          <w:p w:rsidR="00D6444A" w:rsidRPr="008D2CB3" w:rsidRDefault="00D6444A" w:rsidP="001E7729">
            <w:pPr>
              <w:rPr>
                <w:b/>
              </w:rPr>
            </w:pPr>
            <w:r w:rsidRPr="008D2CB3">
              <w:rPr>
                <w:b/>
              </w:rPr>
              <w:t>KÜLSŐ DOBOZ</w:t>
            </w:r>
            <w:r w:rsidRPr="008D2CB3" w:rsidDel="003F4CD7">
              <w:rPr>
                <w:b/>
              </w:rPr>
              <w:t xml:space="preserve"> </w:t>
            </w:r>
          </w:p>
        </w:tc>
      </w:tr>
    </w:tbl>
    <w:p w:rsidR="00D6444A" w:rsidRPr="008D2CB3" w:rsidRDefault="00D6444A" w:rsidP="001E7729">
      <w:pPr>
        <w:spacing w:line="260" w:lineRule="atLeast"/>
      </w:pPr>
    </w:p>
    <w:p w:rsidR="00D6444A" w:rsidRPr="008D2CB3" w:rsidRDefault="00D6444A" w:rsidP="001E7729">
      <w:pPr>
        <w:spacing w:line="260" w:lineRule="atLeast"/>
      </w:pPr>
    </w:p>
    <w:tbl>
      <w:tblPr>
        <w:tblW w:w="9077" w:type="dxa"/>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1.</w:t>
            </w:r>
            <w:r w:rsidRPr="008D2CB3">
              <w:rPr>
                <w:b/>
              </w:rPr>
              <w:tab/>
              <w:t>A GYÓGYSZER NEVE</w:t>
            </w:r>
          </w:p>
        </w:tc>
      </w:tr>
    </w:tbl>
    <w:p w:rsidR="00D6444A" w:rsidRPr="008D2CB3" w:rsidRDefault="00D6444A" w:rsidP="001E7729">
      <w:pPr>
        <w:spacing w:line="260" w:lineRule="atLeast"/>
      </w:pPr>
    </w:p>
    <w:p w:rsidR="00D6444A" w:rsidRPr="008D2CB3" w:rsidRDefault="009B10E4" w:rsidP="001E7729">
      <w:pPr>
        <w:spacing w:line="260" w:lineRule="atLeast"/>
      </w:pPr>
      <w:r w:rsidRPr="008D2CB3">
        <w:t>Iscover</w:t>
      </w:r>
      <w:r w:rsidR="00D6444A" w:rsidRPr="008D2CB3">
        <w:t xml:space="preserve"> 300 mg filmtabletta</w:t>
      </w:r>
    </w:p>
    <w:p w:rsidR="00D6444A" w:rsidRPr="008D2CB3" w:rsidRDefault="00D239A0" w:rsidP="001E7729">
      <w:pPr>
        <w:spacing w:line="260" w:lineRule="atLeast"/>
      </w:pPr>
      <w:r>
        <w:t>k</w:t>
      </w:r>
      <w:r w:rsidR="00D6444A" w:rsidRPr="008D2CB3">
        <w:t>lopidogrél</w:t>
      </w:r>
    </w:p>
    <w:p w:rsidR="00D6444A" w:rsidRPr="008D2CB3" w:rsidRDefault="00D6444A" w:rsidP="001E7729">
      <w:pPr>
        <w:spacing w:line="260" w:lineRule="atLeast"/>
      </w:pPr>
    </w:p>
    <w:p w:rsidR="00D6444A" w:rsidRPr="008D2CB3" w:rsidRDefault="00D6444A"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2.</w:t>
            </w:r>
            <w:r w:rsidRPr="008D2CB3">
              <w:rPr>
                <w:b/>
              </w:rPr>
              <w:tab/>
              <w:t>HATÓANYAG(OK) MEGNEVEZÉSE</w:t>
            </w:r>
          </w:p>
        </w:tc>
      </w:tr>
    </w:tbl>
    <w:p w:rsidR="00D6444A" w:rsidRPr="008D2CB3" w:rsidRDefault="00D6444A" w:rsidP="001E7729">
      <w:pPr>
        <w:spacing w:line="260" w:lineRule="atLeast"/>
      </w:pPr>
    </w:p>
    <w:p w:rsidR="00D6444A" w:rsidRPr="008D2CB3" w:rsidRDefault="00D6444A" w:rsidP="001E7729">
      <w:pPr>
        <w:spacing w:line="260" w:lineRule="atLeast"/>
      </w:pPr>
      <w:r w:rsidRPr="008D2CB3">
        <w:t>300 mg klopidogrél (hidrogén-szulfát formájában) tablettánként.</w:t>
      </w:r>
    </w:p>
    <w:p w:rsidR="00D6444A" w:rsidRPr="008D2CB3" w:rsidRDefault="00D6444A" w:rsidP="001E7729">
      <w:pPr>
        <w:spacing w:line="260" w:lineRule="atLeast"/>
      </w:pPr>
    </w:p>
    <w:p w:rsidR="00D6444A" w:rsidRPr="008D2CB3" w:rsidRDefault="00D6444A"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3.</w:t>
            </w:r>
            <w:r w:rsidRPr="008D2CB3">
              <w:rPr>
                <w:b/>
              </w:rPr>
              <w:tab/>
              <w:t>SEGÉDANYAGOK FELSOROLÁSA</w:t>
            </w:r>
          </w:p>
        </w:tc>
      </w:tr>
    </w:tbl>
    <w:p w:rsidR="00D6444A" w:rsidRPr="008D2CB3" w:rsidRDefault="00D6444A" w:rsidP="001E7729">
      <w:pPr>
        <w:spacing w:line="260" w:lineRule="atLeast"/>
      </w:pPr>
    </w:p>
    <w:p w:rsidR="00D6444A" w:rsidRPr="008D2CB3" w:rsidRDefault="00D6444A" w:rsidP="001E7729">
      <w:pPr>
        <w:spacing w:line="260" w:lineRule="atLeast"/>
      </w:pPr>
      <w:r w:rsidRPr="008D2CB3">
        <w:t>Segédanyagként hidrogénezett ricinusolajat</w:t>
      </w:r>
      <w:r w:rsidR="008A4DD6" w:rsidRPr="008D2CB3">
        <w:t xml:space="preserve"> és laktózt</w:t>
      </w:r>
      <w:r w:rsidRPr="008D2CB3">
        <w:t xml:space="preserve"> is tartalmaz. További információkat lásd a betegtájékoztatóban.</w:t>
      </w:r>
    </w:p>
    <w:p w:rsidR="00D6444A" w:rsidRPr="008D2CB3" w:rsidRDefault="00D6444A" w:rsidP="001E7729">
      <w:pPr>
        <w:spacing w:line="260" w:lineRule="atLeast"/>
      </w:pPr>
    </w:p>
    <w:p w:rsidR="00D6444A" w:rsidRPr="008D2CB3" w:rsidRDefault="00D6444A"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4.</w:t>
            </w:r>
            <w:r w:rsidRPr="008D2CB3">
              <w:rPr>
                <w:b/>
              </w:rPr>
              <w:tab/>
              <w:t>GYÓGYSZERFORMA ÉS TARTALOM</w:t>
            </w:r>
          </w:p>
        </w:tc>
      </w:tr>
    </w:tbl>
    <w:p w:rsidR="00D6444A" w:rsidRPr="008D2CB3" w:rsidRDefault="00D6444A" w:rsidP="001E7729">
      <w:pPr>
        <w:spacing w:line="260" w:lineRule="atLeast"/>
      </w:pPr>
    </w:p>
    <w:p w:rsidR="00D6444A" w:rsidRPr="008D2CB3" w:rsidRDefault="00D6444A" w:rsidP="001E7729">
      <w:pPr>
        <w:spacing w:line="260" w:lineRule="atLeast"/>
      </w:pPr>
      <w:r w:rsidRPr="008D2CB3">
        <w:t xml:space="preserve">4 </w:t>
      </w:r>
      <w:bookmarkStart w:id="8" w:name="OLE_LINK6"/>
      <w:bookmarkStart w:id="9" w:name="OLE_LINK7"/>
      <w:r w:rsidRPr="008D2CB3">
        <w:t>×</w:t>
      </w:r>
      <w:bookmarkEnd w:id="8"/>
      <w:bookmarkEnd w:id="9"/>
      <w:r w:rsidRPr="008D2CB3">
        <w:t xml:space="preserve"> 1 db filmtabletta</w:t>
      </w:r>
    </w:p>
    <w:p w:rsidR="00D6444A" w:rsidRPr="008D2CB3" w:rsidRDefault="00D6444A" w:rsidP="001E7729">
      <w:pPr>
        <w:spacing w:line="260" w:lineRule="atLeast"/>
        <w:rPr>
          <w:highlight w:val="lightGray"/>
        </w:rPr>
      </w:pPr>
      <w:r w:rsidRPr="008D2CB3">
        <w:rPr>
          <w:highlight w:val="lightGray"/>
        </w:rPr>
        <w:t>30 × 1 db filmtabletta</w:t>
      </w:r>
    </w:p>
    <w:p w:rsidR="00D6444A" w:rsidRPr="008D2CB3" w:rsidRDefault="00D6444A" w:rsidP="001E7729">
      <w:pPr>
        <w:spacing w:line="260" w:lineRule="atLeast"/>
      </w:pPr>
      <w:r w:rsidRPr="008D2CB3">
        <w:rPr>
          <w:highlight w:val="lightGray"/>
        </w:rPr>
        <w:t>100 × 1 db filmtabletta</w:t>
      </w:r>
    </w:p>
    <w:p w:rsidR="00C3531C" w:rsidRPr="008D2CB3" w:rsidRDefault="00C3531C" w:rsidP="001E7729">
      <w:pPr>
        <w:spacing w:line="260" w:lineRule="atLeast"/>
      </w:pPr>
      <w:r w:rsidRPr="008D2CB3">
        <w:rPr>
          <w:highlight w:val="lightGray"/>
        </w:rPr>
        <w:t>10 × 1 db filmtabletta</w:t>
      </w:r>
    </w:p>
    <w:p w:rsidR="00D6444A" w:rsidRPr="008D2CB3" w:rsidRDefault="00D6444A" w:rsidP="001E7729">
      <w:pPr>
        <w:spacing w:line="260" w:lineRule="atLeast"/>
      </w:pPr>
    </w:p>
    <w:p w:rsidR="00D6444A" w:rsidRPr="008D2CB3" w:rsidRDefault="00D6444A"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5.</w:t>
            </w:r>
            <w:r w:rsidRPr="008D2CB3">
              <w:rPr>
                <w:b/>
              </w:rPr>
              <w:tab/>
              <w:t>AZ ALKALMAZÁSSAL KAPCSOLATOS TUDNIVALÓK ÉS AZ ALKALMAZÁS  MÓDJA(I)</w:t>
            </w:r>
          </w:p>
        </w:tc>
      </w:tr>
    </w:tbl>
    <w:p w:rsidR="00D6444A" w:rsidRPr="008D2CB3" w:rsidRDefault="00D6444A" w:rsidP="001E7729">
      <w:pPr>
        <w:spacing w:line="260" w:lineRule="atLeast"/>
      </w:pPr>
    </w:p>
    <w:p w:rsidR="00D6444A" w:rsidRPr="008D2CB3" w:rsidRDefault="00D6444A" w:rsidP="001E7729">
      <w:pPr>
        <w:spacing w:line="260" w:lineRule="atLeast"/>
        <w:rPr>
          <w:noProof/>
          <w:szCs w:val="22"/>
        </w:rPr>
      </w:pPr>
      <w:r w:rsidRPr="008D2CB3">
        <w:rPr>
          <w:noProof/>
          <w:szCs w:val="22"/>
        </w:rPr>
        <w:t>Használat előtt olvassa el a mellékelt betegtájékoztatót!</w:t>
      </w:r>
    </w:p>
    <w:p w:rsidR="000B6BAB" w:rsidRPr="008D2CB3" w:rsidRDefault="000B6BAB" w:rsidP="001E7729">
      <w:pPr>
        <w:spacing w:line="260" w:lineRule="atLeast"/>
      </w:pPr>
      <w:r w:rsidRPr="008D2CB3">
        <w:t>Szájon át történő alkalmazás.</w:t>
      </w:r>
    </w:p>
    <w:p w:rsidR="00D6444A" w:rsidRPr="008D2CB3" w:rsidRDefault="00D6444A" w:rsidP="001E7729">
      <w:pPr>
        <w:spacing w:line="260" w:lineRule="atLeast"/>
      </w:pPr>
    </w:p>
    <w:p w:rsidR="00D6444A" w:rsidRPr="008D2CB3" w:rsidRDefault="00D6444A"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6.</w:t>
            </w:r>
            <w:r w:rsidRPr="008D2CB3">
              <w:rPr>
                <w:b/>
              </w:rPr>
              <w:tab/>
              <w:t>KÜLÖN FIGYELMEZTETÉS, MELY SZERINT A GYÓGYSZERT GYERMEKEKTŐL ELZÁRVA KELL TARTANI</w:t>
            </w:r>
          </w:p>
        </w:tc>
      </w:tr>
    </w:tbl>
    <w:p w:rsidR="00D6444A" w:rsidRPr="008D2CB3" w:rsidRDefault="00D6444A" w:rsidP="001E7729">
      <w:pPr>
        <w:spacing w:line="260" w:lineRule="atLeast"/>
      </w:pPr>
    </w:p>
    <w:p w:rsidR="00D6444A" w:rsidRPr="008D2CB3" w:rsidRDefault="00D6444A" w:rsidP="001E7729">
      <w:pPr>
        <w:spacing w:line="260" w:lineRule="atLeast"/>
      </w:pPr>
      <w:r w:rsidRPr="008D2CB3">
        <w:t>A gyógyszer gyermekektől elzárva tartandó!</w:t>
      </w:r>
    </w:p>
    <w:p w:rsidR="00D6444A" w:rsidRPr="008D2CB3" w:rsidRDefault="00D6444A" w:rsidP="001E7729">
      <w:pPr>
        <w:spacing w:line="260" w:lineRule="atLeast"/>
      </w:pPr>
    </w:p>
    <w:p w:rsidR="00D6444A" w:rsidRPr="008D2CB3" w:rsidRDefault="00D6444A"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7.</w:t>
            </w:r>
            <w:r w:rsidRPr="008D2CB3">
              <w:rPr>
                <w:b/>
              </w:rPr>
              <w:tab/>
              <w:t>TOVÁBBI FIGYELMEZTETÉS(EK), AMENNYIBEN SZÜKSÉGES</w:t>
            </w:r>
          </w:p>
        </w:tc>
      </w:tr>
    </w:tbl>
    <w:p w:rsidR="00D6444A" w:rsidRPr="008D2CB3" w:rsidRDefault="00D6444A" w:rsidP="001E7729">
      <w:pPr>
        <w:spacing w:line="260" w:lineRule="atLeast"/>
      </w:pPr>
    </w:p>
    <w:p w:rsidR="00D6444A" w:rsidRPr="008D2CB3" w:rsidRDefault="00D6444A"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8.</w:t>
            </w:r>
            <w:r w:rsidRPr="008D2CB3">
              <w:rPr>
                <w:b/>
              </w:rPr>
              <w:tab/>
              <w:t>LEJÁRATI IDŐ</w:t>
            </w:r>
          </w:p>
        </w:tc>
      </w:tr>
    </w:tbl>
    <w:p w:rsidR="00D6444A" w:rsidRPr="008D2CB3" w:rsidRDefault="00D6444A" w:rsidP="001E7729">
      <w:pPr>
        <w:spacing w:line="260" w:lineRule="atLeast"/>
      </w:pPr>
    </w:p>
    <w:p w:rsidR="00D6444A" w:rsidRPr="008D2CB3" w:rsidRDefault="00D6444A" w:rsidP="001E7729">
      <w:pPr>
        <w:spacing w:line="260" w:lineRule="atLeast"/>
      </w:pPr>
      <w:r w:rsidRPr="008D2CB3">
        <w:t>Felhasználható { hónap / év }</w:t>
      </w:r>
    </w:p>
    <w:p w:rsidR="00D6444A" w:rsidRPr="008D2CB3" w:rsidRDefault="00D6444A" w:rsidP="001E7729">
      <w:pPr>
        <w:spacing w:line="260" w:lineRule="atLeast"/>
      </w:pPr>
      <w:r w:rsidRPr="008D2CB3">
        <w:br w:type="page"/>
      </w: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9.</w:t>
            </w:r>
            <w:r w:rsidRPr="008D2CB3">
              <w:rPr>
                <w:b/>
              </w:rPr>
              <w:tab/>
              <w:t>KÜLÖNLEGES TÁROLÁSI ELŐÍRÁSOK</w:t>
            </w:r>
          </w:p>
        </w:tc>
      </w:tr>
    </w:tbl>
    <w:p w:rsidR="00D6444A" w:rsidRPr="008D2CB3" w:rsidRDefault="00D6444A" w:rsidP="001E7729">
      <w:pPr>
        <w:spacing w:line="260" w:lineRule="atLeast"/>
      </w:pPr>
    </w:p>
    <w:p w:rsidR="00D6444A" w:rsidRPr="008D2CB3" w:rsidRDefault="00D6444A" w:rsidP="001E7729">
      <w:pPr>
        <w:spacing w:line="260" w:lineRule="atLeast"/>
      </w:pPr>
    </w:p>
    <w:p w:rsidR="00D6444A" w:rsidRPr="008D2CB3" w:rsidRDefault="00D6444A"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10.</w:t>
            </w:r>
            <w:r w:rsidRPr="008D2CB3">
              <w:rPr>
                <w:b/>
              </w:rPr>
              <w:tab/>
              <w:t>KÜLÖNLEGES ÓVINTÉZKEDÉSEK A FEL NEM HASZNÁLT GYÓGYSZEREK VAGY AZ ILYEN TERMÉKEKBŐL KELETKEZETT HULLADÉKANYAGOK ÁRTALMATLANNÁ TÉTELÉRE, HA ILYENEKRE SZÜKSÉG VAN</w:t>
            </w:r>
          </w:p>
        </w:tc>
      </w:tr>
    </w:tbl>
    <w:p w:rsidR="00D6444A" w:rsidRPr="008D2CB3" w:rsidRDefault="00D6444A" w:rsidP="001E7729">
      <w:pPr>
        <w:spacing w:line="260" w:lineRule="atLeast"/>
      </w:pPr>
    </w:p>
    <w:p w:rsidR="00D6444A" w:rsidRPr="008D2CB3" w:rsidRDefault="00D6444A"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11.</w:t>
            </w:r>
            <w:r w:rsidRPr="008D2CB3">
              <w:rPr>
                <w:b/>
              </w:rPr>
              <w:tab/>
              <w:t>A FORGALOMBA HOZATALI ENGEDÉLY JOGOSULTJÁNAK NEVE ÉS CÍME</w:t>
            </w:r>
          </w:p>
        </w:tc>
      </w:tr>
    </w:tbl>
    <w:p w:rsidR="00D6444A" w:rsidRPr="008D2CB3" w:rsidRDefault="00D6444A" w:rsidP="001E7729">
      <w:pPr>
        <w:spacing w:line="260" w:lineRule="atLeast"/>
      </w:pPr>
    </w:p>
    <w:p w:rsidR="00AB3FB1" w:rsidRPr="0008524E" w:rsidRDefault="00FE7B46" w:rsidP="001E7729">
      <w:pPr>
        <w:rPr>
          <w:szCs w:val="22"/>
          <w:lang w:val="fr-FR"/>
        </w:rPr>
      </w:pPr>
      <w:r>
        <w:rPr>
          <w:szCs w:val="22"/>
          <w:lang w:val="fr-FR"/>
        </w:rPr>
        <w:t>sanofi-aventis g</w:t>
      </w:r>
      <w:r w:rsidR="00AB3FB1" w:rsidRPr="0008524E">
        <w:rPr>
          <w:szCs w:val="22"/>
          <w:lang w:val="fr-FR"/>
        </w:rPr>
        <w:t>roupe</w:t>
      </w:r>
    </w:p>
    <w:p w:rsidR="00AB3FB1" w:rsidRPr="0008524E" w:rsidRDefault="00AB3FB1" w:rsidP="001E7729">
      <w:pPr>
        <w:rPr>
          <w:szCs w:val="22"/>
          <w:lang w:val="fr-FR"/>
        </w:rPr>
      </w:pPr>
      <w:r w:rsidRPr="0008524E">
        <w:rPr>
          <w:szCs w:val="22"/>
          <w:lang w:val="fr-FR"/>
        </w:rPr>
        <w:t>54, rue La Boétie</w:t>
      </w:r>
    </w:p>
    <w:p w:rsidR="00AB3FB1" w:rsidRDefault="00AB3FB1" w:rsidP="001E7729">
      <w:pPr>
        <w:rPr>
          <w:szCs w:val="22"/>
          <w:lang w:val="fr-FR"/>
        </w:rPr>
      </w:pPr>
      <w:r>
        <w:rPr>
          <w:szCs w:val="22"/>
          <w:lang w:val="fr-FR"/>
        </w:rPr>
        <w:t>F-75008 Paris</w:t>
      </w:r>
    </w:p>
    <w:p w:rsidR="002C0C2F" w:rsidRPr="008D2CB3" w:rsidRDefault="00AB3FB1" w:rsidP="001E7729">
      <w:pPr>
        <w:ind w:left="708" w:hanging="708"/>
        <w:rPr>
          <w:szCs w:val="22"/>
        </w:rPr>
      </w:pPr>
      <w:r>
        <w:rPr>
          <w:szCs w:val="22"/>
        </w:rPr>
        <w:t>Franciaország</w:t>
      </w:r>
    </w:p>
    <w:p w:rsidR="00D6444A" w:rsidRPr="008D2CB3" w:rsidRDefault="00D6444A" w:rsidP="001E7729">
      <w:pPr>
        <w:spacing w:line="260" w:lineRule="atLeast"/>
      </w:pPr>
    </w:p>
    <w:p w:rsidR="00D6444A" w:rsidRPr="008D2CB3" w:rsidRDefault="00D6444A"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12.</w:t>
            </w:r>
            <w:r w:rsidRPr="008D2CB3">
              <w:rPr>
                <w:b/>
              </w:rPr>
              <w:tab/>
              <w:t>A FORGALOMBA HOZATALI ENGEDÉLY SZÁMA(I)</w:t>
            </w:r>
          </w:p>
        </w:tc>
      </w:tr>
    </w:tbl>
    <w:p w:rsidR="00D6444A" w:rsidRPr="008D2CB3" w:rsidRDefault="00D6444A" w:rsidP="001E7729">
      <w:pPr>
        <w:spacing w:line="260" w:lineRule="atLeast"/>
      </w:pPr>
    </w:p>
    <w:p w:rsidR="000920D5" w:rsidRPr="008D2CB3" w:rsidRDefault="000920D5" w:rsidP="00123EBC">
      <w:pPr>
        <w:rPr>
          <w:highlight w:val="lightGray"/>
        </w:rPr>
      </w:pPr>
      <w:r w:rsidRPr="008D2CB3">
        <w:t xml:space="preserve">EU/1/98/069/008    </w:t>
      </w:r>
      <w:r w:rsidRPr="008D2CB3">
        <w:rPr>
          <w:highlight w:val="lightGray"/>
        </w:rPr>
        <w:t>4 × 1 filmtabletta</w:t>
      </w:r>
      <w:r w:rsidR="00974437">
        <w:rPr>
          <w:highlight w:val="lightGray"/>
        </w:rPr>
        <w:t xml:space="preserve"> </w:t>
      </w:r>
      <w:r w:rsidR="00D475E8">
        <w:rPr>
          <w:highlight w:val="lightGray"/>
        </w:rPr>
        <w:t>egységadagos</w:t>
      </w:r>
      <w:r w:rsidR="00974437">
        <w:rPr>
          <w:highlight w:val="lightGray"/>
        </w:rPr>
        <w:t xml:space="preserve"> alumínium buborékcsomagolásban</w:t>
      </w:r>
    </w:p>
    <w:p w:rsidR="000920D5" w:rsidRPr="008D2CB3" w:rsidRDefault="000920D5" w:rsidP="00123EBC">
      <w:pPr>
        <w:rPr>
          <w:highlight w:val="lightGray"/>
        </w:rPr>
      </w:pPr>
      <w:r w:rsidRPr="008D2CB3">
        <w:rPr>
          <w:highlight w:val="lightGray"/>
        </w:rPr>
        <w:t>EU/1/98/069/009    30 × 1 filmtabletta</w:t>
      </w:r>
      <w:r w:rsidR="00974437">
        <w:rPr>
          <w:highlight w:val="lightGray"/>
        </w:rPr>
        <w:t xml:space="preserve"> </w:t>
      </w:r>
      <w:r w:rsidR="00D475E8">
        <w:rPr>
          <w:highlight w:val="lightGray"/>
        </w:rPr>
        <w:t>egységadagos</w:t>
      </w:r>
      <w:r w:rsidR="00974437">
        <w:rPr>
          <w:highlight w:val="lightGray"/>
        </w:rPr>
        <w:t xml:space="preserve"> alumínium buborékcsomagolásban</w:t>
      </w:r>
    </w:p>
    <w:p w:rsidR="000920D5" w:rsidRPr="008D2CB3" w:rsidRDefault="000920D5" w:rsidP="00123EBC">
      <w:r w:rsidRPr="008D2CB3">
        <w:rPr>
          <w:highlight w:val="lightGray"/>
        </w:rPr>
        <w:t>EU/1/98/069/010    100 × 1 filmtabletta</w:t>
      </w:r>
      <w:r w:rsidR="00974437">
        <w:rPr>
          <w:highlight w:val="lightGray"/>
        </w:rPr>
        <w:t xml:space="preserve"> </w:t>
      </w:r>
      <w:r w:rsidR="00D475E8">
        <w:rPr>
          <w:highlight w:val="lightGray"/>
        </w:rPr>
        <w:t>egységadagos</w:t>
      </w:r>
      <w:r w:rsidR="00974437">
        <w:rPr>
          <w:highlight w:val="lightGray"/>
        </w:rPr>
        <w:t xml:space="preserve"> alumínium buborékcsomagolásban</w:t>
      </w:r>
    </w:p>
    <w:p w:rsidR="00C3531C" w:rsidRPr="008D2CB3" w:rsidRDefault="00C3531C" w:rsidP="00123EBC">
      <w:r w:rsidRPr="008D2CB3">
        <w:rPr>
          <w:highlight w:val="lightGray"/>
        </w:rPr>
        <w:t>EU/1/98/069/012    10 × 1 filmtabletta</w:t>
      </w:r>
      <w:r w:rsidR="00974437">
        <w:rPr>
          <w:highlight w:val="lightGray"/>
        </w:rPr>
        <w:t xml:space="preserve"> </w:t>
      </w:r>
      <w:r w:rsidR="00D475E8">
        <w:rPr>
          <w:highlight w:val="lightGray"/>
        </w:rPr>
        <w:t>egységadagos</w:t>
      </w:r>
      <w:r w:rsidR="00974437">
        <w:rPr>
          <w:highlight w:val="lightGray"/>
        </w:rPr>
        <w:t xml:space="preserve"> alumínium buborékcsomagolásban</w:t>
      </w:r>
    </w:p>
    <w:p w:rsidR="00D6444A" w:rsidRPr="008D2CB3" w:rsidRDefault="00D6444A" w:rsidP="001E7729">
      <w:pPr>
        <w:spacing w:line="260" w:lineRule="atLeast"/>
      </w:pPr>
    </w:p>
    <w:p w:rsidR="00D6444A" w:rsidRPr="008D2CB3" w:rsidRDefault="00D6444A"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13.</w:t>
            </w:r>
            <w:r w:rsidRPr="008D2CB3">
              <w:rPr>
                <w:b/>
              </w:rPr>
              <w:tab/>
              <w:t>A GYÁRTÁSI TÉTEL SZÁMA</w:t>
            </w:r>
          </w:p>
        </w:tc>
      </w:tr>
    </w:tbl>
    <w:p w:rsidR="00D6444A" w:rsidRPr="008D2CB3" w:rsidRDefault="00D6444A" w:rsidP="001E7729">
      <w:pPr>
        <w:spacing w:line="260" w:lineRule="atLeast"/>
      </w:pPr>
    </w:p>
    <w:p w:rsidR="00D6444A" w:rsidRPr="008D2CB3" w:rsidRDefault="00D6444A" w:rsidP="001E7729">
      <w:pPr>
        <w:spacing w:line="260" w:lineRule="atLeast"/>
      </w:pPr>
      <w:r w:rsidRPr="008D2CB3">
        <w:t>Gy.sz.: {szám}</w:t>
      </w:r>
    </w:p>
    <w:p w:rsidR="00D6444A" w:rsidRPr="008D2CB3" w:rsidRDefault="00D6444A" w:rsidP="001E7729">
      <w:pPr>
        <w:spacing w:line="260" w:lineRule="atLeast"/>
      </w:pPr>
    </w:p>
    <w:p w:rsidR="00D6444A" w:rsidRPr="008D2CB3" w:rsidRDefault="00D6444A"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14.</w:t>
            </w:r>
            <w:r w:rsidRPr="008D2CB3">
              <w:rPr>
                <w:b/>
              </w:rPr>
              <w:tab/>
              <w:t>A GYÓGYSZER RENDELHETŐSÉG</w:t>
            </w:r>
            <w:r w:rsidR="00D83679">
              <w:rPr>
                <w:b/>
              </w:rPr>
              <w:t>E</w:t>
            </w:r>
            <w:r w:rsidRPr="008D2CB3">
              <w:rPr>
                <w:b/>
              </w:rPr>
              <w:t xml:space="preserve"> </w:t>
            </w:r>
          </w:p>
        </w:tc>
      </w:tr>
    </w:tbl>
    <w:p w:rsidR="00D6444A" w:rsidRPr="008D2CB3" w:rsidRDefault="00D6444A" w:rsidP="001E7729">
      <w:pPr>
        <w:spacing w:line="260" w:lineRule="atLeast"/>
      </w:pPr>
    </w:p>
    <w:p w:rsidR="00D6444A" w:rsidRPr="008D2CB3" w:rsidRDefault="00D6444A" w:rsidP="001E7729">
      <w:pPr>
        <w:spacing w:line="260" w:lineRule="atLeast"/>
      </w:pPr>
      <w:r w:rsidRPr="008D2CB3">
        <w:t>Orvosi rendelvényhez kötött gyógyszer.</w:t>
      </w:r>
    </w:p>
    <w:p w:rsidR="00D6444A" w:rsidRPr="008D2CB3" w:rsidRDefault="00D6444A" w:rsidP="001E7729">
      <w:pPr>
        <w:spacing w:line="260" w:lineRule="atLeast"/>
      </w:pPr>
    </w:p>
    <w:p w:rsidR="00D6444A" w:rsidRPr="008D2CB3" w:rsidRDefault="00D6444A"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15.</w:t>
            </w:r>
            <w:r w:rsidRPr="008D2CB3">
              <w:rPr>
                <w:b/>
              </w:rPr>
              <w:tab/>
              <w:t>AZ ALKALMAZÁSRA VONATKOZÓ UTASÍTÁSOK</w:t>
            </w:r>
          </w:p>
        </w:tc>
      </w:tr>
    </w:tbl>
    <w:p w:rsidR="00D6444A" w:rsidRPr="008D2CB3" w:rsidRDefault="00D6444A" w:rsidP="001E7729">
      <w:pPr>
        <w:rPr>
          <w:u w:val="single"/>
        </w:rPr>
      </w:pPr>
    </w:p>
    <w:p w:rsidR="00D6444A" w:rsidRPr="008D2CB3" w:rsidRDefault="00D6444A" w:rsidP="001E7729">
      <w:pPr>
        <w:rPr>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3"/>
      </w:tblGrid>
      <w:tr w:rsidR="00D6444A" w:rsidRPr="008D2CB3">
        <w:tc>
          <w:tcPr>
            <w:tcW w:w="9103" w:type="dxa"/>
          </w:tcPr>
          <w:p w:rsidR="00D6444A" w:rsidRPr="008D2CB3" w:rsidRDefault="00D6444A" w:rsidP="001E7729">
            <w:pPr>
              <w:ind w:hanging="108"/>
              <w:rPr>
                <w:u w:val="single"/>
              </w:rPr>
            </w:pPr>
            <w:r w:rsidRPr="008D2CB3">
              <w:rPr>
                <w:b/>
              </w:rPr>
              <w:t>16.</w:t>
            </w:r>
            <w:r w:rsidRPr="008D2CB3">
              <w:rPr>
                <w:b/>
              </w:rPr>
              <w:tab/>
              <w:t>BRAILLE ÍRÁSSAL FELTÜNTETETT INFORMÁCIÓK</w:t>
            </w:r>
          </w:p>
        </w:tc>
      </w:tr>
    </w:tbl>
    <w:p w:rsidR="00D6444A" w:rsidRPr="008D2CB3" w:rsidRDefault="00D6444A" w:rsidP="001E7729">
      <w:pPr>
        <w:rPr>
          <w:u w:val="single"/>
        </w:rPr>
      </w:pPr>
    </w:p>
    <w:p w:rsidR="00D6444A" w:rsidRDefault="009B10E4" w:rsidP="001E7729">
      <w:r w:rsidRPr="00F86A77">
        <w:t>Iscover</w:t>
      </w:r>
      <w:r w:rsidR="00D6444A" w:rsidRPr="00F86A77">
        <w:t xml:space="preserve"> 300 mg</w:t>
      </w:r>
    </w:p>
    <w:p w:rsidR="00D239A0" w:rsidRDefault="00D239A0" w:rsidP="001E7729"/>
    <w:p w:rsidR="00D239A0" w:rsidRDefault="00D239A0" w:rsidP="001E77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D239A0" w:rsidTr="00FD2C2B">
        <w:tc>
          <w:tcPr>
            <w:tcW w:w="9211" w:type="dxa"/>
            <w:shd w:val="clear" w:color="auto" w:fill="auto"/>
          </w:tcPr>
          <w:p w:rsidR="00D239A0" w:rsidRPr="003A3532" w:rsidRDefault="00D239A0" w:rsidP="001E7729">
            <w:pPr>
              <w:tabs>
                <w:tab w:val="left" w:pos="569"/>
              </w:tabs>
              <w:rPr>
                <w:b/>
              </w:rPr>
            </w:pPr>
            <w:r>
              <w:rPr>
                <w:b/>
              </w:rPr>
              <w:t>17.</w:t>
            </w:r>
            <w:r>
              <w:rPr>
                <w:b/>
              </w:rPr>
              <w:tab/>
            </w:r>
            <w:r w:rsidRPr="003A3532">
              <w:rPr>
                <w:b/>
                <w:noProof/>
              </w:rPr>
              <w:t>EGYEDI AZONOSÍTÓ – 2D VONALKÓD</w:t>
            </w:r>
          </w:p>
        </w:tc>
      </w:tr>
    </w:tbl>
    <w:p w:rsidR="00D239A0" w:rsidRDefault="00D239A0" w:rsidP="001E7729"/>
    <w:p w:rsidR="00B521C8" w:rsidRDefault="00B521C8" w:rsidP="001E7729">
      <w:r w:rsidRPr="00473DC3">
        <w:rPr>
          <w:noProof/>
          <w:highlight w:val="lightGray"/>
        </w:rPr>
        <w:t>Egyedi azonosítójú 2D vonalkóddal ellátva.</w:t>
      </w:r>
    </w:p>
    <w:p w:rsidR="00D239A0" w:rsidRDefault="00D239A0" w:rsidP="001E7729"/>
    <w:p w:rsidR="00B521C8" w:rsidRDefault="00B521C8" w:rsidP="001E7729"/>
    <w:p w:rsidR="00D239A0" w:rsidRPr="00C937E7" w:rsidRDefault="00D239A0" w:rsidP="001E7729">
      <w:pPr>
        <w:keepNext/>
        <w:pBdr>
          <w:top w:val="single" w:sz="4" w:space="1" w:color="auto"/>
          <w:left w:val="single" w:sz="4" w:space="4" w:color="auto"/>
          <w:bottom w:val="single" w:sz="4" w:space="1" w:color="auto"/>
          <w:right w:val="single" w:sz="4" w:space="4" w:color="auto"/>
        </w:pBdr>
        <w:tabs>
          <w:tab w:val="left" w:pos="0"/>
        </w:tabs>
        <w:ind w:left="-3"/>
        <w:rPr>
          <w:i/>
          <w:noProof/>
        </w:rPr>
      </w:pPr>
      <w:r>
        <w:rPr>
          <w:b/>
          <w:noProof/>
        </w:rPr>
        <w:t>18.</w:t>
      </w:r>
      <w:r>
        <w:rPr>
          <w:b/>
          <w:noProof/>
        </w:rPr>
        <w:tab/>
        <w:t>EGYEDI AZONOSÍTÓ OLVASHATÓ FORMÁTUMA</w:t>
      </w:r>
    </w:p>
    <w:p w:rsidR="00D239A0" w:rsidRPr="00C937E7" w:rsidRDefault="00D239A0" w:rsidP="001E7729">
      <w:pPr>
        <w:rPr>
          <w:noProof/>
        </w:rPr>
      </w:pPr>
    </w:p>
    <w:p w:rsidR="00B521C8" w:rsidRPr="001A2AF3" w:rsidRDefault="00B521C8" w:rsidP="001E7729">
      <w:r>
        <w:t>PC:</w:t>
      </w:r>
    </w:p>
    <w:p w:rsidR="00B521C8" w:rsidRPr="00C937E7" w:rsidRDefault="00B521C8" w:rsidP="001E7729">
      <w:r>
        <w:t>SN:</w:t>
      </w:r>
    </w:p>
    <w:p w:rsidR="00D239A0" w:rsidRDefault="00B521C8" w:rsidP="001E7729">
      <w:r>
        <w:t>NN:</w:t>
      </w:r>
    </w:p>
    <w:p w:rsidR="00B521C8" w:rsidRPr="00F86A77" w:rsidRDefault="00B521C8" w:rsidP="001E7729"/>
    <w:p w:rsidR="00D6444A" w:rsidRPr="008D2CB3" w:rsidRDefault="00D6444A" w:rsidP="001E7729">
      <w:r w:rsidRPr="008D2CB3">
        <w:br w:type="page"/>
      </w:r>
    </w:p>
    <w:tbl>
      <w:tblPr>
        <w:tblW w:w="9077" w:type="dxa"/>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spacing w:line="260" w:lineRule="atLeast"/>
              <w:rPr>
                <w:b/>
              </w:rPr>
            </w:pPr>
            <w:r w:rsidRPr="008D2CB3">
              <w:br w:type="page"/>
            </w:r>
            <w:r w:rsidRPr="008D2CB3">
              <w:br w:type="page"/>
            </w:r>
            <w:r w:rsidRPr="008D2CB3">
              <w:br w:type="column"/>
            </w:r>
            <w:r w:rsidRPr="008D2CB3">
              <w:rPr>
                <w:b/>
              </w:rPr>
              <w:t>A BUBORÉK</w:t>
            </w:r>
            <w:r w:rsidR="00D83679">
              <w:rPr>
                <w:b/>
              </w:rPr>
              <w:t>CSOMAGOLÁSON</w:t>
            </w:r>
            <w:r w:rsidRPr="008D2CB3">
              <w:rPr>
                <w:b/>
              </w:rPr>
              <w:t xml:space="preserve"> </w:t>
            </w:r>
            <w:r w:rsidR="0027352C">
              <w:rPr>
                <w:b/>
              </w:rPr>
              <w:t xml:space="preserve">VAGY A FÓLIACSÍKON MINIMÁLISAN </w:t>
            </w:r>
            <w:r w:rsidRPr="008D2CB3">
              <w:rPr>
                <w:b/>
              </w:rPr>
              <w:t>FELTÜNTETENDŐ ADATOK</w:t>
            </w:r>
          </w:p>
          <w:p w:rsidR="00B96BC9" w:rsidRPr="008D2CB3" w:rsidRDefault="00B96BC9" w:rsidP="001E7729">
            <w:pPr>
              <w:spacing w:line="260" w:lineRule="atLeast"/>
              <w:rPr>
                <w:b/>
              </w:rPr>
            </w:pPr>
          </w:p>
          <w:p w:rsidR="00D6444A" w:rsidRPr="008D2CB3" w:rsidRDefault="00D6444A" w:rsidP="001E7729">
            <w:pPr>
              <w:spacing w:line="260" w:lineRule="atLeast"/>
              <w:rPr>
                <w:b/>
              </w:rPr>
            </w:pPr>
            <w:r w:rsidRPr="008D2CB3">
              <w:rPr>
                <w:b/>
              </w:rPr>
              <w:t xml:space="preserve">4 </w:t>
            </w:r>
            <w:r w:rsidRPr="008D2CB3">
              <w:t>×</w:t>
            </w:r>
            <w:r w:rsidRPr="008D2CB3">
              <w:rPr>
                <w:b/>
              </w:rPr>
              <w:t xml:space="preserve"> 1, </w:t>
            </w:r>
            <w:r w:rsidR="00C3531C" w:rsidRPr="008D2CB3">
              <w:rPr>
                <w:b/>
              </w:rPr>
              <w:t xml:space="preserve">10 </w:t>
            </w:r>
            <w:r w:rsidR="00C3531C" w:rsidRPr="008D2CB3">
              <w:t>×</w:t>
            </w:r>
            <w:r w:rsidR="00C3531C" w:rsidRPr="008D2CB3">
              <w:rPr>
                <w:b/>
              </w:rPr>
              <w:t xml:space="preserve"> 1, </w:t>
            </w:r>
            <w:r w:rsidRPr="008D2CB3">
              <w:rPr>
                <w:b/>
              </w:rPr>
              <w:t xml:space="preserve">30 </w:t>
            </w:r>
            <w:r w:rsidRPr="008D2CB3">
              <w:t>×</w:t>
            </w:r>
            <w:r w:rsidRPr="008D2CB3">
              <w:rPr>
                <w:b/>
              </w:rPr>
              <w:t xml:space="preserve"> 1, 100 </w:t>
            </w:r>
            <w:r w:rsidRPr="008D2CB3">
              <w:t>×</w:t>
            </w:r>
            <w:r w:rsidRPr="008D2CB3">
              <w:rPr>
                <w:b/>
              </w:rPr>
              <w:t xml:space="preserve"> 1 tablettát tartalmazó buborék</w:t>
            </w:r>
            <w:r w:rsidR="00980E3C" w:rsidRPr="008D2CB3">
              <w:rPr>
                <w:b/>
              </w:rPr>
              <w:t>csomagolás</w:t>
            </w:r>
          </w:p>
        </w:tc>
      </w:tr>
    </w:tbl>
    <w:p w:rsidR="00D6444A" w:rsidRPr="008D2CB3" w:rsidRDefault="00D6444A" w:rsidP="001E7729"/>
    <w:p w:rsidR="00D6444A" w:rsidRPr="008D2CB3" w:rsidRDefault="00D6444A" w:rsidP="001E7729"/>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1.</w:t>
            </w:r>
            <w:r w:rsidRPr="008D2CB3">
              <w:rPr>
                <w:b/>
              </w:rPr>
              <w:tab/>
              <w:t>A GYÓGYSZER NEVE</w:t>
            </w:r>
          </w:p>
        </w:tc>
      </w:tr>
    </w:tbl>
    <w:p w:rsidR="00D6444A" w:rsidRPr="008D2CB3" w:rsidRDefault="00D6444A" w:rsidP="001E7729">
      <w:pPr>
        <w:spacing w:line="260" w:lineRule="atLeast"/>
        <w:ind w:left="567" w:hanging="567"/>
      </w:pPr>
    </w:p>
    <w:p w:rsidR="00D6444A" w:rsidRPr="008D2CB3" w:rsidRDefault="009B10E4" w:rsidP="001E7729">
      <w:pPr>
        <w:spacing w:line="260" w:lineRule="atLeast"/>
        <w:ind w:left="567" w:hanging="567"/>
      </w:pPr>
      <w:r w:rsidRPr="008D2CB3">
        <w:t>Iscover</w:t>
      </w:r>
      <w:r w:rsidR="00D6444A" w:rsidRPr="008D2CB3">
        <w:t xml:space="preserve"> 300 mg filmtabletta</w:t>
      </w:r>
    </w:p>
    <w:p w:rsidR="00D6444A" w:rsidRPr="008D2CB3" w:rsidRDefault="00D6444A" w:rsidP="001E7729">
      <w:pPr>
        <w:spacing w:line="260" w:lineRule="atLeast"/>
        <w:ind w:left="567" w:hanging="567"/>
      </w:pPr>
      <w:r w:rsidRPr="008D2CB3">
        <w:t>Klopidogrél</w:t>
      </w:r>
    </w:p>
    <w:p w:rsidR="00D6444A" w:rsidRPr="008D2CB3" w:rsidRDefault="00D6444A" w:rsidP="001E7729">
      <w:pPr>
        <w:spacing w:line="260" w:lineRule="atLeast"/>
      </w:pPr>
    </w:p>
    <w:p w:rsidR="00D6444A" w:rsidRPr="008D2CB3" w:rsidRDefault="00D6444A"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2.</w:t>
            </w:r>
            <w:r w:rsidRPr="008D2CB3">
              <w:rPr>
                <w:b/>
              </w:rPr>
              <w:tab/>
              <w:t>A FORGALOMBA HOZATALI ENGEDÉLY JOGOSULTJÁNAK NEVE</w:t>
            </w:r>
          </w:p>
        </w:tc>
      </w:tr>
    </w:tbl>
    <w:p w:rsidR="00D6444A" w:rsidRPr="008D2CB3" w:rsidRDefault="00D6444A" w:rsidP="001E7729">
      <w:pPr>
        <w:spacing w:line="260" w:lineRule="atLeast"/>
      </w:pPr>
    </w:p>
    <w:p w:rsidR="002C0C2F" w:rsidRPr="008D2CB3" w:rsidRDefault="00AB3FB1" w:rsidP="001E7729">
      <w:pPr>
        <w:ind w:left="708" w:hanging="708"/>
        <w:rPr>
          <w:szCs w:val="22"/>
        </w:rPr>
      </w:pPr>
      <w:r>
        <w:rPr>
          <w:szCs w:val="22"/>
        </w:rPr>
        <w:t>sa</w:t>
      </w:r>
      <w:r w:rsidR="00FE7B46">
        <w:rPr>
          <w:szCs w:val="22"/>
        </w:rPr>
        <w:t>nofi-aventis g</w:t>
      </w:r>
      <w:r>
        <w:rPr>
          <w:szCs w:val="22"/>
        </w:rPr>
        <w:t>roupe</w:t>
      </w:r>
    </w:p>
    <w:p w:rsidR="00D6444A" w:rsidRPr="008D2CB3" w:rsidRDefault="00D6444A" w:rsidP="001E7729">
      <w:pPr>
        <w:spacing w:line="260" w:lineRule="atLeast"/>
      </w:pPr>
    </w:p>
    <w:p w:rsidR="00D6444A" w:rsidRPr="008D2CB3" w:rsidRDefault="00D6444A"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3.</w:t>
            </w:r>
            <w:r w:rsidRPr="008D2CB3">
              <w:rPr>
                <w:b/>
              </w:rPr>
              <w:tab/>
              <w:t>LEJÁRATI IDŐ</w:t>
            </w:r>
          </w:p>
        </w:tc>
      </w:tr>
    </w:tbl>
    <w:p w:rsidR="00D6444A" w:rsidRPr="008D2CB3" w:rsidRDefault="00D6444A" w:rsidP="001E7729">
      <w:pPr>
        <w:spacing w:line="260" w:lineRule="atLeast"/>
      </w:pPr>
    </w:p>
    <w:p w:rsidR="00D6444A" w:rsidRPr="008D2CB3" w:rsidRDefault="00D6444A" w:rsidP="001E7729">
      <w:r w:rsidRPr="008D2CB3">
        <w:t>Felh.: {hónap/év}</w:t>
      </w:r>
    </w:p>
    <w:p w:rsidR="00D6444A" w:rsidRPr="008D2CB3" w:rsidRDefault="00D6444A" w:rsidP="001E7729">
      <w:pPr>
        <w:spacing w:line="260" w:lineRule="atLeast"/>
      </w:pPr>
    </w:p>
    <w:p w:rsidR="00D6444A" w:rsidRPr="008D2CB3" w:rsidRDefault="00D6444A" w:rsidP="001E7729">
      <w:pPr>
        <w:spacing w:line="260" w:lineRule="atLeast"/>
      </w:pPr>
    </w:p>
    <w:tbl>
      <w:tblPr>
        <w:tblW w:w="0" w:type="auto"/>
        <w:jc w:val="center"/>
        <w:tblLayout w:type="fixed"/>
        <w:tblCellMar>
          <w:left w:w="0" w:type="dxa"/>
          <w:right w:w="0" w:type="dxa"/>
        </w:tblCellMar>
        <w:tblLook w:val="0000" w:firstRow="0" w:lastRow="0" w:firstColumn="0" w:lastColumn="0" w:noHBand="0" w:noVBand="0"/>
      </w:tblPr>
      <w:tblGrid>
        <w:gridCol w:w="9077"/>
      </w:tblGrid>
      <w:tr w:rsidR="00D6444A" w:rsidRPr="008D2CB3">
        <w:trPr>
          <w:cantSplit/>
          <w:jc w:val="center"/>
        </w:trPr>
        <w:tc>
          <w:tcPr>
            <w:tcW w:w="9077" w:type="dxa"/>
            <w:tcBorders>
              <w:top w:val="single" w:sz="1" w:space="0" w:color="000000"/>
              <w:left w:val="single" w:sz="1" w:space="0" w:color="000000"/>
              <w:bottom w:val="single" w:sz="1" w:space="0" w:color="000000"/>
              <w:right w:val="single" w:sz="1" w:space="0" w:color="000000"/>
            </w:tcBorders>
          </w:tcPr>
          <w:p w:rsidR="00D6444A" w:rsidRPr="008D2CB3" w:rsidRDefault="00D6444A" w:rsidP="001E7729">
            <w:pPr>
              <w:tabs>
                <w:tab w:val="left" w:pos="142"/>
              </w:tabs>
              <w:spacing w:line="260" w:lineRule="atLeast"/>
              <w:ind w:left="567" w:hanging="567"/>
              <w:rPr>
                <w:b/>
              </w:rPr>
            </w:pPr>
            <w:r w:rsidRPr="008D2CB3">
              <w:rPr>
                <w:b/>
              </w:rPr>
              <w:t>4.</w:t>
            </w:r>
            <w:r w:rsidRPr="008D2CB3">
              <w:rPr>
                <w:b/>
              </w:rPr>
              <w:tab/>
              <w:t>A GYÁRTÁSI TÉTEL SZÁMA</w:t>
            </w:r>
          </w:p>
        </w:tc>
      </w:tr>
    </w:tbl>
    <w:p w:rsidR="00D6444A" w:rsidRPr="008D2CB3" w:rsidRDefault="00D6444A" w:rsidP="001E7729">
      <w:pPr>
        <w:spacing w:line="260" w:lineRule="atLeast"/>
      </w:pPr>
    </w:p>
    <w:p w:rsidR="00D6444A" w:rsidRPr="008D2CB3" w:rsidRDefault="00D6444A" w:rsidP="001E7729">
      <w:pPr>
        <w:rPr>
          <w:shd w:val="clear" w:color="auto" w:fill="FFFFFF"/>
        </w:rPr>
      </w:pPr>
      <w:r w:rsidRPr="008D2CB3">
        <w:rPr>
          <w:shd w:val="clear" w:color="auto" w:fill="FFFFFF"/>
        </w:rPr>
        <w:t>Gy.sz.: {szám}</w:t>
      </w:r>
    </w:p>
    <w:p w:rsidR="00D6444A" w:rsidRPr="008D2CB3" w:rsidRDefault="00D6444A" w:rsidP="001E7729">
      <w:pPr>
        <w:rPr>
          <w:shd w:val="clear" w:color="auto" w:fill="FFFFFF"/>
        </w:rPr>
      </w:pPr>
    </w:p>
    <w:p w:rsidR="00D6444A" w:rsidRPr="008D2CB3" w:rsidRDefault="00D6444A" w:rsidP="001E7729">
      <w:pPr>
        <w:rPr>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3"/>
      </w:tblGrid>
      <w:tr w:rsidR="00D6444A" w:rsidRPr="008D2CB3">
        <w:tc>
          <w:tcPr>
            <w:tcW w:w="9103" w:type="dxa"/>
          </w:tcPr>
          <w:p w:rsidR="00D6444A" w:rsidRPr="008D2CB3" w:rsidRDefault="00D6444A" w:rsidP="001E7729">
            <w:pPr>
              <w:tabs>
                <w:tab w:val="left" w:pos="459"/>
              </w:tabs>
              <w:ind w:hanging="108"/>
              <w:rPr>
                <w:b/>
                <w:shd w:val="clear" w:color="auto" w:fill="FFFFFF"/>
              </w:rPr>
            </w:pPr>
            <w:r w:rsidRPr="008D2CB3">
              <w:rPr>
                <w:b/>
                <w:shd w:val="clear" w:color="auto" w:fill="FFFFFF"/>
              </w:rPr>
              <w:t>5.</w:t>
            </w:r>
            <w:r w:rsidRPr="008D2CB3">
              <w:rPr>
                <w:b/>
              </w:rPr>
              <w:t xml:space="preserve"> </w:t>
            </w:r>
            <w:r w:rsidRPr="008D2CB3">
              <w:rPr>
                <w:b/>
              </w:rPr>
              <w:tab/>
              <w:t>EGYÉB INFORMÁCIÓK</w:t>
            </w:r>
          </w:p>
        </w:tc>
      </w:tr>
    </w:tbl>
    <w:p w:rsidR="00122217" w:rsidRPr="008D2CB3" w:rsidRDefault="00122217" w:rsidP="001E7729">
      <w:pPr>
        <w:rPr>
          <w:shd w:val="clear" w:color="auto" w:fill="FFFFFF"/>
        </w:rPr>
      </w:pPr>
    </w:p>
    <w:p w:rsidR="00122217" w:rsidRPr="008D2CB3" w:rsidRDefault="00122217" w:rsidP="001E7729">
      <w:pPr>
        <w:spacing w:line="260" w:lineRule="atLeast"/>
        <w:jc w:val="center"/>
        <w:rPr>
          <w:b/>
          <w:szCs w:val="22"/>
        </w:rPr>
      </w:pPr>
      <w:r w:rsidRPr="008D2CB3">
        <w:rPr>
          <w:shd w:val="clear" w:color="auto" w:fill="FFFFFF"/>
        </w:rPr>
        <w:br w:type="column"/>
      </w: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spacing w:line="260" w:lineRule="atLeast"/>
        <w:jc w:val="center"/>
        <w:rPr>
          <w:b/>
          <w:szCs w:val="22"/>
        </w:rPr>
      </w:pPr>
    </w:p>
    <w:p w:rsidR="00122217" w:rsidRPr="008D2CB3" w:rsidRDefault="00122217" w:rsidP="001E7729">
      <w:pPr>
        <w:pStyle w:val="BookmarkA"/>
      </w:pPr>
      <w:r w:rsidRPr="008D2CB3">
        <w:t>B. BETEGTÁJÉKOZTATÓ</w:t>
      </w:r>
      <w:r w:rsidRPr="008D2CB3">
        <w:br w:type="page"/>
      </w:r>
      <w:r w:rsidRPr="008D2CB3">
        <w:rPr>
          <w:b/>
          <w:szCs w:val="22"/>
        </w:rPr>
        <w:t>B</w:t>
      </w:r>
      <w:r w:rsidR="00EF41F8">
        <w:rPr>
          <w:b/>
          <w:szCs w:val="22"/>
        </w:rPr>
        <w:t>etegtájékoztató</w:t>
      </w:r>
      <w:r w:rsidRPr="008D2CB3">
        <w:rPr>
          <w:b/>
          <w:szCs w:val="22"/>
        </w:rPr>
        <w:t>: I</w:t>
      </w:r>
      <w:r w:rsidR="00EF41F8">
        <w:rPr>
          <w:b/>
          <w:szCs w:val="22"/>
        </w:rPr>
        <w:t>nformációk a felhasználó számára</w:t>
      </w:r>
      <w:r w:rsidRPr="008D2CB3">
        <w:rPr>
          <w:b/>
          <w:szCs w:val="22"/>
        </w:rPr>
        <w:t xml:space="preserve"> </w:t>
      </w:r>
    </w:p>
    <w:p w:rsidR="00583604" w:rsidRPr="008D2CB3" w:rsidRDefault="00583604" w:rsidP="001E7729">
      <w:pPr>
        <w:tabs>
          <w:tab w:val="left" w:pos="8707"/>
        </w:tabs>
        <w:spacing w:line="260" w:lineRule="atLeast"/>
        <w:jc w:val="center"/>
        <w:rPr>
          <w:b/>
        </w:rPr>
      </w:pPr>
    </w:p>
    <w:p w:rsidR="00122217" w:rsidRPr="008D2CB3" w:rsidRDefault="009B10E4" w:rsidP="001E7729">
      <w:pPr>
        <w:tabs>
          <w:tab w:val="left" w:pos="8707"/>
        </w:tabs>
        <w:spacing w:line="260" w:lineRule="atLeast"/>
        <w:jc w:val="center"/>
        <w:rPr>
          <w:b/>
        </w:rPr>
      </w:pPr>
      <w:r w:rsidRPr="008D2CB3">
        <w:rPr>
          <w:b/>
        </w:rPr>
        <w:t>Iscover</w:t>
      </w:r>
      <w:r w:rsidR="00122217" w:rsidRPr="008D2CB3">
        <w:rPr>
          <w:b/>
        </w:rPr>
        <w:t xml:space="preserve"> 75 mg filmtabletta</w:t>
      </w:r>
    </w:p>
    <w:p w:rsidR="00122217" w:rsidRPr="008D2CB3" w:rsidRDefault="00675517" w:rsidP="001E7729">
      <w:pPr>
        <w:jc w:val="center"/>
        <w:rPr>
          <w:szCs w:val="22"/>
        </w:rPr>
      </w:pPr>
      <w:r w:rsidRPr="008D2CB3">
        <w:rPr>
          <w:szCs w:val="22"/>
        </w:rPr>
        <w:t>klopidogrél</w:t>
      </w:r>
    </w:p>
    <w:p w:rsidR="00122217" w:rsidRPr="008D2CB3" w:rsidRDefault="00122217" w:rsidP="001E7729">
      <w:pPr>
        <w:spacing w:line="260" w:lineRule="atLeast"/>
        <w:jc w:val="center"/>
        <w:rPr>
          <w:szCs w:val="22"/>
        </w:rPr>
      </w:pPr>
    </w:p>
    <w:p w:rsidR="00122217" w:rsidRDefault="00122217" w:rsidP="001E7729">
      <w:pPr>
        <w:rPr>
          <w:b/>
          <w:szCs w:val="22"/>
        </w:rPr>
      </w:pPr>
      <w:r w:rsidRPr="008D2CB3">
        <w:rPr>
          <w:b/>
          <w:szCs w:val="22"/>
        </w:rPr>
        <w:t>Mielőtt elkezd</w:t>
      </w:r>
      <w:r w:rsidR="00EF41F8">
        <w:rPr>
          <w:b/>
          <w:szCs w:val="22"/>
        </w:rPr>
        <w:t>i</w:t>
      </w:r>
      <w:r w:rsidRPr="008D2CB3">
        <w:rPr>
          <w:b/>
          <w:szCs w:val="22"/>
        </w:rPr>
        <w:t xml:space="preserve"> szedni ezt a gyógyszert, olvassa el figyelmesen az alábbi betegtájékoztatót</w:t>
      </w:r>
      <w:r w:rsidR="00EF41F8">
        <w:rPr>
          <w:b/>
          <w:szCs w:val="22"/>
        </w:rPr>
        <w:t xml:space="preserve">, </w:t>
      </w:r>
      <w:r w:rsidR="00EF41F8" w:rsidRPr="00F86A77">
        <w:rPr>
          <w:b/>
          <w:noProof/>
          <w:szCs w:val="24"/>
        </w:rPr>
        <w:t>me</w:t>
      </w:r>
      <w:r w:rsidR="00CA0F29">
        <w:rPr>
          <w:b/>
          <w:noProof/>
          <w:szCs w:val="24"/>
        </w:rPr>
        <w:t xml:space="preserve">rt </w:t>
      </w:r>
      <w:r w:rsidR="00EF41F8" w:rsidRPr="00F86A77">
        <w:rPr>
          <w:b/>
          <w:noProof/>
          <w:szCs w:val="24"/>
        </w:rPr>
        <w:t>az Ön számára fontos információkat tartalmaz</w:t>
      </w:r>
      <w:r w:rsidRPr="008D2CB3">
        <w:rPr>
          <w:b/>
          <w:szCs w:val="22"/>
        </w:rPr>
        <w:t>.</w:t>
      </w:r>
    </w:p>
    <w:p w:rsidR="00122217" w:rsidRPr="008D2CB3" w:rsidRDefault="00122217" w:rsidP="001E7729">
      <w:pPr>
        <w:numPr>
          <w:ilvl w:val="0"/>
          <w:numId w:val="16"/>
        </w:numPr>
        <w:tabs>
          <w:tab w:val="clear" w:pos="360"/>
          <w:tab w:val="left" w:pos="567"/>
        </w:tabs>
        <w:suppressAutoHyphens/>
        <w:spacing w:line="260" w:lineRule="exact"/>
        <w:ind w:left="567" w:hanging="567"/>
        <w:rPr>
          <w:szCs w:val="22"/>
        </w:rPr>
      </w:pPr>
      <w:r w:rsidRPr="008D2CB3">
        <w:rPr>
          <w:szCs w:val="22"/>
        </w:rPr>
        <w:t>Tartsa meg a betegtájékoztatót, mert a benne szereplő információkra a későbbiekben is szüksége lehet.</w:t>
      </w:r>
    </w:p>
    <w:p w:rsidR="00122217" w:rsidRPr="008D2CB3" w:rsidRDefault="00122217" w:rsidP="001E7729">
      <w:pPr>
        <w:numPr>
          <w:ilvl w:val="0"/>
          <w:numId w:val="13"/>
        </w:numPr>
        <w:tabs>
          <w:tab w:val="clear" w:pos="360"/>
          <w:tab w:val="left" w:pos="567"/>
        </w:tabs>
        <w:ind w:left="567" w:hanging="567"/>
        <w:rPr>
          <w:szCs w:val="22"/>
        </w:rPr>
      </w:pPr>
      <w:r w:rsidRPr="008D2CB3">
        <w:rPr>
          <w:szCs w:val="22"/>
        </w:rPr>
        <w:t xml:space="preserve">További kérdéseivel forduljon </w:t>
      </w:r>
      <w:r w:rsidR="00EF41F8">
        <w:rPr>
          <w:szCs w:val="22"/>
        </w:rPr>
        <w:t>kezelő</w:t>
      </w:r>
      <w:r w:rsidRPr="008D2CB3">
        <w:rPr>
          <w:szCs w:val="22"/>
        </w:rPr>
        <w:t>orvosához vagy gyógyszerészéhez.</w:t>
      </w:r>
    </w:p>
    <w:p w:rsidR="00122217" w:rsidRPr="008D2CB3" w:rsidRDefault="00122217" w:rsidP="001E7729">
      <w:pPr>
        <w:numPr>
          <w:ilvl w:val="0"/>
          <w:numId w:val="15"/>
        </w:numPr>
        <w:tabs>
          <w:tab w:val="clear" w:pos="360"/>
          <w:tab w:val="left" w:pos="567"/>
        </w:tabs>
        <w:ind w:left="567" w:hanging="567"/>
        <w:rPr>
          <w:szCs w:val="22"/>
        </w:rPr>
      </w:pPr>
      <w:r w:rsidRPr="008D2CB3">
        <w:rPr>
          <w:szCs w:val="22"/>
        </w:rPr>
        <w:t xml:space="preserve">Ezt a gyógyszert az orvos </w:t>
      </w:r>
      <w:r w:rsidR="00EF41F8">
        <w:rPr>
          <w:szCs w:val="22"/>
        </w:rPr>
        <w:t xml:space="preserve">kizárólag </w:t>
      </w:r>
      <w:r w:rsidRPr="008D2CB3">
        <w:rPr>
          <w:szCs w:val="22"/>
        </w:rPr>
        <w:t xml:space="preserve">Önnek írta fel. Ne adja át a készítményt másnak, mert számára ártalmas lehet még abban az esetben is, ha </w:t>
      </w:r>
      <w:r w:rsidR="00EF41F8">
        <w:rPr>
          <w:szCs w:val="22"/>
        </w:rPr>
        <w:t xml:space="preserve">betegsége </w:t>
      </w:r>
      <w:r w:rsidRPr="008D2CB3">
        <w:rPr>
          <w:szCs w:val="22"/>
        </w:rPr>
        <w:t>tünetei az Önéhez hasonlóak.</w:t>
      </w:r>
    </w:p>
    <w:p w:rsidR="005C2B53" w:rsidRPr="008E6B7C" w:rsidRDefault="00122217" w:rsidP="001E7729">
      <w:pPr>
        <w:numPr>
          <w:ilvl w:val="0"/>
          <w:numId w:val="15"/>
        </w:numPr>
        <w:tabs>
          <w:tab w:val="clear" w:pos="360"/>
          <w:tab w:val="left" w:pos="567"/>
        </w:tabs>
        <w:ind w:left="567" w:hanging="567"/>
        <w:rPr>
          <w:szCs w:val="22"/>
        </w:rPr>
      </w:pPr>
      <w:r w:rsidRPr="008D2CB3">
        <w:rPr>
          <w:noProof/>
          <w:szCs w:val="22"/>
        </w:rPr>
        <w:t xml:space="preserve">Ha </w:t>
      </w:r>
      <w:r w:rsidR="005C2B53">
        <w:rPr>
          <w:noProof/>
          <w:szCs w:val="22"/>
        </w:rPr>
        <w:t xml:space="preserve">Önnél </w:t>
      </w:r>
      <w:r w:rsidRPr="008D2CB3">
        <w:rPr>
          <w:noProof/>
          <w:szCs w:val="22"/>
        </w:rPr>
        <w:t>bárm</w:t>
      </w:r>
      <w:r w:rsidR="005C2B53">
        <w:rPr>
          <w:noProof/>
          <w:szCs w:val="22"/>
        </w:rPr>
        <w:t>i</w:t>
      </w:r>
      <w:r w:rsidRPr="008D2CB3">
        <w:rPr>
          <w:noProof/>
          <w:szCs w:val="22"/>
        </w:rPr>
        <w:t>ly</w:t>
      </w:r>
      <w:r w:rsidR="005C2B53">
        <w:rPr>
          <w:noProof/>
          <w:szCs w:val="22"/>
        </w:rPr>
        <w:t>en</w:t>
      </w:r>
      <w:r w:rsidRPr="008D2CB3">
        <w:rPr>
          <w:noProof/>
          <w:szCs w:val="22"/>
        </w:rPr>
        <w:t xml:space="preserve"> mellékhatás </w:t>
      </w:r>
      <w:r w:rsidR="005C2B53">
        <w:rPr>
          <w:noProof/>
          <w:szCs w:val="22"/>
        </w:rPr>
        <w:t>jelentkezik</w:t>
      </w:r>
      <w:r w:rsidRPr="008D2CB3">
        <w:rPr>
          <w:noProof/>
          <w:szCs w:val="22"/>
        </w:rPr>
        <w:t xml:space="preserve">, </w:t>
      </w:r>
      <w:r w:rsidR="005C2B53">
        <w:rPr>
          <w:noProof/>
          <w:szCs w:val="22"/>
        </w:rPr>
        <w:t>tájékoztassa erről kezelő</w:t>
      </w:r>
      <w:r w:rsidRPr="008D2CB3">
        <w:rPr>
          <w:noProof/>
          <w:szCs w:val="22"/>
        </w:rPr>
        <w:t>orvosát vagy gyógyszerészét.</w:t>
      </w:r>
      <w:r w:rsidR="005C2B53" w:rsidRPr="00F86A77">
        <w:rPr>
          <w:noProof/>
          <w:szCs w:val="24"/>
        </w:rPr>
        <w:t xml:space="preserve"> Ez</w:t>
      </w:r>
      <w:r w:rsidR="005C2B53" w:rsidRPr="00F86A77">
        <w:rPr>
          <w:szCs w:val="24"/>
        </w:rPr>
        <w:t xml:space="preserve"> a betegtájékoztatóban </w:t>
      </w:r>
      <w:r w:rsidR="005C2B53" w:rsidRPr="00F86A77">
        <w:rPr>
          <w:noProof/>
          <w:szCs w:val="24"/>
        </w:rPr>
        <w:t xml:space="preserve">fel nem sorolt bármilyen lehetséges mellékhatásra is vonatkozik. </w:t>
      </w:r>
      <w:r w:rsidR="005C2B53">
        <w:rPr>
          <w:noProof/>
          <w:szCs w:val="24"/>
          <w:lang w:val="fr-FR"/>
        </w:rPr>
        <w:t>Lásd 4.</w:t>
      </w:r>
      <w:r w:rsidR="00A50526">
        <w:rPr>
          <w:noProof/>
          <w:szCs w:val="24"/>
          <w:lang w:val="fr-FR"/>
        </w:rPr>
        <w:t> </w:t>
      </w:r>
      <w:r w:rsidR="005C2B53">
        <w:rPr>
          <w:noProof/>
          <w:szCs w:val="24"/>
          <w:lang w:val="fr-FR"/>
        </w:rPr>
        <w:t>pont.</w:t>
      </w:r>
    </w:p>
    <w:p w:rsidR="00122217" w:rsidRPr="008D2CB3" w:rsidRDefault="00122217" w:rsidP="001E7729">
      <w:pPr>
        <w:numPr>
          <w:ilvl w:val="0"/>
          <w:numId w:val="15"/>
        </w:numPr>
        <w:tabs>
          <w:tab w:val="clear" w:pos="360"/>
          <w:tab w:val="left" w:pos="567"/>
        </w:tabs>
        <w:ind w:left="567" w:hanging="567"/>
        <w:rPr>
          <w:szCs w:val="22"/>
        </w:rPr>
      </w:pPr>
    </w:p>
    <w:p w:rsidR="00122217" w:rsidRPr="008D2CB3" w:rsidRDefault="00122217" w:rsidP="001E7729">
      <w:pPr>
        <w:tabs>
          <w:tab w:val="left" w:pos="1932"/>
        </w:tabs>
        <w:rPr>
          <w:szCs w:val="22"/>
        </w:rPr>
      </w:pPr>
    </w:p>
    <w:p w:rsidR="00122217" w:rsidRPr="00F86A77" w:rsidRDefault="00122217" w:rsidP="001E7729">
      <w:pPr>
        <w:spacing w:line="260" w:lineRule="atLeast"/>
        <w:ind w:right="-2"/>
        <w:rPr>
          <w:b/>
          <w:szCs w:val="22"/>
        </w:rPr>
      </w:pPr>
      <w:r w:rsidRPr="00F86A77">
        <w:rPr>
          <w:b/>
          <w:szCs w:val="22"/>
        </w:rPr>
        <w:t>A betegtájékoztató tartalma:</w:t>
      </w:r>
    </w:p>
    <w:p w:rsidR="00122217" w:rsidRPr="008D2CB3" w:rsidRDefault="00122217" w:rsidP="001E7729">
      <w:pPr>
        <w:numPr>
          <w:ilvl w:val="1"/>
          <w:numId w:val="14"/>
        </w:numPr>
        <w:suppressAutoHyphens/>
        <w:spacing w:line="260" w:lineRule="atLeast"/>
        <w:ind w:left="567" w:right="-29" w:hanging="567"/>
        <w:rPr>
          <w:szCs w:val="22"/>
        </w:rPr>
      </w:pPr>
      <w:r w:rsidRPr="008D2CB3">
        <w:rPr>
          <w:szCs w:val="22"/>
        </w:rPr>
        <w:t>Milyen típusú gyógyszer a</w:t>
      </w:r>
      <w:r w:rsidR="009B10E4" w:rsidRPr="008D2CB3">
        <w:rPr>
          <w:szCs w:val="22"/>
        </w:rPr>
        <w:t>z Iscover</w:t>
      </w:r>
      <w:r w:rsidRPr="008D2CB3">
        <w:rPr>
          <w:szCs w:val="22"/>
        </w:rPr>
        <w:t xml:space="preserve"> és milyen betegségek esetén alkalmazható?</w:t>
      </w:r>
    </w:p>
    <w:p w:rsidR="00122217" w:rsidRPr="008D2CB3" w:rsidRDefault="00122217" w:rsidP="001E7729">
      <w:pPr>
        <w:numPr>
          <w:ilvl w:val="1"/>
          <w:numId w:val="14"/>
        </w:numPr>
        <w:suppressAutoHyphens/>
        <w:spacing w:line="260" w:lineRule="atLeast"/>
        <w:ind w:left="567" w:right="-29" w:hanging="567"/>
        <w:rPr>
          <w:szCs w:val="22"/>
        </w:rPr>
      </w:pPr>
      <w:r w:rsidRPr="008D2CB3">
        <w:rPr>
          <w:szCs w:val="22"/>
        </w:rPr>
        <w:t>Tudnivalók a</w:t>
      </w:r>
      <w:r w:rsidR="009B10E4" w:rsidRPr="008D2CB3">
        <w:rPr>
          <w:szCs w:val="22"/>
        </w:rPr>
        <w:t>z</w:t>
      </w:r>
      <w:r w:rsidRPr="008D2CB3">
        <w:rPr>
          <w:szCs w:val="22"/>
        </w:rPr>
        <w:t xml:space="preserve"> </w:t>
      </w:r>
      <w:r w:rsidR="009B10E4" w:rsidRPr="008D2CB3">
        <w:rPr>
          <w:szCs w:val="22"/>
        </w:rPr>
        <w:t>Iscover</w:t>
      </w:r>
      <w:r w:rsidRPr="008D2CB3">
        <w:rPr>
          <w:szCs w:val="22"/>
        </w:rPr>
        <w:t xml:space="preserve"> szedése előtt</w:t>
      </w:r>
    </w:p>
    <w:p w:rsidR="00122217" w:rsidRPr="008D2CB3" w:rsidRDefault="00122217" w:rsidP="001E7729">
      <w:pPr>
        <w:spacing w:line="260" w:lineRule="atLeast"/>
        <w:ind w:left="567" w:right="-29" w:hanging="567"/>
        <w:rPr>
          <w:szCs w:val="22"/>
        </w:rPr>
      </w:pPr>
      <w:r w:rsidRPr="008D2CB3">
        <w:rPr>
          <w:szCs w:val="22"/>
        </w:rPr>
        <w:t>3.</w:t>
      </w:r>
      <w:r w:rsidRPr="008D2CB3">
        <w:rPr>
          <w:szCs w:val="22"/>
        </w:rPr>
        <w:tab/>
        <w:t>Hogyan kell szedni a</w:t>
      </w:r>
      <w:r w:rsidR="009B10E4" w:rsidRPr="008D2CB3">
        <w:rPr>
          <w:szCs w:val="22"/>
        </w:rPr>
        <w:t>z Iscover</w:t>
      </w:r>
      <w:r w:rsidRPr="008D2CB3">
        <w:rPr>
          <w:szCs w:val="22"/>
        </w:rPr>
        <w:t>-t?</w:t>
      </w:r>
    </w:p>
    <w:p w:rsidR="00122217" w:rsidRPr="008D2CB3" w:rsidRDefault="00122217" w:rsidP="001E7729">
      <w:pPr>
        <w:spacing w:line="260" w:lineRule="atLeast"/>
        <w:ind w:left="567" w:right="-29" w:hanging="567"/>
        <w:rPr>
          <w:szCs w:val="22"/>
        </w:rPr>
      </w:pPr>
      <w:r w:rsidRPr="008D2CB3">
        <w:rPr>
          <w:szCs w:val="22"/>
        </w:rPr>
        <w:t>4.</w:t>
      </w:r>
      <w:r w:rsidRPr="008D2CB3">
        <w:rPr>
          <w:szCs w:val="22"/>
        </w:rPr>
        <w:tab/>
        <w:t>Lehetséges mellékhatások</w:t>
      </w:r>
    </w:p>
    <w:p w:rsidR="00122217" w:rsidRPr="008D2CB3" w:rsidRDefault="00122217" w:rsidP="001E7729">
      <w:pPr>
        <w:spacing w:line="260" w:lineRule="atLeast"/>
        <w:ind w:left="567" w:right="-29" w:hanging="567"/>
        <w:rPr>
          <w:szCs w:val="22"/>
        </w:rPr>
      </w:pPr>
      <w:r w:rsidRPr="008D2CB3">
        <w:rPr>
          <w:szCs w:val="22"/>
        </w:rPr>
        <w:t>5</w:t>
      </w:r>
      <w:r w:rsidRPr="008D2CB3">
        <w:rPr>
          <w:szCs w:val="22"/>
        </w:rPr>
        <w:tab/>
        <w:t>Hogyan kell a</w:t>
      </w:r>
      <w:r w:rsidR="009B10E4" w:rsidRPr="008D2CB3">
        <w:rPr>
          <w:szCs w:val="22"/>
        </w:rPr>
        <w:t>z Iscover-</w:t>
      </w:r>
      <w:r w:rsidRPr="008D2CB3">
        <w:rPr>
          <w:szCs w:val="22"/>
        </w:rPr>
        <w:t>t tárolni?</w:t>
      </w:r>
    </w:p>
    <w:p w:rsidR="00122217" w:rsidRPr="008D2CB3" w:rsidRDefault="00122217" w:rsidP="001E7729">
      <w:pPr>
        <w:spacing w:line="260" w:lineRule="atLeast"/>
        <w:ind w:left="567" w:right="-29" w:hanging="567"/>
        <w:rPr>
          <w:szCs w:val="22"/>
        </w:rPr>
      </w:pPr>
      <w:r w:rsidRPr="008D2CB3">
        <w:rPr>
          <w:szCs w:val="22"/>
        </w:rPr>
        <w:t>6.</w:t>
      </w:r>
      <w:r w:rsidRPr="008D2CB3">
        <w:rPr>
          <w:szCs w:val="22"/>
        </w:rPr>
        <w:tab/>
      </w:r>
      <w:r w:rsidR="005C2B53">
        <w:rPr>
          <w:szCs w:val="22"/>
        </w:rPr>
        <w:t>A csomagolás tartalma és egyéb</w:t>
      </w:r>
      <w:r w:rsidRPr="008D2CB3">
        <w:rPr>
          <w:szCs w:val="22"/>
        </w:rPr>
        <w:t xml:space="preserve"> információk</w:t>
      </w:r>
    </w:p>
    <w:p w:rsidR="00122217" w:rsidRPr="008D2CB3" w:rsidRDefault="00122217" w:rsidP="001E7729">
      <w:pPr>
        <w:tabs>
          <w:tab w:val="left" w:pos="568"/>
        </w:tabs>
        <w:spacing w:line="260" w:lineRule="atLeast"/>
        <w:ind w:right="-2"/>
        <w:rPr>
          <w:szCs w:val="22"/>
        </w:rPr>
      </w:pPr>
    </w:p>
    <w:p w:rsidR="00122217" w:rsidRPr="008D2CB3" w:rsidRDefault="00122217" w:rsidP="001E7729">
      <w:pPr>
        <w:tabs>
          <w:tab w:val="left" w:pos="567"/>
        </w:tabs>
        <w:rPr>
          <w:b/>
          <w:bCs/>
        </w:rPr>
      </w:pPr>
    </w:p>
    <w:p w:rsidR="00122217" w:rsidRPr="008D2CB3" w:rsidRDefault="00122217" w:rsidP="001E7729">
      <w:pPr>
        <w:tabs>
          <w:tab w:val="left" w:pos="567"/>
        </w:tabs>
        <w:ind w:left="567" w:hanging="567"/>
        <w:rPr>
          <w:b/>
          <w:bCs/>
        </w:rPr>
      </w:pPr>
      <w:r w:rsidRPr="008D2CB3">
        <w:rPr>
          <w:b/>
          <w:bCs/>
        </w:rPr>
        <w:t>1.</w:t>
      </w:r>
      <w:r w:rsidRPr="008D2CB3">
        <w:rPr>
          <w:b/>
          <w:bCs/>
        </w:rPr>
        <w:tab/>
        <w:t>M</w:t>
      </w:r>
      <w:r w:rsidR="005C2B53">
        <w:rPr>
          <w:b/>
          <w:bCs/>
        </w:rPr>
        <w:t xml:space="preserve">ilyen </w:t>
      </w:r>
      <w:r w:rsidR="005C2B53" w:rsidRPr="005C2B53">
        <w:rPr>
          <w:b/>
          <w:szCs w:val="22"/>
        </w:rPr>
        <w:t>típusú gyógyszer</w:t>
      </w:r>
      <w:r w:rsidR="005C2B53">
        <w:rPr>
          <w:b/>
          <w:szCs w:val="22"/>
        </w:rPr>
        <w:t xml:space="preserve"> </w:t>
      </w:r>
      <w:r w:rsidR="005C2B53" w:rsidRPr="005C2B53">
        <w:rPr>
          <w:b/>
          <w:szCs w:val="22"/>
        </w:rPr>
        <w:t>az Iscover és milyen betegségek esetén alkalmazható</w:t>
      </w:r>
      <w:r w:rsidRPr="008D2CB3">
        <w:rPr>
          <w:b/>
          <w:bCs/>
        </w:rPr>
        <w:t>?</w:t>
      </w:r>
    </w:p>
    <w:p w:rsidR="00122217" w:rsidRPr="008D2CB3" w:rsidRDefault="00122217" w:rsidP="001E7729">
      <w:pPr>
        <w:jc w:val="both"/>
        <w:rPr>
          <w:b/>
          <w:szCs w:val="22"/>
        </w:rPr>
      </w:pPr>
    </w:p>
    <w:p w:rsidR="00122217" w:rsidRPr="008D2CB3" w:rsidRDefault="00122217" w:rsidP="001E7729">
      <w:pPr>
        <w:rPr>
          <w:szCs w:val="22"/>
        </w:rPr>
      </w:pPr>
      <w:r w:rsidRPr="008D2CB3">
        <w:rPr>
          <w:szCs w:val="22"/>
        </w:rPr>
        <w:t>A</w:t>
      </w:r>
      <w:r w:rsidR="009B10E4" w:rsidRPr="008D2CB3">
        <w:rPr>
          <w:szCs w:val="22"/>
        </w:rPr>
        <w:t>z Iscover</w:t>
      </w:r>
      <w:r w:rsidRPr="008D2CB3">
        <w:rPr>
          <w:szCs w:val="22"/>
        </w:rPr>
        <w:t xml:space="preserve"> </w:t>
      </w:r>
      <w:r w:rsidR="005C2B53">
        <w:rPr>
          <w:szCs w:val="22"/>
        </w:rPr>
        <w:t xml:space="preserve">klopidogrélt tartalmaz és </w:t>
      </w:r>
      <w:r w:rsidRPr="008D2CB3">
        <w:rPr>
          <w:szCs w:val="22"/>
        </w:rPr>
        <w:t xml:space="preserve">a vérlemezkék ellen ható gyógyszerek csoportjába tartozik. A vérlemezkék </w:t>
      </w:r>
      <w:r w:rsidR="006B191F" w:rsidRPr="008D2CB3">
        <w:rPr>
          <w:szCs w:val="22"/>
        </w:rPr>
        <w:t xml:space="preserve">a vérben található </w:t>
      </w:r>
      <w:r w:rsidRPr="008D2CB3">
        <w:rPr>
          <w:szCs w:val="22"/>
        </w:rPr>
        <w:t xml:space="preserve">nagyon apró </w:t>
      </w:r>
      <w:r w:rsidR="00B96BC9" w:rsidRPr="008D2CB3">
        <w:rPr>
          <w:szCs w:val="22"/>
        </w:rPr>
        <w:t>alakos elemek</w:t>
      </w:r>
      <w:r w:rsidRPr="008D2CB3">
        <w:rPr>
          <w:szCs w:val="22"/>
        </w:rPr>
        <w:t>, melyek a véralvadáskor összetapadnak. A vérlemezke ellen ható gyógyszerek, az összetapadást megakadályozva, csökkentik a vérrögképződés (</w:t>
      </w:r>
      <w:r w:rsidR="005E3DA5">
        <w:rPr>
          <w:szCs w:val="22"/>
        </w:rPr>
        <w:t>más néven</w:t>
      </w:r>
      <w:r w:rsidRPr="008D2CB3">
        <w:rPr>
          <w:szCs w:val="22"/>
        </w:rPr>
        <w:t xml:space="preserve"> trombózis)</w:t>
      </w:r>
      <w:r w:rsidR="005E3DA5" w:rsidRPr="005E3DA5">
        <w:rPr>
          <w:szCs w:val="22"/>
        </w:rPr>
        <w:t xml:space="preserve"> </w:t>
      </w:r>
      <w:r w:rsidR="005E3DA5" w:rsidRPr="008D2CB3">
        <w:rPr>
          <w:szCs w:val="22"/>
        </w:rPr>
        <w:t>lehetőségét</w:t>
      </w:r>
      <w:r w:rsidRPr="008D2CB3">
        <w:rPr>
          <w:szCs w:val="22"/>
        </w:rPr>
        <w:t xml:space="preserve">. </w:t>
      </w:r>
    </w:p>
    <w:p w:rsidR="00122217" w:rsidRPr="008D2CB3" w:rsidRDefault="00122217" w:rsidP="001E7729">
      <w:pPr>
        <w:jc w:val="both"/>
        <w:rPr>
          <w:szCs w:val="22"/>
        </w:rPr>
      </w:pPr>
    </w:p>
    <w:p w:rsidR="00122217" w:rsidRPr="008D2CB3" w:rsidRDefault="00122217" w:rsidP="001E7729">
      <w:pPr>
        <w:rPr>
          <w:szCs w:val="22"/>
        </w:rPr>
      </w:pPr>
      <w:r w:rsidRPr="008D2CB3">
        <w:rPr>
          <w:szCs w:val="22"/>
        </w:rPr>
        <w:t>A</w:t>
      </w:r>
      <w:r w:rsidR="009B10E4" w:rsidRPr="008D2CB3">
        <w:rPr>
          <w:szCs w:val="22"/>
        </w:rPr>
        <w:t>z Iscover</w:t>
      </w:r>
      <w:r w:rsidR="005C2B53">
        <w:rPr>
          <w:szCs w:val="22"/>
        </w:rPr>
        <w:t>-t felnőttek szedik,</w:t>
      </w:r>
      <w:r w:rsidRPr="008D2CB3">
        <w:rPr>
          <w:szCs w:val="22"/>
        </w:rPr>
        <w:t xml:space="preserve"> alkalmazásának célja a vérrögképződés (tromb</w:t>
      </w:r>
      <w:r w:rsidR="005E3DA5">
        <w:rPr>
          <w:szCs w:val="22"/>
        </w:rPr>
        <w:t>ózis</w:t>
      </w:r>
      <w:r w:rsidRPr="008D2CB3">
        <w:rPr>
          <w:szCs w:val="22"/>
        </w:rPr>
        <w:t xml:space="preserve">) megakadályozása az elmeszesedett erekben (artériákban), ez a folyamat az aterotrombózis, mely aterotrombotikus eseményekhez vezethet (úgymint a szélütés, szívroham vagy halál). </w:t>
      </w:r>
    </w:p>
    <w:p w:rsidR="00122217" w:rsidRPr="008D2CB3" w:rsidRDefault="00122217" w:rsidP="001E7729">
      <w:pPr>
        <w:jc w:val="both"/>
        <w:rPr>
          <w:szCs w:val="22"/>
        </w:rPr>
      </w:pPr>
    </w:p>
    <w:p w:rsidR="00122217" w:rsidRPr="008D2CB3" w:rsidRDefault="009B10E4" w:rsidP="001E7729">
      <w:pPr>
        <w:jc w:val="both"/>
        <w:rPr>
          <w:szCs w:val="22"/>
        </w:rPr>
      </w:pPr>
      <w:r w:rsidRPr="008D2CB3">
        <w:rPr>
          <w:szCs w:val="22"/>
        </w:rPr>
        <w:t>Iscover</w:t>
      </w:r>
      <w:r w:rsidR="00122217" w:rsidRPr="008D2CB3">
        <w:rPr>
          <w:szCs w:val="22"/>
        </w:rPr>
        <w:t>-t írtak fel Önnek a vérrögképződés megakadályozása, valamint a fenti súlyos események kockázatának csökkentése érdekében, mert</w:t>
      </w:r>
    </w:p>
    <w:p w:rsidR="00122217" w:rsidRPr="008D2CB3" w:rsidRDefault="00122217" w:rsidP="001E7729">
      <w:pPr>
        <w:ind w:left="567" w:hanging="567"/>
        <w:jc w:val="both"/>
        <w:rPr>
          <w:szCs w:val="22"/>
        </w:rPr>
      </w:pPr>
      <w:r w:rsidRPr="008D2CB3">
        <w:rPr>
          <w:szCs w:val="22"/>
        </w:rPr>
        <w:t>-</w:t>
      </w:r>
      <w:r w:rsidR="004819E7" w:rsidRPr="008D2CB3">
        <w:rPr>
          <w:szCs w:val="22"/>
        </w:rPr>
        <w:tab/>
      </w:r>
      <w:r w:rsidRPr="008D2CB3">
        <w:rPr>
          <w:szCs w:val="22"/>
        </w:rPr>
        <w:t xml:space="preserve">az artériák elmeszesedtek (az állapotot ateroszklerózisnak is nevezik), </w:t>
      </w:r>
    </w:p>
    <w:p w:rsidR="00122217" w:rsidRPr="008D2CB3" w:rsidRDefault="00122217" w:rsidP="001E7729">
      <w:pPr>
        <w:ind w:left="567" w:hanging="567"/>
        <w:rPr>
          <w:szCs w:val="22"/>
        </w:rPr>
      </w:pPr>
      <w:r w:rsidRPr="008D2CB3">
        <w:rPr>
          <w:szCs w:val="22"/>
        </w:rPr>
        <w:t>-</w:t>
      </w:r>
      <w:r w:rsidR="004819E7" w:rsidRPr="008D2CB3">
        <w:rPr>
          <w:szCs w:val="22"/>
        </w:rPr>
        <w:tab/>
      </w:r>
      <w:r w:rsidRPr="008D2CB3">
        <w:rPr>
          <w:szCs w:val="22"/>
        </w:rPr>
        <w:t>szívrohama, szélütése volt, vagy ún. perifériás artériás betegsége van, vagy</w:t>
      </w:r>
    </w:p>
    <w:p w:rsidR="0021031D" w:rsidRDefault="0021031D" w:rsidP="0021031D">
      <w:pPr>
        <w:ind w:left="567" w:hanging="567"/>
        <w:rPr>
          <w:szCs w:val="22"/>
        </w:rPr>
      </w:pPr>
      <w:r>
        <w:rPr>
          <w:szCs w:val="22"/>
        </w:rPr>
        <w:t>-</w:t>
      </w:r>
      <w:r>
        <w:rPr>
          <w:szCs w:val="22"/>
        </w:rPr>
        <w:tab/>
        <w:t xml:space="preserve">súlyos mellkasi fájdalma volt, ami „instabil angina” vagy „miokardiális infarktus” (szívroham) néven ismert. Ezen állapot kezeléseként, kezelőorvosa beültethetett egy, az ér belsejét tágító érmerevítőt (sztentet) az elzáródott vagy beszűkült artériába, hogy a megfelelő véráramlást visszaállítsa. Kezelőorvosa acetilszalicilsavat is rendelhet (sok gyógyszer tartalmazza ezt a vegyületet, amelyet fájdalom- és lázcsillapításra, valamint a vérrögképződés megakadályozására is használnak). </w:t>
      </w:r>
    </w:p>
    <w:p w:rsidR="0021031D" w:rsidRDefault="0021031D" w:rsidP="0021031D">
      <w:pPr>
        <w:ind w:left="567" w:hanging="567"/>
        <w:rPr>
          <w:szCs w:val="22"/>
        </w:rPr>
      </w:pPr>
      <w:r>
        <w:rPr>
          <w:szCs w:val="22"/>
        </w:rPr>
        <w:t>-</w:t>
      </w:r>
      <w:r>
        <w:rPr>
          <w:szCs w:val="22"/>
        </w:rPr>
        <w:tab/>
        <w:t>a szélütés (sztrók/átmeneti agyi keringési zavarnak is nevezik) rövid időn belül megszűnő tünetei vagy enyhe szélütés jelentkezett Önnél. Kezelőorvosa az első 24 órában acetilszalicilsavat is rendelhet Önnek.</w:t>
      </w:r>
    </w:p>
    <w:p w:rsidR="00122217" w:rsidRPr="008D2CB3" w:rsidRDefault="0021031D" w:rsidP="0021031D">
      <w:pPr>
        <w:ind w:left="567" w:hanging="567"/>
        <w:jc w:val="both"/>
        <w:rPr>
          <w:szCs w:val="22"/>
        </w:rPr>
      </w:pPr>
      <w:r>
        <w:rPr>
          <w:szCs w:val="22"/>
        </w:rPr>
        <w:t>-</w:t>
      </w:r>
      <w:r>
        <w:rPr>
          <w:szCs w:val="22"/>
        </w:rPr>
        <w:tab/>
        <w:t xml:space="preserve">szívritmuszavara van, amelyet „pitvarfibrilláció”-nak neveznek, és nem szedhet „orális </w:t>
      </w:r>
      <w:r w:rsidR="000B6BAB" w:rsidRPr="008D2CB3">
        <w:rPr>
          <w:szCs w:val="22"/>
        </w:rPr>
        <w:t>antikoaguláns” néven ismert gyógyszereket (K-vitamin-antagonisták), amelyek megelőzik az új vérrögök képződését</w:t>
      </w:r>
      <w:r w:rsidR="006C493D" w:rsidRPr="008D2CB3">
        <w:rPr>
          <w:szCs w:val="22"/>
        </w:rPr>
        <w:t>,</w:t>
      </w:r>
      <w:r w:rsidR="000B6BAB" w:rsidRPr="008D2CB3">
        <w:rPr>
          <w:szCs w:val="22"/>
        </w:rPr>
        <w:t xml:space="preserve"> és megakadályozzák a már meglévők további növekedését. </w:t>
      </w:r>
      <w:r w:rsidR="00D22C8F">
        <w:rPr>
          <w:szCs w:val="22"/>
        </w:rPr>
        <w:t>Kezelőo</w:t>
      </w:r>
      <w:r w:rsidR="000B6BAB" w:rsidRPr="008D2CB3">
        <w:rPr>
          <w:szCs w:val="22"/>
        </w:rPr>
        <w:t>rvosának tájékoztatnia kell Önt, hogy ennek az állapotnak a kezelésében az „orális antikoagulánsok” hatékonyabbak, mint az acetilszalicilsav vagy a</w:t>
      </w:r>
      <w:r w:rsidR="009B10E4" w:rsidRPr="008D2CB3">
        <w:rPr>
          <w:szCs w:val="22"/>
        </w:rPr>
        <w:t>z Iscover</w:t>
      </w:r>
      <w:r w:rsidR="000B6BAB" w:rsidRPr="008D2CB3">
        <w:rPr>
          <w:szCs w:val="22"/>
        </w:rPr>
        <w:t xml:space="preserve"> és acetilszalicilsav kombináció. </w:t>
      </w:r>
      <w:r w:rsidR="00D22C8F">
        <w:rPr>
          <w:szCs w:val="22"/>
        </w:rPr>
        <w:t>Kezelőo</w:t>
      </w:r>
      <w:r w:rsidR="000B6BAB" w:rsidRPr="008D2CB3">
        <w:rPr>
          <w:szCs w:val="22"/>
        </w:rPr>
        <w:t xml:space="preserve">rvosának </w:t>
      </w:r>
      <w:r w:rsidR="006C493D" w:rsidRPr="008D2CB3">
        <w:rPr>
          <w:szCs w:val="22"/>
        </w:rPr>
        <w:t>a</w:t>
      </w:r>
      <w:r w:rsidR="009B10E4" w:rsidRPr="008D2CB3">
        <w:rPr>
          <w:szCs w:val="22"/>
        </w:rPr>
        <w:t>z Iscover</w:t>
      </w:r>
      <w:r w:rsidR="000B6BAB" w:rsidRPr="008D2CB3">
        <w:rPr>
          <w:szCs w:val="22"/>
        </w:rPr>
        <w:t xml:space="preserve">t és </w:t>
      </w:r>
      <w:r w:rsidR="006C493D" w:rsidRPr="008D2CB3">
        <w:rPr>
          <w:szCs w:val="22"/>
        </w:rPr>
        <w:t xml:space="preserve">az </w:t>
      </w:r>
      <w:r w:rsidR="000B6BAB" w:rsidRPr="008D2CB3">
        <w:rPr>
          <w:szCs w:val="22"/>
        </w:rPr>
        <w:t>acetilszalicilsavat</w:t>
      </w:r>
      <w:r w:rsidR="006C493D" w:rsidRPr="008D2CB3">
        <w:rPr>
          <w:szCs w:val="22"/>
        </w:rPr>
        <w:t xml:space="preserve"> együtt</w:t>
      </w:r>
      <w:r w:rsidR="000B6BAB" w:rsidRPr="008D2CB3">
        <w:rPr>
          <w:szCs w:val="22"/>
        </w:rPr>
        <w:t xml:space="preserve"> kell felírnia Önnek abban az esetben, ha nem szedhet „orális antikoagulánsokat”.</w:t>
      </w:r>
    </w:p>
    <w:p w:rsidR="00122217" w:rsidRPr="008D2CB3" w:rsidRDefault="00122217" w:rsidP="001E7729">
      <w:pPr>
        <w:spacing w:line="260" w:lineRule="atLeast"/>
        <w:ind w:left="567" w:right="-2" w:hanging="567"/>
        <w:rPr>
          <w:b/>
          <w:szCs w:val="22"/>
        </w:rPr>
      </w:pPr>
    </w:p>
    <w:p w:rsidR="00122217" w:rsidRPr="008D2CB3" w:rsidRDefault="00122217" w:rsidP="001E7729">
      <w:pPr>
        <w:keepNext/>
        <w:spacing w:line="260" w:lineRule="atLeast"/>
        <w:ind w:left="567" w:right="-2" w:hanging="567"/>
        <w:rPr>
          <w:b/>
          <w:szCs w:val="22"/>
        </w:rPr>
      </w:pPr>
      <w:r w:rsidRPr="008D2CB3">
        <w:rPr>
          <w:b/>
          <w:szCs w:val="22"/>
        </w:rPr>
        <w:t xml:space="preserve">2. </w:t>
      </w:r>
      <w:r w:rsidRPr="008D2CB3">
        <w:rPr>
          <w:b/>
          <w:szCs w:val="22"/>
        </w:rPr>
        <w:tab/>
        <w:t>T</w:t>
      </w:r>
      <w:r w:rsidR="005C2B53">
        <w:rPr>
          <w:b/>
          <w:szCs w:val="22"/>
        </w:rPr>
        <w:t>udnivalók az Iscover szedése előtt</w:t>
      </w:r>
    </w:p>
    <w:p w:rsidR="00122217" w:rsidRPr="008D2CB3" w:rsidRDefault="00122217" w:rsidP="001E7729">
      <w:pPr>
        <w:keepNext/>
        <w:jc w:val="both"/>
        <w:rPr>
          <w:szCs w:val="22"/>
        </w:rPr>
      </w:pPr>
    </w:p>
    <w:p w:rsidR="00122217" w:rsidRPr="008D2CB3" w:rsidRDefault="00122217" w:rsidP="001E7729">
      <w:pPr>
        <w:keepNext/>
        <w:spacing w:line="260" w:lineRule="atLeast"/>
        <w:rPr>
          <w:b/>
          <w:szCs w:val="22"/>
        </w:rPr>
      </w:pPr>
      <w:r w:rsidRPr="008D2CB3">
        <w:rPr>
          <w:b/>
          <w:szCs w:val="22"/>
        </w:rPr>
        <w:t>Ne szedje a</w:t>
      </w:r>
      <w:r w:rsidR="009B10E4" w:rsidRPr="008D2CB3">
        <w:rPr>
          <w:b/>
          <w:szCs w:val="22"/>
        </w:rPr>
        <w:t>z Iscover-</w:t>
      </w:r>
      <w:r w:rsidRPr="008D2CB3">
        <w:rPr>
          <w:b/>
          <w:szCs w:val="22"/>
        </w:rPr>
        <w:t>t</w:t>
      </w:r>
    </w:p>
    <w:p w:rsidR="00122217" w:rsidRPr="008D2CB3" w:rsidRDefault="00122217" w:rsidP="001E7729">
      <w:pPr>
        <w:numPr>
          <w:ilvl w:val="0"/>
          <w:numId w:val="20"/>
        </w:numPr>
        <w:tabs>
          <w:tab w:val="clear" w:pos="720"/>
          <w:tab w:val="num" w:pos="426"/>
        </w:tabs>
        <w:suppressAutoHyphens/>
        <w:spacing w:line="260" w:lineRule="atLeast"/>
        <w:ind w:left="426" w:hanging="426"/>
        <w:rPr>
          <w:szCs w:val="22"/>
        </w:rPr>
      </w:pPr>
      <w:r w:rsidRPr="008D2CB3">
        <w:rPr>
          <w:szCs w:val="22"/>
        </w:rPr>
        <w:t xml:space="preserve">ha allergiás (túlérzékeny) a klopidogrélre vagy </w:t>
      </w:r>
      <w:r w:rsidR="005C2B53" w:rsidRPr="00F2144D">
        <w:rPr>
          <w:noProof/>
          <w:szCs w:val="24"/>
        </w:rPr>
        <w:t>gyógyszer (6.</w:t>
      </w:r>
      <w:r w:rsidR="00A50526">
        <w:rPr>
          <w:noProof/>
          <w:szCs w:val="24"/>
        </w:rPr>
        <w:t> </w:t>
      </w:r>
      <w:r w:rsidR="005C2B53" w:rsidRPr="00F2144D">
        <w:rPr>
          <w:noProof/>
          <w:szCs w:val="24"/>
        </w:rPr>
        <w:t>pontban felsorolt)</w:t>
      </w:r>
      <w:r w:rsidRPr="008D2CB3">
        <w:rPr>
          <w:szCs w:val="22"/>
        </w:rPr>
        <w:t xml:space="preserve"> egyéb összetevőjére</w:t>
      </w:r>
      <w:r w:rsidR="00900D5D">
        <w:rPr>
          <w:szCs w:val="22"/>
        </w:rPr>
        <w:t>.</w:t>
      </w:r>
    </w:p>
    <w:p w:rsidR="00122217" w:rsidRPr="008D2CB3" w:rsidRDefault="00122217" w:rsidP="001E7729">
      <w:pPr>
        <w:numPr>
          <w:ilvl w:val="0"/>
          <w:numId w:val="21"/>
        </w:numPr>
        <w:tabs>
          <w:tab w:val="clear" w:pos="360"/>
          <w:tab w:val="num" w:pos="426"/>
        </w:tabs>
        <w:suppressAutoHyphens/>
        <w:spacing w:line="260" w:lineRule="atLeast"/>
        <w:ind w:left="426" w:hanging="426"/>
        <w:rPr>
          <w:szCs w:val="22"/>
        </w:rPr>
      </w:pPr>
      <w:r w:rsidRPr="008D2CB3">
        <w:rPr>
          <w:szCs w:val="22"/>
        </w:rPr>
        <w:t>ha olyan betegsége van, ami jelenleg vérzést okoz, mint pl. gyomorfekély</w:t>
      </w:r>
      <w:r w:rsidR="00056478" w:rsidRPr="008D2CB3">
        <w:rPr>
          <w:szCs w:val="22"/>
        </w:rPr>
        <w:t xml:space="preserve"> vagy </w:t>
      </w:r>
      <w:r w:rsidR="00B96BC9" w:rsidRPr="008D2CB3">
        <w:rPr>
          <w:szCs w:val="22"/>
        </w:rPr>
        <w:t xml:space="preserve">koponyaűri </w:t>
      </w:r>
      <w:r w:rsidR="00056478" w:rsidRPr="008D2CB3">
        <w:rPr>
          <w:szCs w:val="22"/>
        </w:rPr>
        <w:t>vérzés</w:t>
      </w:r>
      <w:r w:rsidR="00900D5D">
        <w:rPr>
          <w:szCs w:val="22"/>
        </w:rPr>
        <w:t>.</w:t>
      </w:r>
    </w:p>
    <w:p w:rsidR="00122217" w:rsidRPr="008D2CB3" w:rsidRDefault="00122217" w:rsidP="001E7729">
      <w:pPr>
        <w:numPr>
          <w:ilvl w:val="0"/>
          <w:numId w:val="22"/>
        </w:numPr>
        <w:tabs>
          <w:tab w:val="clear" w:pos="720"/>
          <w:tab w:val="num" w:pos="426"/>
        </w:tabs>
        <w:suppressAutoHyphens/>
        <w:spacing w:line="260" w:lineRule="atLeast"/>
        <w:ind w:left="426" w:hanging="426"/>
        <w:rPr>
          <w:szCs w:val="22"/>
        </w:rPr>
      </w:pPr>
      <w:r w:rsidRPr="008D2CB3">
        <w:rPr>
          <w:szCs w:val="22"/>
        </w:rPr>
        <w:t>ha súlyos májbetegsége van;</w:t>
      </w:r>
    </w:p>
    <w:p w:rsidR="00122217" w:rsidRPr="008D2CB3" w:rsidRDefault="00122217" w:rsidP="001E7729">
      <w:pPr>
        <w:suppressAutoHyphens/>
        <w:spacing w:line="260" w:lineRule="atLeast"/>
        <w:rPr>
          <w:szCs w:val="22"/>
        </w:rPr>
      </w:pPr>
    </w:p>
    <w:p w:rsidR="00122217" w:rsidRPr="008D2CB3" w:rsidRDefault="00122217" w:rsidP="001E7729">
      <w:pPr>
        <w:suppressAutoHyphens/>
        <w:spacing w:line="260" w:lineRule="atLeast"/>
        <w:rPr>
          <w:szCs w:val="22"/>
        </w:rPr>
      </w:pPr>
      <w:r w:rsidRPr="008D2CB3">
        <w:rPr>
          <w:szCs w:val="22"/>
        </w:rPr>
        <w:t>Ha úgy gondolja, hogy ezek közül bármelyik vonatkozik Önre, vagy ha bármilyen kétsége van, a</w:t>
      </w:r>
      <w:r w:rsidR="009B10E4" w:rsidRPr="008D2CB3">
        <w:rPr>
          <w:szCs w:val="22"/>
        </w:rPr>
        <w:t>z Iscover</w:t>
      </w:r>
      <w:r w:rsidRPr="008D2CB3">
        <w:rPr>
          <w:szCs w:val="22"/>
        </w:rPr>
        <w:t xml:space="preserve"> szedésének elkezdése előtt keresse fel kezelőorvosát.</w:t>
      </w:r>
    </w:p>
    <w:p w:rsidR="00122217" w:rsidRPr="008D2CB3" w:rsidRDefault="00122217" w:rsidP="001E7729">
      <w:pPr>
        <w:spacing w:line="260" w:lineRule="atLeast"/>
        <w:rPr>
          <w:szCs w:val="22"/>
        </w:rPr>
      </w:pPr>
    </w:p>
    <w:p w:rsidR="00122217" w:rsidRPr="008D2CB3" w:rsidRDefault="005C2B53" w:rsidP="001E7729">
      <w:pPr>
        <w:spacing w:line="260" w:lineRule="atLeast"/>
        <w:ind w:right="-2"/>
        <w:rPr>
          <w:b/>
          <w:szCs w:val="22"/>
        </w:rPr>
      </w:pPr>
      <w:r w:rsidRPr="00AB24CD">
        <w:rPr>
          <w:b/>
          <w:noProof/>
          <w:szCs w:val="24"/>
        </w:rPr>
        <w:t>Figyelmeztetések és óvintézkedések</w:t>
      </w:r>
    </w:p>
    <w:p w:rsidR="00122217" w:rsidRPr="008D2CB3" w:rsidRDefault="00122217" w:rsidP="001E7729">
      <w:pPr>
        <w:spacing w:line="260" w:lineRule="atLeast"/>
        <w:ind w:right="-2"/>
        <w:rPr>
          <w:szCs w:val="22"/>
        </w:rPr>
      </w:pPr>
      <w:r w:rsidRPr="008D2CB3">
        <w:rPr>
          <w:szCs w:val="22"/>
        </w:rPr>
        <w:t xml:space="preserve">Ha az alább felsorolt állapotok közül bármelyik vonatkozik Önre, akkor erről tájékoztatnia kell </w:t>
      </w:r>
      <w:r w:rsidR="00D22C8F">
        <w:rPr>
          <w:szCs w:val="22"/>
        </w:rPr>
        <w:t>kezelő</w:t>
      </w:r>
      <w:r w:rsidRPr="008D2CB3">
        <w:rPr>
          <w:szCs w:val="22"/>
        </w:rPr>
        <w:t>orvosát a</w:t>
      </w:r>
      <w:r w:rsidR="009B10E4" w:rsidRPr="008D2CB3">
        <w:rPr>
          <w:szCs w:val="22"/>
        </w:rPr>
        <w:t>z Iscover</w:t>
      </w:r>
      <w:r w:rsidRPr="008D2CB3">
        <w:rPr>
          <w:szCs w:val="22"/>
        </w:rPr>
        <w:t xml:space="preserve"> bevétele előtt:</w:t>
      </w:r>
    </w:p>
    <w:p w:rsidR="006B191F" w:rsidRPr="008D2CB3" w:rsidRDefault="00122217" w:rsidP="001E7729">
      <w:pPr>
        <w:numPr>
          <w:ilvl w:val="1"/>
          <w:numId w:val="17"/>
        </w:numPr>
        <w:tabs>
          <w:tab w:val="clear" w:pos="1440"/>
          <w:tab w:val="num" w:pos="567"/>
        </w:tabs>
        <w:suppressAutoHyphens/>
        <w:spacing w:line="260" w:lineRule="atLeast"/>
        <w:ind w:left="567" w:hanging="567"/>
        <w:rPr>
          <w:szCs w:val="22"/>
        </w:rPr>
      </w:pPr>
      <w:r w:rsidRPr="008D2CB3">
        <w:rPr>
          <w:szCs w:val="22"/>
        </w:rPr>
        <w:t xml:space="preserve">ha vérzés veszélye áll fenn: </w:t>
      </w:r>
    </w:p>
    <w:p w:rsidR="00122217" w:rsidRPr="008D2CB3" w:rsidRDefault="00122217" w:rsidP="001E7729">
      <w:pPr>
        <w:numPr>
          <w:ilvl w:val="1"/>
          <w:numId w:val="19"/>
        </w:numPr>
        <w:tabs>
          <w:tab w:val="clear" w:pos="284"/>
          <w:tab w:val="num" w:pos="851"/>
        </w:tabs>
        <w:suppressAutoHyphens/>
        <w:spacing w:line="260" w:lineRule="atLeast"/>
        <w:ind w:left="851"/>
        <w:rPr>
          <w:szCs w:val="22"/>
        </w:rPr>
      </w:pPr>
      <w:r w:rsidRPr="008D2CB3">
        <w:rPr>
          <w:szCs w:val="22"/>
        </w:rPr>
        <w:t xml:space="preserve">ami belső vérzés (pl. gyomorfekély) kockázatát jelentő kóros állapot </w:t>
      </w:r>
    </w:p>
    <w:p w:rsidR="00122217" w:rsidRPr="008D2CB3" w:rsidRDefault="00122217" w:rsidP="001E7729">
      <w:pPr>
        <w:numPr>
          <w:ilvl w:val="1"/>
          <w:numId w:val="19"/>
        </w:numPr>
        <w:tabs>
          <w:tab w:val="clear" w:pos="284"/>
          <w:tab w:val="num" w:pos="851"/>
        </w:tabs>
        <w:suppressAutoHyphens/>
        <w:spacing w:line="260" w:lineRule="atLeast"/>
        <w:ind w:left="851"/>
        <w:rPr>
          <w:szCs w:val="22"/>
        </w:rPr>
      </w:pPr>
      <w:r w:rsidRPr="008D2CB3">
        <w:rPr>
          <w:szCs w:val="22"/>
        </w:rPr>
        <w:t>olyan vérképzőszervi betegség, ami belső vérzést idézhet elő (vérzés a szervezet bármelyik szövetében, szervében vagy ízületében)</w:t>
      </w:r>
    </w:p>
    <w:p w:rsidR="00122217" w:rsidRPr="008D2CB3" w:rsidRDefault="00122217" w:rsidP="001E7729">
      <w:pPr>
        <w:numPr>
          <w:ilvl w:val="1"/>
          <w:numId w:val="19"/>
        </w:numPr>
        <w:tabs>
          <w:tab w:val="clear" w:pos="284"/>
          <w:tab w:val="num" w:pos="851"/>
        </w:tabs>
        <w:suppressAutoHyphens/>
        <w:spacing w:line="260" w:lineRule="atLeast"/>
        <w:ind w:left="851"/>
        <w:rPr>
          <w:szCs w:val="22"/>
        </w:rPr>
      </w:pPr>
      <w:r w:rsidRPr="008D2CB3">
        <w:rPr>
          <w:szCs w:val="22"/>
        </w:rPr>
        <w:t>friss, súlyos sérülés</w:t>
      </w:r>
    </w:p>
    <w:p w:rsidR="00122217" w:rsidRPr="008D2CB3" w:rsidRDefault="00122217" w:rsidP="001E7729">
      <w:pPr>
        <w:numPr>
          <w:ilvl w:val="1"/>
          <w:numId w:val="19"/>
        </w:numPr>
        <w:tabs>
          <w:tab w:val="clear" w:pos="284"/>
          <w:tab w:val="num" w:pos="851"/>
        </w:tabs>
        <w:suppressAutoHyphens/>
        <w:spacing w:line="260" w:lineRule="atLeast"/>
        <w:ind w:left="851"/>
        <w:rPr>
          <w:szCs w:val="22"/>
        </w:rPr>
      </w:pPr>
      <w:r w:rsidRPr="008D2CB3">
        <w:rPr>
          <w:szCs w:val="22"/>
        </w:rPr>
        <w:t>friss sebészeti beavatkozás (fogászati is)</w:t>
      </w:r>
    </w:p>
    <w:p w:rsidR="00122217" w:rsidRPr="008D2CB3" w:rsidRDefault="00122217" w:rsidP="001E7729">
      <w:pPr>
        <w:numPr>
          <w:ilvl w:val="1"/>
          <w:numId w:val="19"/>
        </w:numPr>
        <w:tabs>
          <w:tab w:val="clear" w:pos="284"/>
          <w:tab w:val="num" w:pos="851"/>
        </w:tabs>
        <w:suppressAutoHyphens/>
        <w:spacing w:line="260" w:lineRule="atLeast"/>
        <w:ind w:left="851"/>
        <w:rPr>
          <w:szCs w:val="22"/>
        </w:rPr>
      </w:pPr>
      <w:r w:rsidRPr="008D2CB3">
        <w:rPr>
          <w:szCs w:val="22"/>
        </w:rPr>
        <w:t xml:space="preserve">a következő 7 napban tervezett sebészeti beavatkozás (fogászati is) </w:t>
      </w:r>
    </w:p>
    <w:p w:rsidR="006B191F" w:rsidRPr="008D2CB3" w:rsidRDefault="00B96BC9" w:rsidP="001E7729">
      <w:pPr>
        <w:numPr>
          <w:ilvl w:val="1"/>
          <w:numId w:val="17"/>
        </w:numPr>
        <w:tabs>
          <w:tab w:val="clear" w:pos="1440"/>
          <w:tab w:val="num" w:pos="567"/>
        </w:tabs>
        <w:suppressAutoHyphens/>
        <w:spacing w:line="260" w:lineRule="atLeast"/>
        <w:ind w:left="567" w:hanging="567"/>
        <w:rPr>
          <w:szCs w:val="22"/>
        </w:rPr>
      </w:pPr>
      <w:r w:rsidRPr="008D2CB3">
        <w:rPr>
          <w:szCs w:val="22"/>
        </w:rPr>
        <w:t>ha az elmúlt 7 napban az egyik agyi verőere elzáródott (vérkeringési zavar okozta szélütés)</w:t>
      </w:r>
    </w:p>
    <w:p w:rsidR="00122217" w:rsidRPr="008D2CB3" w:rsidRDefault="00122217" w:rsidP="001E7729">
      <w:pPr>
        <w:numPr>
          <w:ilvl w:val="1"/>
          <w:numId w:val="17"/>
        </w:numPr>
        <w:tabs>
          <w:tab w:val="clear" w:pos="1440"/>
          <w:tab w:val="num" w:pos="567"/>
        </w:tabs>
        <w:suppressAutoHyphens/>
        <w:spacing w:line="260" w:lineRule="atLeast"/>
        <w:ind w:left="567" w:hanging="567"/>
        <w:rPr>
          <w:szCs w:val="22"/>
        </w:rPr>
      </w:pPr>
      <w:r w:rsidRPr="008D2CB3">
        <w:rPr>
          <w:szCs w:val="22"/>
        </w:rPr>
        <w:t xml:space="preserve">ha vese- vagy májbetegsége van </w:t>
      </w:r>
    </w:p>
    <w:p w:rsidR="0021031D" w:rsidRDefault="0021031D" w:rsidP="0021031D">
      <w:pPr>
        <w:numPr>
          <w:ilvl w:val="1"/>
          <w:numId w:val="17"/>
        </w:numPr>
        <w:tabs>
          <w:tab w:val="clear" w:pos="1440"/>
          <w:tab w:val="num" w:pos="567"/>
        </w:tabs>
        <w:suppressAutoHyphens/>
        <w:spacing w:line="260" w:lineRule="atLeast"/>
        <w:ind w:left="567" w:hanging="567"/>
        <w:rPr>
          <w:szCs w:val="22"/>
        </w:rPr>
      </w:pPr>
      <w:r>
        <w:rPr>
          <w:szCs w:val="22"/>
        </w:rPr>
        <w:t>ha a betegsége kezelésére alkalmazott bármelyik gyógyszerre allergiája vagy allergiás reakciója volt</w:t>
      </w:r>
    </w:p>
    <w:p w:rsidR="0021031D" w:rsidRPr="004819E7" w:rsidRDefault="0021031D" w:rsidP="0021031D">
      <w:pPr>
        <w:numPr>
          <w:ilvl w:val="1"/>
          <w:numId w:val="17"/>
        </w:numPr>
        <w:tabs>
          <w:tab w:val="clear" w:pos="1440"/>
          <w:tab w:val="num" w:pos="567"/>
        </w:tabs>
        <w:suppressAutoHyphens/>
        <w:spacing w:line="260" w:lineRule="atLeast"/>
        <w:ind w:left="567" w:hanging="567"/>
        <w:rPr>
          <w:szCs w:val="22"/>
        </w:rPr>
      </w:pPr>
      <w:r>
        <w:rPr>
          <w:szCs w:val="22"/>
        </w:rPr>
        <w:t>ha korábban jelentkezett már Önnél nem fizikai behatás okozta (nem traumás eredetű) agyi vérzés.</w:t>
      </w:r>
    </w:p>
    <w:p w:rsidR="00122217" w:rsidRPr="008D2CB3" w:rsidRDefault="00122217" w:rsidP="001E7729">
      <w:pPr>
        <w:suppressAutoHyphens/>
        <w:spacing w:line="260" w:lineRule="atLeast"/>
        <w:rPr>
          <w:szCs w:val="22"/>
        </w:rPr>
      </w:pPr>
    </w:p>
    <w:p w:rsidR="00547C91" w:rsidRPr="008D2CB3" w:rsidRDefault="00547C91" w:rsidP="001E7729">
      <w:pPr>
        <w:suppressAutoHyphens/>
        <w:spacing w:line="260" w:lineRule="atLeast"/>
        <w:rPr>
          <w:szCs w:val="22"/>
        </w:rPr>
      </w:pPr>
      <w:r w:rsidRPr="008D2CB3">
        <w:rPr>
          <w:szCs w:val="22"/>
        </w:rPr>
        <w:t>A</w:t>
      </w:r>
      <w:r w:rsidR="009B10E4" w:rsidRPr="008D2CB3">
        <w:rPr>
          <w:szCs w:val="22"/>
        </w:rPr>
        <w:t>z Iscover</w:t>
      </w:r>
      <w:r w:rsidRPr="008D2CB3">
        <w:rPr>
          <w:szCs w:val="22"/>
        </w:rPr>
        <w:t>-kezelés alatt:</w:t>
      </w:r>
    </w:p>
    <w:p w:rsidR="00547C91" w:rsidRPr="008D2CB3" w:rsidRDefault="00547C91" w:rsidP="001E7729">
      <w:pPr>
        <w:numPr>
          <w:ilvl w:val="0"/>
          <w:numId w:val="19"/>
        </w:numPr>
        <w:tabs>
          <w:tab w:val="clear" w:pos="720"/>
          <w:tab w:val="num" w:pos="567"/>
        </w:tabs>
        <w:suppressAutoHyphens/>
        <w:spacing w:line="260" w:lineRule="atLeast"/>
        <w:ind w:left="567" w:hanging="567"/>
        <w:rPr>
          <w:szCs w:val="22"/>
        </w:rPr>
      </w:pPr>
      <w:r w:rsidRPr="008D2CB3">
        <w:rPr>
          <w:szCs w:val="22"/>
        </w:rPr>
        <w:t xml:space="preserve">Tájékoztassa kezelőorvosát, ha </w:t>
      </w:r>
      <w:r w:rsidR="00B96BC9" w:rsidRPr="008D2CB3">
        <w:rPr>
          <w:szCs w:val="22"/>
        </w:rPr>
        <w:t xml:space="preserve">Önnél </w:t>
      </w:r>
      <w:r w:rsidRPr="008D2CB3">
        <w:rPr>
          <w:szCs w:val="22"/>
        </w:rPr>
        <w:t>sebészeti beavatkozást terveznek (beleértve a fogászatit is).</w:t>
      </w:r>
    </w:p>
    <w:p w:rsidR="00547C91" w:rsidRPr="008D2CB3" w:rsidRDefault="00547C91" w:rsidP="001E7729">
      <w:pPr>
        <w:numPr>
          <w:ilvl w:val="0"/>
          <w:numId w:val="19"/>
        </w:numPr>
        <w:tabs>
          <w:tab w:val="clear" w:pos="720"/>
          <w:tab w:val="num" w:pos="567"/>
        </w:tabs>
        <w:suppressAutoHyphens/>
        <w:spacing w:line="260" w:lineRule="atLeast"/>
        <w:ind w:left="567" w:hanging="567"/>
        <w:rPr>
          <w:szCs w:val="22"/>
        </w:rPr>
      </w:pPr>
      <w:r w:rsidRPr="008D2CB3">
        <w:rPr>
          <w:szCs w:val="22"/>
        </w:rPr>
        <w:t>Azonnal jelezze kezelőorvosának, ha Önnél olyan tünetek jelentkeznének</w:t>
      </w:r>
      <w:r w:rsidR="00053CFD" w:rsidRPr="008D2CB3">
        <w:rPr>
          <w:szCs w:val="22"/>
        </w:rPr>
        <w:t xml:space="preserve"> (ez az ún. TTP vagy trombocitopéniás trombotikus purpura)</w:t>
      </w:r>
      <w:r w:rsidRPr="008D2CB3">
        <w:rPr>
          <w:szCs w:val="22"/>
        </w:rPr>
        <w:t>, mint a láz és a bőr</w:t>
      </w:r>
      <w:r w:rsidR="00B96BC9" w:rsidRPr="008D2CB3">
        <w:rPr>
          <w:szCs w:val="22"/>
        </w:rPr>
        <w:t>be</w:t>
      </w:r>
      <w:r w:rsidRPr="008D2CB3">
        <w:rPr>
          <w:szCs w:val="22"/>
        </w:rPr>
        <w:t>vérzés, mely a bőr alatt apró, piros, tűhegynyi pontok</w:t>
      </w:r>
      <w:r w:rsidR="00B96BC9" w:rsidRPr="008D2CB3">
        <w:rPr>
          <w:szCs w:val="22"/>
        </w:rPr>
        <w:t xml:space="preserve"> formájában</w:t>
      </w:r>
      <w:r w:rsidRPr="008D2CB3">
        <w:rPr>
          <w:szCs w:val="22"/>
        </w:rPr>
        <w:t xml:space="preserve"> jelentkezik, megmagyarázhatatlan, különleges fáradtsággal, zavartsággal és a bőr vagy szemek sárgás elszíneződésével (sárgaság)</w:t>
      </w:r>
      <w:r w:rsidR="00B96BC9" w:rsidRPr="008D2CB3">
        <w:rPr>
          <w:szCs w:val="22"/>
        </w:rPr>
        <w:t xml:space="preserve"> együtt</w:t>
      </w:r>
      <w:r w:rsidRPr="008D2CB3">
        <w:rPr>
          <w:szCs w:val="22"/>
        </w:rPr>
        <w:t>, vagy ezen tünetek nélkül is (lásd</w:t>
      </w:r>
      <w:r w:rsidR="00877E59" w:rsidRPr="008D2CB3">
        <w:rPr>
          <w:szCs w:val="22"/>
        </w:rPr>
        <w:t xml:space="preserve"> 4. pont</w:t>
      </w:r>
      <w:r w:rsidRPr="008D2CB3">
        <w:rPr>
          <w:szCs w:val="22"/>
        </w:rPr>
        <w:t xml:space="preserve"> „L</w:t>
      </w:r>
      <w:r w:rsidR="005C2B53">
        <w:rPr>
          <w:szCs w:val="22"/>
        </w:rPr>
        <w:t>ehetséges</w:t>
      </w:r>
      <w:r w:rsidR="001B3544">
        <w:rPr>
          <w:szCs w:val="22"/>
        </w:rPr>
        <w:t xml:space="preserve"> </w:t>
      </w:r>
      <w:r w:rsidR="005C2B53">
        <w:rPr>
          <w:szCs w:val="22"/>
        </w:rPr>
        <w:t>mellékhatások</w:t>
      </w:r>
      <w:r w:rsidRPr="008D2CB3">
        <w:rPr>
          <w:szCs w:val="22"/>
        </w:rPr>
        <w:t>”).</w:t>
      </w:r>
    </w:p>
    <w:p w:rsidR="0051191B" w:rsidRPr="008D2CB3" w:rsidRDefault="0051191B" w:rsidP="001E7729">
      <w:pPr>
        <w:numPr>
          <w:ilvl w:val="0"/>
          <w:numId w:val="19"/>
        </w:numPr>
        <w:tabs>
          <w:tab w:val="clear" w:pos="720"/>
          <w:tab w:val="num" w:pos="567"/>
        </w:tabs>
        <w:spacing w:line="260" w:lineRule="atLeast"/>
        <w:ind w:left="567" w:right="-29" w:hanging="567"/>
        <w:rPr>
          <w:b/>
          <w:szCs w:val="22"/>
        </w:rPr>
      </w:pPr>
      <w:r w:rsidRPr="008D2CB3">
        <w:rPr>
          <w:szCs w:val="22"/>
        </w:rPr>
        <w:t>Ha megvágja magát vagy megsérül, a szokásosnál kicsit hosszabb ideig tarthat</w:t>
      </w:r>
      <w:r w:rsidR="00B96BC9" w:rsidRPr="008D2CB3">
        <w:rPr>
          <w:szCs w:val="22"/>
        </w:rPr>
        <w:t>, hogy</w:t>
      </w:r>
      <w:r w:rsidRPr="008D2CB3">
        <w:rPr>
          <w:szCs w:val="22"/>
        </w:rPr>
        <w:t xml:space="preserve"> a vérzés eláll</w:t>
      </w:r>
      <w:r w:rsidR="00B96BC9" w:rsidRPr="008D2CB3">
        <w:rPr>
          <w:szCs w:val="22"/>
        </w:rPr>
        <w:t>jon</w:t>
      </w:r>
      <w:r w:rsidRPr="008D2CB3">
        <w:rPr>
          <w:szCs w:val="22"/>
        </w:rPr>
        <w:t>. Ez a gyógyszer hatásával</w:t>
      </w:r>
      <w:r w:rsidR="00B96BC9" w:rsidRPr="008D2CB3">
        <w:rPr>
          <w:szCs w:val="22"/>
        </w:rPr>
        <w:t xml:space="preserve"> függ össze</w:t>
      </w:r>
      <w:r w:rsidRPr="008D2CB3">
        <w:rPr>
          <w:szCs w:val="22"/>
        </w:rPr>
        <w:t xml:space="preserve">, </w:t>
      </w:r>
      <w:r w:rsidR="0061139B" w:rsidRPr="008D2CB3">
        <w:rPr>
          <w:szCs w:val="22"/>
        </w:rPr>
        <w:t xml:space="preserve">mert az </w:t>
      </w:r>
      <w:r w:rsidRPr="008D2CB3">
        <w:rPr>
          <w:szCs w:val="22"/>
        </w:rPr>
        <w:t xml:space="preserve">gátolja a vérrögök kialakulását. Kisebb vágások, sérülések esetén, pl. megvágja magát valamivel, akár borotválkozás közben is, ennek nincs különösebb jelentősége. Ugyanakkor, ha </w:t>
      </w:r>
      <w:r w:rsidR="0061139B" w:rsidRPr="008D2CB3">
        <w:rPr>
          <w:szCs w:val="22"/>
        </w:rPr>
        <w:t xml:space="preserve">vérzése </w:t>
      </w:r>
      <w:r w:rsidR="00FA2675" w:rsidRPr="008D2CB3">
        <w:rPr>
          <w:szCs w:val="22"/>
        </w:rPr>
        <w:t xml:space="preserve">miatt aggódik, </w:t>
      </w:r>
      <w:r w:rsidRPr="008D2CB3">
        <w:rPr>
          <w:szCs w:val="22"/>
        </w:rPr>
        <w:t xml:space="preserve">azonnal keresse fel kezelőorvosát (lásd </w:t>
      </w:r>
      <w:r w:rsidR="00877E59" w:rsidRPr="008D2CB3">
        <w:rPr>
          <w:szCs w:val="22"/>
        </w:rPr>
        <w:t xml:space="preserve">4. pont </w:t>
      </w:r>
      <w:r w:rsidRPr="008D2CB3">
        <w:rPr>
          <w:szCs w:val="22"/>
        </w:rPr>
        <w:t>„L</w:t>
      </w:r>
      <w:r w:rsidR="005C2B53">
        <w:rPr>
          <w:szCs w:val="22"/>
        </w:rPr>
        <w:t>ehetséges</w:t>
      </w:r>
      <w:r w:rsidR="001B3544">
        <w:rPr>
          <w:szCs w:val="22"/>
        </w:rPr>
        <w:t xml:space="preserve"> </w:t>
      </w:r>
      <w:r w:rsidR="005C2B53">
        <w:rPr>
          <w:szCs w:val="22"/>
        </w:rPr>
        <w:t>mellékhatások</w:t>
      </w:r>
      <w:r w:rsidRPr="008D2CB3">
        <w:rPr>
          <w:szCs w:val="22"/>
        </w:rPr>
        <w:t>”).</w:t>
      </w:r>
    </w:p>
    <w:p w:rsidR="00547C91" w:rsidRPr="008D2CB3" w:rsidRDefault="00547C91" w:rsidP="001E7729">
      <w:pPr>
        <w:numPr>
          <w:ilvl w:val="0"/>
          <w:numId w:val="19"/>
        </w:numPr>
        <w:tabs>
          <w:tab w:val="clear" w:pos="720"/>
          <w:tab w:val="num" w:pos="567"/>
        </w:tabs>
        <w:suppressAutoHyphens/>
        <w:spacing w:line="260" w:lineRule="atLeast"/>
        <w:ind w:left="567" w:hanging="567"/>
        <w:rPr>
          <w:szCs w:val="22"/>
        </w:rPr>
      </w:pPr>
      <w:r w:rsidRPr="008D2CB3">
        <w:rPr>
          <w:szCs w:val="22"/>
        </w:rPr>
        <w:t>Kezelőorvosa vérvizsgálatot rendelhet el.</w:t>
      </w:r>
    </w:p>
    <w:p w:rsidR="00547C91" w:rsidRPr="008D2CB3" w:rsidRDefault="00547C91" w:rsidP="001E7729">
      <w:pPr>
        <w:suppressAutoHyphens/>
        <w:spacing w:line="260" w:lineRule="atLeast"/>
        <w:rPr>
          <w:szCs w:val="22"/>
        </w:rPr>
      </w:pPr>
    </w:p>
    <w:p w:rsidR="005C2B53" w:rsidRPr="002A1B59" w:rsidRDefault="005C2B53" w:rsidP="001E7729">
      <w:pPr>
        <w:ind w:right="-2"/>
        <w:rPr>
          <w:b/>
          <w:noProof/>
          <w:szCs w:val="24"/>
          <w:lang w:val="fr-BE"/>
        </w:rPr>
      </w:pPr>
      <w:r w:rsidRPr="002A1B59">
        <w:rPr>
          <w:b/>
          <w:noProof/>
          <w:szCs w:val="24"/>
          <w:lang w:val="fr-BE"/>
        </w:rPr>
        <w:t>Gyermekek és serdülők</w:t>
      </w:r>
    </w:p>
    <w:p w:rsidR="00122217" w:rsidRPr="008D2CB3" w:rsidRDefault="00CA0F29" w:rsidP="001E7729">
      <w:pPr>
        <w:suppressAutoHyphens/>
        <w:spacing w:line="260" w:lineRule="atLeast"/>
        <w:rPr>
          <w:szCs w:val="22"/>
        </w:rPr>
      </w:pPr>
      <w:r>
        <w:rPr>
          <w:bCs/>
          <w:color w:val="222222"/>
          <w:szCs w:val="22"/>
          <w:shd w:val="clear" w:color="auto" w:fill="FFFFFF"/>
        </w:rPr>
        <w:t>Ne adja ezt a</w:t>
      </w:r>
      <w:r w:rsidR="005C2B53" w:rsidRPr="009233FD">
        <w:rPr>
          <w:bCs/>
          <w:color w:val="222222"/>
          <w:szCs w:val="22"/>
          <w:shd w:val="clear" w:color="auto" w:fill="FFFFFF"/>
        </w:rPr>
        <w:t xml:space="preserve"> gyógyszer</w:t>
      </w:r>
      <w:r>
        <w:rPr>
          <w:bCs/>
          <w:color w:val="222222"/>
          <w:szCs w:val="22"/>
          <w:shd w:val="clear" w:color="auto" w:fill="FFFFFF"/>
        </w:rPr>
        <w:t>t</w:t>
      </w:r>
      <w:r w:rsidR="005C2B53" w:rsidRPr="009233FD">
        <w:rPr>
          <w:bCs/>
          <w:color w:val="222222"/>
          <w:szCs w:val="22"/>
          <w:shd w:val="clear" w:color="auto" w:fill="FFFFFF"/>
        </w:rPr>
        <w:t xml:space="preserve"> gyermekeknek, mert nem hat</w:t>
      </w:r>
      <w:r w:rsidR="00122217" w:rsidRPr="008D2CB3">
        <w:rPr>
          <w:szCs w:val="22"/>
        </w:rPr>
        <w:t xml:space="preserve">. </w:t>
      </w:r>
    </w:p>
    <w:p w:rsidR="00122217" w:rsidRPr="008D2CB3" w:rsidRDefault="00122217" w:rsidP="001E7729">
      <w:pPr>
        <w:spacing w:line="260" w:lineRule="atLeast"/>
        <w:ind w:right="-2"/>
        <w:rPr>
          <w:szCs w:val="22"/>
        </w:rPr>
      </w:pPr>
    </w:p>
    <w:p w:rsidR="00122217" w:rsidRPr="008D2CB3" w:rsidRDefault="005C2B53" w:rsidP="001E7729">
      <w:pPr>
        <w:spacing w:line="260" w:lineRule="atLeast"/>
        <w:ind w:right="-2"/>
        <w:rPr>
          <w:b/>
          <w:noProof/>
        </w:rPr>
      </w:pPr>
      <w:r>
        <w:rPr>
          <w:b/>
          <w:noProof/>
          <w:szCs w:val="22"/>
        </w:rPr>
        <w:t>E</w:t>
      </w:r>
      <w:r w:rsidR="00122217" w:rsidRPr="008D2CB3">
        <w:rPr>
          <w:b/>
          <w:noProof/>
          <w:szCs w:val="22"/>
        </w:rPr>
        <w:t>gyéb gyógyszerek</w:t>
      </w:r>
      <w:r>
        <w:rPr>
          <w:b/>
          <w:noProof/>
          <w:szCs w:val="22"/>
        </w:rPr>
        <w:t xml:space="preserve"> és az Iscover</w:t>
      </w:r>
    </w:p>
    <w:p w:rsidR="00122217" w:rsidRPr="008D2CB3" w:rsidRDefault="00122217" w:rsidP="001E7729">
      <w:pPr>
        <w:rPr>
          <w:szCs w:val="22"/>
        </w:rPr>
      </w:pPr>
      <w:r w:rsidRPr="008D2CB3">
        <w:rPr>
          <w:szCs w:val="22"/>
        </w:rPr>
        <w:t>Feltétlenül tájékoztassa kezelőorvosát vagy gyógyszerészét a jelenleg vagy nemrégiben szedett</w:t>
      </w:r>
      <w:r w:rsidR="005C2B53">
        <w:rPr>
          <w:szCs w:val="22"/>
        </w:rPr>
        <w:t xml:space="preserve">, valamint </w:t>
      </w:r>
      <w:r w:rsidR="00CA0F29">
        <w:rPr>
          <w:szCs w:val="22"/>
        </w:rPr>
        <w:t>szedni</w:t>
      </w:r>
      <w:r w:rsidR="005C2B53">
        <w:rPr>
          <w:szCs w:val="22"/>
        </w:rPr>
        <w:t xml:space="preserve"> tervezett</w:t>
      </w:r>
      <w:r w:rsidRPr="008D2CB3">
        <w:rPr>
          <w:szCs w:val="22"/>
        </w:rPr>
        <w:t xml:space="preserve"> egyéb gyógyszereiről, beleértve a vény nélkül kapható készítményeket is. </w:t>
      </w:r>
    </w:p>
    <w:p w:rsidR="00122217" w:rsidRPr="008D2CB3" w:rsidRDefault="005E2BDC" w:rsidP="001E7729">
      <w:pPr>
        <w:rPr>
          <w:szCs w:val="22"/>
        </w:rPr>
      </w:pPr>
      <w:r w:rsidRPr="008D2CB3">
        <w:rPr>
          <w:szCs w:val="22"/>
        </w:rPr>
        <w:t>Néhány gyógyszer befolyásolhatja a</w:t>
      </w:r>
      <w:r w:rsidR="009B10E4" w:rsidRPr="008D2CB3">
        <w:rPr>
          <w:szCs w:val="22"/>
        </w:rPr>
        <w:t>z Iscover</w:t>
      </w:r>
      <w:r w:rsidRPr="008D2CB3">
        <w:rPr>
          <w:szCs w:val="22"/>
        </w:rPr>
        <w:t xml:space="preserve"> </w:t>
      </w:r>
      <w:r w:rsidR="0061139B" w:rsidRPr="008D2CB3">
        <w:rPr>
          <w:szCs w:val="22"/>
        </w:rPr>
        <w:t>alkalmazását,</w:t>
      </w:r>
      <w:r w:rsidRPr="008D2CB3">
        <w:rPr>
          <w:szCs w:val="22"/>
        </w:rPr>
        <w:t xml:space="preserve"> és fordítva.</w:t>
      </w:r>
    </w:p>
    <w:p w:rsidR="005E2BDC" w:rsidRPr="008D2CB3" w:rsidRDefault="005E2BDC" w:rsidP="001E7729">
      <w:pPr>
        <w:rPr>
          <w:szCs w:val="22"/>
        </w:rPr>
      </w:pPr>
    </w:p>
    <w:p w:rsidR="005E2BDC" w:rsidRDefault="00122217" w:rsidP="001E7729">
      <w:pPr>
        <w:spacing w:line="260" w:lineRule="atLeast"/>
        <w:ind w:right="-2"/>
        <w:rPr>
          <w:szCs w:val="22"/>
        </w:rPr>
      </w:pPr>
      <w:r w:rsidRPr="008D2CB3">
        <w:rPr>
          <w:szCs w:val="22"/>
        </w:rPr>
        <w:t xml:space="preserve">Mindenképpen tájékoztatnia kell </w:t>
      </w:r>
      <w:r w:rsidR="00D22C8F">
        <w:rPr>
          <w:szCs w:val="22"/>
        </w:rPr>
        <w:t>kezelő</w:t>
      </w:r>
      <w:r w:rsidRPr="008D2CB3">
        <w:rPr>
          <w:szCs w:val="22"/>
        </w:rPr>
        <w:t xml:space="preserve">orvosát, ha </w:t>
      </w:r>
      <w:r w:rsidR="005E2BDC" w:rsidRPr="008D2CB3">
        <w:rPr>
          <w:szCs w:val="22"/>
        </w:rPr>
        <w:t>az alábbi gyógyszereket alkalmazza:</w:t>
      </w:r>
    </w:p>
    <w:p w:rsidR="00AB7FB6" w:rsidRPr="00BD1325" w:rsidRDefault="00AB7FB6" w:rsidP="001E7729">
      <w:pPr>
        <w:pStyle w:val="ListBullet2"/>
        <w:numPr>
          <w:ilvl w:val="0"/>
          <w:numId w:val="53"/>
        </w:numPr>
        <w:spacing w:line="260" w:lineRule="atLeast"/>
        <w:ind w:left="567" w:hanging="501"/>
        <w:contextualSpacing w:val="0"/>
      </w:pPr>
      <w:r w:rsidRPr="00BD1325">
        <w:t>olyan gyógyszereket, melyek növelik a vérzés kockázatát, mint</w:t>
      </w:r>
      <w:r>
        <w:t xml:space="preserve"> például</w:t>
      </w:r>
      <w:r w:rsidRPr="00BD1325">
        <w:t>:</w:t>
      </w:r>
    </w:p>
    <w:p w:rsidR="00D2151A" w:rsidRPr="008D2CB3" w:rsidRDefault="00D2151A" w:rsidP="001E7729">
      <w:pPr>
        <w:numPr>
          <w:ilvl w:val="0"/>
          <w:numId w:val="58"/>
        </w:numPr>
        <w:tabs>
          <w:tab w:val="clear" w:pos="284"/>
          <w:tab w:val="num" w:pos="1134"/>
        </w:tabs>
        <w:spacing w:line="260" w:lineRule="atLeast"/>
        <w:ind w:left="1134" w:right="-2" w:hanging="567"/>
        <w:rPr>
          <w:szCs w:val="22"/>
        </w:rPr>
      </w:pPr>
      <w:r w:rsidRPr="008D2CB3">
        <w:rPr>
          <w:szCs w:val="22"/>
        </w:rPr>
        <w:t>s</w:t>
      </w:r>
      <w:r w:rsidR="005E2BDC" w:rsidRPr="008D2CB3">
        <w:rPr>
          <w:szCs w:val="22"/>
        </w:rPr>
        <w:t>zájon át szedhető véralvadásgátló</w:t>
      </w:r>
      <w:r w:rsidRPr="008D2CB3">
        <w:rPr>
          <w:szCs w:val="22"/>
        </w:rPr>
        <w:t xml:space="preserve"> (antikoaguláns)</w:t>
      </w:r>
      <w:r w:rsidR="005E2BDC" w:rsidRPr="008D2CB3">
        <w:rPr>
          <w:szCs w:val="22"/>
        </w:rPr>
        <w:t xml:space="preserve">, </w:t>
      </w:r>
      <w:r w:rsidRPr="008D2CB3">
        <w:rPr>
          <w:szCs w:val="22"/>
        </w:rPr>
        <w:t>vagyis olyan gyógyszer, amely a vérrögképződést akadályozza,</w:t>
      </w:r>
    </w:p>
    <w:p w:rsidR="00D2151A" w:rsidRPr="008D2CB3" w:rsidRDefault="00122217" w:rsidP="001E7729">
      <w:pPr>
        <w:numPr>
          <w:ilvl w:val="0"/>
          <w:numId w:val="58"/>
        </w:numPr>
        <w:tabs>
          <w:tab w:val="clear" w:pos="284"/>
          <w:tab w:val="num" w:pos="1134"/>
        </w:tabs>
        <w:spacing w:line="260" w:lineRule="atLeast"/>
        <w:ind w:left="1134" w:right="-2" w:hanging="567"/>
        <w:rPr>
          <w:szCs w:val="22"/>
        </w:rPr>
      </w:pPr>
      <w:r w:rsidRPr="008D2CB3">
        <w:rPr>
          <w:szCs w:val="22"/>
        </w:rPr>
        <w:t>nem</w:t>
      </w:r>
      <w:r w:rsidR="0025079B">
        <w:rPr>
          <w:szCs w:val="22"/>
        </w:rPr>
        <w:noBreakHyphen/>
      </w:r>
      <w:r w:rsidRPr="008D2CB3">
        <w:rPr>
          <w:szCs w:val="22"/>
        </w:rPr>
        <w:t>szteroid gyulladáscsökkentő gyógyszer, amit az izmok vagy ízületek fájdalmas és/vagy gyulladásos állapotainak kezelésére használnak,</w:t>
      </w:r>
    </w:p>
    <w:p w:rsidR="00D2151A" w:rsidRDefault="00122217" w:rsidP="001E7729">
      <w:pPr>
        <w:numPr>
          <w:ilvl w:val="0"/>
          <w:numId w:val="58"/>
        </w:numPr>
        <w:tabs>
          <w:tab w:val="clear" w:pos="284"/>
          <w:tab w:val="num" w:pos="1134"/>
        </w:tabs>
        <w:spacing w:line="260" w:lineRule="atLeast"/>
        <w:ind w:left="1134" w:right="-2" w:hanging="567"/>
        <w:rPr>
          <w:szCs w:val="22"/>
        </w:rPr>
      </w:pPr>
      <w:r w:rsidRPr="008D2CB3">
        <w:rPr>
          <w:szCs w:val="22"/>
        </w:rPr>
        <w:t>heparin</w:t>
      </w:r>
      <w:r w:rsidR="00547C91" w:rsidRPr="008D2CB3">
        <w:rPr>
          <w:szCs w:val="22"/>
        </w:rPr>
        <w:t xml:space="preserve">, vagy </w:t>
      </w:r>
      <w:r w:rsidR="00D2151A" w:rsidRPr="008D2CB3">
        <w:rPr>
          <w:szCs w:val="22"/>
        </w:rPr>
        <w:t xml:space="preserve">bármely </w:t>
      </w:r>
      <w:r w:rsidR="00547C91" w:rsidRPr="008D2CB3">
        <w:rPr>
          <w:szCs w:val="22"/>
        </w:rPr>
        <w:t>egyéb</w:t>
      </w:r>
      <w:r w:rsidRPr="008D2CB3">
        <w:rPr>
          <w:szCs w:val="22"/>
        </w:rPr>
        <w:t xml:space="preserve"> </w:t>
      </w:r>
      <w:r w:rsidR="00076ED2" w:rsidRPr="008D2CB3">
        <w:rPr>
          <w:szCs w:val="22"/>
        </w:rPr>
        <w:t xml:space="preserve">injekciós </w:t>
      </w:r>
      <w:r w:rsidRPr="008D2CB3">
        <w:rPr>
          <w:szCs w:val="22"/>
        </w:rPr>
        <w:t>véralvadásgátló gyógyszer</w:t>
      </w:r>
      <w:r w:rsidR="00D2151A" w:rsidRPr="008D2CB3">
        <w:rPr>
          <w:szCs w:val="22"/>
        </w:rPr>
        <w:t>,</w:t>
      </w:r>
    </w:p>
    <w:p w:rsidR="006A0AEB" w:rsidRDefault="006A0AEB" w:rsidP="001E7729">
      <w:pPr>
        <w:numPr>
          <w:ilvl w:val="0"/>
          <w:numId w:val="58"/>
        </w:numPr>
        <w:tabs>
          <w:tab w:val="clear" w:pos="284"/>
          <w:tab w:val="num" w:pos="1134"/>
        </w:tabs>
        <w:spacing w:line="260" w:lineRule="atLeast"/>
        <w:ind w:left="1134" w:hanging="567"/>
        <w:rPr>
          <w:szCs w:val="22"/>
        </w:rPr>
      </w:pPr>
      <w:r>
        <w:rPr>
          <w:szCs w:val="22"/>
        </w:rPr>
        <w:t>tiklopidin, a vérlemezkék összecsapódása ellen ható gyógyszer</w:t>
      </w:r>
      <w:r w:rsidR="007C2C3D">
        <w:rPr>
          <w:szCs w:val="22"/>
        </w:rPr>
        <w:t>,</w:t>
      </w:r>
    </w:p>
    <w:p w:rsidR="00827375" w:rsidRDefault="006A0AEB" w:rsidP="001E7729">
      <w:pPr>
        <w:numPr>
          <w:ilvl w:val="0"/>
          <w:numId w:val="58"/>
        </w:numPr>
        <w:tabs>
          <w:tab w:val="clear" w:pos="284"/>
          <w:tab w:val="num" w:pos="1134"/>
        </w:tabs>
        <w:spacing w:line="260" w:lineRule="atLeast"/>
        <w:ind w:left="1134" w:right="-2" w:hanging="567"/>
        <w:rPr>
          <w:szCs w:val="22"/>
        </w:rPr>
      </w:pPr>
      <w:r w:rsidRPr="006A0AEB">
        <w:rPr>
          <w:szCs w:val="22"/>
        </w:rPr>
        <w:t>szelektív szerotoninvisszavétel</w:t>
      </w:r>
      <w:r w:rsidR="0025079B">
        <w:rPr>
          <w:szCs w:val="22"/>
        </w:rPr>
        <w:noBreakHyphen/>
      </w:r>
      <w:r w:rsidRPr="006A0AEB">
        <w:rPr>
          <w:szCs w:val="22"/>
        </w:rPr>
        <w:t>gátló</w:t>
      </w:r>
      <w:r w:rsidRPr="006B73DC">
        <w:rPr>
          <w:szCs w:val="22"/>
        </w:rPr>
        <w:t xml:space="preserve"> gyógyszerek (</w:t>
      </w:r>
      <w:r w:rsidRPr="00F612CB">
        <w:rPr>
          <w:szCs w:val="22"/>
        </w:rPr>
        <w:t>a teljesség igénye nélkül például a fluoxetin vagy fluvoxamin), am</w:t>
      </w:r>
      <w:r w:rsidRPr="00C6097F">
        <w:rPr>
          <w:szCs w:val="22"/>
        </w:rPr>
        <w:t xml:space="preserve">iket </w:t>
      </w:r>
      <w:r w:rsidRPr="00056D51">
        <w:rPr>
          <w:szCs w:val="22"/>
        </w:rPr>
        <w:t>általában a depresszió kezelésére alkalmaznak</w:t>
      </w:r>
      <w:r w:rsidR="00827375">
        <w:rPr>
          <w:szCs w:val="22"/>
        </w:rPr>
        <w:t>,</w:t>
      </w:r>
    </w:p>
    <w:p w:rsidR="006A0AEB" w:rsidRPr="00736266" w:rsidRDefault="00827375" w:rsidP="001E7729">
      <w:pPr>
        <w:numPr>
          <w:ilvl w:val="0"/>
          <w:numId w:val="58"/>
        </w:numPr>
        <w:tabs>
          <w:tab w:val="clear" w:pos="284"/>
          <w:tab w:val="num" w:pos="1134"/>
        </w:tabs>
        <w:spacing w:line="260" w:lineRule="atLeast"/>
        <w:ind w:left="1134" w:right="-2" w:hanging="567"/>
        <w:rPr>
          <w:szCs w:val="22"/>
        </w:rPr>
      </w:pPr>
      <w:r>
        <w:rPr>
          <w:szCs w:val="22"/>
        </w:rPr>
        <w:t>rifampicin (súlyos fertőzések kezelésére)</w:t>
      </w:r>
      <w:r w:rsidR="007C2C3D">
        <w:rPr>
          <w:szCs w:val="22"/>
        </w:rPr>
        <w:t>.</w:t>
      </w:r>
    </w:p>
    <w:p w:rsidR="00122217" w:rsidRPr="008D2CB3" w:rsidRDefault="00AF2DAA" w:rsidP="001E7729">
      <w:pPr>
        <w:numPr>
          <w:ilvl w:val="0"/>
          <w:numId w:val="36"/>
        </w:numPr>
        <w:tabs>
          <w:tab w:val="clear" w:pos="284"/>
          <w:tab w:val="num" w:pos="567"/>
        </w:tabs>
        <w:spacing w:line="260" w:lineRule="atLeast"/>
        <w:ind w:left="567" w:right="-2" w:hanging="567"/>
        <w:rPr>
          <w:szCs w:val="22"/>
        </w:rPr>
      </w:pPr>
      <w:r w:rsidRPr="008D2CB3">
        <w:rPr>
          <w:szCs w:val="22"/>
        </w:rPr>
        <w:t>gyomorpanaszainak kezelésére omeprazolt</w:t>
      </w:r>
      <w:r w:rsidR="00716247">
        <w:rPr>
          <w:szCs w:val="22"/>
        </w:rPr>
        <w:t xml:space="preserve"> vagy</w:t>
      </w:r>
      <w:r w:rsidRPr="008D2CB3">
        <w:rPr>
          <w:szCs w:val="22"/>
        </w:rPr>
        <w:t xml:space="preserve"> ezomeprazolt szed</w:t>
      </w:r>
      <w:r w:rsidR="008F70CF" w:rsidRPr="008D2CB3">
        <w:rPr>
          <w:szCs w:val="22"/>
        </w:rPr>
        <w:t>,</w:t>
      </w:r>
    </w:p>
    <w:p w:rsidR="008F70CF" w:rsidRDefault="008F70CF" w:rsidP="001E7729">
      <w:pPr>
        <w:numPr>
          <w:ilvl w:val="0"/>
          <w:numId w:val="36"/>
        </w:numPr>
        <w:tabs>
          <w:tab w:val="clear" w:pos="284"/>
          <w:tab w:val="num" w:pos="567"/>
        </w:tabs>
        <w:spacing w:line="260" w:lineRule="atLeast"/>
        <w:ind w:left="567" w:right="-2" w:hanging="567"/>
        <w:rPr>
          <w:szCs w:val="22"/>
        </w:rPr>
      </w:pPr>
      <w:r w:rsidRPr="008D2CB3">
        <w:rPr>
          <w:szCs w:val="22"/>
        </w:rPr>
        <w:t>flukonazolt</w:t>
      </w:r>
      <w:r w:rsidR="00716247">
        <w:rPr>
          <w:szCs w:val="22"/>
        </w:rPr>
        <w:t xml:space="preserve"> vagy</w:t>
      </w:r>
      <w:r w:rsidRPr="008D2CB3">
        <w:rPr>
          <w:szCs w:val="22"/>
        </w:rPr>
        <w:t xml:space="preserve"> vorikonazolt kap gombás fertőzés</w:t>
      </w:r>
      <w:r w:rsidR="00716247">
        <w:rPr>
          <w:szCs w:val="22"/>
        </w:rPr>
        <w:t>ek</w:t>
      </w:r>
      <w:r w:rsidRPr="008D2CB3">
        <w:rPr>
          <w:szCs w:val="22"/>
        </w:rPr>
        <w:t xml:space="preserve"> kezelésére,</w:t>
      </w:r>
    </w:p>
    <w:p w:rsidR="00716247" w:rsidRPr="00716247" w:rsidRDefault="00716247" w:rsidP="001E7729">
      <w:pPr>
        <w:pStyle w:val="ListBullet2"/>
        <w:numPr>
          <w:ilvl w:val="0"/>
          <w:numId w:val="36"/>
        </w:numPr>
        <w:tabs>
          <w:tab w:val="clear" w:pos="284"/>
          <w:tab w:val="num" w:pos="567"/>
        </w:tabs>
        <w:spacing w:line="260" w:lineRule="atLeast"/>
        <w:ind w:left="567" w:right="-2" w:hanging="567"/>
        <w:rPr>
          <w:szCs w:val="22"/>
        </w:rPr>
      </w:pPr>
      <w:r w:rsidRPr="007C20A6">
        <w:t xml:space="preserve">efavirenzet </w:t>
      </w:r>
      <w:r w:rsidR="00273324">
        <w:t>vagy egyéb, retrovírus</w:t>
      </w:r>
      <w:r w:rsidR="00273324">
        <w:noBreakHyphen/>
        <w:t xml:space="preserve">ellenes gyógyszereket </w:t>
      </w:r>
      <w:r w:rsidR="00273324" w:rsidRPr="00075D92">
        <w:t xml:space="preserve">kap </w:t>
      </w:r>
      <w:r w:rsidR="00273324">
        <w:t>[</w:t>
      </w:r>
      <w:r w:rsidR="00273324" w:rsidRPr="00075D92">
        <w:t>HIV (emberi immunhiány-előidéző vírus) fertőzés kezelésére</w:t>
      </w:r>
      <w:r w:rsidR="00273324">
        <w:t>]</w:t>
      </w:r>
      <w:r w:rsidR="00273324" w:rsidRPr="00075D92">
        <w:t>,</w:t>
      </w:r>
    </w:p>
    <w:p w:rsidR="00D964C1" w:rsidRPr="008D2CB3" w:rsidRDefault="00D964C1" w:rsidP="001E7729">
      <w:pPr>
        <w:numPr>
          <w:ilvl w:val="0"/>
          <w:numId w:val="36"/>
        </w:numPr>
        <w:tabs>
          <w:tab w:val="clear" w:pos="284"/>
          <w:tab w:val="num" w:pos="567"/>
        </w:tabs>
        <w:spacing w:line="260" w:lineRule="atLeast"/>
        <w:ind w:left="567" w:right="-2" w:hanging="567"/>
        <w:rPr>
          <w:szCs w:val="22"/>
        </w:rPr>
      </w:pPr>
      <w:r w:rsidRPr="008D2CB3">
        <w:rPr>
          <w:szCs w:val="22"/>
        </w:rPr>
        <w:t>karbamazepint kap az epilepszia bizonyos formájának a kezelésére</w:t>
      </w:r>
      <w:r w:rsidR="00705F72">
        <w:rPr>
          <w:szCs w:val="22"/>
        </w:rPr>
        <w:t>,</w:t>
      </w:r>
    </w:p>
    <w:p w:rsidR="008D35D5" w:rsidRPr="001E1EB2" w:rsidRDefault="008D35D5" w:rsidP="001E7729">
      <w:pPr>
        <w:pStyle w:val="ListBullet2"/>
        <w:numPr>
          <w:ilvl w:val="0"/>
          <w:numId w:val="52"/>
        </w:numPr>
        <w:ind w:left="567" w:hanging="567"/>
        <w:rPr>
          <w:szCs w:val="22"/>
        </w:rPr>
      </w:pPr>
      <w:r w:rsidRPr="001E1EB2">
        <w:t>moklobemidet, a depressz</w:t>
      </w:r>
      <w:r w:rsidR="002A3475" w:rsidRPr="001E1EB2">
        <w:t>i</w:t>
      </w:r>
      <w:r w:rsidRPr="001E1EB2">
        <w:t>ó kezelésére használatos gyógyszert kap</w:t>
      </w:r>
      <w:r w:rsidR="00705F72">
        <w:t>,</w:t>
      </w:r>
      <w:r w:rsidRPr="001E1EB2">
        <w:t xml:space="preserve"> </w:t>
      </w:r>
    </w:p>
    <w:p w:rsidR="00F612CB" w:rsidRPr="00D7175A" w:rsidRDefault="00F612CB" w:rsidP="001E7729">
      <w:pPr>
        <w:pStyle w:val="ListBullet2"/>
        <w:numPr>
          <w:ilvl w:val="0"/>
          <w:numId w:val="52"/>
        </w:numPr>
        <w:spacing w:line="260" w:lineRule="atLeast"/>
        <w:ind w:left="567" w:hanging="567"/>
        <w:contextualSpacing w:val="0"/>
        <w:rPr>
          <w:szCs w:val="22"/>
        </w:rPr>
      </w:pPr>
      <w:r>
        <w:t>cukorbetegség kezelésére repaglinidet szed,</w:t>
      </w:r>
    </w:p>
    <w:p w:rsidR="00705F72" w:rsidRPr="00705F72" w:rsidRDefault="00F612CB" w:rsidP="001E7729">
      <w:pPr>
        <w:pStyle w:val="ListBullet2"/>
        <w:numPr>
          <w:ilvl w:val="0"/>
          <w:numId w:val="52"/>
        </w:numPr>
        <w:spacing w:line="260" w:lineRule="atLeast"/>
        <w:ind w:left="567" w:hanging="567"/>
        <w:contextualSpacing w:val="0"/>
        <w:rPr>
          <w:szCs w:val="22"/>
        </w:rPr>
      </w:pPr>
      <w:r>
        <w:t>daganatos betegség kezelésére paklitaxel kezelést kap</w:t>
      </w:r>
      <w:r w:rsidR="00705F72">
        <w:t>,</w:t>
      </w:r>
    </w:p>
    <w:p w:rsidR="00F612CB" w:rsidRPr="00270B86" w:rsidRDefault="00705F72" w:rsidP="001E7729">
      <w:pPr>
        <w:pStyle w:val="ListBullet2"/>
        <w:numPr>
          <w:ilvl w:val="0"/>
          <w:numId w:val="52"/>
        </w:numPr>
        <w:spacing w:line="260" w:lineRule="atLeast"/>
        <w:ind w:left="567" w:hanging="567"/>
        <w:contextualSpacing w:val="0"/>
        <w:rPr>
          <w:szCs w:val="22"/>
        </w:rPr>
      </w:pPr>
      <w:r>
        <w:t>opioidok</w:t>
      </w:r>
      <w:r w:rsidR="005E3DA5">
        <w:t>: a klopidogrél</w:t>
      </w:r>
      <w:r w:rsidR="005E3DA5">
        <w:noBreakHyphen/>
      </w:r>
      <w:r>
        <w:t>kezelés alatt tájékoztassa kezelőorvosát, mielőtt bármilyen opioid gyógyszert ír fel Önnek</w:t>
      </w:r>
      <w:r w:rsidR="008465B6">
        <w:t xml:space="preserve"> (súlyos fájdalom kezelésére)</w:t>
      </w:r>
      <w:r w:rsidR="00F612CB" w:rsidRPr="00270B86">
        <w:t>.</w:t>
      </w:r>
    </w:p>
    <w:p w:rsidR="00122217" w:rsidRPr="008D2CB3" w:rsidRDefault="00122217" w:rsidP="001E7729">
      <w:pPr>
        <w:spacing w:line="260" w:lineRule="atLeast"/>
        <w:ind w:right="-2"/>
        <w:rPr>
          <w:szCs w:val="22"/>
        </w:rPr>
      </w:pPr>
    </w:p>
    <w:p w:rsidR="00122217" w:rsidRPr="008D2CB3" w:rsidRDefault="0021031D" w:rsidP="001E7729">
      <w:pPr>
        <w:spacing w:line="260" w:lineRule="atLeast"/>
        <w:ind w:right="-2"/>
        <w:rPr>
          <w:szCs w:val="22"/>
        </w:rPr>
      </w:pPr>
      <w:r>
        <w:rPr>
          <w:szCs w:val="22"/>
        </w:rPr>
        <w:t xml:space="preserve">Ha súlyos mellkasi fájdalma (instabil angina vagy szívroham), enyhe fokú, átmeneti agyi keringési zavara vagy szélütése volt, </w:t>
      </w:r>
      <w:r w:rsidR="00122217" w:rsidRPr="008D2CB3">
        <w:rPr>
          <w:szCs w:val="22"/>
        </w:rPr>
        <w:t>a</w:t>
      </w:r>
      <w:r w:rsidR="009B10E4" w:rsidRPr="008D2CB3">
        <w:rPr>
          <w:szCs w:val="22"/>
        </w:rPr>
        <w:t>z Iscover</w:t>
      </w:r>
      <w:r w:rsidR="00122217" w:rsidRPr="008D2CB3">
        <w:rPr>
          <w:szCs w:val="22"/>
        </w:rPr>
        <w:t>-t acetilszalicilsavval együtt rendelik. Ezt a vegyületet több fájdalom-, és lázcsillapító gyógyszer is tartalmazza. Alkalmankénti acetilszalicilsav bevétele (ha 24 óra alatt nem több mint 1000 mg) általában nem okoz gondot, de a más okból történő, tartós szedését meg kell beszélni a kezelőorvosával.</w:t>
      </w:r>
    </w:p>
    <w:p w:rsidR="00122217" w:rsidRPr="008D2CB3" w:rsidRDefault="00122217" w:rsidP="001E7729">
      <w:pPr>
        <w:rPr>
          <w:szCs w:val="22"/>
        </w:rPr>
      </w:pPr>
    </w:p>
    <w:p w:rsidR="00122217" w:rsidRPr="008D2CB3" w:rsidRDefault="00122217" w:rsidP="001E7729">
      <w:pPr>
        <w:spacing w:line="260" w:lineRule="atLeast"/>
        <w:ind w:right="-2"/>
        <w:rPr>
          <w:b/>
          <w:noProof/>
          <w:szCs w:val="22"/>
        </w:rPr>
      </w:pPr>
      <w:r w:rsidRPr="008D2CB3">
        <w:rPr>
          <w:b/>
          <w:noProof/>
          <w:szCs w:val="22"/>
        </w:rPr>
        <w:t>A</w:t>
      </w:r>
      <w:r w:rsidR="009B10E4" w:rsidRPr="008D2CB3">
        <w:rPr>
          <w:b/>
          <w:noProof/>
          <w:szCs w:val="22"/>
        </w:rPr>
        <w:t>z Iscover</w:t>
      </w:r>
      <w:r w:rsidR="00B04F7E" w:rsidRPr="008D2CB3">
        <w:rPr>
          <w:b/>
          <w:noProof/>
          <w:szCs w:val="22"/>
        </w:rPr>
        <w:t xml:space="preserve"> </w:t>
      </w:r>
      <w:r w:rsidRPr="008D2CB3">
        <w:rPr>
          <w:b/>
          <w:noProof/>
          <w:szCs w:val="22"/>
        </w:rPr>
        <w:t>egyidejű alkalmazása étel</w:t>
      </w:r>
      <w:r w:rsidR="005C2B53">
        <w:rPr>
          <w:b/>
          <w:noProof/>
          <w:szCs w:val="22"/>
        </w:rPr>
        <w:t>l</w:t>
      </w:r>
      <w:r w:rsidRPr="008D2CB3">
        <w:rPr>
          <w:b/>
          <w:noProof/>
          <w:szCs w:val="22"/>
        </w:rPr>
        <w:t xml:space="preserve">el </w:t>
      </w:r>
      <w:r w:rsidR="005C2B53">
        <w:rPr>
          <w:b/>
          <w:noProof/>
          <w:szCs w:val="22"/>
        </w:rPr>
        <w:t>és</w:t>
      </w:r>
      <w:r w:rsidRPr="008D2CB3">
        <w:rPr>
          <w:b/>
          <w:noProof/>
          <w:szCs w:val="22"/>
        </w:rPr>
        <w:t xml:space="preserve"> ital</w:t>
      </w:r>
      <w:r w:rsidR="005C2B53">
        <w:rPr>
          <w:b/>
          <w:noProof/>
          <w:szCs w:val="22"/>
        </w:rPr>
        <w:t>l</w:t>
      </w:r>
      <w:r w:rsidRPr="008D2CB3">
        <w:rPr>
          <w:b/>
          <w:noProof/>
          <w:szCs w:val="22"/>
        </w:rPr>
        <w:t>al</w:t>
      </w:r>
    </w:p>
    <w:p w:rsidR="00122217" w:rsidRPr="008D2CB3" w:rsidRDefault="001D31D1" w:rsidP="001E7729">
      <w:pPr>
        <w:spacing w:line="260" w:lineRule="atLeast"/>
        <w:ind w:right="-2"/>
        <w:rPr>
          <w:szCs w:val="22"/>
        </w:rPr>
      </w:pPr>
      <w:r w:rsidRPr="008D2CB3">
        <w:rPr>
          <w:szCs w:val="22"/>
        </w:rPr>
        <w:t>A</w:t>
      </w:r>
      <w:r w:rsidR="009B10E4" w:rsidRPr="008D2CB3">
        <w:rPr>
          <w:szCs w:val="22"/>
        </w:rPr>
        <w:t>z Iscover</w:t>
      </w:r>
      <w:r w:rsidR="00122217" w:rsidRPr="008D2CB3">
        <w:rPr>
          <w:szCs w:val="22"/>
        </w:rPr>
        <w:t xml:space="preserve"> </w:t>
      </w:r>
      <w:r w:rsidR="00444639">
        <w:rPr>
          <w:szCs w:val="22"/>
        </w:rPr>
        <w:t>étkezéssel vagy étkezéstől függetlenül is bevehető</w:t>
      </w:r>
      <w:r w:rsidR="00122217" w:rsidRPr="008D2CB3">
        <w:rPr>
          <w:szCs w:val="22"/>
        </w:rPr>
        <w:t>.</w:t>
      </w:r>
    </w:p>
    <w:p w:rsidR="00122217" w:rsidRPr="008D2CB3" w:rsidRDefault="00122217" w:rsidP="001E7729">
      <w:pPr>
        <w:spacing w:line="260" w:lineRule="atLeast"/>
        <w:ind w:right="-2"/>
        <w:rPr>
          <w:szCs w:val="22"/>
        </w:rPr>
      </w:pPr>
    </w:p>
    <w:p w:rsidR="00122217" w:rsidRPr="008D2CB3" w:rsidRDefault="00122217" w:rsidP="001E7729">
      <w:pPr>
        <w:spacing w:line="260" w:lineRule="atLeast"/>
        <w:ind w:right="-2"/>
        <w:rPr>
          <w:b/>
          <w:szCs w:val="22"/>
        </w:rPr>
      </w:pPr>
      <w:r w:rsidRPr="008D2CB3">
        <w:rPr>
          <w:b/>
          <w:szCs w:val="22"/>
        </w:rPr>
        <w:t>Terhesség és szoptatás</w:t>
      </w:r>
    </w:p>
    <w:p w:rsidR="0061139B" w:rsidRPr="008D2CB3" w:rsidRDefault="0061139B" w:rsidP="001E7729">
      <w:pPr>
        <w:rPr>
          <w:szCs w:val="22"/>
        </w:rPr>
      </w:pPr>
      <w:bookmarkStart w:id="10" w:name="OLE_LINK12"/>
      <w:bookmarkStart w:id="11" w:name="OLE_LINK13"/>
      <w:r w:rsidRPr="008D2CB3">
        <w:rPr>
          <w:szCs w:val="22"/>
        </w:rPr>
        <w:t xml:space="preserve">Terhesség alatt lehetőleg ne alkalmazza ezt a készítményt. </w:t>
      </w:r>
    </w:p>
    <w:p w:rsidR="005C2B53" w:rsidRDefault="005C2B53" w:rsidP="001E7729">
      <w:pPr>
        <w:rPr>
          <w:szCs w:val="22"/>
        </w:rPr>
      </w:pPr>
    </w:p>
    <w:p w:rsidR="0061139B" w:rsidRPr="008D2CB3" w:rsidRDefault="0061139B" w:rsidP="001E7729">
      <w:pPr>
        <w:rPr>
          <w:szCs w:val="22"/>
        </w:rPr>
      </w:pPr>
      <w:r w:rsidRPr="008D2CB3">
        <w:rPr>
          <w:szCs w:val="22"/>
        </w:rPr>
        <w:t>Ha Ön terhes vagy fennáll a terhesség gyanúja, a</w:t>
      </w:r>
      <w:r w:rsidR="009B10E4" w:rsidRPr="008D2CB3">
        <w:rPr>
          <w:szCs w:val="22"/>
        </w:rPr>
        <w:t>z Iscover</w:t>
      </w:r>
      <w:r w:rsidRPr="008D2CB3">
        <w:rPr>
          <w:szCs w:val="22"/>
        </w:rPr>
        <w:t xml:space="preserve"> szedésének megkezdése előtt tájékoztassa </w:t>
      </w:r>
      <w:r w:rsidR="00D22C8F">
        <w:rPr>
          <w:szCs w:val="22"/>
        </w:rPr>
        <w:t>kezelő</w:t>
      </w:r>
      <w:r w:rsidRPr="008D2CB3">
        <w:rPr>
          <w:szCs w:val="22"/>
        </w:rPr>
        <w:t>orvosát vagy gyógyszerészét. Amennyiben a</w:t>
      </w:r>
      <w:r w:rsidR="009B10E4" w:rsidRPr="008D2CB3">
        <w:rPr>
          <w:szCs w:val="22"/>
        </w:rPr>
        <w:t>z Iscover</w:t>
      </w:r>
      <w:r w:rsidRPr="008D2CB3">
        <w:rPr>
          <w:szCs w:val="22"/>
        </w:rPr>
        <w:t xml:space="preserve"> szedése során terhes lesz, azonnal keresse fel </w:t>
      </w:r>
      <w:r w:rsidR="00D22C8F">
        <w:rPr>
          <w:szCs w:val="22"/>
        </w:rPr>
        <w:t>kezelő</w:t>
      </w:r>
      <w:r w:rsidRPr="008D2CB3">
        <w:rPr>
          <w:szCs w:val="22"/>
        </w:rPr>
        <w:t>orvosát, mivel terhesség alatt nem ajánlott a</w:t>
      </w:r>
      <w:r w:rsidR="009B10E4" w:rsidRPr="008D2CB3">
        <w:rPr>
          <w:szCs w:val="22"/>
        </w:rPr>
        <w:t>z Iscover-</w:t>
      </w:r>
      <w:r w:rsidRPr="008D2CB3">
        <w:rPr>
          <w:szCs w:val="22"/>
        </w:rPr>
        <w:t>t szedni.</w:t>
      </w:r>
    </w:p>
    <w:p w:rsidR="00F52704" w:rsidRPr="008D2CB3" w:rsidRDefault="00F52704" w:rsidP="001E7729">
      <w:pPr>
        <w:rPr>
          <w:szCs w:val="22"/>
        </w:rPr>
      </w:pPr>
    </w:p>
    <w:p w:rsidR="00076ED2" w:rsidRPr="008D2CB3" w:rsidRDefault="00076ED2" w:rsidP="001E7729">
      <w:pPr>
        <w:rPr>
          <w:szCs w:val="22"/>
        </w:rPr>
      </w:pPr>
      <w:r w:rsidRPr="008D2CB3">
        <w:rPr>
          <w:szCs w:val="22"/>
        </w:rPr>
        <w:t>A készítmény alkalmazása alatt a szoptatás nem javasolt.</w:t>
      </w:r>
    </w:p>
    <w:p w:rsidR="00076ED2" w:rsidRPr="008D2CB3" w:rsidRDefault="00076ED2" w:rsidP="001E7729">
      <w:pPr>
        <w:spacing w:line="260" w:lineRule="atLeast"/>
        <w:ind w:right="-2"/>
        <w:rPr>
          <w:szCs w:val="22"/>
        </w:rPr>
      </w:pPr>
      <w:r w:rsidRPr="008D2CB3">
        <w:rPr>
          <w:szCs w:val="22"/>
        </w:rPr>
        <w:t>Ha Ön szoptató anya, vagy szoptatni szeretne, beszéljen kezelőorvosával, mielőtt elkezdené szedni ezt a gyógyszert.</w:t>
      </w:r>
    </w:p>
    <w:p w:rsidR="00975C01" w:rsidRPr="008D2CB3" w:rsidRDefault="00975C01" w:rsidP="001E7729">
      <w:pPr>
        <w:spacing w:line="260" w:lineRule="atLeast"/>
        <w:ind w:right="-2"/>
        <w:rPr>
          <w:noProof/>
          <w:szCs w:val="22"/>
        </w:rPr>
      </w:pPr>
    </w:p>
    <w:bookmarkEnd w:id="10"/>
    <w:bookmarkEnd w:id="11"/>
    <w:p w:rsidR="00122217" w:rsidRPr="008D2CB3" w:rsidRDefault="00122217" w:rsidP="001E7729">
      <w:pPr>
        <w:spacing w:line="260" w:lineRule="atLeast"/>
        <w:ind w:right="-2"/>
        <w:rPr>
          <w:noProof/>
          <w:szCs w:val="22"/>
        </w:rPr>
      </w:pPr>
      <w:r w:rsidRPr="008D2CB3">
        <w:rPr>
          <w:noProof/>
          <w:szCs w:val="22"/>
        </w:rPr>
        <w:t>Mielőtt bármilyen gyógyszert elkezdene szedni, beszélje meg kezelőorvosával vagy gyógyszerészével.</w:t>
      </w:r>
    </w:p>
    <w:p w:rsidR="00122217" w:rsidRPr="008D2CB3" w:rsidRDefault="00122217" w:rsidP="001E7729">
      <w:pPr>
        <w:spacing w:line="260" w:lineRule="atLeast"/>
        <w:ind w:right="-2"/>
        <w:rPr>
          <w:b/>
          <w:szCs w:val="22"/>
        </w:rPr>
      </w:pPr>
    </w:p>
    <w:p w:rsidR="00122217" w:rsidRPr="008D2CB3" w:rsidRDefault="00122217" w:rsidP="001E7729">
      <w:pPr>
        <w:spacing w:line="260" w:lineRule="atLeast"/>
        <w:ind w:right="-29"/>
        <w:rPr>
          <w:b/>
          <w:szCs w:val="22"/>
        </w:rPr>
      </w:pPr>
      <w:r w:rsidRPr="008D2CB3">
        <w:rPr>
          <w:b/>
          <w:szCs w:val="22"/>
        </w:rPr>
        <w:t xml:space="preserve">A készítmény hatásai a gépjárművezetéshez és </w:t>
      </w:r>
      <w:r w:rsidR="00553904">
        <w:rPr>
          <w:b/>
          <w:szCs w:val="22"/>
        </w:rPr>
        <w:t xml:space="preserve">a </w:t>
      </w:r>
      <w:r w:rsidRPr="008D2CB3">
        <w:rPr>
          <w:b/>
          <w:szCs w:val="22"/>
        </w:rPr>
        <w:t xml:space="preserve">gépek </w:t>
      </w:r>
      <w:r w:rsidR="00A50851" w:rsidRPr="008D2CB3">
        <w:rPr>
          <w:b/>
          <w:szCs w:val="22"/>
        </w:rPr>
        <w:t xml:space="preserve">kezeléséhez </w:t>
      </w:r>
      <w:r w:rsidRPr="008D2CB3">
        <w:rPr>
          <w:b/>
          <w:szCs w:val="22"/>
        </w:rPr>
        <w:t>szükséges képességekre</w:t>
      </w:r>
    </w:p>
    <w:p w:rsidR="00122217" w:rsidRPr="008D2CB3" w:rsidRDefault="00122217" w:rsidP="001E7729">
      <w:pPr>
        <w:spacing w:line="260" w:lineRule="atLeast"/>
        <w:ind w:right="-29"/>
        <w:rPr>
          <w:szCs w:val="22"/>
        </w:rPr>
      </w:pPr>
      <w:r w:rsidRPr="008D2CB3">
        <w:rPr>
          <w:szCs w:val="22"/>
        </w:rPr>
        <w:t>A</w:t>
      </w:r>
      <w:r w:rsidR="009B10E4" w:rsidRPr="008D2CB3">
        <w:rPr>
          <w:szCs w:val="22"/>
        </w:rPr>
        <w:t>z Iscover</w:t>
      </w:r>
      <w:r w:rsidRPr="008D2CB3">
        <w:rPr>
          <w:szCs w:val="22"/>
        </w:rPr>
        <w:t xml:space="preserve"> valószínűleg nem befolyásolja a gépjárművezetéshez vagy a gépek</w:t>
      </w:r>
      <w:r w:rsidR="00716247">
        <w:rPr>
          <w:szCs w:val="22"/>
        </w:rPr>
        <w:t xml:space="preserve"> kezeléséhez</w:t>
      </w:r>
      <w:r w:rsidRPr="008D2CB3">
        <w:rPr>
          <w:szCs w:val="22"/>
        </w:rPr>
        <w:t xml:space="preserve"> szükséges képességeket.</w:t>
      </w:r>
    </w:p>
    <w:p w:rsidR="00122217" w:rsidRPr="008D2CB3" w:rsidRDefault="00122217" w:rsidP="001E7729">
      <w:pPr>
        <w:spacing w:line="260" w:lineRule="atLeast"/>
        <w:ind w:right="-2"/>
        <w:rPr>
          <w:b/>
          <w:szCs w:val="22"/>
        </w:rPr>
      </w:pPr>
    </w:p>
    <w:p w:rsidR="00122217" w:rsidRPr="008D2CB3" w:rsidRDefault="00122217" w:rsidP="001E7729">
      <w:pPr>
        <w:spacing w:line="260" w:lineRule="atLeast"/>
        <w:ind w:right="-2"/>
        <w:rPr>
          <w:noProof/>
          <w:szCs w:val="22"/>
        </w:rPr>
      </w:pPr>
      <w:r w:rsidRPr="00F86A77">
        <w:rPr>
          <w:b/>
          <w:noProof/>
          <w:szCs w:val="22"/>
        </w:rPr>
        <w:t>A</w:t>
      </w:r>
      <w:r w:rsidR="009B10E4" w:rsidRPr="00F86A77">
        <w:rPr>
          <w:b/>
          <w:noProof/>
          <w:szCs w:val="22"/>
        </w:rPr>
        <w:t>z Iscover</w:t>
      </w:r>
      <w:r w:rsidRPr="00F86A77">
        <w:rPr>
          <w:b/>
          <w:noProof/>
          <w:szCs w:val="22"/>
        </w:rPr>
        <w:t xml:space="preserve"> laktózt tartalmaz</w:t>
      </w:r>
    </w:p>
    <w:p w:rsidR="004F4B32" w:rsidRPr="008D2CB3" w:rsidRDefault="004F4B32" w:rsidP="001E7729">
      <w:pPr>
        <w:suppressAutoHyphens/>
        <w:spacing w:line="260" w:lineRule="atLeast"/>
        <w:rPr>
          <w:szCs w:val="22"/>
        </w:rPr>
      </w:pPr>
      <w:r w:rsidRPr="008D2CB3">
        <w:t xml:space="preserve">Amennyiben kezelőorvosa korábban már figyelmeztette Önt, hogy bizonyos cukrokra </w:t>
      </w:r>
      <w:r w:rsidR="002B0C14" w:rsidRPr="008D2CB3">
        <w:t xml:space="preserve">(pl. tejcukor) </w:t>
      </w:r>
      <w:r w:rsidRPr="008D2CB3">
        <w:t xml:space="preserve">érzékeny, keresse fel </w:t>
      </w:r>
      <w:r w:rsidR="00D22C8F">
        <w:t>kezelő</w:t>
      </w:r>
      <w:r w:rsidRPr="008D2CB3">
        <w:t>orvosát, mielőtt elkezdi szedni ezt a gyógyszert.</w:t>
      </w:r>
    </w:p>
    <w:p w:rsidR="004F4B32" w:rsidRPr="008D2CB3" w:rsidRDefault="004F4B32" w:rsidP="001E7729">
      <w:pPr>
        <w:suppressAutoHyphens/>
        <w:spacing w:line="260" w:lineRule="atLeast"/>
        <w:rPr>
          <w:szCs w:val="22"/>
        </w:rPr>
      </w:pPr>
    </w:p>
    <w:p w:rsidR="005C2B53" w:rsidRDefault="004F4B32" w:rsidP="001E7729">
      <w:pPr>
        <w:spacing w:line="260" w:lineRule="atLeast"/>
        <w:ind w:right="-2"/>
        <w:rPr>
          <w:noProof/>
          <w:szCs w:val="22"/>
        </w:rPr>
      </w:pPr>
      <w:r w:rsidRPr="00F86A77">
        <w:rPr>
          <w:b/>
          <w:noProof/>
          <w:szCs w:val="22"/>
        </w:rPr>
        <w:t>A</w:t>
      </w:r>
      <w:r w:rsidR="009B10E4" w:rsidRPr="00F86A77">
        <w:rPr>
          <w:b/>
          <w:noProof/>
          <w:szCs w:val="22"/>
        </w:rPr>
        <w:t>z Iscover</w:t>
      </w:r>
      <w:r w:rsidR="002B0C14" w:rsidRPr="00F86A77">
        <w:rPr>
          <w:b/>
          <w:noProof/>
          <w:szCs w:val="22"/>
        </w:rPr>
        <w:t xml:space="preserve"> </w:t>
      </w:r>
      <w:r w:rsidRPr="00F86A77">
        <w:rPr>
          <w:b/>
          <w:noProof/>
          <w:szCs w:val="22"/>
        </w:rPr>
        <w:t>hidrogénezett ricinusolaj</w:t>
      </w:r>
      <w:r w:rsidR="002B0C14" w:rsidRPr="00F86A77">
        <w:rPr>
          <w:b/>
          <w:noProof/>
          <w:szCs w:val="22"/>
        </w:rPr>
        <w:t>at is tartalmaz</w:t>
      </w:r>
    </w:p>
    <w:p w:rsidR="004F4B32" w:rsidRPr="008D2CB3" w:rsidRDefault="005C2B53" w:rsidP="001E7729">
      <w:pPr>
        <w:spacing w:line="260" w:lineRule="atLeast"/>
        <w:ind w:right="-2"/>
        <w:rPr>
          <w:noProof/>
          <w:szCs w:val="22"/>
        </w:rPr>
      </w:pPr>
      <w:r>
        <w:rPr>
          <w:noProof/>
          <w:szCs w:val="22"/>
        </w:rPr>
        <w:t>Ez</w:t>
      </w:r>
      <w:r w:rsidR="004F4B32" w:rsidRPr="008D2CB3">
        <w:rPr>
          <w:noProof/>
          <w:szCs w:val="22"/>
        </w:rPr>
        <w:t xml:space="preserve"> gyomorpanaszokat és hasmenést okozhat.</w:t>
      </w:r>
    </w:p>
    <w:p w:rsidR="00122217" w:rsidRPr="008D2CB3" w:rsidRDefault="00122217" w:rsidP="001E7729">
      <w:pPr>
        <w:spacing w:line="260" w:lineRule="atLeast"/>
        <w:ind w:right="-2"/>
        <w:rPr>
          <w:szCs w:val="22"/>
        </w:rPr>
      </w:pPr>
    </w:p>
    <w:p w:rsidR="00122217" w:rsidRPr="008D2CB3" w:rsidRDefault="00122217" w:rsidP="001E7729">
      <w:pPr>
        <w:spacing w:line="260" w:lineRule="atLeast"/>
        <w:ind w:right="-2"/>
        <w:rPr>
          <w:szCs w:val="22"/>
        </w:rPr>
      </w:pPr>
    </w:p>
    <w:p w:rsidR="00122217" w:rsidRPr="008D2CB3" w:rsidRDefault="00122217" w:rsidP="001E7729">
      <w:pPr>
        <w:spacing w:line="260" w:lineRule="atLeast"/>
        <w:ind w:left="567" w:right="-29" w:hanging="567"/>
        <w:rPr>
          <w:b/>
          <w:szCs w:val="22"/>
        </w:rPr>
      </w:pPr>
      <w:r w:rsidRPr="008D2CB3">
        <w:rPr>
          <w:b/>
          <w:szCs w:val="22"/>
        </w:rPr>
        <w:t>3.</w:t>
      </w:r>
      <w:r w:rsidRPr="008D2CB3">
        <w:rPr>
          <w:b/>
          <w:szCs w:val="22"/>
        </w:rPr>
        <w:tab/>
        <w:t>H</w:t>
      </w:r>
      <w:r w:rsidR="005C2B53">
        <w:rPr>
          <w:b/>
          <w:szCs w:val="22"/>
        </w:rPr>
        <w:t>ogyan kell szedni az Iscover</w:t>
      </w:r>
      <w:r w:rsidR="00F62886">
        <w:rPr>
          <w:b/>
          <w:szCs w:val="22"/>
        </w:rPr>
        <w:t>-t?</w:t>
      </w:r>
    </w:p>
    <w:p w:rsidR="00122217" w:rsidRPr="008D2CB3" w:rsidRDefault="00122217" w:rsidP="001E7729">
      <w:pPr>
        <w:spacing w:line="260" w:lineRule="atLeast"/>
        <w:ind w:left="567" w:right="-2" w:hanging="567"/>
        <w:rPr>
          <w:szCs w:val="22"/>
        </w:rPr>
      </w:pPr>
    </w:p>
    <w:p w:rsidR="00122217" w:rsidRPr="008D2CB3" w:rsidRDefault="00FF7CEE" w:rsidP="001E7729">
      <w:pPr>
        <w:spacing w:line="260" w:lineRule="atLeast"/>
        <w:ind w:right="-2"/>
        <w:rPr>
          <w:szCs w:val="22"/>
        </w:rPr>
      </w:pPr>
      <w:r>
        <w:rPr>
          <w:szCs w:val="22"/>
        </w:rPr>
        <w:t>A</w:t>
      </w:r>
      <w:r w:rsidR="00F62886">
        <w:rPr>
          <w:szCs w:val="22"/>
        </w:rPr>
        <w:t xml:space="preserve"> gyógyszert</w:t>
      </w:r>
      <w:r w:rsidR="00122217" w:rsidRPr="008D2CB3">
        <w:rPr>
          <w:szCs w:val="22"/>
        </w:rPr>
        <w:t xml:space="preserve"> mindig a</w:t>
      </w:r>
      <w:r w:rsidR="00F62886">
        <w:rPr>
          <w:szCs w:val="22"/>
        </w:rPr>
        <w:t xml:space="preserve"> kezelő</w:t>
      </w:r>
      <w:r w:rsidR="00122217" w:rsidRPr="008D2CB3">
        <w:rPr>
          <w:szCs w:val="22"/>
        </w:rPr>
        <w:t>orvos</w:t>
      </w:r>
      <w:r w:rsidR="00F62886">
        <w:rPr>
          <w:szCs w:val="22"/>
        </w:rPr>
        <w:t>a vagy gyógyszerésze</w:t>
      </w:r>
      <w:r w:rsidR="00122217" w:rsidRPr="008D2CB3">
        <w:rPr>
          <w:szCs w:val="22"/>
        </w:rPr>
        <w:t xml:space="preserve"> által elmondottaknak megfelelően alkalmazza. Amennyiben nem biztos az adagolást illetően, kérdezze meg kezelőorvosát vagy gyógyszerészét.</w:t>
      </w:r>
    </w:p>
    <w:p w:rsidR="00122217" w:rsidRDefault="00122217" w:rsidP="001E7729">
      <w:pPr>
        <w:spacing w:line="260" w:lineRule="atLeast"/>
        <w:ind w:right="-2"/>
        <w:rPr>
          <w:szCs w:val="22"/>
        </w:rPr>
      </w:pPr>
    </w:p>
    <w:p w:rsidR="00B6717C" w:rsidRDefault="00B6717C" w:rsidP="001E7729">
      <w:pPr>
        <w:spacing w:line="260" w:lineRule="atLeast"/>
        <w:ind w:right="-2"/>
        <w:rPr>
          <w:szCs w:val="22"/>
        </w:rPr>
      </w:pPr>
      <w:r>
        <w:rPr>
          <w:szCs w:val="22"/>
        </w:rPr>
        <w:t>Az ajánlott adag, az olyan betegeknek is, akik úgynevezett „pitvarfibrilláció”-ban (szabálytalan szív</w:t>
      </w:r>
      <w:r w:rsidR="00D05D84">
        <w:rPr>
          <w:szCs w:val="22"/>
        </w:rPr>
        <w:t>verés</w:t>
      </w:r>
      <w:r>
        <w:rPr>
          <w:szCs w:val="22"/>
        </w:rPr>
        <w:t>) szenvednek, egy 75 mg-os Plavix tabletta naponta egyszer, amelyet szájon át</w:t>
      </w:r>
      <w:r w:rsidR="00A56CF0">
        <w:rPr>
          <w:szCs w:val="22"/>
        </w:rPr>
        <w:t>,</w:t>
      </w:r>
      <w:r>
        <w:rPr>
          <w:szCs w:val="22"/>
        </w:rPr>
        <w:t xml:space="preserve"> étkezés közben vagy attól </w:t>
      </w:r>
      <w:r w:rsidR="00444639">
        <w:rPr>
          <w:szCs w:val="22"/>
        </w:rPr>
        <w:t>függetlenül, naponta azonos időpontban kell bevenni</w:t>
      </w:r>
      <w:r>
        <w:rPr>
          <w:szCs w:val="22"/>
        </w:rPr>
        <w:t>.</w:t>
      </w:r>
    </w:p>
    <w:p w:rsidR="00B6717C" w:rsidRPr="008D2CB3" w:rsidRDefault="00B6717C" w:rsidP="001E7729">
      <w:pPr>
        <w:spacing w:line="260" w:lineRule="atLeast"/>
        <w:ind w:right="-2"/>
        <w:rPr>
          <w:szCs w:val="22"/>
        </w:rPr>
      </w:pPr>
    </w:p>
    <w:p w:rsidR="00126D4D" w:rsidRPr="008D2CB3" w:rsidRDefault="00126D4D" w:rsidP="001E7729">
      <w:pPr>
        <w:spacing w:line="260" w:lineRule="atLeast"/>
        <w:ind w:right="-2"/>
        <w:rPr>
          <w:szCs w:val="22"/>
        </w:rPr>
      </w:pPr>
      <w:r w:rsidRPr="008D2CB3">
        <w:rPr>
          <w:szCs w:val="22"/>
        </w:rPr>
        <w:t xml:space="preserve">Ha súlyos mellkasi fájdalma volt (instabil angina vagy szívroham), kezelőorvosa kezdő adagként 300 mg </w:t>
      </w:r>
      <w:r w:rsidR="009B10E4" w:rsidRPr="008D2CB3">
        <w:rPr>
          <w:szCs w:val="22"/>
        </w:rPr>
        <w:t>Iscover</w:t>
      </w:r>
      <w:r w:rsidR="005E3DA5">
        <w:rPr>
          <w:szCs w:val="22"/>
        </w:rPr>
        <w:noBreakHyphen/>
      </w:r>
      <w:r w:rsidRPr="008D2CB3">
        <w:rPr>
          <w:szCs w:val="22"/>
        </w:rPr>
        <w:t xml:space="preserve">adagot (egy darab 300 mg-os vagy 4 darab 75 mg-os tabletta) rendelhet. Ezt követően a </w:t>
      </w:r>
      <w:r w:rsidR="00F62886">
        <w:rPr>
          <w:szCs w:val="22"/>
        </w:rPr>
        <w:t>javasolt</w:t>
      </w:r>
      <w:r w:rsidRPr="008D2CB3">
        <w:rPr>
          <w:szCs w:val="22"/>
        </w:rPr>
        <w:t xml:space="preserve"> adag egy 75 mg-os </w:t>
      </w:r>
      <w:r w:rsidR="009B10E4" w:rsidRPr="008D2CB3">
        <w:rPr>
          <w:szCs w:val="22"/>
        </w:rPr>
        <w:t>Iscover</w:t>
      </w:r>
      <w:r w:rsidRPr="008D2CB3">
        <w:rPr>
          <w:szCs w:val="22"/>
        </w:rPr>
        <w:t xml:space="preserve"> tabletta</w:t>
      </w:r>
      <w:r w:rsidR="00F62886">
        <w:rPr>
          <w:szCs w:val="22"/>
        </w:rPr>
        <w:t xml:space="preserve"> naponta egyszer</w:t>
      </w:r>
      <w:r w:rsidRPr="008D2CB3">
        <w:rPr>
          <w:szCs w:val="22"/>
        </w:rPr>
        <w:t xml:space="preserve">, </w:t>
      </w:r>
      <w:r w:rsidR="00B6717C">
        <w:rPr>
          <w:szCs w:val="22"/>
        </w:rPr>
        <w:t>a fent leírtak szerint.</w:t>
      </w:r>
      <w:r w:rsidRPr="008D2CB3">
        <w:rPr>
          <w:szCs w:val="22"/>
        </w:rPr>
        <w:t xml:space="preserve"> </w:t>
      </w:r>
    </w:p>
    <w:p w:rsidR="00767D08" w:rsidRDefault="00767D08" w:rsidP="00767D08">
      <w:pPr>
        <w:spacing w:line="260" w:lineRule="atLeast"/>
        <w:ind w:right="-2"/>
        <w:rPr>
          <w:szCs w:val="22"/>
        </w:rPr>
      </w:pPr>
    </w:p>
    <w:p w:rsidR="00767D08" w:rsidRDefault="00767D08" w:rsidP="00767D08">
      <w:pPr>
        <w:spacing w:line="260" w:lineRule="atLeast"/>
        <w:ind w:right="-2"/>
        <w:rPr>
          <w:szCs w:val="22"/>
        </w:rPr>
      </w:pPr>
      <w:r>
        <w:rPr>
          <w:szCs w:val="22"/>
        </w:rPr>
        <w:t>Ha a szélütés (sztrók /átmeneti agyi keringési zavarnak is nevezik) rövid időn belül megszűnő tünetei vagy enyhe szélütés jelentkezett Önnél, kezelőorvosa egyszeri kezdő adagként 300 mg Iscover-t (egy darab 300 mg-os vagy 4 darab 75 mg-os tabletta) rendelhet. Ezt követően a javasolt adag egy 75 mg-os Iscover tabletta naponta egyszer és acetilszalicilsav 3 hétig, a fent leírtak szerint. Ezt követően kezelőorvosa vagy csak Iscover vagy csak acetilszalicilsav</w:t>
      </w:r>
      <w:r>
        <w:rPr>
          <w:szCs w:val="22"/>
        </w:rPr>
        <w:noBreakHyphen/>
        <w:t>kezelést rendelhet.</w:t>
      </w:r>
    </w:p>
    <w:p w:rsidR="00122217" w:rsidRPr="008D2CB3" w:rsidRDefault="00122217" w:rsidP="001E7729">
      <w:pPr>
        <w:spacing w:line="260" w:lineRule="atLeast"/>
        <w:ind w:right="-2"/>
        <w:rPr>
          <w:szCs w:val="22"/>
        </w:rPr>
      </w:pPr>
    </w:p>
    <w:p w:rsidR="00122217" w:rsidRPr="008D2CB3" w:rsidRDefault="00122217" w:rsidP="001E7729">
      <w:pPr>
        <w:spacing w:line="260" w:lineRule="atLeast"/>
        <w:ind w:right="-2"/>
        <w:rPr>
          <w:szCs w:val="22"/>
        </w:rPr>
      </w:pPr>
      <w:r w:rsidRPr="008D2CB3">
        <w:rPr>
          <w:szCs w:val="22"/>
        </w:rPr>
        <w:t>A</w:t>
      </w:r>
      <w:r w:rsidR="009B10E4" w:rsidRPr="008D2CB3">
        <w:rPr>
          <w:szCs w:val="22"/>
        </w:rPr>
        <w:t>z Iscover-</w:t>
      </w:r>
      <w:r w:rsidRPr="008D2CB3">
        <w:rPr>
          <w:szCs w:val="22"/>
        </w:rPr>
        <w:t>t a kezelőorvosa által előírt ideig kell szednie.</w:t>
      </w:r>
    </w:p>
    <w:p w:rsidR="00122217" w:rsidRPr="008D2CB3" w:rsidRDefault="00122217" w:rsidP="001E7729">
      <w:pPr>
        <w:spacing w:line="260" w:lineRule="atLeast"/>
        <w:ind w:right="-2"/>
        <w:rPr>
          <w:szCs w:val="22"/>
        </w:rPr>
      </w:pPr>
    </w:p>
    <w:p w:rsidR="00122217" w:rsidRPr="008D2CB3" w:rsidRDefault="00122217" w:rsidP="001E7729">
      <w:pPr>
        <w:spacing w:line="260" w:lineRule="atLeast"/>
        <w:ind w:right="-2"/>
        <w:rPr>
          <w:b/>
          <w:szCs w:val="22"/>
        </w:rPr>
      </w:pPr>
      <w:r w:rsidRPr="008D2CB3">
        <w:rPr>
          <w:b/>
          <w:szCs w:val="22"/>
        </w:rPr>
        <w:t xml:space="preserve">Ha az előírtnál több </w:t>
      </w:r>
      <w:r w:rsidR="009B10E4" w:rsidRPr="008D2CB3">
        <w:rPr>
          <w:b/>
          <w:szCs w:val="22"/>
        </w:rPr>
        <w:t>Iscover-</w:t>
      </w:r>
      <w:r w:rsidRPr="008D2CB3">
        <w:rPr>
          <w:b/>
          <w:szCs w:val="22"/>
        </w:rPr>
        <w:t>t vett be</w:t>
      </w:r>
    </w:p>
    <w:p w:rsidR="00122217" w:rsidRPr="008D2CB3" w:rsidRDefault="00122217" w:rsidP="001E7729">
      <w:pPr>
        <w:spacing w:line="260" w:lineRule="atLeast"/>
        <w:ind w:right="-2"/>
        <w:rPr>
          <w:szCs w:val="22"/>
        </w:rPr>
      </w:pPr>
      <w:r w:rsidRPr="008D2CB3">
        <w:rPr>
          <w:szCs w:val="22"/>
        </w:rPr>
        <w:t xml:space="preserve">Keresse fel </w:t>
      </w:r>
      <w:r w:rsidR="00F62886">
        <w:rPr>
          <w:szCs w:val="22"/>
        </w:rPr>
        <w:t>kezelő</w:t>
      </w:r>
      <w:r w:rsidRPr="008D2CB3">
        <w:rPr>
          <w:szCs w:val="22"/>
        </w:rPr>
        <w:t xml:space="preserve">orvosát vagy a legközelebbi </w:t>
      </w:r>
      <w:r w:rsidR="00005FD9" w:rsidRPr="008D2CB3">
        <w:rPr>
          <w:szCs w:val="22"/>
        </w:rPr>
        <w:t xml:space="preserve">kórházi </w:t>
      </w:r>
      <w:r w:rsidRPr="008D2CB3">
        <w:rPr>
          <w:szCs w:val="22"/>
        </w:rPr>
        <w:t>sürgősségi osztályt, a megnövekedett vérzési kockázat miatt.</w:t>
      </w:r>
    </w:p>
    <w:p w:rsidR="00122217" w:rsidRPr="008D2CB3" w:rsidRDefault="00122217" w:rsidP="001E7729">
      <w:pPr>
        <w:spacing w:line="260" w:lineRule="atLeast"/>
        <w:ind w:right="-2"/>
        <w:rPr>
          <w:szCs w:val="22"/>
        </w:rPr>
      </w:pPr>
    </w:p>
    <w:p w:rsidR="00122217" w:rsidRPr="008D2CB3" w:rsidRDefault="00122217" w:rsidP="001E7729">
      <w:pPr>
        <w:spacing w:line="260" w:lineRule="atLeast"/>
        <w:ind w:right="-2"/>
        <w:rPr>
          <w:b/>
          <w:szCs w:val="22"/>
        </w:rPr>
      </w:pPr>
      <w:r w:rsidRPr="008D2CB3">
        <w:rPr>
          <w:b/>
          <w:szCs w:val="22"/>
        </w:rPr>
        <w:t>Ha elfelejtette bevenni a</w:t>
      </w:r>
      <w:r w:rsidR="009B10E4" w:rsidRPr="008D2CB3">
        <w:rPr>
          <w:b/>
          <w:szCs w:val="22"/>
        </w:rPr>
        <w:t>z Iscover-</w:t>
      </w:r>
      <w:r w:rsidRPr="008D2CB3">
        <w:rPr>
          <w:b/>
          <w:szCs w:val="22"/>
        </w:rPr>
        <w:t>t</w:t>
      </w:r>
    </w:p>
    <w:p w:rsidR="00122217" w:rsidRPr="008D2CB3" w:rsidRDefault="00122217" w:rsidP="001E7729">
      <w:pPr>
        <w:spacing w:line="260" w:lineRule="atLeast"/>
        <w:ind w:right="-2"/>
        <w:rPr>
          <w:szCs w:val="22"/>
        </w:rPr>
      </w:pPr>
      <w:r w:rsidRPr="008D2CB3">
        <w:rPr>
          <w:szCs w:val="22"/>
        </w:rPr>
        <w:t>Ha elfelejtette bevenni a</w:t>
      </w:r>
      <w:r w:rsidR="009B10E4" w:rsidRPr="008D2CB3">
        <w:rPr>
          <w:szCs w:val="22"/>
        </w:rPr>
        <w:t>z Iscover</w:t>
      </w:r>
      <w:r w:rsidRPr="008D2CB3">
        <w:rPr>
          <w:szCs w:val="22"/>
        </w:rPr>
        <w:t xml:space="preserve"> tablettát, de eszébe jutott a szokásos bevételi időponthoz számított 12 órán belül, akkor rögtön vegye be gyógyszerét. Ezután a következő tabletta bevétele a másnapi szokásos időpontban történjen.</w:t>
      </w:r>
    </w:p>
    <w:p w:rsidR="005F56DC" w:rsidRPr="008D2CB3" w:rsidRDefault="005F56DC" w:rsidP="001E7729">
      <w:pPr>
        <w:spacing w:line="260" w:lineRule="atLeast"/>
        <w:ind w:right="-2"/>
        <w:rPr>
          <w:szCs w:val="22"/>
        </w:rPr>
      </w:pPr>
    </w:p>
    <w:p w:rsidR="00122217" w:rsidRPr="008D2CB3" w:rsidRDefault="00122217" w:rsidP="001E7729">
      <w:pPr>
        <w:spacing w:line="260" w:lineRule="atLeast"/>
        <w:ind w:right="-2"/>
        <w:rPr>
          <w:szCs w:val="22"/>
        </w:rPr>
      </w:pPr>
      <w:r w:rsidRPr="008D2CB3">
        <w:rPr>
          <w:szCs w:val="22"/>
        </w:rPr>
        <w:t>Ha több mint 12 óra telt el, akkor egyszerűen a következő szokásos időpontban vegyen be egyszeri adagot. Ne</w:t>
      </w:r>
      <w:r w:rsidR="00F62886">
        <w:rPr>
          <w:szCs w:val="22"/>
        </w:rPr>
        <w:t xml:space="preserve"> vegyen be kétszeres</w:t>
      </w:r>
      <w:r w:rsidRPr="008D2CB3">
        <w:rPr>
          <w:szCs w:val="22"/>
        </w:rPr>
        <w:t xml:space="preserve"> adagot a</w:t>
      </w:r>
      <w:r w:rsidR="00F62886">
        <w:rPr>
          <w:szCs w:val="22"/>
        </w:rPr>
        <w:t xml:space="preserve"> kihagyott</w:t>
      </w:r>
      <w:r w:rsidRPr="008D2CB3">
        <w:rPr>
          <w:szCs w:val="22"/>
        </w:rPr>
        <w:t xml:space="preserve"> tabletta pótlására.</w:t>
      </w:r>
    </w:p>
    <w:p w:rsidR="005F56DC" w:rsidRPr="008D2CB3" w:rsidRDefault="005F56DC" w:rsidP="001E7729">
      <w:pPr>
        <w:spacing w:line="260" w:lineRule="atLeast"/>
        <w:ind w:right="-2"/>
        <w:rPr>
          <w:szCs w:val="22"/>
        </w:rPr>
      </w:pPr>
    </w:p>
    <w:p w:rsidR="00122217" w:rsidRPr="008D2CB3" w:rsidRDefault="00122217" w:rsidP="001E7729">
      <w:pPr>
        <w:spacing w:line="260" w:lineRule="atLeast"/>
        <w:ind w:right="-2"/>
        <w:rPr>
          <w:szCs w:val="22"/>
        </w:rPr>
      </w:pPr>
      <w:r w:rsidRPr="008D2CB3">
        <w:rPr>
          <w:szCs w:val="22"/>
        </w:rPr>
        <w:t xml:space="preserve">A </w:t>
      </w:r>
      <w:r w:rsidR="00530E23" w:rsidRPr="008D2CB3">
        <w:rPr>
          <w:szCs w:val="22"/>
        </w:rPr>
        <w:t xml:space="preserve">7, </w:t>
      </w:r>
      <w:r w:rsidR="00B95730" w:rsidRPr="008D2CB3">
        <w:rPr>
          <w:szCs w:val="22"/>
        </w:rPr>
        <w:t xml:space="preserve">14, </w:t>
      </w:r>
      <w:r w:rsidRPr="008D2CB3">
        <w:rPr>
          <w:szCs w:val="22"/>
        </w:rPr>
        <w:t xml:space="preserve">28 és 84 tablettát tartalmazó kiszerelések esetén a buborékcsomagolásra nyomtatott naptáron ellenőrizni tudja, mikor vett be utoljára </w:t>
      </w:r>
      <w:r w:rsidR="009B10E4" w:rsidRPr="008D2CB3">
        <w:rPr>
          <w:szCs w:val="22"/>
        </w:rPr>
        <w:t>Iscover</w:t>
      </w:r>
      <w:r w:rsidRPr="008D2CB3">
        <w:rPr>
          <w:szCs w:val="22"/>
        </w:rPr>
        <w:t xml:space="preserve"> tablettát.</w:t>
      </w:r>
    </w:p>
    <w:p w:rsidR="00122217" w:rsidRPr="008D2CB3" w:rsidRDefault="00122217" w:rsidP="001E7729">
      <w:pPr>
        <w:spacing w:line="260" w:lineRule="atLeast"/>
        <w:ind w:right="-2"/>
        <w:rPr>
          <w:szCs w:val="22"/>
        </w:rPr>
      </w:pPr>
    </w:p>
    <w:p w:rsidR="00122217" w:rsidRPr="008D2CB3" w:rsidRDefault="00122217" w:rsidP="001E7729">
      <w:pPr>
        <w:spacing w:line="260" w:lineRule="atLeast"/>
        <w:ind w:right="-2"/>
        <w:rPr>
          <w:b/>
          <w:szCs w:val="22"/>
        </w:rPr>
      </w:pPr>
      <w:r w:rsidRPr="008D2CB3">
        <w:rPr>
          <w:b/>
          <w:szCs w:val="22"/>
        </w:rPr>
        <w:t>Ha idő előtt abbahagyja a</w:t>
      </w:r>
      <w:r w:rsidR="009B10E4" w:rsidRPr="008D2CB3">
        <w:rPr>
          <w:b/>
          <w:szCs w:val="22"/>
        </w:rPr>
        <w:t>z Iscover</w:t>
      </w:r>
      <w:r w:rsidRPr="008D2CB3">
        <w:rPr>
          <w:b/>
          <w:szCs w:val="22"/>
        </w:rPr>
        <w:t xml:space="preserve"> szedését</w:t>
      </w:r>
    </w:p>
    <w:p w:rsidR="00122217" w:rsidRPr="008D2CB3" w:rsidRDefault="00076ED2" w:rsidP="001E7729">
      <w:pPr>
        <w:spacing w:line="260" w:lineRule="atLeast"/>
        <w:ind w:right="-2"/>
        <w:rPr>
          <w:szCs w:val="22"/>
        </w:rPr>
      </w:pPr>
      <w:r w:rsidRPr="008D2CB3">
        <w:rPr>
          <w:b/>
          <w:szCs w:val="22"/>
        </w:rPr>
        <w:t xml:space="preserve">A kezelést nem szabad megszakítani, csak akkor, ha a </w:t>
      </w:r>
      <w:r w:rsidR="00D22C8F">
        <w:rPr>
          <w:b/>
          <w:szCs w:val="22"/>
        </w:rPr>
        <w:t>kezelő</w:t>
      </w:r>
      <w:r w:rsidRPr="008D2CB3">
        <w:rPr>
          <w:b/>
          <w:szCs w:val="22"/>
        </w:rPr>
        <w:t xml:space="preserve">orvosa mondja Önnek. </w:t>
      </w:r>
      <w:r w:rsidR="00122217" w:rsidRPr="008D2CB3">
        <w:rPr>
          <w:szCs w:val="22"/>
        </w:rPr>
        <w:t>A kezelés megszakítása előtt keresse fel kezelőorvosát vagy gyógyszerészét.</w:t>
      </w:r>
    </w:p>
    <w:p w:rsidR="00126D4D" w:rsidRPr="008D2CB3" w:rsidRDefault="00126D4D" w:rsidP="001E7729">
      <w:pPr>
        <w:spacing w:line="260" w:lineRule="atLeast"/>
        <w:ind w:right="-2"/>
        <w:rPr>
          <w:szCs w:val="22"/>
        </w:rPr>
      </w:pPr>
    </w:p>
    <w:p w:rsidR="00122217" w:rsidRPr="008D2CB3" w:rsidRDefault="00122217" w:rsidP="001E7729">
      <w:pPr>
        <w:spacing w:line="260" w:lineRule="atLeast"/>
        <w:ind w:right="-2"/>
        <w:rPr>
          <w:b/>
          <w:szCs w:val="22"/>
        </w:rPr>
      </w:pPr>
      <w:r w:rsidRPr="008D2CB3">
        <w:rPr>
          <w:noProof/>
          <w:szCs w:val="22"/>
        </w:rPr>
        <w:t xml:space="preserve">Ha bármilyen további kérdése van a </w:t>
      </w:r>
      <w:r w:rsidR="00492C5E">
        <w:rPr>
          <w:noProof/>
          <w:szCs w:val="22"/>
        </w:rPr>
        <w:t>gyógyszer</w:t>
      </w:r>
      <w:r w:rsidRPr="008D2CB3">
        <w:rPr>
          <w:noProof/>
          <w:szCs w:val="22"/>
        </w:rPr>
        <w:t xml:space="preserve"> alkalmazásával kapcsolatban, kérdezze meg </w:t>
      </w:r>
      <w:r w:rsidR="00B92DCE">
        <w:rPr>
          <w:noProof/>
          <w:szCs w:val="22"/>
        </w:rPr>
        <w:t>kezelő</w:t>
      </w:r>
      <w:r w:rsidRPr="008D2CB3">
        <w:rPr>
          <w:noProof/>
          <w:szCs w:val="22"/>
        </w:rPr>
        <w:t>orvosát vagy gyógyszerészét.</w:t>
      </w:r>
    </w:p>
    <w:p w:rsidR="00122217" w:rsidRPr="008D2CB3" w:rsidRDefault="00122217" w:rsidP="001E7729">
      <w:pPr>
        <w:spacing w:line="260" w:lineRule="atLeast"/>
        <w:ind w:left="567" w:right="-2" w:hanging="567"/>
        <w:rPr>
          <w:b/>
          <w:szCs w:val="22"/>
        </w:rPr>
      </w:pPr>
    </w:p>
    <w:p w:rsidR="00122217" w:rsidRPr="008D2CB3" w:rsidRDefault="00122217" w:rsidP="001E7729">
      <w:pPr>
        <w:spacing w:line="260" w:lineRule="atLeast"/>
        <w:ind w:left="567" w:right="-2" w:hanging="567"/>
        <w:rPr>
          <w:b/>
          <w:szCs w:val="22"/>
        </w:rPr>
      </w:pPr>
    </w:p>
    <w:p w:rsidR="00122217" w:rsidRPr="008D2CB3" w:rsidRDefault="00122217" w:rsidP="001E7729">
      <w:pPr>
        <w:spacing w:line="260" w:lineRule="atLeast"/>
        <w:ind w:left="567" w:right="-2" w:hanging="567"/>
        <w:rPr>
          <w:b/>
          <w:szCs w:val="22"/>
        </w:rPr>
      </w:pPr>
      <w:r w:rsidRPr="008D2CB3">
        <w:rPr>
          <w:b/>
          <w:szCs w:val="22"/>
        </w:rPr>
        <w:t>4.</w:t>
      </w:r>
      <w:r w:rsidRPr="008D2CB3">
        <w:rPr>
          <w:b/>
          <w:szCs w:val="22"/>
        </w:rPr>
        <w:tab/>
        <w:t>L</w:t>
      </w:r>
      <w:r w:rsidR="00B92DCE">
        <w:rPr>
          <w:b/>
          <w:szCs w:val="22"/>
        </w:rPr>
        <w:t>ehetséges mellékhatások</w:t>
      </w:r>
    </w:p>
    <w:p w:rsidR="00122217" w:rsidRPr="008D2CB3" w:rsidRDefault="00122217" w:rsidP="001E7729">
      <w:pPr>
        <w:spacing w:line="260" w:lineRule="atLeast"/>
        <w:ind w:right="-29"/>
        <w:rPr>
          <w:szCs w:val="22"/>
        </w:rPr>
      </w:pPr>
    </w:p>
    <w:p w:rsidR="00122217" w:rsidRPr="008D2CB3" w:rsidRDefault="00122217" w:rsidP="001E7729">
      <w:pPr>
        <w:spacing w:line="260" w:lineRule="atLeast"/>
        <w:ind w:right="-29"/>
        <w:rPr>
          <w:szCs w:val="22"/>
        </w:rPr>
      </w:pPr>
      <w:r w:rsidRPr="008D2CB3">
        <w:rPr>
          <w:szCs w:val="22"/>
        </w:rPr>
        <w:t xml:space="preserve">Mint minden gyógyszer, </w:t>
      </w:r>
      <w:r w:rsidR="00B92DCE">
        <w:rPr>
          <w:szCs w:val="22"/>
        </w:rPr>
        <w:t>így ez a gyógyszer</w:t>
      </w:r>
      <w:r w:rsidRPr="008D2CB3">
        <w:rPr>
          <w:szCs w:val="22"/>
        </w:rPr>
        <w:t xml:space="preserve"> is okozhat mellékhatásokat, amelyek azonban nem mindenkinél jelentkeznek.</w:t>
      </w:r>
    </w:p>
    <w:p w:rsidR="00B150B2" w:rsidRPr="008D2CB3" w:rsidRDefault="00B150B2" w:rsidP="001E7729">
      <w:pPr>
        <w:spacing w:line="260" w:lineRule="atLeast"/>
        <w:ind w:right="-29"/>
        <w:rPr>
          <w:szCs w:val="22"/>
        </w:rPr>
      </w:pPr>
    </w:p>
    <w:p w:rsidR="00B150B2" w:rsidRPr="00F86A77" w:rsidRDefault="00B150B2" w:rsidP="001E7729">
      <w:pPr>
        <w:spacing w:line="260" w:lineRule="atLeast"/>
        <w:ind w:right="-29"/>
        <w:rPr>
          <w:b/>
          <w:szCs w:val="22"/>
        </w:rPr>
      </w:pPr>
      <w:r w:rsidRPr="00F86A77">
        <w:rPr>
          <w:b/>
          <w:szCs w:val="22"/>
        </w:rPr>
        <w:t>Azonnal keresse fel kezelőorvosát, ha:</w:t>
      </w:r>
    </w:p>
    <w:p w:rsidR="00B150B2" w:rsidRPr="008D2CB3" w:rsidRDefault="00B150B2" w:rsidP="001E7729">
      <w:pPr>
        <w:numPr>
          <w:ilvl w:val="0"/>
          <w:numId w:val="39"/>
        </w:numPr>
        <w:tabs>
          <w:tab w:val="clear" w:pos="284"/>
          <w:tab w:val="num" w:pos="851"/>
        </w:tabs>
        <w:spacing w:line="260" w:lineRule="atLeast"/>
        <w:ind w:left="851" w:right="-29"/>
        <w:rPr>
          <w:szCs w:val="22"/>
        </w:rPr>
      </w:pPr>
      <w:r w:rsidRPr="008D2CB3">
        <w:rPr>
          <w:szCs w:val="22"/>
        </w:rPr>
        <w:t xml:space="preserve">láz, fertőzés tünetei vagy nagyfokú fáradtság jelentkezik. Ezeknek a hátterében </w:t>
      </w:r>
      <w:r w:rsidR="0061139B" w:rsidRPr="008D2CB3">
        <w:rPr>
          <w:szCs w:val="22"/>
        </w:rPr>
        <w:t xml:space="preserve">bizonyos </w:t>
      </w:r>
      <w:r w:rsidR="00FA2675" w:rsidRPr="008D2CB3">
        <w:rPr>
          <w:szCs w:val="22"/>
        </w:rPr>
        <w:t xml:space="preserve">vérsejtek számának </w:t>
      </w:r>
      <w:r w:rsidRPr="008D2CB3">
        <w:rPr>
          <w:szCs w:val="22"/>
        </w:rPr>
        <w:t>ritkán előforduló csökkenése állhat.</w:t>
      </w:r>
    </w:p>
    <w:p w:rsidR="00B150B2" w:rsidRPr="008D2CB3" w:rsidRDefault="00B150B2" w:rsidP="001E7729">
      <w:pPr>
        <w:numPr>
          <w:ilvl w:val="0"/>
          <w:numId w:val="39"/>
        </w:numPr>
        <w:tabs>
          <w:tab w:val="clear" w:pos="284"/>
          <w:tab w:val="num" w:pos="851"/>
        </w:tabs>
        <w:spacing w:line="260" w:lineRule="atLeast"/>
        <w:ind w:left="851" w:right="-29"/>
        <w:rPr>
          <w:szCs w:val="22"/>
        </w:rPr>
      </w:pPr>
      <w:r w:rsidRPr="008D2CB3">
        <w:rPr>
          <w:szCs w:val="22"/>
        </w:rPr>
        <w:t xml:space="preserve">májműködés zavarára utaló tünetek jelentkeznek, mint például </w:t>
      </w:r>
      <w:r w:rsidRPr="008D2CB3">
        <w:rPr>
          <w:szCs w:val="22"/>
          <w:lang w:val="et-EE"/>
        </w:rPr>
        <w:t xml:space="preserve">a bőr és/vagy a szem sárgás elszíneződése (sárgaság), akár együttjárnak </w:t>
      </w:r>
      <w:r w:rsidR="00FA2675" w:rsidRPr="008D2CB3">
        <w:rPr>
          <w:szCs w:val="22"/>
        </w:rPr>
        <w:t xml:space="preserve">a bőr alatt apró, piros, tűhegynyi pontokként megjelenő </w:t>
      </w:r>
      <w:r w:rsidRPr="008D2CB3">
        <w:rPr>
          <w:szCs w:val="22"/>
          <w:lang w:val="et-EE"/>
        </w:rPr>
        <w:t xml:space="preserve">vérzéssel </w:t>
      </w:r>
      <w:r w:rsidR="00FA2675" w:rsidRPr="008D2CB3">
        <w:rPr>
          <w:szCs w:val="22"/>
        </w:rPr>
        <w:t>és</w:t>
      </w:r>
      <w:r w:rsidR="00FA2675" w:rsidRPr="008D2CB3">
        <w:rPr>
          <w:szCs w:val="22"/>
          <w:lang w:val="et-EE"/>
        </w:rPr>
        <w:t xml:space="preserve">/vagy zavartsággal, </w:t>
      </w:r>
      <w:r w:rsidRPr="008D2CB3">
        <w:rPr>
          <w:szCs w:val="22"/>
          <w:lang w:val="et-EE"/>
        </w:rPr>
        <w:t>akár nem</w:t>
      </w:r>
      <w:r w:rsidR="00FA2675" w:rsidRPr="008D2CB3">
        <w:rPr>
          <w:szCs w:val="22"/>
          <w:lang w:val="et-EE"/>
        </w:rPr>
        <w:t xml:space="preserve"> </w:t>
      </w:r>
      <w:r w:rsidRPr="008D2CB3">
        <w:rPr>
          <w:szCs w:val="22"/>
          <w:lang w:val="et-EE"/>
        </w:rPr>
        <w:t xml:space="preserve">(lásd </w:t>
      </w:r>
      <w:r w:rsidR="00FA2675" w:rsidRPr="008D2CB3">
        <w:rPr>
          <w:szCs w:val="22"/>
          <w:lang w:val="et-EE"/>
        </w:rPr>
        <w:t xml:space="preserve">2. pont </w:t>
      </w:r>
      <w:r w:rsidRPr="008D2CB3">
        <w:rPr>
          <w:szCs w:val="22"/>
          <w:lang w:val="et-EE"/>
        </w:rPr>
        <w:t>„</w:t>
      </w:r>
      <w:r w:rsidR="00B92DCE" w:rsidRPr="00F2144D">
        <w:rPr>
          <w:noProof/>
          <w:szCs w:val="24"/>
        </w:rPr>
        <w:t>Figyelmeztetések és óvintézkedések</w:t>
      </w:r>
      <w:r w:rsidRPr="008D2CB3">
        <w:rPr>
          <w:szCs w:val="22"/>
        </w:rPr>
        <w:t>”</w:t>
      </w:r>
      <w:r w:rsidRPr="008D2CB3">
        <w:rPr>
          <w:szCs w:val="22"/>
          <w:lang w:val="et-EE"/>
        </w:rPr>
        <w:t>)</w:t>
      </w:r>
      <w:r w:rsidR="00FA2675" w:rsidRPr="008D2CB3">
        <w:rPr>
          <w:szCs w:val="22"/>
          <w:lang w:val="et-EE"/>
        </w:rPr>
        <w:t>.</w:t>
      </w:r>
    </w:p>
    <w:p w:rsidR="00235DAD" w:rsidRPr="008D2CB3" w:rsidRDefault="00235DAD" w:rsidP="001E7729">
      <w:pPr>
        <w:numPr>
          <w:ilvl w:val="0"/>
          <w:numId w:val="39"/>
        </w:numPr>
        <w:tabs>
          <w:tab w:val="clear" w:pos="284"/>
          <w:tab w:val="num" w:pos="851"/>
        </w:tabs>
        <w:spacing w:line="260" w:lineRule="atLeast"/>
        <w:ind w:left="851" w:right="-29"/>
        <w:rPr>
          <w:szCs w:val="22"/>
        </w:rPr>
      </w:pPr>
      <w:r w:rsidRPr="008D2CB3">
        <w:rPr>
          <w:szCs w:val="22"/>
          <w:lang w:val="et-EE"/>
        </w:rPr>
        <w:t>Szájüregi duzzanat vagy bőrelváltozások, mint például kiütések, viszketés, hóly</w:t>
      </w:r>
      <w:r w:rsidR="00FA2675" w:rsidRPr="008D2CB3">
        <w:rPr>
          <w:szCs w:val="22"/>
          <w:lang w:val="et-EE"/>
        </w:rPr>
        <w:t>ag</w:t>
      </w:r>
      <w:r w:rsidRPr="008D2CB3">
        <w:rPr>
          <w:szCs w:val="22"/>
          <w:lang w:val="et-EE"/>
        </w:rPr>
        <w:t>os bőrelváltozások. Ezek allergiás reakciók tünetei lehetnek.</w:t>
      </w:r>
    </w:p>
    <w:p w:rsidR="00D54156" w:rsidRPr="008D2CB3" w:rsidRDefault="00D54156" w:rsidP="001E7729">
      <w:pPr>
        <w:spacing w:line="260" w:lineRule="atLeast"/>
        <w:ind w:right="-29"/>
        <w:rPr>
          <w:szCs w:val="22"/>
          <w:lang w:val="et-EE"/>
        </w:rPr>
      </w:pPr>
    </w:p>
    <w:p w:rsidR="00D54156" w:rsidRPr="008D2CB3" w:rsidRDefault="00D54156" w:rsidP="001E7729">
      <w:pPr>
        <w:spacing w:line="260" w:lineRule="atLeast"/>
        <w:ind w:right="-29"/>
        <w:rPr>
          <w:szCs w:val="22"/>
        </w:rPr>
      </w:pPr>
      <w:r w:rsidRPr="008D2CB3">
        <w:rPr>
          <w:b/>
          <w:szCs w:val="22"/>
        </w:rPr>
        <w:t>A</w:t>
      </w:r>
      <w:r w:rsidR="009B10E4" w:rsidRPr="008D2CB3">
        <w:rPr>
          <w:b/>
          <w:szCs w:val="22"/>
        </w:rPr>
        <w:t>z Iscover</w:t>
      </w:r>
      <w:r w:rsidRPr="008D2CB3">
        <w:rPr>
          <w:b/>
          <w:szCs w:val="22"/>
        </w:rPr>
        <w:t xml:space="preserve"> szedése során jelentkező leggyakoribb mellékhatás a vérzés. </w:t>
      </w:r>
      <w:r w:rsidRPr="008D2CB3">
        <w:rPr>
          <w:szCs w:val="22"/>
        </w:rPr>
        <w:t xml:space="preserve">A vérzés jelentkezhet gyomor vagy bélvérzés, </w:t>
      </w:r>
      <w:r w:rsidR="00753914" w:rsidRPr="008D2CB3">
        <w:rPr>
          <w:szCs w:val="22"/>
        </w:rPr>
        <w:t>bőrvérzés</w:t>
      </w:r>
      <w:r w:rsidRPr="008D2CB3">
        <w:rPr>
          <w:szCs w:val="22"/>
        </w:rPr>
        <w:t>, vérömleny (szokatlan vérzés vagy bőr alatti véraláfutás), orrvérzés, vérvizelés</w:t>
      </w:r>
      <w:r w:rsidR="00753914" w:rsidRPr="008D2CB3">
        <w:rPr>
          <w:szCs w:val="22"/>
        </w:rPr>
        <w:t xml:space="preserve"> formájában</w:t>
      </w:r>
      <w:r w:rsidRPr="008D2CB3">
        <w:rPr>
          <w:szCs w:val="22"/>
        </w:rPr>
        <w:t>, Néhány esetben a szem bevérzését, koponyaűri vérzést, tüdő- vagy ízületi vérzést jelentettek.</w:t>
      </w:r>
    </w:p>
    <w:p w:rsidR="00753914" w:rsidRPr="008D2CB3" w:rsidRDefault="00753914" w:rsidP="001E7729">
      <w:pPr>
        <w:spacing w:line="260" w:lineRule="atLeast"/>
        <w:ind w:right="-29"/>
        <w:rPr>
          <w:szCs w:val="22"/>
        </w:rPr>
      </w:pPr>
    </w:p>
    <w:p w:rsidR="00753914" w:rsidRPr="008D2CB3" w:rsidRDefault="00753914" w:rsidP="00D16754">
      <w:pPr>
        <w:keepNext/>
        <w:spacing w:line="260" w:lineRule="atLeast"/>
        <w:ind w:right="-28"/>
        <w:rPr>
          <w:b/>
          <w:szCs w:val="22"/>
        </w:rPr>
      </w:pPr>
      <w:r w:rsidRPr="008D2CB3">
        <w:rPr>
          <w:b/>
          <w:szCs w:val="22"/>
        </w:rPr>
        <w:t>Ha azt tapasztalja, hogy a</w:t>
      </w:r>
      <w:r w:rsidR="009B10E4" w:rsidRPr="008D2CB3">
        <w:rPr>
          <w:b/>
          <w:szCs w:val="22"/>
        </w:rPr>
        <w:t>z Iscover</w:t>
      </w:r>
      <w:r w:rsidRPr="008D2CB3">
        <w:rPr>
          <w:b/>
          <w:szCs w:val="22"/>
        </w:rPr>
        <w:t xml:space="preserve"> szedése közben hosszabb ideig tart a vérzés</w:t>
      </w:r>
    </w:p>
    <w:p w:rsidR="00FA2675" w:rsidRPr="008D2CB3" w:rsidRDefault="00FA2675" w:rsidP="00D16754">
      <w:pPr>
        <w:keepNext/>
        <w:spacing w:line="260" w:lineRule="atLeast"/>
        <w:ind w:right="-28"/>
        <w:rPr>
          <w:szCs w:val="22"/>
        </w:rPr>
      </w:pPr>
      <w:r w:rsidRPr="008D2CB3">
        <w:rPr>
          <w:szCs w:val="22"/>
        </w:rPr>
        <w:t xml:space="preserve">Ha megvágja magát vagy megsérül, a szokásosnál kicsit hosszabb ideig tarthat, hogy a vérzés elálljon. Ez a gyógyszer hatásával függ össze, mert az gátolja a vérrögök kialakulását. Kisebb vágások, sérülések esetén, pl. megvágja magát valamivel, akár borotválkozás közben is, ennek nincs különösebb jelentősége. Ugyanakkor, ha vérzése miatt aggódik, azonnal keresse fel kezelőorvosát </w:t>
      </w:r>
      <w:r w:rsidRPr="008D2CB3">
        <w:rPr>
          <w:szCs w:val="22"/>
          <w:lang w:val="et-EE"/>
        </w:rPr>
        <w:t>(lásd 2. pont „</w:t>
      </w:r>
      <w:r w:rsidR="00EB2ADF" w:rsidRPr="00F2144D">
        <w:rPr>
          <w:noProof/>
          <w:szCs w:val="24"/>
        </w:rPr>
        <w:t>Figyelmeztetések és óvintézkedések</w:t>
      </w:r>
      <w:r w:rsidRPr="008D2CB3">
        <w:rPr>
          <w:szCs w:val="22"/>
        </w:rPr>
        <w:t>”</w:t>
      </w:r>
      <w:r w:rsidRPr="008D2CB3">
        <w:rPr>
          <w:szCs w:val="22"/>
          <w:lang w:val="et-EE"/>
        </w:rPr>
        <w:t>)</w:t>
      </w:r>
      <w:r w:rsidRPr="008D2CB3">
        <w:rPr>
          <w:szCs w:val="22"/>
        </w:rPr>
        <w:t>.</w:t>
      </w:r>
    </w:p>
    <w:p w:rsidR="00A62B22" w:rsidRPr="008D2CB3" w:rsidRDefault="00A62B22" w:rsidP="001E7729">
      <w:pPr>
        <w:spacing w:line="260" w:lineRule="atLeast"/>
        <w:ind w:right="-29"/>
        <w:rPr>
          <w:b/>
          <w:szCs w:val="22"/>
        </w:rPr>
      </w:pPr>
    </w:p>
    <w:p w:rsidR="00E70583" w:rsidRPr="008D2CB3" w:rsidRDefault="00E70583" w:rsidP="001E7729">
      <w:pPr>
        <w:spacing w:line="260" w:lineRule="atLeast"/>
        <w:ind w:right="-29"/>
        <w:rPr>
          <w:b/>
          <w:szCs w:val="22"/>
        </w:rPr>
      </w:pPr>
      <w:r w:rsidRPr="008D2CB3">
        <w:rPr>
          <w:b/>
          <w:szCs w:val="22"/>
        </w:rPr>
        <w:t>A</w:t>
      </w:r>
      <w:r w:rsidR="009B10E4" w:rsidRPr="008D2CB3">
        <w:rPr>
          <w:b/>
          <w:szCs w:val="22"/>
        </w:rPr>
        <w:t xml:space="preserve">z </w:t>
      </w:r>
      <w:r w:rsidRPr="008D2CB3">
        <w:rPr>
          <w:b/>
          <w:szCs w:val="22"/>
        </w:rPr>
        <w:t>egyéb mellékhatások</w:t>
      </w:r>
      <w:r w:rsidR="00776C09">
        <w:rPr>
          <w:b/>
          <w:szCs w:val="22"/>
        </w:rPr>
        <w:t xml:space="preserve"> közé tartoznak</w:t>
      </w:r>
      <w:r w:rsidRPr="008D2CB3">
        <w:rPr>
          <w:b/>
          <w:szCs w:val="22"/>
        </w:rPr>
        <w:t>:</w:t>
      </w:r>
    </w:p>
    <w:p w:rsidR="00EB2ADF" w:rsidRDefault="00E70583" w:rsidP="001E7729">
      <w:r w:rsidRPr="008D2CB3">
        <w:rPr>
          <w:bCs/>
        </w:rPr>
        <w:t>Gyakori mellékhatások</w:t>
      </w:r>
      <w:r w:rsidR="00EB2ADF">
        <w:rPr>
          <w:bCs/>
        </w:rPr>
        <w:t xml:space="preserve"> (10 betegből legfeljebb 1-et érinthet)</w:t>
      </w:r>
      <w:r w:rsidRPr="008D2CB3">
        <w:t>:</w:t>
      </w:r>
    </w:p>
    <w:p w:rsidR="00E70583" w:rsidRPr="008D2CB3" w:rsidRDefault="00EB2ADF" w:rsidP="001E7729">
      <w:pPr>
        <w:rPr>
          <w:szCs w:val="22"/>
        </w:rPr>
      </w:pPr>
      <w:r>
        <w:rPr>
          <w:szCs w:val="22"/>
        </w:rPr>
        <w:t>H</w:t>
      </w:r>
      <w:r w:rsidR="00E70583" w:rsidRPr="008D2CB3">
        <w:rPr>
          <w:szCs w:val="22"/>
        </w:rPr>
        <w:t xml:space="preserve">asmenés, hasi fájdalom, emésztési zavar vagy gyomorégés. </w:t>
      </w:r>
    </w:p>
    <w:p w:rsidR="00E70583" w:rsidRPr="008D2CB3" w:rsidRDefault="00E70583" w:rsidP="001E7729">
      <w:pPr>
        <w:pStyle w:val="BodyText2"/>
        <w:rPr>
          <w:b w:val="0"/>
          <w:lang w:val="hu-HU"/>
        </w:rPr>
      </w:pPr>
    </w:p>
    <w:p w:rsidR="00EB2ADF" w:rsidRDefault="00E70583" w:rsidP="001E7729">
      <w:pPr>
        <w:pStyle w:val="BodyText2"/>
        <w:jc w:val="left"/>
        <w:rPr>
          <w:b w:val="0"/>
          <w:lang w:val="hu-HU"/>
        </w:rPr>
      </w:pPr>
      <w:r w:rsidRPr="008D2CB3">
        <w:rPr>
          <w:b w:val="0"/>
          <w:lang w:val="hu-HU"/>
        </w:rPr>
        <w:t>Nem gyakori mellékhatások</w:t>
      </w:r>
      <w:r w:rsidR="00EB2ADF">
        <w:rPr>
          <w:b w:val="0"/>
          <w:lang w:val="hu-HU"/>
        </w:rPr>
        <w:t xml:space="preserve"> </w:t>
      </w:r>
      <w:r w:rsidR="00EB2ADF" w:rsidRPr="00F2144D">
        <w:rPr>
          <w:b w:val="0"/>
          <w:bCs/>
          <w:lang w:val="hu-HU"/>
        </w:rPr>
        <w:t>(100 betegb</w:t>
      </w:r>
      <w:r w:rsidR="00EB2ADF">
        <w:rPr>
          <w:b w:val="0"/>
          <w:bCs/>
          <w:lang w:val="hu-HU"/>
        </w:rPr>
        <w:t>ő</w:t>
      </w:r>
      <w:r w:rsidR="00EB2ADF" w:rsidRPr="00F2144D">
        <w:rPr>
          <w:b w:val="0"/>
          <w:bCs/>
          <w:lang w:val="hu-HU"/>
        </w:rPr>
        <w:t>l legfeljebb 1-et érinthet)</w:t>
      </w:r>
      <w:r w:rsidRPr="008D2CB3">
        <w:rPr>
          <w:b w:val="0"/>
          <w:lang w:val="hu-HU"/>
        </w:rPr>
        <w:t>:</w:t>
      </w:r>
    </w:p>
    <w:p w:rsidR="00E70583" w:rsidRPr="008D2CB3" w:rsidRDefault="00EB2ADF" w:rsidP="001E7729">
      <w:pPr>
        <w:pStyle w:val="BodyText2"/>
        <w:jc w:val="left"/>
        <w:rPr>
          <w:b w:val="0"/>
          <w:lang w:val="hu-HU"/>
        </w:rPr>
      </w:pPr>
      <w:r>
        <w:rPr>
          <w:b w:val="0"/>
          <w:szCs w:val="22"/>
          <w:lang w:val="hu-HU"/>
        </w:rPr>
        <w:t>F</w:t>
      </w:r>
      <w:r w:rsidR="00E70583" w:rsidRPr="008D2CB3">
        <w:rPr>
          <w:b w:val="0"/>
          <w:szCs w:val="22"/>
          <w:lang w:val="hu-HU"/>
        </w:rPr>
        <w:t xml:space="preserve">ejfájás, gyomorfekély, hányás, hányinger, székrekedés, fokozott gázképződés a gyomorban és a belekben, bőrkiütés, viszketés, szédülés, </w:t>
      </w:r>
      <w:r w:rsidR="00FD41CB" w:rsidRPr="008D2CB3">
        <w:rPr>
          <w:b w:val="0"/>
          <w:szCs w:val="22"/>
          <w:lang w:val="hu-HU"/>
        </w:rPr>
        <w:t>bizsergés és zsibbadás-érzés</w:t>
      </w:r>
      <w:r w:rsidR="00E70583" w:rsidRPr="008D2CB3">
        <w:rPr>
          <w:b w:val="0"/>
          <w:szCs w:val="22"/>
          <w:lang w:val="hu-HU"/>
        </w:rPr>
        <w:t>.</w:t>
      </w:r>
    </w:p>
    <w:p w:rsidR="00E70583" w:rsidRPr="008D2CB3" w:rsidRDefault="00E70583" w:rsidP="001E7729">
      <w:pPr>
        <w:jc w:val="both"/>
        <w:rPr>
          <w:bCs/>
        </w:rPr>
      </w:pPr>
    </w:p>
    <w:p w:rsidR="00EB2ADF" w:rsidRDefault="00E70583" w:rsidP="001E7729">
      <w:pPr>
        <w:jc w:val="both"/>
      </w:pPr>
      <w:r w:rsidRPr="008D2CB3">
        <w:rPr>
          <w:bCs/>
        </w:rPr>
        <w:t>Ritka mellékhatások</w:t>
      </w:r>
      <w:r w:rsidR="00EB2ADF">
        <w:rPr>
          <w:bCs/>
        </w:rPr>
        <w:t xml:space="preserve"> </w:t>
      </w:r>
      <w:r w:rsidR="00EB2ADF" w:rsidRPr="00EB2ADF">
        <w:rPr>
          <w:bCs/>
        </w:rPr>
        <w:t>(1000 betegből legfeljebb 1-et érinthet)</w:t>
      </w:r>
      <w:r w:rsidRPr="00EB2ADF">
        <w:t>:</w:t>
      </w:r>
    </w:p>
    <w:p w:rsidR="00E70583" w:rsidRPr="008D2CB3" w:rsidRDefault="00EB2ADF" w:rsidP="001E7729">
      <w:pPr>
        <w:jc w:val="both"/>
        <w:rPr>
          <w:szCs w:val="22"/>
        </w:rPr>
      </w:pPr>
      <w:r>
        <w:rPr>
          <w:szCs w:val="22"/>
        </w:rPr>
        <w:t>F</w:t>
      </w:r>
      <w:r w:rsidR="00E70583" w:rsidRPr="008D2CB3">
        <w:rPr>
          <w:szCs w:val="22"/>
        </w:rPr>
        <w:t>orgó jellegű szédülés</w:t>
      </w:r>
      <w:r w:rsidR="00B6717C">
        <w:rPr>
          <w:szCs w:val="22"/>
        </w:rPr>
        <w:t>, a mell megnagyobbodása férfiaknál.</w:t>
      </w:r>
    </w:p>
    <w:p w:rsidR="00E70583" w:rsidRPr="008D2CB3" w:rsidRDefault="00E70583" w:rsidP="001E7729">
      <w:pPr>
        <w:jc w:val="both"/>
        <w:rPr>
          <w:szCs w:val="22"/>
        </w:rPr>
      </w:pPr>
    </w:p>
    <w:p w:rsidR="00EB2ADF" w:rsidRDefault="00E70583" w:rsidP="001E7729">
      <w:pPr>
        <w:rPr>
          <w:szCs w:val="22"/>
        </w:rPr>
      </w:pPr>
      <w:r w:rsidRPr="008D2CB3">
        <w:rPr>
          <w:szCs w:val="22"/>
        </w:rPr>
        <w:t>Nagyon ritka mellékhatások</w:t>
      </w:r>
      <w:r w:rsidR="00EB2ADF">
        <w:rPr>
          <w:szCs w:val="22"/>
        </w:rPr>
        <w:t xml:space="preserve"> </w:t>
      </w:r>
      <w:r w:rsidR="00EB2ADF" w:rsidRPr="00C737FF">
        <w:rPr>
          <w:bCs/>
        </w:rPr>
        <w:t>(10000 betegb</w:t>
      </w:r>
      <w:r w:rsidR="00EB2ADF">
        <w:rPr>
          <w:bCs/>
        </w:rPr>
        <w:t>ő</w:t>
      </w:r>
      <w:r w:rsidR="00EB2ADF" w:rsidRPr="00C737FF">
        <w:rPr>
          <w:bCs/>
        </w:rPr>
        <w:t>l legfeljebb 1-et érinthet</w:t>
      </w:r>
      <w:r w:rsidR="00EB2ADF">
        <w:rPr>
          <w:szCs w:val="22"/>
        </w:rPr>
        <w:t>)</w:t>
      </w:r>
      <w:r w:rsidRPr="008D2CB3">
        <w:rPr>
          <w:szCs w:val="22"/>
        </w:rPr>
        <w:t>:</w:t>
      </w:r>
    </w:p>
    <w:p w:rsidR="00E70583" w:rsidRPr="008D2CB3" w:rsidRDefault="00EB2ADF" w:rsidP="001E7729">
      <w:pPr>
        <w:rPr>
          <w:szCs w:val="22"/>
        </w:rPr>
      </w:pPr>
      <w:r>
        <w:rPr>
          <w:szCs w:val="22"/>
        </w:rPr>
        <w:t>S</w:t>
      </w:r>
      <w:r w:rsidR="00E70583" w:rsidRPr="008D2CB3">
        <w:rPr>
          <w:szCs w:val="22"/>
        </w:rPr>
        <w:t xml:space="preserve">árgaság, </w:t>
      </w:r>
      <w:r w:rsidR="00FA2675" w:rsidRPr="008D2CB3">
        <w:rPr>
          <w:szCs w:val="22"/>
        </w:rPr>
        <w:t>erős</w:t>
      </w:r>
      <w:r w:rsidR="00E70583" w:rsidRPr="008D2CB3">
        <w:rPr>
          <w:szCs w:val="22"/>
        </w:rPr>
        <w:t xml:space="preserve"> hasi fájdalom hátfájással, vagy anélkül, láz, esetenként köhögéssel</w:t>
      </w:r>
      <w:r w:rsidR="00FA2675" w:rsidRPr="008D2CB3">
        <w:rPr>
          <w:szCs w:val="22"/>
        </w:rPr>
        <w:t xml:space="preserve"> járó nehéz</w:t>
      </w:r>
      <w:r w:rsidR="00E70583" w:rsidRPr="008D2CB3">
        <w:rPr>
          <w:szCs w:val="22"/>
        </w:rPr>
        <w:t>légzés, testszerte jelentkező allergiás reakció</w:t>
      </w:r>
      <w:r w:rsidR="00FA2675" w:rsidRPr="008D2CB3">
        <w:rPr>
          <w:szCs w:val="22"/>
        </w:rPr>
        <w:t>k</w:t>
      </w:r>
      <w:r w:rsidR="00E70583" w:rsidRPr="008D2CB3">
        <w:rPr>
          <w:szCs w:val="22"/>
        </w:rPr>
        <w:t xml:space="preserve">, </w:t>
      </w:r>
      <w:r w:rsidR="00B55EB3" w:rsidRPr="002D3EFE">
        <w:rPr>
          <w:szCs w:val="22"/>
        </w:rPr>
        <w:t>(</w:t>
      </w:r>
      <w:r w:rsidR="00B55EB3">
        <w:rPr>
          <w:szCs w:val="22"/>
        </w:rPr>
        <w:t>például</w:t>
      </w:r>
      <w:r w:rsidR="00B55EB3" w:rsidRPr="002D3EFE">
        <w:rPr>
          <w:szCs w:val="22"/>
        </w:rPr>
        <w:t xml:space="preserve">, </w:t>
      </w:r>
      <w:r w:rsidR="00B55EB3">
        <w:rPr>
          <w:szCs w:val="22"/>
        </w:rPr>
        <w:t xml:space="preserve">általános melegség érzés, hirtelen kialakuló, </w:t>
      </w:r>
      <w:r w:rsidR="00CA0F29">
        <w:rPr>
          <w:szCs w:val="22"/>
        </w:rPr>
        <w:t xml:space="preserve">akár </w:t>
      </w:r>
      <w:r w:rsidR="00B55EB3">
        <w:rPr>
          <w:szCs w:val="22"/>
        </w:rPr>
        <w:t xml:space="preserve">ájuláshoz </w:t>
      </w:r>
      <w:r w:rsidR="00CA0F29">
        <w:rPr>
          <w:szCs w:val="22"/>
        </w:rPr>
        <w:t xml:space="preserve">is </w:t>
      </w:r>
      <w:r w:rsidR="00B55EB3">
        <w:rPr>
          <w:szCs w:val="22"/>
        </w:rPr>
        <w:t>vezető rossz közérzettel)</w:t>
      </w:r>
      <w:r w:rsidR="00862B5B">
        <w:rPr>
          <w:szCs w:val="22"/>
        </w:rPr>
        <w:t xml:space="preserve"> </w:t>
      </w:r>
      <w:r w:rsidR="00E70583" w:rsidRPr="008D2CB3">
        <w:rPr>
          <w:szCs w:val="22"/>
        </w:rPr>
        <w:t>szájüregi duzzanat</w:t>
      </w:r>
      <w:r w:rsidR="00EC5BE5" w:rsidRPr="008D2CB3">
        <w:rPr>
          <w:szCs w:val="22"/>
        </w:rPr>
        <w:t>,</w:t>
      </w:r>
      <w:r w:rsidR="00E70583" w:rsidRPr="008D2CB3">
        <w:rPr>
          <w:szCs w:val="22"/>
        </w:rPr>
        <w:t xml:space="preserve"> hólyagos bőrelváltozások, túlérzékenységi reakció a bőrön, szájnyálkahárty</w:t>
      </w:r>
      <w:r>
        <w:rPr>
          <w:szCs w:val="22"/>
        </w:rPr>
        <w:t>a</w:t>
      </w:r>
      <w:r w:rsidR="00E70583" w:rsidRPr="008D2CB3">
        <w:rPr>
          <w:szCs w:val="22"/>
        </w:rPr>
        <w:t xml:space="preserve"> gyulladás (sztomatitisz), vérnyomáscsökkenés, zavartság, hallucinációk, ízületi fájdalom, izomfájdalom, </w:t>
      </w:r>
      <w:r w:rsidR="00EC5BE5" w:rsidRPr="008D2CB3">
        <w:rPr>
          <w:szCs w:val="22"/>
        </w:rPr>
        <w:t xml:space="preserve">az </w:t>
      </w:r>
      <w:r w:rsidR="00E70583" w:rsidRPr="008D2CB3">
        <w:rPr>
          <w:szCs w:val="22"/>
        </w:rPr>
        <w:t>íz</w:t>
      </w:r>
      <w:r w:rsidR="002B0C14" w:rsidRPr="008D2CB3">
        <w:rPr>
          <w:szCs w:val="22"/>
        </w:rPr>
        <w:t xml:space="preserve">érzés </w:t>
      </w:r>
      <w:r w:rsidR="00EC5BE5" w:rsidRPr="008D2CB3">
        <w:rPr>
          <w:szCs w:val="22"/>
        </w:rPr>
        <w:t>meg</w:t>
      </w:r>
      <w:r w:rsidR="002B0C14" w:rsidRPr="008D2CB3">
        <w:rPr>
          <w:szCs w:val="22"/>
        </w:rPr>
        <w:t>változása</w:t>
      </w:r>
      <w:r w:rsidR="00371C16">
        <w:rPr>
          <w:szCs w:val="22"/>
        </w:rPr>
        <w:t xml:space="preserve"> vagy az ízérzés elvesztése</w:t>
      </w:r>
      <w:r w:rsidR="00E70583" w:rsidRPr="008D2CB3">
        <w:rPr>
          <w:szCs w:val="22"/>
        </w:rPr>
        <w:t>.</w:t>
      </w:r>
    </w:p>
    <w:p w:rsidR="00E70583" w:rsidRDefault="00E70583" w:rsidP="001E7729">
      <w:pPr>
        <w:rPr>
          <w:szCs w:val="22"/>
        </w:rPr>
      </w:pPr>
    </w:p>
    <w:p w:rsidR="00D239A0" w:rsidRDefault="00D239A0" w:rsidP="001E7729">
      <w:pPr>
        <w:tabs>
          <w:tab w:val="left" w:pos="540"/>
        </w:tabs>
        <w:rPr>
          <w:szCs w:val="22"/>
        </w:rPr>
      </w:pPr>
      <w:r>
        <w:rPr>
          <w:szCs w:val="22"/>
        </w:rPr>
        <w:t>Nem ismert gyakoriságú mellékhatások</w:t>
      </w:r>
      <w:r w:rsidRPr="001C452B">
        <w:rPr>
          <w:szCs w:val="22"/>
        </w:rPr>
        <w:t xml:space="preserve"> (</w:t>
      </w:r>
      <w:r>
        <w:rPr>
          <w:szCs w:val="22"/>
        </w:rPr>
        <w:t xml:space="preserve">a gyakoriság </w:t>
      </w:r>
      <w:r w:rsidRPr="00006C2D">
        <w:rPr>
          <w:noProof/>
        </w:rPr>
        <w:t>a rendelkezésre álló adatokból nem állapítható meg</w:t>
      </w:r>
      <w:r>
        <w:rPr>
          <w:noProof/>
        </w:rPr>
        <w:t>)</w:t>
      </w:r>
      <w:r w:rsidRPr="001C452B">
        <w:rPr>
          <w:szCs w:val="22"/>
        </w:rPr>
        <w:t xml:space="preserve">: </w:t>
      </w:r>
    </w:p>
    <w:p w:rsidR="00D239A0" w:rsidRDefault="00D239A0" w:rsidP="001E7729">
      <w:pPr>
        <w:tabs>
          <w:tab w:val="left" w:pos="540"/>
        </w:tabs>
        <w:rPr>
          <w:szCs w:val="22"/>
        </w:rPr>
      </w:pPr>
      <w:r>
        <w:rPr>
          <w:szCs w:val="22"/>
        </w:rPr>
        <w:t>Mellkasi és hasi fájdalommal járó túlérzékenységi reakciók</w:t>
      </w:r>
      <w:r w:rsidR="007A6066">
        <w:rPr>
          <w:szCs w:val="22"/>
        </w:rPr>
        <w:t>, állandó alacsony vércukorszint okozta tünetek</w:t>
      </w:r>
      <w:r>
        <w:rPr>
          <w:szCs w:val="22"/>
        </w:rPr>
        <w:t>.</w:t>
      </w:r>
    </w:p>
    <w:p w:rsidR="00D239A0" w:rsidRPr="008D2CB3" w:rsidRDefault="00D239A0" w:rsidP="001E7729">
      <w:pPr>
        <w:rPr>
          <w:szCs w:val="22"/>
        </w:rPr>
      </w:pPr>
    </w:p>
    <w:p w:rsidR="00E70583" w:rsidRPr="008D2CB3" w:rsidRDefault="00E70583" w:rsidP="001E7729">
      <w:pPr>
        <w:jc w:val="both"/>
        <w:rPr>
          <w:szCs w:val="22"/>
        </w:rPr>
      </w:pPr>
      <w:r w:rsidRPr="008D2CB3">
        <w:rPr>
          <w:szCs w:val="22"/>
        </w:rPr>
        <w:t>Emellett kezelőorvosa eltéréseket észlelhet a vér és vizeletvizsgálati eredményeiben.</w:t>
      </w:r>
    </w:p>
    <w:p w:rsidR="00122217" w:rsidRPr="008D2CB3" w:rsidRDefault="00122217" w:rsidP="001E7729">
      <w:pPr>
        <w:spacing w:line="260" w:lineRule="atLeast"/>
        <w:ind w:right="-29"/>
        <w:rPr>
          <w:szCs w:val="22"/>
        </w:rPr>
      </w:pPr>
    </w:p>
    <w:p w:rsidR="00900D5D" w:rsidRPr="00FD34F4" w:rsidRDefault="00900D5D" w:rsidP="001E7729">
      <w:pPr>
        <w:ind w:right="-29"/>
        <w:rPr>
          <w:b/>
          <w:bCs/>
        </w:rPr>
      </w:pPr>
      <w:r>
        <w:rPr>
          <w:b/>
          <w:bCs/>
        </w:rPr>
        <w:t>Mellékhatások bejelentése</w:t>
      </w:r>
    </w:p>
    <w:p w:rsidR="00122217" w:rsidRPr="008D2CB3" w:rsidRDefault="00122217" w:rsidP="001E7729">
      <w:pPr>
        <w:ind w:right="-2"/>
        <w:rPr>
          <w:szCs w:val="22"/>
        </w:rPr>
      </w:pPr>
      <w:r w:rsidRPr="008D2CB3">
        <w:rPr>
          <w:szCs w:val="22"/>
        </w:rPr>
        <w:t xml:space="preserve">Ha </w:t>
      </w:r>
      <w:r w:rsidR="00EB2ADF">
        <w:rPr>
          <w:szCs w:val="22"/>
        </w:rPr>
        <w:t xml:space="preserve">Önnél </w:t>
      </w:r>
      <w:r w:rsidRPr="008D2CB3">
        <w:rPr>
          <w:szCs w:val="22"/>
        </w:rPr>
        <w:t>bárm</w:t>
      </w:r>
      <w:r w:rsidR="00EB2ADF">
        <w:rPr>
          <w:szCs w:val="22"/>
        </w:rPr>
        <w:t>i</w:t>
      </w:r>
      <w:r w:rsidRPr="008D2CB3">
        <w:rPr>
          <w:szCs w:val="22"/>
        </w:rPr>
        <w:t>ly</w:t>
      </w:r>
      <w:r w:rsidR="00EB2ADF">
        <w:rPr>
          <w:szCs w:val="22"/>
        </w:rPr>
        <w:t>en</w:t>
      </w:r>
      <w:r w:rsidRPr="008D2CB3">
        <w:rPr>
          <w:szCs w:val="22"/>
        </w:rPr>
        <w:t xml:space="preserve"> mellékhatás </w:t>
      </w:r>
      <w:r w:rsidR="00EB2ADF">
        <w:rPr>
          <w:szCs w:val="22"/>
        </w:rPr>
        <w:t>jelentkezik, tájékoztassa kezelő</w:t>
      </w:r>
      <w:r w:rsidRPr="008D2CB3">
        <w:rPr>
          <w:szCs w:val="22"/>
        </w:rPr>
        <w:t>orvosát vagy gyógyszerészét.</w:t>
      </w:r>
      <w:r w:rsidR="00EB2ADF">
        <w:rPr>
          <w:szCs w:val="22"/>
        </w:rPr>
        <w:t xml:space="preserve">  </w:t>
      </w:r>
      <w:r w:rsidR="00EB2ADF" w:rsidRPr="00123EBC">
        <w:rPr>
          <w:noProof/>
          <w:szCs w:val="24"/>
        </w:rPr>
        <w:t>Ez</w:t>
      </w:r>
      <w:r w:rsidR="00EB2ADF" w:rsidRPr="00123EBC">
        <w:t xml:space="preserve"> a </w:t>
      </w:r>
      <w:r w:rsidR="00EB2ADF" w:rsidRPr="00883572">
        <w:t>betegtájékoztatóban</w:t>
      </w:r>
      <w:r w:rsidR="00EB2ADF" w:rsidRPr="00123EBC">
        <w:t xml:space="preserve"> </w:t>
      </w:r>
      <w:r w:rsidR="00EB2ADF" w:rsidRPr="00123EBC">
        <w:rPr>
          <w:noProof/>
          <w:szCs w:val="24"/>
        </w:rPr>
        <w:t>fel nem sorolt bármilyen lehetséges mellékhatásra is vonatkozik.</w:t>
      </w:r>
      <w:r w:rsidR="00900D5D" w:rsidRPr="00123EBC">
        <w:rPr>
          <w:noProof/>
          <w:szCs w:val="24"/>
        </w:rPr>
        <w:t xml:space="preserve"> </w:t>
      </w:r>
      <w:r w:rsidR="00900D5D" w:rsidRPr="00341F90">
        <w:t xml:space="preserve">A mellékhatásokat közvetlenül a hatóság részére is bejelentheti az </w:t>
      </w:r>
      <w:hyperlink r:id="rId13" w:history="1">
        <w:r w:rsidR="00900D5D" w:rsidRPr="00390456">
          <w:rPr>
            <w:rStyle w:val="Hyperlink"/>
            <w:highlight w:val="lightGray"/>
          </w:rPr>
          <w:t>V. függelékben</w:t>
        </w:r>
      </w:hyperlink>
      <w:r w:rsidR="00900D5D" w:rsidRPr="00130037">
        <w:rPr>
          <w:highlight w:val="lightGray"/>
        </w:rPr>
        <w:t xml:space="preserve"> található elérhetőségeken keresztül</w:t>
      </w:r>
      <w:r w:rsidR="00900D5D" w:rsidRPr="00341F90">
        <w:t>.</w:t>
      </w:r>
      <w:r w:rsidR="00D239A0">
        <w:t xml:space="preserve"> </w:t>
      </w:r>
      <w:r w:rsidR="00900D5D" w:rsidRPr="00341F90">
        <w:t>A mellékhatások bejelentésével Ön is hozzájárulhat ahhoz</w:t>
      </w:r>
      <w:r w:rsidR="00900D5D">
        <w:t>, hogy minél több információ álljon rendelkezésre a gyógyszer biztonságos alkalmazásával kapcsolatban.</w:t>
      </w:r>
    </w:p>
    <w:p w:rsidR="00122217" w:rsidRPr="008D2CB3" w:rsidRDefault="00122217" w:rsidP="001E7729">
      <w:pPr>
        <w:spacing w:line="260" w:lineRule="atLeast"/>
        <w:ind w:right="-2"/>
        <w:rPr>
          <w:szCs w:val="22"/>
        </w:rPr>
      </w:pPr>
    </w:p>
    <w:p w:rsidR="00122217" w:rsidRPr="008D2CB3" w:rsidRDefault="00122217" w:rsidP="001E7729">
      <w:pPr>
        <w:spacing w:line="260" w:lineRule="atLeast"/>
        <w:ind w:right="-2"/>
        <w:rPr>
          <w:szCs w:val="22"/>
        </w:rPr>
      </w:pPr>
    </w:p>
    <w:p w:rsidR="00122217" w:rsidRPr="008D2CB3" w:rsidRDefault="00122217" w:rsidP="001E7729">
      <w:pPr>
        <w:spacing w:line="260" w:lineRule="atLeast"/>
        <w:ind w:left="567" w:right="-2" w:hanging="567"/>
        <w:rPr>
          <w:b/>
          <w:szCs w:val="22"/>
        </w:rPr>
      </w:pPr>
      <w:r w:rsidRPr="008D2CB3">
        <w:rPr>
          <w:b/>
          <w:szCs w:val="22"/>
        </w:rPr>
        <w:t>5.</w:t>
      </w:r>
      <w:r w:rsidRPr="008D2CB3">
        <w:rPr>
          <w:b/>
          <w:szCs w:val="22"/>
        </w:rPr>
        <w:tab/>
      </w:r>
      <w:r w:rsidRPr="00F86A77">
        <w:rPr>
          <w:b/>
          <w:szCs w:val="22"/>
        </w:rPr>
        <w:t>Hogyan kell a</w:t>
      </w:r>
      <w:r w:rsidR="00EB2ADF">
        <w:rPr>
          <w:b/>
          <w:szCs w:val="22"/>
        </w:rPr>
        <w:t>z</w:t>
      </w:r>
      <w:r w:rsidR="009B10E4" w:rsidRPr="00F86A77">
        <w:rPr>
          <w:b/>
          <w:szCs w:val="22"/>
        </w:rPr>
        <w:t xml:space="preserve"> I</w:t>
      </w:r>
      <w:r w:rsidR="00EB2ADF">
        <w:rPr>
          <w:b/>
          <w:szCs w:val="22"/>
        </w:rPr>
        <w:t>scover-t tárolni</w:t>
      </w:r>
      <w:r w:rsidRPr="008D2CB3">
        <w:rPr>
          <w:b/>
          <w:caps/>
          <w:szCs w:val="22"/>
        </w:rPr>
        <w:t>?</w:t>
      </w:r>
    </w:p>
    <w:p w:rsidR="00122217" w:rsidRPr="008D2CB3" w:rsidRDefault="00122217" w:rsidP="001E7729">
      <w:pPr>
        <w:spacing w:line="260" w:lineRule="atLeast"/>
        <w:ind w:right="-2"/>
        <w:rPr>
          <w:szCs w:val="22"/>
        </w:rPr>
      </w:pPr>
    </w:p>
    <w:p w:rsidR="00122217" w:rsidRPr="008D2CB3" w:rsidRDefault="00122217" w:rsidP="001E7729">
      <w:pPr>
        <w:spacing w:line="260" w:lineRule="atLeast"/>
        <w:rPr>
          <w:szCs w:val="22"/>
        </w:rPr>
      </w:pPr>
      <w:r w:rsidRPr="008D2CB3">
        <w:rPr>
          <w:szCs w:val="22"/>
        </w:rPr>
        <w:t xml:space="preserve">A gyógyszer gyermekektől elzárva tartandó! </w:t>
      </w:r>
    </w:p>
    <w:p w:rsidR="00EB2ADF" w:rsidRDefault="00EB2ADF" w:rsidP="001E7729">
      <w:pPr>
        <w:rPr>
          <w:szCs w:val="22"/>
        </w:rPr>
      </w:pPr>
    </w:p>
    <w:p w:rsidR="00122217" w:rsidRPr="008D2CB3" w:rsidRDefault="00122217" w:rsidP="001E7729">
      <w:pPr>
        <w:rPr>
          <w:szCs w:val="22"/>
        </w:rPr>
      </w:pPr>
      <w:r w:rsidRPr="008D2CB3">
        <w:rPr>
          <w:szCs w:val="22"/>
        </w:rPr>
        <w:t>A dobozon és a buborék</w:t>
      </w:r>
      <w:r w:rsidR="005A2198" w:rsidRPr="008D2CB3">
        <w:rPr>
          <w:szCs w:val="22"/>
        </w:rPr>
        <w:t>csomagoláson</w:t>
      </w:r>
      <w:r w:rsidRPr="008D2CB3">
        <w:rPr>
          <w:szCs w:val="22"/>
        </w:rPr>
        <w:t xml:space="preserve"> feltüntetett lejárati idő </w:t>
      </w:r>
      <w:r w:rsidR="00EB2ADF">
        <w:rPr>
          <w:szCs w:val="22"/>
        </w:rPr>
        <w:t>(</w:t>
      </w:r>
      <w:r w:rsidR="00CA0F29">
        <w:rPr>
          <w:szCs w:val="22"/>
        </w:rPr>
        <w:t xml:space="preserve">Felhasználható, </w:t>
      </w:r>
      <w:r w:rsidR="00EB2ADF">
        <w:rPr>
          <w:szCs w:val="22"/>
        </w:rPr>
        <w:t>Felh.</w:t>
      </w:r>
      <w:r w:rsidR="00CA0F29">
        <w:rPr>
          <w:szCs w:val="22"/>
        </w:rPr>
        <w:t>:</w:t>
      </w:r>
      <w:r w:rsidR="00EB2ADF">
        <w:rPr>
          <w:szCs w:val="22"/>
        </w:rPr>
        <w:t xml:space="preserve">) </w:t>
      </w:r>
      <w:r w:rsidRPr="008D2CB3">
        <w:rPr>
          <w:szCs w:val="22"/>
        </w:rPr>
        <w:t>után ne szedje a</w:t>
      </w:r>
      <w:r w:rsidR="00EB2ADF">
        <w:rPr>
          <w:szCs w:val="22"/>
        </w:rPr>
        <w:t xml:space="preserve"> gyógyszert</w:t>
      </w:r>
      <w:r w:rsidRPr="008D2CB3">
        <w:rPr>
          <w:szCs w:val="22"/>
        </w:rPr>
        <w:t>.</w:t>
      </w:r>
      <w:r w:rsidR="00EB2ADF" w:rsidRPr="00123EBC">
        <w:t xml:space="preserve"> A </w:t>
      </w:r>
      <w:r w:rsidR="00EB2ADF" w:rsidRPr="00883572">
        <w:t xml:space="preserve">lejárati idő </w:t>
      </w:r>
      <w:r w:rsidR="00EB2ADF" w:rsidRPr="00883572">
        <w:rPr>
          <w:noProof/>
          <w:szCs w:val="24"/>
        </w:rPr>
        <w:t>az adott</w:t>
      </w:r>
      <w:r w:rsidR="00EB2ADF" w:rsidRPr="00883572">
        <w:t xml:space="preserve"> hónap utolsó napjára vonatkozik</w:t>
      </w:r>
      <w:r w:rsidR="00EB2ADF" w:rsidRPr="00123EBC">
        <w:t>.</w:t>
      </w:r>
    </w:p>
    <w:p w:rsidR="00E65EEE" w:rsidRPr="008D2CB3" w:rsidRDefault="00E65EEE" w:rsidP="001E7729">
      <w:pPr>
        <w:rPr>
          <w:szCs w:val="22"/>
        </w:rPr>
      </w:pPr>
    </w:p>
    <w:p w:rsidR="0014064D" w:rsidRPr="008D2CB3" w:rsidRDefault="0014064D" w:rsidP="001E7729">
      <w:pPr>
        <w:keepNext/>
        <w:rPr>
          <w:szCs w:val="22"/>
        </w:rPr>
      </w:pPr>
      <w:r w:rsidRPr="008D2CB3">
        <w:rPr>
          <w:szCs w:val="22"/>
        </w:rPr>
        <w:t>Kérjük, a tárolási körülményekre vonatkozóan olvassa el a dobozon feltüntetett információkat.</w:t>
      </w:r>
    </w:p>
    <w:p w:rsidR="00E65EEE" w:rsidRPr="008D2CB3" w:rsidRDefault="00E65EEE" w:rsidP="001E7729">
      <w:pPr>
        <w:rPr>
          <w:szCs w:val="22"/>
        </w:rPr>
      </w:pPr>
      <w:r w:rsidRPr="008D2CB3">
        <w:rPr>
          <w:szCs w:val="22"/>
        </w:rPr>
        <w:t>Ha a</w:t>
      </w:r>
      <w:r w:rsidR="009B10E4" w:rsidRPr="008D2CB3">
        <w:rPr>
          <w:szCs w:val="22"/>
        </w:rPr>
        <w:t>z Iscover</w:t>
      </w:r>
      <w:r w:rsidR="00F6665F" w:rsidRPr="008D2CB3">
        <w:rPr>
          <w:szCs w:val="22"/>
        </w:rPr>
        <w:t xml:space="preserve"> </w:t>
      </w:r>
      <w:r w:rsidR="00F6665F" w:rsidRPr="008D2CB3">
        <w:rPr>
          <w:bCs/>
          <w:szCs w:val="22"/>
        </w:rPr>
        <w:t xml:space="preserve">PVC/PVDC/Alu </w:t>
      </w:r>
      <w:r w:rsidR="001970B3" w:rsidRPr="008D2CB3">
        <w:t>buborék</w:t>
      </w:r>
      <w:r w:rsidR="005A2198" w:rsidRPr="008D2CB3">
        <w:t>csomagolásba</w:t>
      </w:r>
      <w:r w:rsidR="001970B3" w:rsidRPr="008D2CB3">
        <w:t xml:space="preserve"> csomagolt, legfeljebb </w:t>
      </w:r>
      <w:r w:rsidR="001970B3" w:rsidRPr="008D2CB3">
        <w:rPr>
          <w:szCs w:val="22"/>
        </w:rPr>
        <w:t>30°C-on tárolandó.</w:t>
      </w:r>
    </w:p>
    <w:p w:rsidR="00122217" w:rsidRPr="008D2CB3" w:rsidRDefault="001970B3" w:rsidP="001E7729">
      <w:pPr>
        <w:rPr>
          <w:szCs w:val="22"/>
        </w:rPr>
      </w:pPr>
      <w:r w:rsidRPr="008D2CB3">
        <w:rPr>
          <w:szCs w:val="22"/>
        </w:rPr>
        <w:t>Ha a</w:t>
      </w:r>
      <w:r w:rsidR="009B10E4" w:rsidRPr="008D2CB3">
        <w:rPr>
          <w:szCs w:val="22"/>
        </w:rPr>
        <w:t>z Iscover</w:t>
      </w:r>
      <w:r w:rsidRPr="008D2CB3">
        <w:rPr>
          <w:szCs w:val="22"/>
        </w:rPr>
        <w:t xml:space="preserve"> </w:t>
      </w:r>
      <w:r w:rsidRPr="008D2CB3">
        <w:rPr>
          <w:bCs/>
          <w:szCs w:val="22"/>
        </w:rPr>
        <w:t xml:space="preserve">Alu/Alu </w:t>
      </w:r>
      <w:r w:rsidRPr="008D2CB3">
        <w:t>buborék</w:t>
      </w:r>
      <w:r w:rsidR="005A2198" w:rsidRPr="008D2CB3">
        <w:t>csomagolásba</w:t>
      </w:r>
      <w:r w:rsidRPr="008D2CB3">
        <w:t xml:space="preserve"> csomagolt, </w:t>
      </w:r>
      <w:r w:rsidR="00C01DC5" w:rsidRPr="008D2CB3">
        <w:rPr>
          <w:szCs w:val="22"/>
        </w:rPr>
        <w:t>nem igényel k</w:t>
      </w:r>
      <w:r w:rsidR="00122217" w:rsidRPr="008D2CB3">
        <w:rPr>
          <w:szCs w:val="22"/>
        </w:rPr>
        <w:t>ülönleges tárolást.</w:t>
      </w:r>
    </w:p>
    <w:p w:rsidR="00EB2ADF" w:rsidRDefault="00EB2ADF" w:rsidP="001E7729">
      <w:pPr>
        <w:tabs>
          <w:tab w:val="left" w:pos="0"/>
        </w:tabs>
        <w:jc w:val="both"/>
        <w:rPr>
          <w:szCs w:val="22"/>
        </w:rPr>
      </w:pPr>
    </w:p>
    <w:p w:rsidR="00122217" w:rsidRPr="008D2CB3" w:rsidRDefault="00122217" w:rsidP="001E7729">
      <w:pPr>
        <w:tabs>
          <w:tab w:val="left" w:pos="0"/>
        </w:tabs>
        <w:jc w:val="both"/>
        <w:rPr>
          <w:szCs w:val="22"/>
        </w:rPr>
      </w:pPr>
      <w:r w:rsidRPr="008D2CB3">
        <w:rPr>
          <w:szCs w:val="22"/>
        </w:rPr>
        <w:t>Ne alkalmazza a</w:t>
      </w:r>
      <w:r w:rsidR="00EB2ADF">
        <w:rPr>
          <w:szCs w:val="22"/>
        </w:rPr>
        <w:t xml:space="preserve"> gyógyszert</w:t>
      </w:r>
      <w:r w:rsidRPr="008D2CB3">
        <w:rPr>
          <w:szCs w:val="22"/>
        </w:rPr>
        <w:t xml:space="preserve">, ha a bomlás látható jeleit észleli. </w:t>
      </w:r>
    </w:p>
    <w:p w:rsidR="00122217" w:rsidRPr="008D2CB3" w:rsidRDefault="00122217" w:rsidP="001E7729">
      <w:pPr>
        <w:tabs>
          <w:tab w:val="left" w:pos="0"/>
        </w:tabs>
        <w:jc w:val="both"/>
        <w:rPr>
          <w:szCs w:val="22"/>
        </w:rPr>
      </w:pPr>
    </w:p>
    <w:p w:rsidR="00122217" w:rsidRPr="008D2CB3" w:rsidRDefault="00EB2ADF" w:rsidP="001E7729">
      <w:pPr>
        <w:tabs>
          <w:tab w:val="left" w:pos="0"/>
        </w:tabs>
        <w:jc w:val="both"/>
        <w:rPr>
          <w:szCs w:val="22"/>
        </w:rPr>
      </w:pPr>
      <w:r>
        <w:rPr>
          <w:noProof/>
          <w:szCs w:val="22"/>
        </w:rPr>
        <w:t>Semmilyen</w:t>
      </w:r>
      <w:r w:rsidR="00122217" w:rsidRPr="008D2CB3">
        <w:rPr>
          <w:noProof/>
          <w:szCs w:val="22"/>
        </w:rPr>
        <w:t xml:space="preserve"> gyógyszert ne</w:t>
      </w:r>
      <w:r>
        <w:rPr>
          <w:noProof/>
          <w:szCs w:val="22"/>
        </w:rPr>
        <w:t xml:space="preserve"> dobjon</w:t>
      </w:r>
      <w:r w:rsidR="00122217" w:rsidRPr="008D2CB3">
        <w:rPr>
          <w:noProof/>
          <w:szCs w:val="22"/>
        </w:rPr>
        <w:t xml:space="preserve"> a szennyvíz</w:t>
      </w:r>
      <w:r>
        <w:rPr>
          <w:noProof/>
          <w:szCs w:val="22"/>
        </w:rPr>
        <w:t>be</w:t>
      </w:r>
      <w:r w:rsidR="00122217" w:rsidRPr="008D2CB3">
        <w:rPr>
          <w:noProof/>
          <w:szCs w:val="22"/>
        </w:rPr>
        <w:t xml:space="preserve"> vagy a háztartási hulladék</w:t>
      </w:r>
      <w:r>
        <w:rPr>
          <w:noProof/>
          <w:szCs w:val="22"/>
        </w:rPr>
        <w:t>ba</w:t>
      </w:r>
      <w:r w:rsidR="00122217" w:rsidRPr="008D2CB3">
        <w:rPr>
          <w:noProof/>
          <w:szCs w:val="22"/>
        </w:rPr>
        <w:t xml:space="preserve">. Kérdezze meg gyógyszerészét, hogy </w:t>
      </w:r>
      <w:r>
        <w:rPr>
          <w:noProof/>
          <w:szCs w:val="22"/>
        </w:rPr>
        <w:t>mit tegyen a már nem használt gyógyszereivel</w:t>
      </w:r>
      <w:r w:rsidR="00122217" w:rsidRPr="008D2CB3">
        <w:rPr>
          <w:noProof/>
          <w:szCs w:val="22"/>
        </w:rPr>
        <w:t>. Ezek az intézkedések elősegítik a környezet védelmét</w:t>
      </w:r>
      <w:r w:rsidR="003E5046" w:rsidRPr="008D2CB3">
        <w:rPr>
          <w:noProof/>
          <w:szCs w:val="22"/>
        </w:rPr>
        <w:t>.</w:t>
      </w:r>
    </w:p>
    <w:p w:rsidR="00122217" w:rsidRPr="008D2CB3" w:rsidRDefault="00122217" w:rsidP="001E7729">
      <w:pPr>
        <w:tabs>
          <w:tab w:val="left" w:pos="0"/>
        </w:tabs>
        <w:jc w:val="both"/>
        <w:rPr>
          <w:szCs w:val="22"/>
        </w:rPr>
      </w:pPr>
    </w:p>
    <w:p w:rsidR="00122217" w:rsidRPr="008D2CB3" w:rsidRDefault="00122217" w:rsidP="001E7729">
      <w:pPr>
        <w:tabs>
          <w:tab w:val="left" w:pos="0"/>
        </w:tabs>
        <w:jc w:val="both"/>
        <w:rPr>
          <w:szCs w:val="22"/>
        </w:rPr>
      </w:pPr>
    </w:p>
    <w:p w:rsidR="00122217" w:rsidRPr="008D2CB3" w:rsidRDefault="00122217" w:rsidP="001E7729">
      <w:pPr>
        <w:keepNext/>
        <w:rPr>
          <w:b/>
          <w:bCs/>
          <w:szCs w:val="22"/>
        </w:rPr>
      </w:pPr>
      <w:r w:rsidRPr="008D2CB3">
        <w:rPr>
          <w:b/>
          <w:bCs/>
          <w:szCs w:val="22"/>
        </w:rPr>
        <w:t>6.</w:t>
      </w:r>
      <w:r w:rsidRPr="008D2CB3">
        <w:rPr>
          <w:b/>
          <w:bCs/>
          <w:szCs w:val="22"/>
        </w:rPr>
        <w:tab/>
      </w:r>
      <w:r w:rsidR="00EB2ADF" w:rsidRPr="00EB2ADF">
        <w:rPr>
          <w:b/>
          <w:bCs/>
          <w:szCs w:val="22"/>
        </w:rPr>
        <w:t xml:space="preserve"> </w:t>
      </w:r>
      <w:r w:rsidR="00EB2ADF">
        <w:rPr>
          <w:b/>
          <w:bCs/>
          <w:szCs w:val="22"/>
        </w:rPr>
        <w:t>A csomagolás tartalma és egyéb információk</w:t>
      </w:r>
    </w:p>
    <w:p w:rsidR="00122217" w:rsidRPr="008D2CB3" w:rsidRDefault="00122217" w:rsidP="001E7729">
      <w:pPr>
        <w:keepNext/>
        <w:jc w:val="both"/>
        <w:rPr>
          <w:szCs w:val="22"/>
        </w:rPr>
      </w:pPr>
    </w:p>
    <w:p w:rsidR="00122217" w:rsidRPr="008D2CB3" w:rsidRDefault="00122217" w:rsidP="001E7729">
      <w:pPr>
        <w:keepNext/>
        <w:rPr>
          <w:b/>
          <w:szCs w:val="22"/>
        </w:rPr>
      </w:pPr>
      <w:r w:rsidRPr="008D2CB3">
        <w:rPr>
          <w:b/>
          <w:szCs w:val="22"/>
        </w:rPr>
        <w:t>Mit tartalmaz a</w:t>
      </w:r>
      <w:r w:rsidR="009B10E4" w:rsidRPr="008D2CB3">
        <w:rPr>
          <w:b/>
          <w:szCs w:val="22"/>
        </w:rPr>
        <w:t>z Iscover</w:t>
      </w:r>
      <w:r w:rsidR="007A6066">
        <w:rPr>
          <w:b/>
          <w:szCs w:val="22"/>
        </w:rPr>
        <w:t>?</w:t>
      </w:r>
    </w:p>
    <w:p w:rsidR="00122217" w:rsidRPr="008D2CB3" w:rsidRDefault="00122217" w:rsidP="001E7729">
      <w:pPr>
        <w:rPr>
          <w:szCs w:val="22"/>
        </w:rPr>
      </w:pPr>
      <w:r w:rsidRPr="008D2CB3">
        <w:rPr>
          <w:szCs w:val="22"/>
        </w:rPr>
        <w:t xml:space="preserve">A készítmény hatóanyaga a klopidogrél. Minden tabletta 75 mg klopidogrélt </w:t>
      </w:r>
      <w:r w:rsidR="0075140C" w:rsidRPr="008D2CB3">
        <w:rPr>
          <w:szCs w:val="22"/>
        </w:rPr>
        <w:t xml:space="preserve">(hidrogén-szulfát formájában) </w:t>
      </w:r>
      <w:r w:rsidRPr="008D2CB3">
        <w:rPr>
          <w:szCs w:val="22"/>
        </w:rPr>
        <w:t>tartalmaz.</w:t>
      </w:r>
    </w:p>
    <w:p w:rsidR="00122217" w:rsidRPr="008D2CB3" w:rsidRDefault="00122217" w:rsidP="001E7729">
      <w:pPr>
        <w:rPr>
          <w:szCs w:val="22"/>
        </w:rPr>
      </w:pPr>
    </w:p>
    <w:p w:rsidR="00AF7925" w:rsidRPr="008D2CB3" w:rsidRDefault="00122217" w:rsidP="001E7729">
      <w:pPr>
        <w:rPr>
          <w:szCs w:val="22"/>
        </w:rPr>
      </w:pPr>
      <w:r w:rsidRPr="008D2CB3">
        <w:rPr>
          <w:szCs w:val="22"/>
        </w:rPr>
        <w:t>Egyéb összetevők</w:t>
      </w:r>
      <w:r w:rsidR="00EB2ADF">
        <w:rPr>
          <w:szCs w:val="22"/>
        </w:rPr>
        <w:t xml:space="preserve"> (lásd 2.</w:t>
      </w:r>
      <w:r w:rsidR="00A50526">
        <w:rPr>
          <w:szCs w:val="22"/>
        </w:rPr>
        <w:t> </w:t>
      </w:r>
      <w:r w:rsidR="00EB2ADF">
        <w:rPr>
          <w:szCs w:val="22"/>
        </w:rPr>
        <w:t>pont</w:t>
      </w:r>
      <w:r w:rsidR="00ED6D59">
        <w:rPr>
          <w:szCs w:val="22"/>
        </w:rPr>
        <w:t xml:space="preserve"> „</w:t>
      </w:r>
      <w:r w:rsidR="00EB2ADF" w:rsidRPr="002F1601">
        <w:rPr>
          <w:noProof/>
          <w:szCs w:val="22"/>
        </w:rPr>
        <w:t>A</w:t>
      </w:r>
      <w:r w:rsidR="00EB2ADF">
        <w:rPr>
          <w:noProof/>
          <w:szCs w:val="22"/>
        </w:rPr>
        <w:t xml:space="preserve">z Iscover </w:t>
      </w:r>
      <w:r w:rsidR="00EB2ADF" w:rsidRPr="002F1601">
        <w:rPr>
          <w:noProof/>
          <w:szCs w:val="22"/>
        </w:rPr>
        <w:t>laktózt tartalmaz</w:t>
      </w:r>
      <w:r w:rsidR="00ED6D59">
        <w:rPr>
          <w:noProof/>
          <w:szCs w:val="22"/>
        </w:rPr>
        <w:t>”</w:t>
      </w:r>
      <w:r w:rsidR="00EB2ADF">
        <w:rPr>
          <w:noProof/>
          <w:szCs w:val="22"/>
        </w:rPr>
        <w:t xml:space="preserve"> és</w:t>
      </w:r>
      <w:r w:rsidR="00ED6D59">
        <w:rPr>
          <w:noProof/>
          <w:szCs w:val="22"/>
        </w:rPr>
        <w:t xml:space="preserve"> „</w:t>
      </w:r>
      <w:r w:rsidR="00EB2ADF" w:rsidRPr="002F1601">
        <w:rPr>
          <w:noProof/>
          <w:szCs w:val="22"/>
        </w:rPr>
        <w:t>A</w:t>
      </w:r>
      <w:r w:rsidR="002844B0">
        <w:rPr>
          <w:noProof/>
          <w:szCs w:val="22"/>
        </w:rPr>
        <w:t>z</w:t>
      </w:r>
      <w:r w:rsidR="00EB2ADF">
        <w:rPr>
          <w:noProof/>
          <w:szCs w:val="22"/>
        </w:rPr>
        <w:t xml:space="preserve"> </w:t>
      </w:r>
      <w:r w:rsidR="002844B0">
        <w:rPr>
          <w:noProof/>
          <w:szCs w:val="22"/>
        </w:rPr>
        <w:t>Iscover</w:t>
      </w:r>
      <w:r w:rsidR="00EB2ADF" w:rsidRPr="002F1601">
        <w:rPr>
          <w:noProof/>
          <w:szCs w:val="22"/>
        </w:rPr>
        <w:t xml:space="preserve"> hidrogénezett ricinusolajat is tartalmaz</w:t>
      </w:r>
      <w:r w:rsidR="00ED6D59">
        <w:rPr>
          <w:noProof/>
          <w:szCs w:val="22"/>
        </w:rPr>
        <w:t>”</w:t>
      </w:r>
      <w:r w:rsidR="00EB2ADF">
        <w:rPr>
          <w:noProof/>
          <w:szCs w:val="22"/>
        </w:rPr>
        <w:t>)</w:t>
      </w:r>
      <w:r w:rsidRPr="008D2CB3">
        <w:rPr>
          <w:szCs w:val="22"/>
        </w:rPr>
        <w:t xml:space="preserve">: </w:t>
      </w:r>
    </w:p>
    <w:p w:rsidR="00AF7925" w:rsidRPr="008D2CB3" w:rsidRDefault="00AF7925" w:rsidP="001E7729">
      <w:pPr>
        <w:keepNext/>
        <w:numPr>
          <w:ilvl w:val="0"/>
          <w:numId w:val="59"/>
        </w:numPr>
        <w:tabs>
          <w:tab w:val="clear" w:pos="750"/>
          <w:tab w:val="left" w:pos="426"/>
          <w:tab w:val="num" w:pos="1134"/>
        </w:tabs>
        <w:ind w:left="1134" w:hanging="708"/>
        <w:rPr>
          <w:szCs w:val="22"/>
        </w:rPr>
      </w:pPr>
      <w:r w:rsidRPr="008D2CB3">
        <w:rPr>
          <w:szCs w:val="22"/>
        </w:rPr>
        <w:t>Tablettamag: mannit (E421), hidrogénezett ricinusolaj, mikrokristályos cellulóz, makrogol 6000 és kismértékben szubsztituált hidroxi-propilcellulóz</w:t>
      </w:r>
    </w:p>
    <w:p w:rsidR="00AF7925" w:rsidRPr="008D2CB3" w:rsidRDefault="00AF7925" w:rsidP="001E7729">
      <w:pPr>
        <w:keepNext/>
        <w:numPr>
          <w:ilvl w:val="0"/>
          <w:numId w:val="59"/>
        </w:numPr>
        <w:tabs>
          <w:tab w:val="clear" w:pos="750"/>
          <w:tab w:val="left" w:pos="426"/>
          <w:tab w:val="num" w:pos="1134"/>
        </w:tabs>
        <w:ind w:left="1134" w:hanging="708"/>
        <w:rPr>
          <w:szCs w:val="22"/>
        </w:rPr>
      </w:pPr>
      <w:r w:rsidRPr="008D2CB3">
        <w:rPr>
          <w:szCs w:val="22"/>
        </w:rPr>
        <w:t>Bevonat: laktóz (tejcukor), hipromellóz (E464), triacetin (E1518), vörös vas-oxid (E172), titán-dioxid (E171)</w:t>
      </w:r>
    </w:p>
    <w:p w:rsidR="00AF7925" w:rsidRPr="008D2CB3" w:rsidRDefault="00AF7925" w:rsidP="001E7729">
      <w:pPr>
        <w:keepNext/>
        <w:numPr>
          <w:ilvl w:val="0"/>
          <w:numId w:val="59"/>
        </w:numPr>
        <w:tabs>
          <w:tab w:val="clear" w:pos="750"/>
          <w:tab w:val="left" w:pos="426"/>
          <w:tab w:val="num" w:pos="1134"/>
        </w:tabs>
        <w:ind w:left="1134" w:hanging="708"/>
        <w:rPr>
          <w:szCs w:val="22"/>
        </w:rPr>
      </w:pPr>
      <w:r w:rsidRPr="008D2CB3">
        <w:rPr>
          <w:szCs w:val="22"/>
        </w:rPr>
        <w:t>Fényesítő anyag: karnauba viasz</w:t>
      </w:r>
    </w:p>
    <w:p w:rsidR="00122217" w:rsidRPr="008D2CB3" w:rsidRDefault="00122217" w:rsidP="001E7729">
      <w:pPr>
        <w:keepNext/>
        <w:ind w:left="927"/>
        <w:rPr>
          <w:szCs w:val="22"/>
        </w:rPr>
      </w:pPr>
    </w:p>
    <w:p w:rsidR="00122217" w:rsidRPr="008D2CB3" w:rsidRDefault="00122217" w:rsidP="001E7729">
      <w:pPr>
        <w:rPr>
          <w:b/>
          <w:szCs w:val="22"/>
        </w:rPr>
      </w:pPr>
      <w:r w:rsidRPr="008D2CB3">
        <w:rPr>
          <w:b/>
          <w:szCs w:val="22"/>
        </w:rPr>
        <w:t>Milyen a</w:t>
      </w:r>
      <w:r w:rsidR="009B10E4" w:rsidRPr="008D2CB3">
        <w:rPr>
          <w:b/>
          <w:szCs w:val="22"/>
        </w:rPr>
        <w:t>z Iscover</w:t>
      </w:r>
      <w:r w:rsidRPr="008D2CB3">
        <w:rPr>
          <w:b/>
          <w:szCs w:val="22"/>
        </w:rPr>
        <w:t xml:space="preserve"> külleme és mit tartalmaz a csomagolás</w:t>
      </w:r>
      <w:r w:rsidR="007A6066">
        <w:rPr>
          <w:b/>
          <w:szCs w:val="22"/>
        </w:rPr>
        <w:t>?</w:t>
      </w:r>
    </w:p>
    <w:p w:rsidR="00122217" w:rsidRPr="008D2CB3" w:rsidRDefault="00122217" w:rsidP="001E7729">
      <w:pPr>
        <w:rPr>
          <w:b/>
          <w:szCs w:val="22"/>
        </w:rPr>
      </w:pPr>
    </w:p>
    <w:p w:rsidR="00122217" w:rsidRPr="008D2CB3" w:rsidRDefault="00122217" w:rsidP="001E7729">
      <w:r w:rsidRPr="008D2CB3">
        <w:t>A</w:t>
      </w:r>
      <w:r w:rsidR="009B10E4" w:rsidRPr="008D2CB3">
        <w:t>z Iscover</w:t>
      </w:r>
      <w:r w:rsidRPr="008D2CB3">
        <w:t xml:space="preserve"> 75 mg filmtabletta </w:t>
      </w:r>
      <w:r w:rsidR="00594D18" w:rsidRPr="008D2CB3">
        <w:rPr>
          <w:szCs w:val="22"/>
        </w:rPr>
        <w:t>r</w:t>
      </w:r>
      <w:r w:rsidR="00F16C54" w:rsidRPr="008D2CB3">
        <w:rPr>
          <w:szCs w:val="22"/>
        </w:rPr>
        <w:t xml:space="preserve">ózsaszín, kerek, </w:t>
      </w:r>
      <w:r w:rsidR="00EC5BE5" w:rsidRPr="008D2CB3">
        <w:rPr>
          <w:szCs w:val="22"/>
        </w:rPr>
        <w:t xml:space="preserve">mindkét oldalán domború, </w:t>
      </w:r>
      <w:r w:rsidR="00F16C54" w:rsidRPr="008D2CB3">
        <w:rPr>
          <w:szCs w:val="22"/>
        </w:rPr>
        <w:t>egyik oldalán „75”, másik oldalán „1171” mélynyomású jelzéssel</w:t>
      </w:r>
      <w:r w:rsidR="00594D18" w:rsidRPr="008D2CB3">
        <w:rPr>
          <w:szCs w:val="22"/>
        </w:rPr>
        <w:t xml:space="preserve"> ellátott</w:t>
      </w:r>
      <w:r w:rsidR="00442454" w:rsidRPr="008D2CB3">
        <w:rPr>
          <w:szCs w:val="22"/>
        </w:rPr>
        <w:t xml:space="preserve"> </w:t>
      </w:r>
      <w:r w:rsidRPr="008D2CB3">
        <w:t>filmbevonatú tabletta</w:t>
      </w:r>
      <w:r w:rsidR="00AF7925" w:rsidRPr="008D2CB3">
        <w:t>:</w:t>
      </w:r>
      <w:r w:rsidRPr="008D2CB3">
        <w:t xml:space="preserve"> </w:t>
      </w:r>
    </w:p>
    <w:p w:rsidR="00AF7925" w:rsidRPr="008D2CB3" w:rsidRDefault="00EC5BE5" w:rsidP="001E7729">
      <w:pPr>
        <w:numPr>
          <w:ilvl w:val="0"/>
          <w:numId w:val="44"/>
        </w:numPr>
        <w:tabs>
          <w:tab w:val="clear" w:pos="1211"/>
          <w:tab w:val="left" w:pos="426"/>
          <w:tab w:val="num" w:pos="1134"/>
        </w:tabs>
        <w:ind w:left="1134" w:hanging="708"/>
      </w:pPr>
      <w:r w:rsidRPr="008D2CB3">
        <w:t xml:space="preserve">7, 14, 28, 30, 84, 90 és 100 filmtablettát tartalmazó </w:t>
      </w:r>
      <w:r w:rsidR="00122217" w:rsidRPr="008D2CB3">
        <w:t>dobozban, PVC/PVDC/</w:t>
      </w:r>
      <w:r w:rsidR="00594D18" w:rsidRPr="008D2CB3">
        <w:t xml:space="preserve">alumínium </w:t>
      </w:r>
      <w:r w:rsidR="00122217" w:rsidRPr="008D2CB3">
        <w:t>buborék</w:t>
      </w:r>
      <w:r w:rsidR="00975C01" w:rsidRPr="008D2CB3">
        <w:t>csomagolásban</w:t>
      </w:r>
      <w:r w:rsidR="00122217" w:rsidRPr="008D2CB3">
        <w:t xml:space="preserve"> vagy alumínium buborék</w:t>
      </w:r>
      <w:r w:rsidR="00975C01" w:rsidRPr="008D2CB3">
        <w:t>csomagolásban</w:t>
      </w:r>
      <w:r w:rsidR="00122217" w:rsidRPr="008D2CB3">
        <w:t xml:space="preserve">, </w:t>
      </w:r>
    </w:p>
    <w:p w:rsidR="00122217" w:rsidRPr="008D2CB3" w:rsidRDefault="00EC5BE5" w:rsidP="001E7729">
      <w:pPr>
        <w:numPr>
          <w:ilvl w:val="0"/>
          <w:numId w:val="44"/>
        </w:numPr>
        <w:tabs>
          <w:tab w:val="clear" w:pos="1211"/>
          <w:tab w:val="left" w:pos="426"/>
          <w:tab w:val="num" w:pos="1134"/>
        </w:tabs>
        <w:ind w:left="1134" w:hanging="708"/>
      </w:pPr>
      <w:r w:rsidRPr="008D2CB3">
        <w:t xml:space="preserve">50 × 1 filmtablettát tartalmazó </w:t>
      </w:r>
      <w:r w:rsidR="00736A1C">
        <w:t>egységadagos</w:t>
      </w:r>
      <w:r w:rsidR="002A2C88" w:rsidRPr="008D2CB3">
        <w:t xml:space="preserve"> PVC/PVDC/alumínium buborék</w:t>
      </w:r>
      <w:r w:rsidR="00975C01" w:rsidRPr="008D2CB3">
        <w:t>csomagolásban</w:t>
      </w:r>
      <w:r w:rsidR="002A2C88" w:rsidRPr="008D2CB3">
        <w:t xml:space="preserve"> vagy alumínium buborék</w:t>
      </w:r>
      <w:r w:rsidR="00975C01" w:rsidRPr="008D2CB3">
        <w:t>csomagolásban</w:t>
      </w:r>
      <w:r w:rsidR="00122217" w:rsidRPr="008D2CB3">
        <w:t xml:space="preserve"> </w:t>
      </w:r>
      <w:r w:rsidR="006B6174" w:rsidRPr="008D2CB3">
        <w:t>kerül forgalomba</w:t>
      </w:r>
      <w:r w:rsidR="00122217" w:rsidRPr="008D2CB3">
        <w:t>. Nem feltétlenül mindegyik kiszerelés kerül kereskedelmi forgalomba.</w:t>
      </w:r>
    </w:p>
    <w:p w:rsidR="00442454" w:rsidRPr="008D2CB3" w:rsidRDefault="00442454" w:rsidP="001E7729">
      <w:pPr>
        <w:tabs>
          <w:tab w:val="left" w:pos="426"/>
          <w:tab w:val="num" w:pos="1134"/>
        </w:tabs>
        <w:ind w:left="1134" w:hanging="708"/>
        <w:rPr>
          <w:szCs w:val="22"/>
        </w:rPr>
      </w:pPr>
    </w:p>
    <w:p w:rsidR="00122217" w:rsidRPr="008D2CB3" w:rsidRDefault="00122217" w:rsidP="001E7729">
      <w:pPr>
        <w:spacing w:line="260" w:lineRule="atLeast"/>
        <w:rPr>
          <w:b/>
          <w:bCs/>
          <w:noProof/>
          <w:szCs w:val="22"/>
        </w:rPr>
      </w:pPr>
      <w:r w:rsidRPr="008D2CB3">
        <w:rPr>
          <w:b/>
          <w:bCs/>
          <w:noProof/>
          <w:szCs w:val="22"/>
        </w:rPr>
        <w:t>A forgalomba hozatali engedély jogosultja és a gyártó</w:t>
      </w:r>
      <w:r w:rsidR="002844B0">
        <w:rPr>
          <w:b/>
          <w:bCs/>
          <w:noProof/>
          <w:szCs w:val="22"/>
        </w:rPr>
        <w:t>k</w:t>
      </w:r>
    </w:p>
    <w:p w:rsidR="00122217" w:rsidRPr="008D2CB3" w:rsidRDefault="00122217" w:rsidP="001E7729">
      <w:pPr>
        <w:rPr>
          <w:szCs w:val="22"/>
        </w:rPr>
      </w:pPr>
    </w:p>
    <w:p w:rsidR="002C0C2F" w:rsidRPr="008D2CB3" w:rsidRDefault="002C0C2F" w:rsidP="001E7729">
      <w:pPr>
        <w:ind w:left="708" w:hanging="708"/>
        <w:rPr>
          <w:szCs w:val="22"/>
        </w:rPr>
      </w:pPr>
      <w:r w:rsidRPr="008D2CB3">
        <w:rPr>
          <w:szCs w:val="22"/>
        </w:rPr>
        <w:t xml:space="preserve">A forgalomba hozatali engedély jogosultja: </w:t>
      </w:r>
    </w:p>
    <w:p w:rsidR="00AB3FB1" w:rsidRPr="0008524E" w:rsidRDefault="00FE7B46" w:rsidP="001E7729">
      <w:pPr>
        <w:rPr>
          <w:szCs w:val="22"/>
          <w:lang w:val="fr-FR"/>
        </w:rPr>
      </w:pPr>
      <w:r>
        <w:rPr>
          <w:szCs w:val="22"/>
          <w:lang w:val="fr-FR"/>
        </w:rPr>
        <w:t>sanofi-aventis g</w:t>
      </w:r>
      <w:r w:rsidR="00AB3FB1" w:rsidRPr="0008524E">
        <w:rPr>
          <w:szCs w:val="22"/>
          <w:lang w:val="fr-FR"/>
        </w:rPr>
        <w:t>roupe</w:t>
      </w:r>
    </w:p>
    <w:p w:rsidR="00AB3FB1" w:rsidRPr="0008524E" w:rsidRDefault="00AB3FB1" w:rsidP="001E7729">
      <w:pPr>
        <w:rPr>
          <w:szCs w:val="22"/>
          <w:lang w:val="fr-FR"/>
        </w:rPr>
      </w:pPr>
      <w:r w:rsidRPr="0008524E">
        <w:rPr>
          <w:szCs w:val="22"/>
          <w:lang w:val="fr-FR"/>
        </w:rPr>
        <w:t>54, rue La Boétie</w:t>
      </w:r>
    </w:p>
    <w:p w:rsidR="00AB3FB1" w:rsidRPr="003346F0" w:rsidRDefault="00AB3FB1" w:rsidP="001E7729">
      <w:pPr>
        <w:rPr>
          <w:szCs w:val="22"/>
          <w:lang w:val="fr-FR"/>
        </w:rPr>
      </w:pPr>
      <w:r w:rsidRPr="003346F0">
        <w:rPr>
          <w:szCs w:val="22"/>
          <w:lang w:val="fr-FR"/>
        </w:rPr>
        <w:t>F-75008 Paris</w:t>
      </w:r>
    </w:p>
    <w:p w:rsidR="00B24B25" w:rsidRDefault="00AB3FB1" w:rsidP="001E7729">
      <w:pPr>
        <w:ind w:left="708" w:hanging="708"/>
        <w:rPr>
          <w:szCs w:val="22"/>
        </w:rPr>
      </w:pPr>
      <w:r>
        <w:rPr>
          <w:szCs w:val="22"/>
        </w:rPr>
        <w:t>Franciaország</w:t>
      </w:r>
    </w:p>
    <w:p w:rsidR="002C0C2F" w:rsidRPr="008D2CB3" w:rsidRDefault="002C0C2F" w:rsidP="001E7729">
      <w:pPr>
        <w:ind w:left="708" w:hanging="708"/>
        <w:rPr>
          <w:szCs w:val="22"/>
        </w:rPr>
      </w:pPr>
    </w:p>
    <w:p w:rsidR="00122217" w:rsidRPr="008D2CB3" w:rsidRDefault="00122217" w:rsidP="001E7729">
      <w:pPr>
        <w:tabs>
          <w:tab w:val="left" w:pos="568"/>
        </w:tabs>
        <w:spacing w:line="260" w:lineRule="atLeast"/>
        <w:ind w:right="-2"/>
        <w:rPr>
          <w:szCs w:val="22"/>
        </w:rPr>
      </w:pPr>
      <w:r w:rsidRPr="008D2CB3">
        <w:rPr>
          <w:szCs w:val="22"/>
        </w:rPr>
        <w:t>Gyártó</w:t>
      </w:r>
      <w:r w:rsidR="00201EE1" w:rsidRPr="008D2CB3">
        <w:rPr>
          <w:szCs w:val="22"/>
        </w:rPr>
        <w:t>k:</w:t>
      </w:r>
    </w:p>
    <w:p w:rsidR="00122217" w:rsidRPr="008D2CB3" w:rsidRDefault="00122217" w:rsidP="001E7729">
      <w:pPr>
        <w:tabs>
          <w:tab w:val="left" w:pos="568"/>
        </w:tabs>
        <w:spacing w:line="260" w:lineRule="atLeast"/>
        <w:ind w:right="-2"/>
        <w:rPr>
          <w:szCs w:val="22"/>
        </w:rPr>
      </w:pPr>
      <w:r w:rsidRPr="008D2CB3">
        <w:rPr>
          <w:szCs w:val="22"/>
        </w:rPr>
        <w:t>Sanofi Winthrop Industrie</w:t>
      </w:r>
    </w:p>
    <w:p w:rsidR="00122217" w:rsidRPr="008D2CB3" w:rsidRDefault="00122217" w:rsidP="001E7729">
      <w:pPr>
        <w:tabs>
          <w:tab w:val="left" w:pos="720"/>
        </w:tabs>
        <w:rPr>
          <w:szCs w:val="22"/>
        </w:rPr>
      </w:pPr>
      <w:r w:rsidRPr="008D2CB3">
        <w:rPr>
          <w:szCs w:val="22"/>
        </w:rPr>
        <w:t xml:space="preserve">1, Rue de </w:t>
      </w:r>
      <w:smartTag w:uri="urn:schemas-microsoft-com:office:smarttags" w:element="PersonName">
        <w:smartTagPr>
          <w:attr w:name="ProductID" w:val="la Vierge"/>
        </w:smartTagPr>
        <w:r w:rsidRPr="008D2CB3">
          <w:rPr>
            <w:szCs w:val="22"/>
          </w:rPr>
          <w:t>la Vierge</w:t>
        </w:r>
      </w:smartTag>
      <w:r w:rsidRPr="008D2CB3">
        <w:rPr>
          <w:szCs w:val="22"/>
        </w:rPr>
        <w:t xml:space="preserve">, </w:t>
      </w:r>
      <w:r w:rsidRPr="008D2CB3">
        <w:rPr>
          <w:noProof/>
          <w:lang w:val="fr-FR"/>
        </w:rPr>
        <w:t>Ambarès &amp; Lagrave, F-</w:t>
      </w:r>
      <w:r w:rsidRPr="008D2CB3">
        <w:rPr>
          <w:lang w:val="fr-FR"/>
        </w:rPr>
        <w:t>33565 Carbon Blanc cedex</w:t>
      </w:r>
      <w:r w:rsidRPr="008D2CB3">
        <w:rPr>
          <w:szCs w:val="22"/>
        </w:rPr>
        <w:t>, Franciaország</w:t>
      </w:r>
    </w:p>
    <w:p w:rsidR="00122217" w:rsidRPr="008D2CB3" w:rsidRDefault="00122217" w:rsidP="001E7729">
      <w:pPr>
        <w:tabs>
          <w:tab w:val="left" w:pos="568"/>
        </w:tabs>
        <w:spacing w:line="260" w:lineRule="atLeast"/>
        <w:ind w:right="-2"/>
        <w:rPr>
          <w:szCs w:val="22"/>
        </w:rPr>
      </w:pPr>
      <w:r w:rsidRPr="008D2CB3">
        <w:rPr>
          <w:szCs w:val="22"/>
        </w:rPr>
        <w:t>vagy</w:t>
      </w:r>
    </w:p>
    <w:p w:rsidR="00122217" w:rsidRPr="008D2CB3" w:rsidRDefault="003974B2" w:rsidP="001E7729">
      <w:pPr>
        <w:tabs>
          <w:tab w:val="left" w:pos="568"/>
        </w:tabs>
        <w:spacing w:line="260" w:lineRule="atLeast"/>
        <w:ind w:right="-2"/>
        <w:rPr>
          <w:szCs w:val="22"/>
        </w:rPr>
      </w:pPr>
      <w:r w:rsidRPr="003346F0">
        <w:rPr>
          <w:szCs w:val="22"/>
        </w:rPr>
        <w:t>Delpharm Dijon</w:t>
      </w:r>
    </w:p>
    <w:p w:rsidR="00122217" w:rsidRDefault="00122217" w:rsidP="001E7729">
      <w:pPr>
        <w:tabs>
          <w:tab w:val="left" w:pos="568"/>
        </w:tabs>
        <w:spacing w:line="260" w:lineRule="atLeast"/>
        <w:ind w:right="-2"/>
        <w:rPr>
          <w:szCs w:val="22"/>
        </w:rPr>
      </w:pPr>
      <w:r w:rsidRPr="008D2CB3">
        <w:rPr>
          <w:szCs w:val="22"/>
        </w:rPr>
        <w:t>6, Boulevard de l’Europe, F-21800 Quétigny, Franciaország</w:t>
      </w:r>
    </w:p>
    <w:p w:rsidR="00B521C8" w:rsidRDefault="00B521C8" w:rsidP="001E7729">
      <w:pPr>
        <w:tabs>
          <w:tab w:val="left" w:pos="568"/>
        </w:tabs>
        <w:spacing w:line="260" w:lineRule="atLeast"/>
        <w:ind w:right="-2"/>
        <w:rPr>
          <w:szCs w:val="22"/>
        </w:rPr>
      </w:pPr>
      <w:r>
        <w:rPr>
          <w:szCs w:val="22"/>
        </w:rPr>
        <w:t>vagy</w:t>
      </w:r>
    </w:p>
    <w:p w:rsidR="00B521C8" w:rsidRPr="00AE4A97" w:rsidRDefault="00B521C8" w:rsidP="001E7729">
      <w:pPr>
        <w:tabs>
          <w:tab w:val="left" w:pos="720"/>
        </w:tabs>
        <w:jc w:val="both"/>
        <w:rPr>
          <w:szCs w:val="22"/>
        </w:rPr>
      </w:pPr>
      <w:r w:rsidRPr="00AE4A97">
        <w:rPr>
          <w:szCs w:val="22"/>
        </w:rPr>
        <w:t>Sanofi S.</w:t>
      </w:r>
      <w:r w:rsidR="00123EBC">
        <w:rPr>
          <w:szCs w:val="22"/>
        </w:rPr>
        <w:t>r.l.</w:t>
      </w:r>
    </w:p>
    <w:p w:rsidR="00B521C8" w:rsidRPr="00AE4A97" w:rsidRDefault="00B521C8" w:rsidP="001E7729">
      <w:pPr>
        <w:tabs>
          <w:tab w:val="left" w:pos="720"/>
        </w:tabs>
        <w:jc w:val="both"/>
        <w:rPr>
          <w:szCs w:val="22"/>
        </w:rPr>
      </w:pPr>
      <w:r w:rsidRPr="00AE4A97">
        <w:rPr>
          <w:szCs w:val="22"/>
        </w:rPr>
        <w:t>Strada Statale 17, Km 22</w:t>
      </w:r>
    </w:p>
    <w:p w:rsidR="00B521C8" w:rsidRPr="008D2CB3" w:rsidRDefault="00B521C8" w:rsidP="001E7729">
      <w:pPr>
        <w:tabs>
          <w:tab w:val="left" w:pos="568"/>
        </w:tabs>
        <w:spacing w:line="260" w:lineRule="atLeast"/>
        <w:ind w:right="-2"/>
        <w:rPr>
          <w:szCs w:val="22"/>
        </w:rPr>
      </w:pPr>
      <w:r w:rsidRPr="00AE4A97">
        <w:rPr>
          <w:szCs w:val="22"/>
        </w:rPr>
        <w:t xml:space="preserve">67019 Scoppito (AQ) </w:t>
      </w:r>
      <w:r>
        <w:rPr>
          <w:szCs w:val="22"/>
        </w:rPr>
        <w:t>–</w:t>
      </w:r>
      <w:r w:rsidRPr="00AE4A97">
        <w:rPr>
          <w:szCs w:val="22"/>
        </w:rPr>
        <w:t xml:space="preserve"> </w:t>
      </w:r>
      <w:r>
        <w:rPr>
          <w:szCs w:val="22"/>
        </w:rPr>
        <w:t>Olaszország</w:t>
      </w:r>
    </w:p>
    <w:p w:rsidR="001B1926" w:rsidRPr="008D2CB3" w:rsidRDefault="001B1926" w:rsidP="001E7729">
      <w:pPr>
        <w:rPr>
          <w:szCs w:val="22"/>
        </w:rPr>
      </w:pPr>
    </w:p>
    <w:p w:rsidR="00122217" w:rsidRPr="008D2CB3" w:rsidRDefault="00122217" w:rsidP="001E7729">
      <w:pPr>
        <w:rPr>
          <w:szCs w:val="22"/>
        </w:rPr>
      </w:pPr>
      <w:r w:rsidRPr="008D2CB3">
        <w:rPr>
          <w:szCs w:val="22"/>
        </w:rPr>
        <w:t xml:space="preserve">A készítményhez kapcsolódó további kérdéseivel forduljon a forgalomba hozatali engedély jogosultjának helyi képviseletéhez. </w:t>
      </w:r>
    </w:p>
    <w:p w:rsidR="00FE5F45" w:rsidRPr="00123EBC" w:rsidRDefault="00FE5F45" w:rsidP="001E7729">
      <w:pPr>
        <w:keepNext/>
        <w:rPr>
          <w:szCs w:val="22"/>
        </w:rPr>
      </w:pPr>
    </w:p>
    <w:tbl>
      <w:tblPr>
        <w:tblW w:w="9356" w:type="dxa"/>
        <w:tblInd w:w="-34" w:type="dxa"/>
        <w:tblLayout w:type="fixed"/>
        <w:tblLook w:val="0000" w:firstRow="0" w:lastRow="0" w:firstColumn="0" w:lastColumn="0" w:noHBand="0" w:noVBand="0"/>
      </w:tblPr>
      <w:tblGrid>
        <w:gridCol w:w="4678"/>
        <w:gridCol w:w="4678"/>
      </w:tblGrid>
      <w:tr w:rsidR="002974C3" w:rsidRPr="008D2CB3">
        <w:trPr>
          <w:cantSplit/>
        </w:trPr>
        <w:tc>
          <w:tcPr>
            <w:tcW w:w="4678" w:type="dxa"/>
          </w:tcPr>
          <w:p w:rsidR="002974C3" w:rsidRPr="004359C7" w:rsidRDefault="002974C3" w:rsidP="001E7729">
            <w:pPr>
              <w:rPr>
                <w:b/>
                <w:bCs/>
                <w:szCs w:val="22"/>
                <w:lang w:val="fr-FR"/>
              </w:rPr>
            </w:pPr>
            <w:r w:rsidRPr="004359C7">
              <w:rPr>
                <w:b/>
                <w:bCs/>
                <w:szCs w:val="22"/>
                <w:lang w:val="fr-FR"/>
              </w:rPr>
              <w:t>België/Belgique/Belgien</w:t>
            </w:r>
          </w:p>
          <w:p w:rsidR="002974C3" w:rsidRPr="004359C7" w:rsidRDefault="00B96766" w:rsidP="001E7729">
            <w:pPr>
              <w:rPr>
                <w:szCs w:val="22"/>
                <w:lang w:val="fr-FR"/>
              </w:rPr>
            </w:pPr>
            <w:r>
              <w:rPr>
                <w:snapToGrid w:val="0"/>
                <w:szCs w:val="22"/>
                <w:lang w:val="fr-FR"/>
              </w:rPr>
              <w:t>S</w:t>
            </w:r>
            <w:r w:rsidR="002974C3" w:rsidRPr="004359C7">
              <w:rPr>
                <w:snapToGrid w:val="0"/>
                <w:szCs w:val="22"/>
                <w:lang w:val="fr-FR"/>
              </w:rPr>
              <w:t>anofi Belgium</w:t>
            </w:r>
          </w:p>
          <w:p w:rsidR="002974C3" w:rsidRPr="004359C7" w:rsidRDefault="002974C3" w:rsidP="001E7729">
            <w:pPr>
              <w:rPr>
                <w:snapToGrid w:val="0"/>
                <w:szCs w:val="22"/>
              </w:rPr>
            </w:pPr>
            <w:r w:rsidRPr="004359C7">
              <w:rPr>
                <w:szCs w:val="22"/>
              </w:rPr>
              <w:t xml:space="preserve">Tél/Tel: </w:t>
            </w:r>
            <w:r w:rsidRPr="004359C7">
              <w:rPr>
                <w:snapToGrid w:val="0"/>
                <w:szCs w:val="22"/>
              </w:rPr>
              <w:t>+32 (0)2 710 54 00</w:t>
            </w:r>
          </w:p>
          <w:p w:rsidR="002974C3" w:rsidRPr="008D2CB3" w:rsidRDefault="002974C3" w:rsidP="001E7729">
            <w:pPr>
              <w:rPr>
                <w:szCs w:val="22"/>
                <w:lang w:val="fr-BE"/>
              </w:rPr>
            </w:pPr>
          </w:p>
        </w:tc>
        <w:tc>
          <w:tcPr>
            <w:tcW w:w="4678" w:type="dxa"/>
          </w:tcPr>
          <w:p w:rsidR="002974C3" w:rsidRPr="004359C7" w:rsidRDefault="002974C3" w:rsidP="001E7729">
            <w:pPr>
              <w:rPr>
                <w:b/>
                <w:bCs/>
                <w:szCs w:val="22"/>
              </w:rPr>
            </w:pPr>
            <w:r w:rsidRPr="004359C7">
              <w:rPr>
                <w:b/>
                <w:bCs/>
                <w:szCs w:val="22"/>
              </w:rPr>
              <w:t>Lietuva</w:t>
            </w:r>
          </w:p>
          <w:p w:rsidR="002974C3" w:rsidRPr="004359C7" w:rsidRDefault="002974C3" w:rsidP="001E7729">
            <w:pPr>
              <w:rPr>
                <w:szCs w:val="22"/>
              </w:rPr>
            </w:pPr>
            <w:r w:rsidRPr="004359C7">
              <w:rPr>
                <w:szCs w:val="22"/>
              </w:rPr>
              <w:t xml:space="preserve">UAB </w:t>
            </w:r>
            <w:r w:rsidR="00162A70" w:rsidRPr="00123EBC">
              <w:rPr>
                <w:snapToGrid w:val="0"/>
                <w:szCs w:val="22"/>
                <w:lang w:val="fi-FI"/>
              </w:rPr>
              <w:t>«SANOFI-AVENTIS LIETUVA»</w:t>
            </w:r>
          </w:p>
          <w:p w:rsidR="002974C3" w:rsidRPr="004359C7" w:rsidRDefault="002974C3" w:rsidP="001E7729">
            <w:pPr>
              <w:rPr>
                <w:szCs w:val="22"/>
              </w:rPr>
            </w:pPr>
            <w:r w:rsidRPr="004359C7">
              <w:rPr>
                <w:szCs w:val="22"/>
              </w:rPr>
              <w:t>Tel: +370 5 2755224</w:t>
            </w:r>
          </w:p>
          <w:p w:rsidR="002974C3" w:rsidRPr="008D2CB3" w:rsidRDefault="002974C3" w:rsidP="001E7729">
            <w:pPr>
              <w:rPr>
                <w:szCs w:val="22"/>
                <w:lang w:val="fr-BE"/>
              </w:rPr>
            </w:pPr>
          </w:p>
        </w:tc>
      </w:tr>
      <w:tr w:rsidR="002974C3" w:rsidRPr="008D2CB3">
        <w:trPr>
          <w:cantSplit/>
        </w:trPr>
        <w:tc>
          <w:tcPr>
            <w:tcW w:w="4678" w:type="dxa"/>
          </w:tcPr>
          <w:p w:rsidR="002974C3" w:rsidRPr="00100BBB" w:rsidRDefault="002974C3" w:rsidP="001E7729">
            <w:pPr>
              <w:rPr>
                <w:b/>
                <w:bCs/>
                <w:szCs w:val="22"/>
              </w:rPr>
            </w:pPr>
            <w:r w:rsidRPr="004359C7">
              <w:rPr>
                <w:b/>
                <w:bCs/>
                <w:szCs w:val="22"/>
              </w:rPr>
              <w:t>България</w:t>
            </w:r>
          </w:p>
          <w:p w:rsidR="002974C3" w:rsidRPr="00100BBB" w:rsidRDefault="00162A70" w:rsidP="001E7729">
            <w:pPr>
              <w:rPr>
                <w:noProof/>
                <w:szCs w:val="22"/>
              </w:rPr>
            </w:pPr>
            <w:r w:rsidRPr="00123EBC">
              <w:rPr>
                <w:noProof/>
                <w:szCs w:val="22"/>
                <w:lang w:val="fr-BE"/>
              </w:rPr>
              <w:t>SANOFI BULGARIA</w:t>
            </w:r>
            <w:r w:rsidR="002974C3" w:rsidRPr="00100BBB">
              <w:rPr>
                <w:noProof/>
                <w:szCs w:val="22"/>
              </w:rPr>
              <w:t xml:space="preserve"> EOOD</w:t>
            </w:r>
          </w:p>
          <w:p w:rsidR="002974C3" w:rsidRPr="00100BBB" w:rsidRDefault="002974C3" w:rsidP="001E7729">
            <w:pPr>
              <w:rPr>
                <w:szCs w:val="22"/>
              </w:rPr>
            </w:pPr>
            <w:r w:rsidRPr="004359C7">
              <w:rPr>
                <w:bCs/>
                <w:szCs w:val="22"/>
              </w:rPr>
              <w:t>Тел</w:t>
            </w:r>
            <w:r w:rsidRPr="00100BBB">
              <w:rPr>
                <w:bCs/>
                <w:szCs w:val="22"/>
              </w:rPr>
              <w:t>: +359 (0)2</w:t>
            </w:r>
            <w:r w:rsidRPr="00100BBB">
              <w:rPr>
                <w:szCs w:val="22"/>
              </w:rPr>
              <w:t xml:space="preserve"> 970 53 00</w:t>
            </w:r>
          </w:p>
          <w:p w:rsidR="002974C3" w:rsidRPr="008D2CB3" w:rsidRDefault="002974C3" w:rsidP="001E7729">
            <w:pPr>
              <w:rPr>
                <w:szCs w:val="22"/>
                <w:lang w:val="cs-CZ"/>
              </w:rPr>
            </w:pPr>
          </w:p>
        </w:tc>
        <w:tc>
          <w:tcPr>
            <w:tcW w:w="4678" w:type="dxa"/>
          </w:tcPr>
          <w:p w:rsidR="002974C3" w:rsidRPr="004359C7" w:rsidRDefault="002974C3" w:rsidP="001E7729">
            <w:pPr>
              <w:rPr>
                <w:b/>
                <w:bCs/>
                <w:szCs w:val="22"/>
              </w:rPr>
            </w:pPr>
            <w:r w:rsidRPr="004359C7">
              <w:rPr>
                <w:b/>
                <w:bCs/>
                <w:szCs w:val="22"/>
              </w:rPr>
              <w:t>Luxembourg/Luxemburg</w:t>
            </w:r>
          </w:p>
          <w:p w:rsidR="002974C3" w:rsidRPr="004359C7" w:rsidRDefault="00B96766" w:rsidP="001E7729">
            <w:pPr>
              <w:rPr>
                <w:snapToGrid w:val="0"/>
                <w:szCs w:val="22"/>
              </w:rPr>
            </w:pPr>
            <w:r>
              <w:rPr>
                <w:snapToGrid w:val="0"/>
                <w:szCs w:val="22"/>
              </w:rPr>
              <w:t>S</w:t>
            </w:r>
            <w:r w:rsidR="002974C3" w:rsidRPr="004359C7">
              <w:rPr>
                <w:snapToGrid w:val="0"/>
                <w:szCs w:val="22"/>
              </w:rPr>
              <w:t xml:space="preserve">anofi Belgium </w:t>
            </w:r>
          </w:p>
          <w:p w:rsidR="002974C3" w:rsidRPr="004359C7" w:rsidRDefault="002974C3" w:rsidP="001E7729">
            <w:pPr>
              <w:rPr>
                <w:szCs w:val="22"/>
              </w:rPr>
            </w:pPr>
            <w:r w:rsidRPr="004359C7">
              <w:rPr>
                <w:szCs w:val="22"/>
              </w:rPr>
              <w:t xml:space="preserve">Tél/Tel: </w:t>
            </w:r>
            <w:r w:rsidRPr="004359C7">
              <w:rPr>
                <w:snapToGrid w:val="0"/>
                <w:szCs w:val="22"/>
              </w:rPr>
              <w:t>+32 (0)2 710 54 00 (</w:t>
            </w:r>
            <w:r w:rsidRPr="004359C7">
              <w:rPr>
                <w:szCs w:val="22"/>
              </w:rPr>
              <w:t>Belgique/Belgien)</w:t>
            </w:r>
          </w:p>
          <w:p w:rsidR="002974C3" w:rsidRPr="008D2CB3" w:rsidRDefault="002974C3" w:rsidP="001E7729">
            <w:pPr>
              <w:rPr>
                <w:szCs w:val="22"/>
              </w:rPr>
            </w:pPr>
          </w:p>
        </w:tc>
      </w:tr>
      <w:tr w:rsidR="002974C3" w:rsidRPr="002974C3">
        <w:trPr>
          <w:cantSplit/>
        </w:trPr>
        <w:tc>
          <w:tcPr>
            <w:tcW w:w="4678" w:type="dxa"/>
          </w:tcPr>
          <w:p w:rsidR="002974C3" w:rsidRPr="00D61228" w:rsidRDefault="002974C3" w:rsidP="001E7729">
            <w:pPr>
              <w:rPr>
                <w:b/>
                <w:bCs/>
                <w:szCs w:val="22"/>
                <w:lang w:val="sv-SE"/>
              </w:rPr>
            </w:pPr>
            <w:r w:rsidRPr="00D61228">
              <w:rPr>
                <w:b/>
                <w:bCs/>
                <w:szCs w:val="22"/>
                <w:lang w:val="sv-SE"/>
              </w:rPr>
              <w:t>Česká republika</w:t>
            </w:r>
          </w:p>
          <w:p w:rsidR="002974C3" w:rsidRPr="00D61228" w:rsidRDefault="002974C3" w:rsidP="001E7729">
            <w:pPr>
              <w:rPr>
                <w:szCs w:val="22"/>
                <w:lang w:val="sv-SE"/>
              </w:rPr>
            </w:pPr>
            <w:r w:rsidRPr="00D61228">
              <w:rPr>
                <w:szCs w:val="22"/>
                <w:lang w:val="sv-SE"/>
              </w:rPr>
              <w:t>sanofi-aventis, s.r.o.</w:t>
            </w:r>
          </w:p>
          <w:p w:rsidR="002974C3" w:rsidRPr="004359C7" w:rsidRDefault="002974C3" w:rsidP="001E7729">
            <w:pPr>
              <w:rPr>
                <w:szCs w:val="22"/>
                <w:lang w:val="it-IT"/>
              </w:rPr>
            </w:pPr>
            <w:r w:rsidRPr="004359C7">
              <w:rPr>
                <w:szCs w:val="22"/>
                <w:lang w:val="it-IT"/>
              </w:rPr>
              <w:t>Tel: +420 233 086 111</w:t>
            </w:r>
          </w:p>
          <w:p w:rsidR="002974C3" w:rsidRPr="008D2CB3" w:rsidRDefault="002974C3" w:rsidP="001E7729">
            <w:pPr>
              <w:rPr>
                <w:szCs w:val="22"/>
                <w:lang w:val="cs-CZ"/>
              </w:rPr>
            </w:pPr>
          </w:p>
        </w:tc>
        <w:tc>
          <w:tcPr>
            <w:tcW w:w="4678" w:type="dxa"/>
          </w:tcPr>
          <w:p w:rsidR="002974C3" w:rsidRPr="00123EBC" w:rsidRDefault="002974C3" w:rsidP="001E7729">
            <w:pPr>
              <w:rPr>
                <w:b/>
                <w:bCs/>
                <w:szCs w:val="22"/>
                <w:lang w:val="cs-CZ"/>
              </w:rPr>
            </w:pPr>
            <w:r w:rsidRPr="00123EBC">
              <w:rPr>
                <w:b/>
                <w:bCs/>
                <w:szCs w:val="22"/>
                <w:lang w:val="cs-CZ"/>
              </w:rPr>
              <w:t>Magyarország</w:t>
            </w:r>
          </w:p>
          <w:p w:rsidR="002974C3" w:rsidRPr="00123EBC" w:rsidRDefault="00162A70" w:rsidP="001E7729">
            <w:pPr>
              <w:rPr>
                <w:szCs w:val="22"/>
                <w:lang w:val="cs-CZ"/>
              </w:rPr>
            </w:pPr>
            <w:r w:rsidRPr="00123EBC">
              <w:rPr>
                <w:szCs w:val="22"/>
                <w:lang w:val="cs-CZ"/>
              </w:rPr>
              <w:t>SANOFI-AVENTIS Zrt.</w:t>
            </w:r>
          </w:p>
          <w:p w:rsidR="002974C3" w:rsidRPr="00123EBC" w:rsidRDefault="002974C3" w:rsidP="001E7729">
            <w:pPr>
              <w:rPr>
                <w:szCs w:val="22"/>
                <w:lang w:val="cs-CZ"/>
              </w:rPr>
            </w:pPr>
            <w:r w:rsidRPr="00123EBC">
              <w:rPr>
                <w:szCs w:val="22"/>
                <w:lang w:val="cs-CZ"/>
              </w:rPr>
              <w:t>Tel: +36 1 505 0050</w:t>
            </w:r>
          </w:p>
          <w:p w:rsidR="002974C3" w:rsidRPr="008D2CB3" w:rsidRDefault="002974C3" w:rsidP="001E7729">
            <w:pPr>
              <w:rPr>
                <w:szCs w:val="22"/>
                <w:lang w:val="cs-CZ"/>
              </w:rPr>
            </w:pPr>
          </w:p>
        </w:tc>
      </w:tr>
      <w:tr w:rsidR="002974C3" w:rsidRPr="003346F0">
        <w:trPr>
          <w:cantSplit/>
        </w:trPr>
        <w:tc>
          <w:tcPr>
            <w:tcW w:w="4678" w:type="dxa"/>
          </w:tcPr>
          <w:p w:rsidR="002974C3" w:rsidRPr="004359C7" w:rsidRDefault="002974C3" w:rsidP="001E7729">
            <w:pPr>
              <w:rPr>
                <w:b/>
                <w:bCs/>
                <w:szCs w:val="22"/>
              </w:rPr>
            </w:pPr>
            <w:r w:rsidRPr="004359C7">
              <w:rPr>
                <w:b/>
                <w:bCs/>
                <w:szCs w:val="22"/>
              </w:rPr>
              <w:t>Danmark</w:t>
            </w:r>
          </w:p>
          <w:p w:rsidR="002974C3" w:rsidRPr="004359C7" w:rsidRDefault="00705F72" w:rsidP="001E7729">
            <w:pPr>
              <w:rPr>
                <w:szCs w:val="22"/>
              </w:rPr>
            </w:pPr>
            <w:r>
              <w:rPr>
                <w:szCs w:val="22"/>
              </w:rPr>
              <w:t>S</w:t>
            </w:r>
            <w:r w:rsidR="002974C3" w:rsidRPr="004359C7">
              <w:rPr>
                <w:szCs w:val="22"/>
              </w:rPr>
              <w:t>anofi A/S</w:t>
            </w:r>
          </w:p>
          <w:p w:rsidR="002974C3" w:rsidRPr="004359C7" w:rsidRDefault="002974C3" w:rsidP="001E7729">
            <w:pPr>
              <w:rPr>
                <w:szCs w:val="22"/>
              </w:rPr>
            </w:pPr>
            <w:r w:rsidRPr="004359C7">
              <w:rPr>
                <w:szCs w:val="22"/>
              </w:rPr>
              <w:t>Tlf: +45 45 16 70 00</w:t>
            </w:r>
          </w:p>
          <w:p w:rsidR="002974C3" w:rsidRPr="008D2CB3" w:rsidRDefault="002974C3" w:rsidP="001E7729">
            <w:pPr>
              <w:rPr>
                <w:szCs w:val="22"/>
                <w:lang w:val="cs-CZ"/>
              </w:rPr>
            </w:pPr>
          </w:p>
        </w:tc>
        <w:tc>
          <w:tcPr>
            <w:tcW w:w="4678" w:type="dxa"/>
          </w:tcPr>
          <w:p w:rsidR="002974C3" w:rsidRPr="00123EBC" w:rsidRDefault="002974C3" w:rsidP="001E7729">
            <w:pPr>
              <w:rPr>
                <w:b/>
                <w:bCs/>
                <w:szCs w:val="22"/>
                <w:lang w:val="fi-FI"/>
              </w:rPr>
            </w:pPr>
            <w:r w:rsidRPr="00123EBC">
              <w:rPr>
                <w:b/>
                <w:bCs/>
                <w:szCs w:val="22"/>
                <w:lang w:val="fi-FI"/>
              </w:rPr>
              <w:t>Malta</w:t>
            </w:r>
          </w:p>
          <w:p w:rsidR="00C42730" w:rsidRDefault="00F43037" w:rsidP="00C42730">
            <w:pPr>
              <w:rPr>
                <w:sz w:val="24"/>
                <w:szCs w:val="22"/>
                <w:lang w:val="cs-CZ"/>
              </w:rPr>
            </w:pPr>
            <w:r w:rsidRPr="00EF7CDD">
              <w:rPr>
                <w:szCs w:val="22"/>
                <w:lang w:val="cs-CZ"/>
              </w:rPr>
              <w:t>Sanofi S.</w:t>
            </w:r>
            <w:r>
              <w:rPr>
                <w:szCs w:val="22"/>
                <w:lang w:val="cs-CZ"/>
              </w:rPr>
              <w:t>r</w:t>
            </w:r>
            <w:r w:rsidRPr="00EF7CDD">
              <w:rPr>
                <w:szCs w:val="22"/>
                <w:lang w:val="cs-CZ"/>
              </w:rPr>
              <w:t>.</w:t>
            </w:r>
            <w:r>
              <w:rPr>
                <w:szCs w:val="22"/>
                <w:lang w:val="cs-CZ"/>
              </w:rPr>
              <w:t>l</w:t>
            </w:r>
            <w:r w:rsidRPr="00EF7CDD">
              <w:rPr>
                <w:szCs w:val="22"/>
                <w:lang w:val="cs-CZ"/>
              </w:rPr>
              <w:t>.</w:t>
            </w:r>
          </w:p>
          <w:p w:rsidR="00C42730" w:rsidRDefault="00C42730" w:rsidP="00C42730">
            <w:pPr>
              <w:rPr>
                <w:szCs w:val="22"/>
                <w:lang w:val="cs-CZ"/>
              </w:rPr>
            </w:pPr>
            <w:r>
              <w:rPr>
                <w:szCs w:val="22"/>
                <w:lang w:val="cs-CZ"/>
              </w:rPr>
              <w:t>Tel: +39 02 39394275</w:t>
            </w:r>
          </w:p>
          <w:p w:rsidR="002974C3" w:rsidRPr="008D2CB3" w:rsidRDefault="002974C3" w:rsidP="001E7729">
            <w:pPr>
              <w:rPr>
                <w:szCs w:val="22"/>
                <w:lang w:val="cs-CZ"/>
              </w:rPr>
            </w:pPr>
          </w:p>
        </w:tc>
      </w:tr>
      <w:tr w:rsidR="002974C3" w:rsidRPr="008D2CB3">
        <w:trPr>
          <w:cantSplit/>
        </w:trPr>
        <w:tc>
          <w:tcPr>
            <w:tcW w:w="4678" w:type="dxa"/>
          </w:tcPr>
          <w:p w:rsidR="002974C3" w:rsidRPr="004359C7" w:rsidRDefault="002974C3" w:rsidP="001E7729">
            <w:pPr>
              <w:rPr>
                <w:b/>
                <w:bCs/>
                <w:szCs w:val="22"/>
                <w:lang w:val="de-DE"/>
              </w:rPr>
            </w:pPr>
            <w:r w:rsidRPr="004359C7">
              <w:rPr>
                <w:b/>
                <w:bCs/>
                <w:szCs w:val="22"/>
                <w:lang w:val="de-DE"/>
              </w:rPr>
              <w:t>Deutschland</w:t>
            </w:r>
          </w:p>
          <w:p w:rsidR="002974C3" w:rsidRPr="004359C7" w:rsidRDefault="002974C3" w:rsidP="001E7729">
            <w:pPr>
              <w:rPr>
                <w:szCs w:val="22"/>
                <w:lang w:val="de-DE"/>
              </w:rPr>
            </w:pPr>
            <w:r w:rsidRPr="004359C7">
              <w:rPr>
                <w:szCs w:val="22"/>
                <w:lang w:val="de-DE"/>
              </w:rPr>
              <w:t>Sanofi-Aventis Deutschland GmbH</w:t>
            </w:r>
          </w:p>
          <w:p w:rsidR="00371C16" w:rsidRDefault="00371C16" w:rsidP="00371C16">
            <w:pPr>
              <w:rPr>
                <w:szCs w:val="22"/>
                <w:lang w:val="cs-CZ"/>
              </w:rPr>
            </w:pPr>
            <w:r>
              <w:rPr>
                <w:szCs w:val="22"/>
                <w:lang w:val="cs-CZ"/>
              </w:rPr>
              <w:t>Tel.: 0800 52 52 010</w:t>
            </w:r>
          </w:p>
          <w:p w:rsidR="002974C3" w:rsidRPr="004359C7" w:rsidRDefault="002974C3" w:rsidP="001E7729">
            <w:pPr>
              <w:rPr>
                <w:szCs w:val="22"/>
                <w:lang w:val="de-DE"/>
              </w:rPr>
            </w:pPr>
            <w:r w:rsidRPr="004359C7">
              <w:rPr>
                <w:szCs w:val="22"/>
                <w:lang w:val="de-DE"/>
              </w:rPr>
              <w:t>Tel</w:t>
            </w:r>
            <w:r w:rsidR="00371C16">
              <w:rPr>
                <w:szCs w:val="22"/>
                <w:lang w:val="de-DE"/>
              </w:rPr>
              <w:t>. aus dem Ausland</w:t>
            </w:r>
            <w:r w:rsidRPr="004359C7">
              <w:rPr>
                <w:szCs w:val="22"/>
                <w:lang w:val="de-DE"/>
              </w:rPr>
              <w:t xml:space="preserve">: +49 </w:t>
            </w:r>
            <w:r w:rsidR="00371C16">
              <w:rPr>
                <w:szCs w:val="22"/>
                <w:lang w:val="cs-CZ"/>
              </w:rPr>
              <w:t>69 305 21 131</w:t>
            </w:r>
          </w:p>
          <w:p w:rsidR="002974C3" w:rsidRPr="008D2CB3" w:rsidRDefault="002974C3" w:rsidP="001E7729">
            <w:pPr>
              <w:rPr>
                <w:szCs w:val="22"/>
                <w:lang w:val="cs-CZ"/>
              </w:rPr>
            </w:pPr>
          </w:p>
        </w:tc>
        <w:tc>
          <w:tcPr>
            <w:tcW w:w="4678" w:type="dxa"/>
          </w:tcPr>
          <w:p w:rsidR="00767D08" w:rsidRPr="004359C7" w:rsidRDefault="00767D08" w:rsidP="00767D08">
            <w:pPr>
              <w:rPr>
                <w:b/>
                <w:bCs/>
                <w:szCs w:val="22"/>
                <w:lang w:val="cs-CZ"/>
              </w:rPr>
            </w:pPr>
            <w:r w:rsidRPr="004359C7">
              <w:rPr>
                <w:b/>
                <w:bCs/>
                <w:szCs w:val="22"/>
                <w:lang w:val="cs-CZ"/>
              </w:rPr>
              <w:t>Nederland</w:t>
            </w:r>
          </w:p>
          <w:p w:rsidR="00767D08" w:rsidRPr="004359C7" w:rsidRDefault="00767D08" w:rsidP="00767D08">
            <w:pPr>
              <w:rPr>
                <w:szCs w:val="22"/>
                <w:lang w:val="cs-CZ"/>
              </w:rPr>
            </w:pPr>
            <w:r>
              <w:rPr>
                <w:szCs w:val="22"/>
                <w:lang w:val="nl-NL"/>
              </w:rPr>
              <w:t xml:space="preserve">Genzyme Europe </w:t>
            </w:r>
            <w:r w:rsidRPr="004359C7">
              <w:rPr>
                <w:szCs w:val="22"/>
                <w:lang w:val="cs-CZ"/>
              </w:rPr>
              <w:t>B.V.</w:t>
            </w:r>
          </w:p>
          <w:p w:rsidR="00767D08" w:rsidRPr="004359C7" w:rsidRDefault="00767D08" w:rsidP="00767D08">
            <w:pPr>
              <w:rPr>
                <w:szCs w:val="22"/>
                <w:lang w:val="nl-NL"/>
              </w:rPr>
            </w:pPr>
            <w:r w:rsidRPr="004359C7">
              <w:rPr>
                <w:szCs w:val="22"/>
                <w:lang w:val="cs-CZ"/>
              </w:rPr>
              <w:t xml:space="preserve">Tel: +31 </w:t>
            </w:r>
            <w:r>
              <w:rPr>
                <w:szCs w:val="22"/>
                <w:lang w:val="cs-CZ"/>
              </w:rPr>
              <w:t>20 245 4000</w:t>
            </w:r>
          </w:p>
          <w:p w:rsidR="002974C3" w:rsidRPr="008D2CB3" w:rsidRDefault="002974C3" w:rsidP="001E7729">
            <w:pPr>
              <w:rPr>
                <w:szCs w:val="22"/>
                <w:lang w:val="et-EE"/>
              </w:rPr>
            </w:pPr>
          </w:p>
        </w:tc>
      </w:tr>
      <w:tr w:rsidR="002974C3" w:rsidRPr="00123EBC">
        <w:trPr>
          <w:cantSplit/>
        </w:trPr>
        <w:tc>
          <w:tcPr>
            <w:tcW w:w="4678" w:type="dxa"/>
          </w:tcPr>
          <w:p w:rsidR="002974C3" w:rsidRPr="004359C7" w:rsidRDefault="002974C3" w:rsidP="001E7729">
            <w:pPr>
              <w:rPr>
                <w:b/>
                <w:bCs/>
                <w:szCs w:val="22"/>
                <w:lang w:val="it-IT"/>
              </w:rPr>
            </w:pPr>
            <w:r w:rsidRPr="004359C7">
              <w:rPr>
                <w:b/>
                <w:bCs/>
                <w:szCs w:val="22"/>
                <w:lang w:val="it-IT"/>
              </w:rPr>
              <w:t>Eesti</w:t>
            </w:r>
          </w:p>
          <w:p w:rsidR="002974C3" w:rsidRPr="004359C7" w:rsidRDefault="002974C3" w:rsidP="001E7729">
            <w:pPr>
              <w:rPr>
                <w:szCs w:val="22"/>
                <w:lang w:val="it-IT"/>
              </w:rPr>
            </w:pPr>
            <w:r w:rsidRPr="004359C7">
              <w:rPr>
                <w:szCs w:val="22"/>
                <w:lang w:val="it-IT"/>
              </w:rPr>
              <w:t>sanofi-aventis Estonia OÜ</w:t>
            </w:r>
          </w:p>
          <w:p w:rsidR="002974C3" w:rsidRPr="004359C7" w:rsidRDefault="002974C3" w:rsidP="001E7729">
            <w:pPr>
              <w:rPr>
                <w:szCs w:val="22"/>
                <w:lang w:val="it-IT"/>
              </w:rPr>
            </w:pPr>
            <w:r w:rsidRPr="004359C7">
              <w:rPr>
                <w:szCs w:val="22"/>
                <w:lang w:val="it-IT"/>
              </w:rPr>
              <w:t>Tel: +372 627 34 88</w:t>
            </w:r>
          </w:p>
          <w:p w:rsidR="002974C3" w:rsidRPr="008D2CB3" w:rsidRDefault="002974C3" w:rsidP="001E7729">
            <w:pPr>
              <w:rPr>
                <w:szCs w:val="22"/>
                <w:lang w:val="et-EE"/>
              </w:rPr>
            </w:pPr>
          </w:p>
        </w:tc>
        <w:tc>
          <w:tcPr>
            <w:tcW w:w="4678" w:type="dxa"/>
          </w:tcPr>
          <w:p w:rsidR="002974C3" w:rsidRPr="004359C7" w:rsidRDefault="002974C3" w:rsidP="001E7729">
            <w:pPr>
              <w:rPr>
                <w:b/>
                <w:bCs/>
                <w:szCs w:val="22"/>
              </w:rPr>
            </w:pPr>
            <w:r w:rsidRPr="004359C7">
              <w:rPr>
                <w:b/>
                <w:bCs/>
                <w:szCs w:val="22"/>
              </w:rPr>
              <w:t>Norge</w:t>
            </w:r>
          </w:p>
          <w:p w:rsidR="002974C3" w:rsidRPr="004359C7" w:rsidRDefault="002974C3" w:rsidP="001E7729">
            <w:pPr>
              <w:rPr>
                <w:szCs w:val="22"/>
              </w:rPr>
            </w:pPr>
            <w:r w:rsidRPr="004359C7">
              <w:rPr>
                <w:szCs w:val="22"/>
              </w:rPr>
              <w:t xml:space="preserve">sanofi-aventis </w:t>
            </w:r>
            <w:smartTag w:uri="urn:schemas-microsoft-com:office:smarttags" w:element="place">
              <w:smartTag w:uri="urn:schemas-microsoft-com:office:smarttags" w:element="City">
                <w:r w:rsidRPr="004359C7">
                  <w:rPr>
                    <w:szCs w:val="22"/>
                  </w:rPr>
                  <w:t>Norge</w:t>
                </w:r>
              </w:smartTag>
              <w:r w:rsidRPr="004359C7">
                <w:rPr>
                  <w:szCs w:val="22"/>
                </w:rPr>
                <w:t xml:space="preserve"> </w:t>
              </w:r>
              <w:smartTag w:uri="urn:schemas-microsoft-com:office:smarttags" w:element="State">
                <w:r w:rsidRPr="004359C7">
                  <w:rPr>
                    <w:szCs w:val="22"/>
                  </w:rPr>
                  <w:t>AS</w:t>
                </w:r>
              </w:smartTag>
            </w:smartTag>
          </w:p>
          <w:p w:rsidR="002974C3" w:rsidRPr="004359C7" w:rsidRDefault="002974C3" w:rsidP="001E7729">
            <w:pPr>
              <w:rPr>
                <w:szCs w:val="22"/>
              </w:rPr>
            </w:pPr>
            <w:r w:rsidRPr="004359C7">
              <w:rPr>
                <w:szCs w:val="22"/>
              </w:rPr>
              <w:t>Tlf: +47 67 10 71 00</w:t>
            </w:r>
          </w:p>
          <w:p w:rsidR="002974C3" w:rsidRPr="00123EBC" w:rsidRDefault="002974C3" w:rsidP="001E7729">
            <w:pPr>
              <w:rPr>
                <w:szCs w:val="22"/>
                <w:lang w:val="sv-SE"/>
              </w:rPr>
            </w:pPr>
          </w:p>
        </w:tc>
      </w:tr>
      <w:tr w:rsidR="002974C3" w:rsidRPr="002974C3">
        <w:trPr>
          <w:cantSplit/>
        </w:trPr>
        <w:tc>
          <w:tcPr>
            <w:tcW w:w="4678" w:type="dxa"/>
          </w:tcPr>
          <w:p w:rsidR="002974C3" w:rsidRPr="00123EBC" w:rsidRDefault="002974C3" w:rsidP="001E7729">
            <w:pPr>
              <w:rPr>
                <w:b/>
                <w:bCs/>
                <w:szCs w:val="22"/>
                <w:lang w:val="sv-SE"/>
              </w:rPr>
            </w:pPr>
            <w:r w:rsidRPr="004359C7">
              <w:rPr>
                <w:b/>
                <w:bCs/>
                <w:szCs w:val="22"/>
              </w:rPr>
              <w:t>Ελλάδα</w:t>
            </w:r>
          </w:p>
          <w:p w:rsidR="002974C3" w:rsidRPr="00123EBC" w:rsidRDefault="002974C3" w:rsidP="001E7729">
            <w:pPr>
              <w:rPr>
                <w:szCs w:val="22"/>
                <w:lang w:val="sv-SE"/>
              </w:rPr>
            </w:pPr>
            <w:r w:rsidRPr="00123EBC">
              <w:rPr>
                <w:szCs w:val="22"/>
                <w:lang w:val="sv-SE"/>
              </w:rPr>
              <w:t>sanofi-aventis AEBE</w:t>
            </w:r>
          </w:p>
          <w:p w:rsidR="002974C3" w:rsidRPr="00123EBC" w:rsidRDefault="002974C3" w:rsidP="001E7729">
            <w:pPr>
              <w:rPr>
                <w:szCs w:val="22"/>
                <w:lang w:val="sv-SE"/>
              </w:rPr>
            </w:pPr>
            <w:r w:rsidRPr="004359C7">
              <w:rPr>
                <w:szCs w:val="22"/>
              </w:rPr>
              <w:t>Τηλ</w:t>
            </w:r>
            <w:r w:rsidRPr="00123EBC">
              <w:rPr>
                <w:szCs w:val="22"/>
                <w:lang w:val="sv-SE"/>
              </w:rPr>
              <w:t>: +30 210 900 16 00</w:t>
            </w:r>
          </w:p>
          <w:p w:rsidR="002974C3" w:rsidRPr="008D2CB3" w:rsidRDefault="002974C3" w:rsidP="001E7729">
            <w:pPr>
              <w:rPr>
                <w:szCs w:val="22"/>
                <w:lang w:val="cs-CZ"/>
              </w:rPr>
            </w:pPr>
          </w:p>
        </w:tc>
        <w:tc>
          <w:tcPr>
            <w:tcW w:w="4678" w:type="dxa"/>
            <w:tcBorders>
              <w:top w:val="nil"/>
              <w:left w:val="nil"/>
              <w:bottom w:val="nil"/>
              <w:right w:val="nil"/>
            </w:tcBorders>
          </w:tcPr>
          <w:p w:rsidR="002974C3" w:rsidRPr="004359C7" w:rsidRDefault="002974C3" w:rsidP="001E7729">
            <w:pPr>
              <w:rPr>
                <w:b/>
                <w:bCs/>
                <w:szCs w:val="22"/>
                <w:lang w:val="de-DE"/>
              </w:rPr>
            </w:pPr>
            <w:r w:rsidRPr="004359C7">
              <w:rPr>
                <w:b/>
                <w:bCs/>
                <w:szCs w:val="22"/>
                <w:lang w:val="de-DE"/>
              </w:rPr>
              <w:t>Österreich</w:t>
            </w:r>
          </w:p>
          <w:p w:rsidR="002974C3" w:rsidRPr="004359C7" w:rsidRDefault="002974C3" w:rsidP="001E7729">
            <w:pPr>
              <w:rPr>
                <w:szCs w:val="22"/>
                <w:lang w:val="de-DE"/>
              </w:rPr>
            </w:pPr>
            <w:r w:rsidRPr="004359C7">
              <w:rPr>
                <w:szCs w:val="22"/>
                <w:lang w:val="de-DE"/>
              </w:rPr>
              <w:t>sanofi-aventis GmbH</w:t>
            </w:r>
          </w:p>
          <w:p w:rsidR="002974C3" w:rsidRPr="004359C7" w:rsidRDefault="002974C3" w:rsidP="001E7729">
            <w:pPr>
              <w:rPr>
                <w:szCs w:val="22"/>
                <w:lang w:val="de-DE"/>
              </w:rPr>
            </w:pPr>
            <w:r w:rsidRPr="004359C7">
              <w:rPr>
                <w:szCs w:val="22"/>
                <w:lang w:val="de-DE"/>
              </w:rPr>
              <w:t>Tel: +43 1 80 185 – 0</w:t>
            </w:r>
          </w:p>
          <w:p w:rsidR="002974C3" w:rsidRPr="002974C3" w:rsidRDefault="002974C3" w:rsidP="001E7729">
            <w:pPr>
              <w:rPr>
                <w:szCs w:val="22"/>
                <w:lang w:val="de-DE"/>
              </w:rPr>
            </w:pPr>
          </w:p>
        </w:tc>
      </w:tr>
      <w:tr w:rsidR="002974C3" w:rsidRPr="008D2CB3">
        <w:trPr>
          <w:cantSplit/>
        </w:trPr>
        <w:tc>
          <w:tcPr>
            <w:tcW w:w="4678" w:type="dxa"/>
            <w:tcBorders>
              <w:top w:val="nil"/>
              <w:left w:val="nil"/>
              <w:bottom w:val="nil"/>
              <w:right w:val="nil"/>
            </w:tcBorders>
          </w:tcPr>
          <w:p w:rsidR="002974C3" w:rsidRPr="00D61228" w:rsidRDefault="002974C3" w:rsidP="001E7729">
            <w:pPr>
              <w:rPr>
                <w:b/>
                <w:bCs/>
                <w:szCs w:val="22"/>
                <w:lang w:val="es-ES"/>
              </w:rPr>
            </w:pPr>
            <w:r w:rsidRPr="00D61228">
              <w:rPr>
                <w:b/>
                <w:bCs/>
                <w:szCs w:val="22"/>
                <w:lang w:val="es-ES"/>
              </w:rPr>
              <w:t>España</w:t>
            </w:r>
          </w:p>
          <w:p w:rsidR="002974C3" w:rsidRPr="00D61228" w:rsidRDefault="002974C3" w:rsidP="001E7729">
            <w:pPr>
              <w:rPr>
                <w:smallCaps/>
                <w:szCs w:val="22"/>
                <w:lang w:val="es-ES"/>
              </w:rPr>
            </w:pPr>
            <w:r w:rsidRPr="00D61228">
              <w:rPr>
                <w:szCs w:val="22"/>
                <w:lang w:val="es-ES"/>
              </w:rPr>
              <w:t>sanofi-aventis, S.A.</w:t>
            </w:r>
          </w:p>
          <w:p w:rsidR="002974C3" w:rsidRPr="004359C7" w:rsidRDefault="002974C3" w:rsidP="001E7729">
            <w:pPr>
              <w:rPr>
                <w:szCs w:val="22"/>
              </w:rPr>
            </w:pPr>
            <w:r w:rsidRPr="004359C7">
              <w:rPr>
                <w:szCs w:val="22"/>
              </w:rPr>
              <w:t>Tel: +34 93 485 94 00</w:t>
            </w:r>
          </w:p>
          <w:p w:rsidR="002974C3" w:rsidRPr="008D2CB3" w:rsidRDefault="002974C3" w:rsidP="001E7729">
            <w:pPr>
              <w:rPr>
                <w:szCs w:val="22"/>
                <w:lang w:val="sv-SE"/>
              </w:rPr>
            </w:pPr>
          </w:p>
        </w:tc>
        <w:tc>
          <w:tcPr>
            <w:tcW w:w="4678" w:type="dxa"/>
          </w:tcPr>
          <w:p w:rsidR="002974C3" w:rsidRPr="00D61228" w:rsidRDefault="002974C3" w:rsidP="001E7729">
            <w:pPr>
              <w:rPr>
                <w:b/>
                <w:bCs/>
                <w:szCs w:val="22"/>
                <w:lang w:val="sv-SE"/>
              </w:rPr>
            </w:pPr>
            <w:r w:rsidRPr="00D61228">
              <w:rPr>
                <w:b/>
                <w:bCs/>
                <w:szCs w:val="22"/>
                <w:lang w:val="sv-SE"/>
              </w:rPr>
              <w:t>Polska</w:t>
            </w:r>
          </w:p>
          <w:p w:rsidR="002974C3" w:rsidRPr="00D61228" w:rsidRDefault="002974C3" w:rsidP="001E7729">
            <w:pPr>
              <w:rPr>
                <w:szCs w:val="22"/>
                <w:lang w:val="sv-SE"/>
              </w:rPr>
            </w:pPr>
            <w:r w:rsidRPr="00D61228">
              <w:rPr>
                <w:szCs w:val="22"/>
                <w:lang w:val="sv-SE"/>
              </w:rPr>
              <w:t>sanofi-aventis Sp. z o.o.</w:t>
            </w:r>
          </w:p>
          <w:p w:rsidR="002974C3" w:rsidRPr="00697C8C" w:rsidRDefault="002974C3" w:rsidP="001E7729">
            <w:pPr>
              <w:rPr>
                <w:szCs w:val="22"/>
                <w:lang w:val="fr-FR"/>
              </w:rPr>
            </w:pPr>
            <w:r>
              <w:rPr>
                <w:szCs w:val="22"/>
                <w:lang w:val="fr-FR"/>
              </w:rPr>
              <w:t>Tel:</w:t>
            </w:r>
            <w:r w:rsidRPr="00697C8C">
              <w:rPr>
                <w:szCs w:val="22"/>
                <w:lang w:val="fr-FR"/>
              </w:rPr>
              <w:t xml:space="preserve"> </w:t>
            </w:r>
            <w:r>
              <w:rPr>
                <w:szCs w:val="22"/>
                <w:lang w:val="fr-FR"/>
              </w:rPr>
              <w:t xml:space="preserve">+48 </w:t>
            </w:r>
            <w:r w:rsidRPr="00697C8C">
              <w:rPr>
                <w:szCs w:val="22"/>
                <w:lang w:val="fr-FR"/>
              </w:rPr>
              <w:t>22 280 00 00</w:t>
            </w:r>
          </w:p>
          <w:p w:rsidR="002974C3" w:rsidRPr="008D2CB3" w:rsidRDefault="002974C3" w:rsidP="001E7729">
            <w:pPr>
              <w:rPr>
                <w:szCs w:val="22"/>
                <w:lang w:val="fr-FR"/>
              </w:rPr>
            </w:pPr>
          </w:p>
        </w:tc>
      </w:tr>
      <w:tr w:rsidR="002974C3" w:rsidRPr="00123EBC">
        <w:trPr>
          <w:cantSplit/>
        </w:trPr>
        <w:tc>
          <w:tcPr>
            <w:tcW w:w="4678" w:type="dxa"/>
          </w:tcPr>
          <w:p w:rsidR="002974C3" w:rsidRPr="004359C7" w:rsidRDefault="002974C3" w:rsidP="001E7729">
            <w:pPr>
              <w:rPr>
                <w:b/>
                <w:bCs/>
                <w:szCs w:val="22"/>
                <w:lang w:val="fr-FR"/>
              </w:rPr>
            </w:pPr>
            <w:r w:rsidRPr="004359C7">
              <w:rPr>
                <w:b/>
                <w:bCs/>
                <w:szCs w:val="22"/>
                <w:lang w:val="fr-FR"/>
              </w:rPr>
              <w:t>France</w:t>
            </w:r>
          </w:p>
          <w:p w:rsidR="002974C3" w:rsidRPr="004359C7" w:rsidRDefault="002974C3" w:rsidP="001E7729">
            <w:pPr>
              <w:rPr>
                <w:szCs w:val="22"/>
                <w:lang w:val="fr-FR"/>
              </w:rPr>
            </w:pPr>
            <w:r w:rsidRPr="004359C7">
              <w:rPr>
                <w:szCs w:val="22"/>
                <w:lang w:val="fr-FR"/>
              </w:rPr>
              <w:t>sanofi-aventis France</w:t>
            </w:r>
          </w:p>
          <w:p w:rsidR="002974C3" w:rsidRPr="004359C7" w:rsidRDefault="002974C3" w:rsidP="001E7729">
            <w:pPr>
              <w:rPr>
                <w:szCs w:val="22"/>
                <w:lang w:val="fr-FR"/>
              </w:rPr>
            </w:pPr>
            <w:r w:rsidRPr="004359C7">
              <w:rPr>
                <w:szCs w:val="22"/>
                <w:lang w:val="fr-FR"/>
              </w:rPr>
              <w:t>Tél: 0 800 222 555</w:t>
            </w:r>
          </w:p>
          <w:p w:rsidR="002974C3" w:rsidRPr="004359C7" w:rsidRDefault="002974C3" w:rsidP="001E7729">
            <w:pPr>
              <w:rPr>
                <w:szCs w:val="22"/>
              </w:rPr>
            </w:pPr>
            <w:r w:rsidRPr="004359C7">
              <w:rPr>
                <w:szCs w:val="22"/>
              </w:rPr>
              <w:t>Appel depuis l’étranger: +33 1 57 63 23 23</w:t>
            </w:r>
          </w:p>
          <w:p w:rsidR="002974C3" w:rsidRPr="008D2CB3" w:rsidRDefault="002974C3" w:rsidP="001E7729">
            <w:pPr>
              <w:rPr>
                <w:szCs w:val="22"/>
                <w:lang w:val="fr-FR"/>
              </w:rPr>
            </w:pPr>
          </w:p>
        </w:tc>
        <w:tc>
          <w:tcPr>
            <w:tcW w:w="4678" w:type="dxa"/>
          </w:tcPr>
          <w:p w:rsidR="002974C3" w:rsidRPr="00D61228" w:rsidRDefault="002974C3" w:rsidP="001E7729">
            <w:pPr>
              <w:rPr>
                <w:b/>
                <w:szCs w:val="22"/>
                <w:lang w:val="pt-BR"/>
              </w:rPr>
            </w:pPr>
            <w:r w:rsidRPr="00D61228">
              <w:rPr>
                <w:b/>
                <w:szCs w:val="22"/>
                <w:lang w:val="pt-BR"/>
              </w:rPr>
              <w:t>Portugal</w:t>
            </w:r>
          </w:p>
          <w:p w:rsidR="002974C3" w:rsidRPr="00D61228" w:rsidRDefault="002974C3" w:rsidP="001E7729">
            <w:pPr>
              <w:rPr>
                <w:szCs w:val="22"/>
                <w:lang w:val="pt-BR"/>
              </w:rPr>
            </w:pPr>
            <w:r>
              <w:rPr>
                <w:szCs w:val="22"/>
                <w:lang w:val="pt-BR"/>
              </w:rPr>
              <w:t>Sanofi</w:t>
            </w:r>
            <w:r w:rsidRPr="00D61228">
              <w:rPr>
                <w:szCs w:val="22"/>
                <w:lang w:val="pt-BR"/>
              </w:rPr>
              <w:t xml:space="preserve"> - Produtos Farmacêuticos, Lda</w:t>
            </w:r>
          </w:p>
          <w:p w:rsidR="002974C3" w:rsidRPr="00100BBB" w:rsidRDefault="002974C3" w:rsidP="001E7729">
            <w:pPr>
              <w:rPr>
                <w:szCs w:val="22"/>
                <w:lang w:val="pt-BR"/>
              </w:rPr>
            </w:pPr>
            <w:r w:rsidRPr="00100BBB">
              <w:rPr>
                <w:szCs w:val="22"/>
                <w:lang w:val="pt-BR"/>
              </w:rPr>
              <w:t>Tel: +351 21 35 89 400</w:t>
            </w:r>
          </w:p>
          <w:p w:rsidR="002974C3" w:rsidRPr="008D2CB3" w:rsidRDefault="002974C3" w:rsidP="001E7729">
            <w:pPr>
              <w:rPr>
                <w:szCs w:val="22"/>
                <w:lang w:val="cs-CZ"/>
              </w:rPr>
            </w:pPr>
          </w:p>
        </w:tc>
      </w:tr>
      <w:tr w:rsidR="002974C3" w:rsidRPr="003346F0">
        <w:trPr>
          <w:cantSplit/>
        </w:trPr>
        <w:tc>
          <w:tcPr>
            <w:tcW w:w="4678" w:type="dxa"/>
          </w:tcPr>
          <w:p w:rsidR="002974C3" w:rsidRPr="00100BBB" w:rsidRDefault="002974C3" w:rsidP="001E7729">
            <w:pPr>
              <w:keepNext/>
              <w:rPr>
                <w:rFonts w:eastAsia="SimSun"/>
                <w:b/>
                <w:bCs/>
                <w:szCs w:val="22"/>
                <w:lang w:val="pt-BR" w:eastAsia="zh-CN"/>
              </w:rPr>
            </w:pPr>
            <w:r w:rsidRPr="00100BBB">
              <w:rPr>
                <w:rFonts w:eastAsia="SimSun"/>
                <w:b/>
                <w:bCs/>
                <w:szCs w:val="22"/>
                <w:lang w:val="pt-BR" w:eastAsia="zh-CN"/>
              </w:rPr>
              <w:t>Hrvatska</w:t>
            </w:r>
          </w:p>
          <w:p w:rsidR="002974C3" w:rsidRPr="00100BBB" w:rsidRDefault="002974C3" w:rsidP="001E7729">
            <w:pPr>
              <w:rPr>
                <w:rFonts w:eastAsia="SimSun"/>
                <w:szCs w:val="22"/>
                <w:lang w:val="pt-BR" w:eastAsia="zh-CN"/>
              </w:rPr>
            </w:pPr>
            <w:r w:rsidRPr="00100BBB">
              <w:rPr>
                <w:rFonts w:eastAsia="SimSun"/>
                <w:szCs w:val="22"/>
                <w:lang w:val="pt-BR" w:eastAsia="zh-CN"/>
              </w:rPr>
              <w:t>sanofi-aventis Croatia d.o.o.</w:t>
            </w:r>
          </w:p>
          <w:p w:rsidR="002974C3" w:rsidRPr="008D2CB3" w:rsidRDefault="002974C3" w:rsidP="001E7729">
            <w:pPr>
              <w:rPr>
                <w:szCs w:val="22"/>
                <w:lang w:val="fr-FR"/>
              </w:rPr>
            </w:pPr>
            <w:r w:rsidRPr="00A23182">
              <w:rPr>
                <w:rFonts w:eastAsia="SimSun"/>
                <w:szCs w:val="22"/>
                <w:lang w:val="fr-FR" w:eastAsia="zh-CN"/>
              </w:rPr>
              <w:t>Tel: +385 1 600 34 00</w:t>
            </w:r>
          </w:p>
        </w:tc>
        <w:tc>
          <w:tcPr>
            <w:tcW w:w="4678" w:type="dxa"/>
          </w:tcPr>
          <w:p w:rsidR="002974C3" w:rsidRPr="004359C7" w:rsidRDefault="002974C3" w:rsidP="001E7729">
            <w:pPr>
              <w:tabs>
                <w:tab w:val="left" w:pos="-720"/>
                <w:tab w:val="left" w:pos="4536"/>
              </w:tabs>
              <w:suppressAutoHyphens/>
              <w:rPr>
                <w:b/>
                <w:noProof/>
                <w:szCs w:val="22"/>
                <w:lang w:val="it-IT"/>
              </w:rPr>
            </w:pPr>
            <w:r w:rsidRPr="004359C7">
              <w:rPr>
                <w:b/>
                <w:noProof/>
                <w:szCs w:val="22"/>
                <w:lang w:val="it-IT"/>
              </w:rPr>
              <w:t>România</w:t>
            </w:r>
          </w:p>
          <w:p w:rsidR="002974C3" w:rsidRPr="004359C7" w:rsidRDefault="00F612CB" w:rsidP="001E7729">
            <w:pPr>
              <w:tabs>
                <w:tab w:val="left" w:pos="-720"/>
                <w:tab w:val="left" w:pos="4536"/>
              </w:tabs>
              <w:suppressAutoHyphens/>
              <w:rPr>
                <w:noProof/>
                <w:szCs w:val="22"/>
                <w:lang w:val="it-IT"/>
              </w:rPr>
            </w:pPr>
            <w:r>
              <w:rPr>
                <w:bCs/>
                <w:szCs w:val="22"/>
                <w:lang w:val="it-IT"/>
              </w:rPr>
              <w:t>S</w:t>
            </w:r>
            <w:r w:rsidR="002974C3" w:rsidRPr="004359C7">
              <w:rPr>
                <w:bCs/>
                <w:szCs w:val="22"/>
                <w:lang w:val="it-IT"/>
              </w:rPr>
              <w:t>anofi Rom</w:t>
            </w:r>
            <w:r>
              <w:rPr>
                <w:bCs/>
                <w:szCs w:val="22"/>
                <w:lang w:val="it-IT"/>
              </w:rPr>
              <w:t>a</w:t>
            </w:r>
            <w:r w:rsidR="002974C3" w:rsidRPr="004359C7">
              <w:rPr>
                <w:bCs/>
                <w:szCs w:val="22"/>
                <w:lang w:val="it-IT"/>
              </w:rPr>
              <w:t>nia SRL</w:t>
            </w:r>
          </w:p>
          <w:p w:rsidR="002974C3" w:rsidRPr="004359C7" w:rsidRDefault="002974C3" w:rsidP="001E7729">
            <w:pPr>
              <w:rPr>
                <w:szCs w:val="22"/>
                <w:lang w:val="it-IT"/>
              </w:rPr>
            </w:pPr>
            <w:r w:rsidRPr="004359C7">
              <w:rPr>
                <w:noProof/>
                <w:szCs w:val="22"/>
                <w:lang w:val="it-IT"/>
              </w:rPr>
              <w:t xml:space="preserve">Tel: +40 </w:t>
            </w:r>
            <w:r w:rsidRPr="004359C7">
              <w:rPr>
                <w:szCs w:val="22"/>
                <w:lang w:val="it-IT"/>
              </w:rPr>
              <w:t>(0) 21 317 31 36</w:t>
            </w:r>
          </w:p>
          <w:p w:rsidR="002974C3" w:rsidRPr="008D2CB3" w:rsidRDefault="002974C3" w:rsidP="001E7729">
            <w:pPr>
              <w:rPr>
                <w:szCs w:val="22"/>
                <w:lang w:val="cs-CZ"/>
              </w:rPr>
            </w:pPr>
          </w:p>
        </w:tc>
      </w:tr>
      <w:tr w:rsidR="002974C3" w:rsidRPr="008D2CB3">
        <w:trPr>
          <w:cantSplit/>
        </w:trPr>
        <w:tc>
          <w:tcPr>
            <w:tcW w:w="4678" w:type="dxa"/>
          </w:tcPr>
          <w:p w:rsidR="002974C3" w:rsidRPr="00855BDB" w:rsidRDefault="002974C3" w:rsidP="001E7729">
            <w:pPr>
              <w:rPr>
                <w:b/>
                <w:szCs w:val="22"/>
                <w:lang w:val="fr-FR"/>
              </w:rPr>
            </w:pPr>
            <w:r w:rsidRPr="00855BDB">
              <w:rPr>
                <w:b/>
                <w:szCs w:val="22"/>
                <w:lang w:val="fr-FR"/>
              </w:rPr>
              <w:t>Ireland</w:t>
            </w:r>
          </w:p>
          <w:p w:rsidR="002974C3" w:rsidRPr="00855BDB" w:rsidRDefault="002974C3" w:rsidP="001E7729">
            <w:pPr>
              <w:rPr>
                <w:szCs w:val="22"/>
                <w:lang w:val="fr-FR"/>
              </w:rPr>
            </w:pPr>
            <w:r w:rsidRPr="00855BDB">
              <w:rPr>
                <w:szCs w:val="22"/>
                <w:lang w:val="fr-FR"/>
              </w:rPr>
              <w:t>sanofi-aventis Ireland Ltd.</w:t>
            </w:r>
            <w:r>
              <w:rPr>
                <w:szCs w:val="22"/>
                <w:lang w:val="fr-FR"/>
              </w:rPr>
              <w:t xml:space="preserve"> T/A SANOFI</w:t>
            </w:r>
          </w:p>
          <w:p w:rsidR="002974C3" w:rsidRPr="001F3C3C" w:rsidRDefault="002974C3" w:rsidP="001E7729">
            <w:pPr>
              <w:rPr>
                <w:szCs w:val="22"/>
                <w:lang w:val="fr-FR"/>
              </w:rPr>
            </w:pPr>
            <w:r w:rsidRPr="001F3C3C">
              <w:rPr>
                <w:szCs w:val="22"/>
                <w:lang w:val="fr-FR"/>
              </w:rPr>
              <w:t>Tel: +353 (0) 1 403 56 00</w:t>
            </w:r>
          </w:p>
          <w:p w:rsidR="002974C3" w:rsidRPr="008D2CB3" w:rsidRDefault="002974C3" w:rsidP="001E7729">
            <w:pPr>
              <w:rPr>
                <w:szCs w:val="22"/>
                <w:lang w:val="cs-CZ"/>
              </w:rPr>
            </w:pPr>
          </w:p>
        </w:tc>
        <w:tc>
          <w:tcPr>
            <w:tcW w:w="4678" w:type="dxa"/>
          </w:tcPr>
          <w:p w:rsidR="002974C3" w:rsidRPr="004359C7" w:rsidRDefault="002974C3" w:rsidP="001E7729">
            <w:pPr>
              <w:rPr>
                <w:b/>
                <w:bCs/>
                <w:szCs w:val="22"/>
                <w:lang w:val="it-IT"/>
              </w:rPr>
            </w:pPr>
            <w:r w:rsidRPr="004359C7">
              <w:rPr>
                <w:b/>
                <w:bCs/>
                <w:szCs w:val="22"/>
                <w:lang w:val="it-IT"/>
              </w:rPr>
              <w:t>Slovenija</w:t>
            </w:r>
          </w:p>
          <w:p w:rsidR="002974C3" w:rsidRPr="004359C7" w:rsidRDefault="002974C3" w:rsidP="001E7729">
            <w:pPr>
              <w:rPr>
                <w:szCs w:val="22"/>
                <w:lang w:val="it-IT"/>
              </w:rPr>
            </w:pPr>
            <w:r w:rsidRPr="004359C7">
              <w:rPr>
                <w:szCs w:val="22"/>
                <w:lang w:val="it-IT"/>
              </w:rPr>
              <w:t>sanofi-aventis d.o.o.</w:t>
            </w:r>
          </w:p>
          <w:p w:rsidR="002974C3" w:rsidRPr="004359C7" w:rsidRDefault="002974C3" w:rsidP="001E7729">
            <w:pPr>
              <w:rPr>
                <w:szCs w:val="22"/>
                <w:lang w:val="it-IT"/>
              </w:rPr>
            </w:pPr>
            <w:r w:rsidRPr="004359C7">
              <w:rPr>
                <w:szCs w:val="22"/>
                <w:lang w:val="it-IT"/>
              </w:rPr>
              <w:t>Tel: +386 1 560 48 00</w:t>
            </w:r>
          </w:p>
          <w:p w:rsidR="002974C3" w:rsidRPr="008D2CB3" w:rsidRDefault="002974C3" w:rsidP="001E7729">
            <w:pPr>
              <w:rPr>
                <w:szCs w:val="22"/>
                <w:lang w:val="sk-SK"/>
              </w:rPr>
            </w:pPr>
          </w:p>
        </w:tc>
      </w:tr>
      <w:tr w:rsidR="002974C3" w:rsidRPr="008D2CB3">
        <w:trPr>
          <w:cantSplit/>
        </w:trPr>
        <w:tc>
          <w:tcPr>
            <w:tcW w:w="4678" w:type="dxa"/>
          </w:tcPr>
          <w:p w:rsidR="002974C3" w:rsidRPr="004359C7" w:rsidRDefault="002974C3" w:rsidP="001E7729">
            <w:pPr>
              <w:rPr>
                <w:b/>
                <w:bCs/>
                <w:szCs w:val="22"/>
              </w:rPr>
            </w:pPr>
            <w:r w:rsidRPr="004359C7">
              <w:rPr>
                <w:b/>
                <w:bCs/>
                <w:szCs w:val="22"/>
              </w:rPr>
              <w:t>Ísland</w:t>
            </w:r>
          </w:p>
          <w:p w:rsidR="002974C3" w:rsidRPr="004359C7" w:rsidRDefault="002974C3" w:rsidP="001E7729">
            <w:pPr>
              <w:rPr>
                <w:szCs w:val="22"/>
              </w:rPr>
            </w:pPr>
            <w:r w:rsidRPr="004359C7">
              <w:rPr>
                <w:szCs w:val="22"/>
              </w:rPr>
              <w:t>Vistor hf.</w:t>
            </w:r>
          </w:p>
          <w:p w:rsidR="002974C3" w:rsidRPr="004359C7" w:rsidRDefault="002974C3" w:rsidP="001E7729">
            <w:pPr>
              <w:rPr>
                <w:szCs w:val="22"/>
              </w:rPr>
            </w:pPr>
            <w:r w:rsidRPr="004359C7">
              <w:rPr>
                <w:noProof/>
                <w:szCs w:val="22"/>
              </w:rPr>
              <w:t>Sími</w:t>
            </w:r>
            <w:r w:rsidRPr="004359C7">
              <w:rPr>
                <w:szCs w:val="22"/>
              </w:rPr>
              <w:t>: +354 535 7000</w:t>
            </w:r>
          </w:p>
          <w:p w:rsidR="002974C3" w:rsidRPr="008D2CB3" w:rsidRDefault="002974C3" w:rsidP="001E7729">
            <w:pPr>
              <w:rPr>
                <w:szCs w:val="22"/>
                <w:lang w:val="it-IT"/>
              </w:rPr>
            </w:pPr>
          </w:p>
        </w:tc>
        <w:tc>
          <w:tcPr>
            <w:tcW w:w="4678" w:type="dxa"/>
          </w:tcPr>
          <w:p w:rsidR="00767D08" w:rsidRPr="004359C7" w:rsidRDefault="00767D08" w:rsidP="00767D08">
            <w:pPr>
              <w:rPr>
                <w:b/>
                <w:bCs/>
                <w:szCs w:val="22"/>
                <w:lang w:val="sk-SK"/>
              </w:rPr>
            </w:pPr>
            <w:r w:rsidRPr="004359C7">
              <w:rPr>
                <w:b/>
                <w:bCs/>
                <w:szCs w:val="22"/>
                <w:lang w:val="sk-SK"/>
              </w:rPr>
              <w:t>Slovenská republika</w:t>
            </w:r>
          </w:p>
          <w:p w:rsidR="00767D08" w:rsidRPr="004359C7" w:rsidRDefault="00767D08" w:rsidP="00767D08">
            <w:pPr>
              <w:rPr>
                <w:szCs w:val="22"/>
                <w:lang w:val="cs-CZ"/>
              </w:rPr>
            </w:pPr>
            <w:r w:rsidRPr="004359C7">
              <w:rPr>
                <w:szCs w:val="22"/>
                <w:lang w:val="sk-SK"/>
              </w:rPr>
              <w:t>sanofi-</w:t>
            </w:r>
            <w:r w:rsidRPr="004359C7">
              <w:rPr>
                <w:szCs w:val="22"/>
                <w:lang w:val="cs-CZ"/>
              </w:rPr>
              <w:t xml:space="preserve">aventis Slovakia </w:t>
            </w:r>
            <w:r w:rsidRPr="004359C7">
              <w:rPr>
                <w:szCs w:val="22"/>
                <w:lang w:val="sk-SK"/>
              </w:rPr>
              <w:t>s.r.o.</w:t>
            </w:r>
          </w:p>
          <w:p w:rsidR="00767D08" w:rsidRPr="004359C7" w:rsidRDefault="00767D08" w:rsidP="00767D08">
            <w:pPr>
              <w:rPr>
                <w:szCs w:val="22"/>
                <w:lang w:val="sk-SK"/>
              </w:rPr>
            </w:pPr>
            <w:r w:rsidRPr="004359C7">
              <w:rPr>
                <w:szCs w:val="22"/>
                <w:lang w:val="cs-CZ"/>
              </w:rPr>
              <w:t>Tel: +</w:t>
            </w:r>
            <w:r w:rsidRPr="004359C7">
              <w:rPr>
                <w:szCs w:val="22"/>
                <w:lang w:val="sk-SK"/>
              </w:rPr>
              <w:t xml:space="preserve">421 2 </w:t>
            </w:r>
            <w:r>
              <w:rPr>
                <w:szCs w:val="22"/>
                <w:lang w:val="sk-SK"/>
              </w:rPr>
              <w:t>33 100 100</w:t>
            </w:r>
          </w:p>
          <w:p w:rsidR="002974C3" w:rsidRPr="008D2CB3" w:rsidRDefault="002974C3" w:rsidP="001E7729">
            <w:pPr>
              <w:rPr>
                <w:szCs w:val="22"/>
                <w:lang w:val="it-IT"/>
              </w:rPr>
            </w:pPr>
          </w:p>
        </w:tc>
      </w:tr>
      <w:tr w:rsidR="002974C3" w:rsidRPr="003346F0">
        <w:trPr>
          <w:cantSplit/>
        </w:trPr>
        <w:tc>
          <w:tcPr>
            <w:tcW w:w="4678" w:type="dxa"/>
          </w:tcPr>
          <w:p w:rsidR="002974C3" w:rsidRPr="004359C7" w:rsidRDefault="002974C3" w:rsidP="001E7729">
            <w:pPr>
              <w:rPr>
                <w:b/>
                <w:bCs/>
                <w:szCs w:val="22"/>
                <w:lang w:val="it-IT"/>
              </w:rPr>
            </w:pPr>
            <w:r w:rsidRPr="004359C7">
              <w:rPr>
                <w:b/>
                <w:bCs/>
                <w:szCs w:val="22"/>
                <w:lang w:val="it-IT"/>
              </w:rPr>
              <w:t>Italia</w:t>
            </w:r>
          </w:p>
          <w:p w:rsidR="002974C3" w:rsidRPr="004359C7" w:rsidRDefault="00F43037" w:rsidP="001E7729">
            <w:pPr>
              <w:rPr>
                <w:szCs w:val="22"/>
                <w:lang w:val="it-IT"/>
              </w:rPr>
            </w:pPr>
            <w:r>
              <w:rPr>
                <w:szCs w:val="22"/>
                <w:lang w:val="it-IT"/>
              </w:rPr>
              <w:t>S</w:t>
            </w:r>
            <w:r w:rsidRPr="004359C7">
              <w:rPr>
                <w:szCs w:val="22"/>
                <w:lang w:val="it-IT"/>
              </w:rPr>
              <w:t>anofi S.</w:t>
            </w:r>
            <w:r>
              <w:rPr>
                <w:szCs w:val="22"/>
                <w:lang w:val="it-IT"/>
              </w:rPr>
              <w:t>r</w:t>
            </w:r>
            <w:r w:rsidRPr="004359C7">
              <w:rPr>
                <w:szCs w:val="22"/>
                <w:lang w:val="it-IT"/>
              </w:rPr>
              <w:t>.</w:t>
            </w:r>
            <w:r>
              <w:rPr>
                <w:szCs w:val="22"/>
                <w:lang w:val="it-IT"/>
              </w:rPr>
              <w:t>l</w:t>
            </w:r>
            <w:r w:rsidRPr="004359C7">
              <w:rPr>
                <w:szCs w:val="22"/>
                <w:lang w:val="it-IT"/>
              </w:rPr>
              <w:t>.</w:t>
            </w:r>
          </w:p>
          <w:p w:rsidR="002974C3" w:rsidRPr="00A029CC" w:rsidRDefault="002974C3" w:rsidP="001E7729">
            <w:r w:rsidRPr="004359C7">
              <w:rPr>
                <w:szCs w:val="22"/>
                <w:lang w:val="it-IT"/>
              </w:rPr>
              <w:t>Tel</w:t>
            </w:r>
            <w:r>
              <w:rPr>
                <w:szCs w:val="22"/>
                <w:lang w:val="it-IT"/>
              </w:rPr>
              <w:t>:</w:t>
            </w:r>
            <w:r w:rsidR="00C42730">
              <w:rPr>
                <w:szCs w:val="22"/>
                <w:lang w:val="it-IT"/>
              </w:rPr>
              <w:t xml:space="preserve"> </w:t>
            </w:r>
            <w:r w:rsidR="00F612CB">
              <w:rPr>
                <w:szCs w:val="22"/>
                <w:lang w:val="it-IT"/>
              </w:rPr>
              <w:t>800 536389</w:t>
            </w:r>
          </w:p>
          <w:p w:rsidR="002974C3" w:rsidRPr="008D2CB3" w:rsidRDefault="002974C3" w:rsidP="001E7729">
            <w:pPr>
              <w:rPr>
                <w:szCs w:val="22"/>
                <w:lang w:val="fr-FR"/>
              </w:rPr>
            </w:pPr>
          </w:p>
        </w:tc>
        <w:tc>
          <w:tcPr>
            <w:tcW w:w="4678" w:type="dxa"/>
          </w:tcPr>
          <w:p w:rsidR="002974C3" w:rsidRPr="004359C7" w:rsidRDefault="002974C3" w:rsidP="001E7729">
            <w:pPr>
              <w:rPr>
                <w:b/>
                <w:bCs/>
                <w:szCs w:val="22"/>
              </w:rPr>
            </w:pPr>
            <w:r w:rsidRPr="004359C7">
              <w:rPr>
                <w:b/>
                <w:bCs/>
                <w:szCs w:val="22"/>
              </w:rPr>
              <w:t>Suomi/Finland</w:t>
            </w:r>
          </w:p>
          <w:p w:rsidR="002974C3" w:rsidRPr="004359C7" w:rsidRDefault="00B43376" w:rsidP="001E7729">
            <w:pPr>
              <w:rPr>
                <w:szCs w:val="22"/>
              </w:rPr>
            </w:pPr>
            <w:r>
              <w:rPr>
                <w:szCs w:val="22"/>
              </w:rPr>
              <w:t>S</w:t>
            </w:r>
            <w:r w:rsidR="002974C3" w:rsidRPr="004359C7">
              <w:rPr>
                <w:szCs w:val="22"/>
              </w:rPr>
              <w:t>anofi Oy</w:t>
            </w:r>
          </w:p>
          <w:p w:rsidR="002974C3" w:rsidRPr="004359C7" w:rsidRDefault="002974C3" w:rsidP="001E7729">
            <w:pPr>
              <w:rPr>
                <w:szCs w:val="22"/>
              </w:rPr>
            </w:pPr>
            <w:r w:rsidRPr="004359C7">
              <w:rPr>
                <w:szCs w:val="22"/>
              </w:rPr>
              <w:t>Puh/Tel: +358 (0) 201 200 300</w:t>
            </w:r>
          </w:p>
          <w:p w:rsidR="002974C3" w:rsidRPr="008D2CB3" w:rsidRDefault="002974C3" w:rsidP="001E7729">
            <w:pPr>
              <w:rPr>
                <w:szCs w:val="22"/>
                <w:lang w:val="sv-SE"/>
              </w:rPr>
            </w:pPr>
          </w:p>
        </w:tc>
      </w:tr>
      <w:tr w:rsidR="002974C3" w:rsidRPr="008D2CB3">
        <w:trPr>
          <w:cantSplit/>
        </w:trPr>
        <w:tc>
          <w:tcPr>
            <w:tcW w:w="4678" w:type="dxa"/>
          </w:tcPr>
          <w:p w:rsidR="002974C3" w:rsidRPr="00100BBB" w:rsidRDefault="002974C3" w:rsidP="001E7729">
            <w:pPr>
              <w:rPr>
                <w:b/>
                <w:szCs w:val="22"/>
              </w:rPr>
            </w:pPr>
            <w:r w:rsidRPr="004359C7">
              <w:rPr>
                <w:b/>
                <w:bCs/>
                <w:szCs w:val="22"/>
              </w:rPr>
              <w:t>Κύπρος</w:t>
            </w:r>
          </w:p>
          <w:p w:rsidR="002974C3" w:rsidRPr="00100BBB" w:rsidRDefault="002974C3" w:rsidP="001E7729">
            <w:pPr>
              <w:rPr>
                <w:szCs w:val="22"/>
              </w:rPr>
            </w:pPr>
            <w:r w:rsidRPr="00100BBB">
              <w:rPr>
                <w:szCs w:val="22"/>
              </w:rPr>
              <w:t>sanofi-aventis Cyprus Ltd.</w:t>
            </w:r>
          </w:p>
          <w:p w:rsidR="002974C3" w:rsidRPr="004359C7" w:rsidRDefault="002974C3" w:rsidP="001E7729">
            <w:pPr>
              <w:rPr>
                <w:szCs w:val="22"/>
              </w:rPr>
            </w:pPr>
            <w:r w:rsidRPr="004359C7">
              <w:rPr>
                <w:szCs w:val="22"/>
              </w:rPr>
              <w:t>Τηλ: +357 22 871600</w:t>
            </w:r>
          </w:p>
          <w:p w:rsidR="002974C3" w:rsidRPr="008D2CB3" w:rsidRDefault="002974C3" w:rsidP="001E7729">
            <w:pPr>
              <w:rPr>
                <w:szCs w:val="22"/>
                <w:lang w:val="sv-SE"/>
              </w:rPr>
            </w:pPr>
          </w:p>
        </w:tc>
        <w:tc>
          <w:tcPr>
            <w:tcW w:w="4678" w:type="dxa"/>
          </w:tcPr>
          <w:p w:rsidR="002974C3" w:rsidRPr="004359C7" w:rsidRDefault="002974C3" w:rsidP="001E7729">
            <w:pPr>
              <w:rPr>
                <w:b/>
                <w:bCs/>
                <w:szCs w:val="22"/>
              </w:rPr>
            </w:pPr>
            <w:r w:rsidRPr="004359C7">
              <w:rPr>
                <w:b/>
                <w:bCs/>
                <w:szCs w:val="22"/>
              </w:rPr>
              <w:t>Sverige</w:t>
            </w:r>
          </w:p>
          <w:p w:rsidR="002974C3" w:rsidRPr="004359C7" w:rsidRDefault="00B43376" w:rsidP="001E7729">
            <w:pPr>
              <w:rPr>
                <w:szCs w:val="22"/>
              </w:rPr>
            </w:pPr>
            <w:r>
              <w:rPr>
                <w:szCs w:val="22"/>
              </w:rPr>
              <w:t>S</w:t>
            </w:r>
            <w:r w:rsidR="002974C3" w:rsidRPr="004359C7">
              <w:rPr>
                <w:szCs w:val="22"/>
              </w:rPr>
              <w:t>anofi AB</w:t>
            </w:r>
          </w:p>
          <w:p w:rsidR="002974C3" w:rsidRPr="004359C7" w:rsidRDefault="002974C3" w:rsidP="001E7729">
            <w:pPr>
              <w:rPr>
                <w:szCs w:val="22"/>
              </w:rPr>
            </w:pPr>
            <w:r w:rsidRPr="004359C7">
              <w:rPr>
                <w:szCs w:val="22"/>
              </w:rPr>
              <w:t>Tel: +46 (0)8 634 50 00</w:t>
            </w:r>
          </w:p>
          <w:p w:rsidR="002974C3" w:rsidRPr="008D2CB3" w:rsidRDefault="002974C3" w:rsidP="001E7729">
            <w:pPr>
              <w:rPr>
                <w:szCs w:val="22"/>
                <w:lang w:val="sv-SE"/>
              </w:rPr>
            </w:pPr>
          </w:p>
        </w:tc>
      </w:tr>
      <w:tr w:rsidR="002974C3" w:rsidRPr="008D2CB3">
        <w:trPr>
          <w:cantSplit/>
        </w:trPr>
        <w:tc>
          <w:tcPr>
            <w:tcW w:w="4678" w:type="dxa"/>
          </w:tcPr>
          <w:p w:rsidR="002974C3" w:rsidRPr="004359C7" w:rsidRDefault="002974C3" w:rsidP="001E7729">
            <w:pPr>
              <w:rPr>
                <w:b/>
                <w:bCs/>
                <w:szCs w:val="22"/>
                <w:lang w:val="it-IT"/>
              </w:rPr>
            </w:pPr>
            <w:r w:rsidRPr="004359C7">
              <w:rPr>
                <w:b/>
                <w:bCs/>
                <w:szCs w:val="22"/>
                <w:lang w:val="it-IT"/>
              </w:rPr>
              <w:t>Latvija</w:t>
            </w:r>
          </w:p>
          <w:p w:rsidR="002974C3" w:rsidRPr="004359C7" w:rsidRDefault="002974C3" w:rsidP="001E7729">
            <w:pPr>
              <w:rPr>
                <w:szCs w:val="22"/>
                <w:lang w:val="it-IT"/>
              </w:rPr>
            </w:pPr>
            <w:r w:rsidRPr="004359C7">
              <w:rPr>
                <w:szCs w:val="22"/>
                <w:lang w:val="it-IT"/>
              </w:rPr>
              <w:t>sanofi-aventis Latvia SIA</w:t>
            </w:r>
          </w:p>
          <w:p w:rsidR="002974C3" w:rsidRPr="004359C7" w:rsidRDefault="002974C3" w:rsidP="001E7729">
            <w:pPr>
              <w:rPr>
                <w:szCs w:val="22"/>
                <w:lang w:val="it-IT"/>
              </w:rPr>
            </w:pPr>
            <w:r w:rsidRPr="004359C7">
              <w:rPr>
                <w:szCs w:val="22"/>
                <w:lang w:val="it-IT"/>
              </w:rPr>
              <w:t>Tel: +371 67 33 24 51</w:t>
            </w:r>
          </w:p>
          <w:p w:rsidR="002974C3" w:rsidRPr="008D2CB3" w:rsidRDefault="002974C3" w:rsidP="001E7729">
            <w:pPr>
              <w:rPr>
                <w:szCs w:val="22"/>
                <w:lang w:val="lv-LV"/>
              </w:rPr>
            </w:pPr>
          </w:p>
        </w:tc>
        <w:tc>
          <w:tcPr>
            <w:tcW w:w="4678" w:type="dxa"/>
          </w:tcPr>
          <w:p w:rsidR="002974C3" w:rsidRPr="004359C7" w:rsidRDefault="002974C3" w:rsidP="001E7729">
            <w:pPr>
              <w:rPr>
                <w:b/>
                <w:bCs/>
                <w:szCs w:val="22"/>
              </w:rPr>
            </w:pPr>
            <w:r w:rsidRPr="004359C7">
              <w:rPr>
                <w:b/>
                <w:bCs/>
                <w:szCs w:val="22"/>
              </w:rPr>
              <w:t>United Kingdom</w:t>
            </w:r>
          </w:p>
          <w:p w:rsidR="002974C3" w:rsidRPr="004359C7" w:rsidRDefault="002974C3" w:rsidP="001E7729">
            <w:pPr>
              <w:rPr>
                <w:szCs w:val="22"/>
              </w:rPr>
            </w:pPr>
            <w:r>
              <w:rPr>
                <w:szCs w:val="22"/>
              </w:rPr>
              <w:t>Sanofi</w:t>
            </w:r>
          </w:p>
          <w:p w:rsidR="002974C3" w:rsidRPr="008D2CB3" w:rsidRDefault="002974C3" w:rsidP="001E7729">
            <w:pPr>
              <w:rPr>
                <w:szCs w:val="22"/>
                <w:lang w:val="lv-LV"/>
              </w:rPr>
            </w:pPr>
            <w:r w:rsidRPr="004359C7">
              <w:rPr>
                <w:szCs w:val="22"/>
              </w:rPr>
              <w:t xml:space="preserve">Tel: +44 (0) </w:t>
            </w:r>
            <w:r w:rsidR="00B43376" w:rsidRPr="009E6D0B">
              <w:rPr>
                <w:szCs w:val="22"/>
              </w:rPr>
              <w:t>845 372 7101</w:t>
            </w:r>
          </w:p>
        </w:tc>
      </w:tr>
    </w:tbl>
    <w:p w:rsidR="00FE5F45" w:rsidRPr="008D2CB3" w:rsidRDefault="00FE5F45" w:rsidP="001E7729">
      <w:pPr>
        <w:rPr>
          <w:szCs w:val="22"/>
          <w:lang w:val="fr-FR"/>
        </w:rPr>
      </w:pPr>
    </w:p>
    <w:p w:rsidR="002844B0" w:rsidRPr="00123EBC" w:rsidRDefault="00122217" w:rsidP="00D16754">
      <w:pPr>
        <w:keepNext/>
        <w:rPr>
          <w:b/>
          <w:bCs/>
          <w:szCs w:val="22"/>
          <w:lang w:val="fr-FR"/>
        </w:rPr>
      </w:pPr>
      <w:r w:rsidRPr="00123EBC">
        <w:rPr>
          <w:b/>
          <w:bCs/>
          <w:szCs w:val="22"/>
          <w:lang w:val="fr-FR"/>
        </w:rPr>
        <w:t xml:space="preserve">A betegtájékoztató </w:t>
      </w:r>
      <w:r w:rsidR="002844B0" w:rsidRPr="00123EBC">
        <w:rPr>
          <w:b/>
          <w:bCs/>
          <w:szCs w:val="22"/>
          <w:lang w:val="fr-FR"/>
        </w:rPr>
        <w:t>legutóbbi felülvizsgálatának</w:t>
      </w:r>
      <w:r w:rsidRPr="00123EBC">
        <w:rPr>
          <w:b/>
          <w:bCs/>
          <w:szCs w:val="22"/>
          <w:lang w:val="fr-FR"/>
        </w:rPr>
        <w:t xml:space="preserve"> dátuma</w:t>
      </w:r>
      <w:r w:rsidR="002844B0" w:rsidRPr="00123EBC">
        <w:rPr>
          <w:b/>
          <w:bCs/>
          <w:szCs w:val="22"/>
          <w:lang w:val="fr-FR"/>
        </w:rPr>
        <w:t>: &lt; ÉÉÉÉ. hónap</w:t>
      </w:r>
      <w:r w:rsidR="002844B0" w:rsidRPr="00123EBC" w:rsidDel="000F2F3E">
        <w:rPr>
          <w:b/>
          <w:bCs/>
          <w:szCs w:val="22"/>
          <w:lang w:val="fr-FR"/>
        </w:rPr>
        <w:t xml:space="preserve"> </w:t>
      </w:r>
      <w:r w:rsidR="002844B0" w:rsidRPr="00123EBC">
        <w:rPr>
          <w:b/>
          <w:bCs/>
          <w:szCs w:val="22"/>
          <w:lang w:val="fr-FR"/>
        </w:rPr>
        <w:t>&gt;</w:t>
      </w:r>
    </w:p>
    <w:p w:rsidR="00122217" w:rsidRPr="008D2CB3" w:rsidRDefault="00122217" w:rsidP="001E7729">
      <w:pPr>
        <w:keepNext/>
      </w:pPr>
    </w:p>
    <w:p w:rsidR="00122217" w:rsidRPr="008D2CB3" w:rsidRDefault="00122217" w:rsidP="001E7729">
      <w:pPr>
        <w:keepNext/>
        <w:rPr>
          <w:b/>
          <w:noProof/>
          <w:szCs w:val="22"/>
        </w:rPr>
      </w:pPr>
      <w:r w:rsidRPr="008D2CB3">
        <w:rPr>
          <w:noProof/>
          <w:szCs w:val="22"/>
        </w:rPr>
        <w:t>A gyógyszerről részletes információ az Európai Gyógyszerügynökség internetes honlapján (</w:t>
      </w:r>
      <w:hyperlink r:id="rId14" w:history="1">
        <w:r w:rsidR="00716247" w:rsidRPr="00312EBE">
          <w:rPr>
            <w:rStyle w:val="Hyperlink"/>
            <w:bCs/>
            <w:iCs/>
            <w:szCs w:val="22"/>
          </w:rPr>
          <w:t>http://www.ema.europa.eu/</w:t>
        </w:r>
      </w:hyperlink>
      <w:r w:rsidRPr="008D2CB3">
        <w:rPr>
          <w:iCs/>
          <w:noProof/>
          <w:szCs w:val="22"/>
        </w:rPr>
        <w:t>) található.</w:t>
      </w:r>
    </w:p>
    <w:p w:rsidR="0017143E" w:rsidRPr="008D2CB3" w:rsidRDefault="0017143E" w:rsidP="001E7729">
      <w:pPr>
        <w:tabs>
          <w:tab w:val="left" w:pos="8707"/>
        </w:tabs>
        <w:spacing w:line="260" w:lineRule="atLeast"/>
        <w:jc w:val="center"/>
        <w:rPr>
          <w:b/>
          <w:szCs w:val="22"/>
        </w:rPr>
      </w:pPr>
      <w:r w:rsidRPr="008D2CB3">
        <w:br w:type="column"/>
      </w:r>
      <w:r w:rsidRPr="008D2CB3">
        <w:rPr>
          <w:b/>
          <w:szCs w:val="22"/>
        </w:rPr>
        <w:t>B</w:t>
      </w:r>
      <w:r w:rsidR="001A355D">
        <w:rPr>
          <w:b/>
          <w:szCs w:val="22"/>
        </w:rPr>
        <w:t>etegtájékoztató</w:t>
      </w:r>
      <w:r w:rsidRPr="008D2CB3">
        <w:rPr>
          <w:b/>
          <w:szCs w:val="22"/>
        </w:rPr>
        <w:t>: I</w:t>
      </w:r>
      <w:r w:rsidR="001A355D">
        <w:rPr>
          <w:b/>
          <w:szCs w:val="22"/>
        </w:rPr>
        <w:t>nformációk a felhasználó számára</w:t>
      </w:r>
    </w:p>
    <w:p w:rsidR="0017143E" w:rsidRPr="008D2CB3" w:rsidRDefault="0017143E" w:rsidP="001E7729">
      <w:pPr>
        <w:tabs>
          <w:tab w:val="left" w:pos="8707"/>
        </w:tabs>
        <w:spacing w:line="260" w:lineRule="atLeast"/>
        <w:jc w:val="center"/>
        <w:rPr>
          <w:b/>
        </w:rPr>
      </w:pPr>
    </w:p>
    <w:p w:rsidR="0017143E" w:rsidRPr="008D2CB3" w:rsidRDefault="009B10E4" w:rsidP="001E7729">
      <w:pPr>
        <w:tabs>
          <w:tab w:val="left" w:pos="8707"/>
        </w:tabs>
        <w:spacing w:line="260" w:lineRule="atLeast"/>
        <w:jc w:val="center"/>
        <w:rPr>
          <w:b/>
        </w:rPr>
      </w:pPr>
      <w:r w:rsidRPr="008D2CB3">
        <w:rPr>
          <w:b/>
        </w:rPr>
        <w:t>Iscover</w:t>
      </w:r>
      <w:r w:rsidR="0017143E" w:rsidRPr="008D2CB3">
        <w:rPr>
          <w:b/>
        </w:rPr>
        <w:t xml:space="preserve"> 300 mg filmtabletta</w:t>
      </w:r>
    </w:p>
    <w:p w:rsidR="0017143E" w:rsidRPr="008D2CB3" w:rsidRDefault="0017143E" w:rsidP="001E7729">
      <w:pPr>
        <w:jc w:val="center"/>
        <w:rPr>
          <w:szCs w:val="22"/>
        </w:rPr>
      </w:pPr>
      <w:r w:rsidRPr="008D2CB3">
        <w:rPr>
          <w:szCs w:val="22"/>
        </w:rPr>
        <w:t>klopidogrél</w:t>
      </w:r>
    </w:p>
    <w:p w:rsidR="0017143E" w:rsidRPr="008D2CB3" w:rsidRDefault="0017143E" w:rsidP="001E7729">
      <w:pPr>
        <w:spacing w:line="260" w:lineRule="atLeast"/>
        <w:jc w:val="center"/>
        <w:rPr>
          <w:szCs w:val="22"/>
        </w:rPr>
      </w:pPr>
    </w:p>
    <w:p w:rsidR="0017143E" w:rsidRPr="008D2CB3" w:rsidRDefault="0017143E" w:rsidP="001E7729">
      <w:pPr>
        <w:rPr>
          <w:b/>
          <w:szCs w:val="22"/>
        </w:rPr>
      </w:pPr>
      <w:r w:rsidRPr="008D2CB3">
        <w:rPr>
          <w:b/>
          <w:szCs w:val="22"/>
        </w:rPr>
        <w:t>Mielőtt elkezd</w:t>
      </w:r>
      <w:r w:rsidR="001A355D">
        <w:rPr>
          <w:b/>
          <w:szCs w:val="22"/>
        </w:rPr>
        <w:t>i</w:t>
      </w:r>
      <w:r w:rsidRPr="008D2CB3">
        <w:rPr>
          <w:b/>
          <w:szCs w:val="22"/>
        </w:rPr>
        <w:t xml:space="preserve"> szedni ezt a gyógyszert, olvassa el figyelmesen az alábbi betegtájékoztatót</w:t>
      </w:r>
      <w:r w:rsidR="001A355D">
        <w:rPr>
          <w:b/>
          <w:szCs w:val="22"/>
        </w:rPr>
        <w:t>, me</w:t>
      </w:r>
      <w:r w:rsidR="00CA0F29">
        <w:rPr>
          <w:b/>
          <w:szCs w:val="22"/>
        </w:rPr>
        <w:t>rt</w:t>
      </w:r>
      <w:r w:rsidR="001A355D">
        <w:rPr>
          <w:b/>
          <w:szCs w:val="22"/>
        </w:rPr>
        <w:t xml:space="preserve"> az Ön számára fontos információkat tartalmaz</w:t>
      </w:r>
      <w:r w:rsidRPr="008D2CB3">
        <w:rPr>
          <w:b/>
          <w:szCs w:val="22"/>
        </w:rPr>
        <w:t>.</w:t>
      </w:r>
    </w:p>
    <w:p w:rsidR="0017143E" w:rsidRPr="008D2CB3" w:rsidRDefault="0017143E" w:rsidP="001E7729">
      <w:pPr>
        <w:numPr>
          <w:ilvl w:val="0"/>
          <w:numId w:val="16"/>
        </w:numPr>
        <w:tabs>
          <w:tab w:val="clear" w:pos="360"/>
          <w:tab w:val="left" w:pos="567"/>
        </w:tabs>
        <w:suppressAutoHyphens/>
        <w:spacing w:line="260" w:lineRule="exact"/>
        <w:ind w:left="567" w:hanging="567"/>
        <w:rPr>
          <w:szCs w:val="22"/>
        </w:rPr>
      </w:pPr>
      <w:r w:rsidRPr="008D2CB3">
        <w:rPr>
          <w:szCs w:val="22"/>
        </w:rPr>
        <w:t>Tartsa meg a betegtájékoztatót, mert a benne szereplő információkra a későbbiekben is szüksége lehet.</w:t>
      </w:r>
    </w:p>
    <w:p w:rsidR="0017143E" w:rsidRPr="008D2CB3" w:rsidRDefault="0017143E" w:rsidP="001E7729">
      <w:pPr>
        <w:numPr>
          <w:ilvl w:val="0"/>
          <w:numId w:val="13"/>
        </w:numPr>
        <w:tabs>
          <w:tab w:val="clear" w:pos="360"/>
          <w:tab w:val="left" w:pos="567"/>
        </w:tabs>
        <w:ind w:left="567" w:hanging="567"/>
        <w:rPr>
          <w:szCs w:val="22"/>
        </w:rPr>
      </w:pPr>
      <w:r w:rsidRPr="008D2CB3">
        <w:rPr>
          <w:szCs w:val="22"/>
        </w:rPr>
        <w:t xml:space="preserve">További kérdéseivel forduljon </w:t>
      </w:r>
      <w:r w:rsidR="001A355D">
        <w:rPr>
          <w:szCs w:val="22"/>
        </w:rPr>
        <w:t>kezelő</w:t>
      </w:r>
      <w:r w:rsidRPr="008D2CB3">
        <w:rPr>
          <w:szCs w:val="22"/>
        </w:rPr>
        <w:t>orvosához vagy gyógyszerészéhez.</w:t>
      </w:r>
    </w:p>
    <w:p w:rsidR="0017143E" w:rsidRPr="008D2CB3" w:rsidRDefault="0017143E" w:rsidP="001E7729">
      <w:pPr>
        <w:numPr>
          <w:ilvl w:val="0"/>
          <w:numId w:val="15"/>
        </w:numPr>
        <w:tabs>
          <w:tab w:val="clear" w:pos="360"/>
          <w:tab w:val="left" w:pos="567"/>
        </w:tabs>
        <w:ind w:left="567" w:hanging="567"/>
        <w:rPr>
          <w:szCs w:val="22"/>
        </w:rPr>
      </w:pPr>
      <w:r w:rsidRPr="008D2CB3">
        <w:rPr>
          <w:szCs w:val="22"/>
        </w:rPr>
        <w:t xml:space="preserve">Ezt a gyógyszert az orvos </w:t>
      </w:r>
      <w:r w:rsidR="001A355D">
        <w:rPr>
          <w:szCs w:val="22"/>
        </w:rPr>
        <w:t xml:space="preserve">kizárólag </w:t>
      </w:r>
      <w:r w:rsidRPr="008D2CB3">
        <w:rPr>
          <w:szCs w:val="22"/>
        </w:rPr>
        <w:t xml:space="preserve">Önnek írta fel. Ne adja át a készítményt másnak, mert számára ártalmas lehet még abban az esetben is, ha </w:t>
      </w:r>
      <w:r w:rsidR="001A355D">
        <w:rPr>
          <w:szCs w:val="22"/>
        </w:rPr>
        <w:t xml:space="preserve">betegsége </w:t>
      </w:r>
      <w:r w:rsidRPr="008D2CB3">
        <w:rPr>
          <w:szCs w:val="22"/>
        </w:rPr>
        <w:t>tünetei az Önéhez hasonlóak.</w:t>
      </w:r>
    </w:p>
    <w:p w:rsidR="0017143E" w:rsidRPr="008D2CB3" w:rsidRDefault="0017143E" w:rsidP="001E7729">
      <w:pPr>
        <w:numPr>
          <w:ilvl w:val="0"/>
          <w:numId w:val="15"/>
        </w:numPr>
        <w:tabs>
          <w:tab w:val="clear" w:pos="360"/>
          <w:tab w:val="left" w:pos="567"/>
        </w:tabs>
        <w:ind w:left="567" w:hanging="567"/>
        <w:rPr>
          <w:szCs w:val="22"/>
        </w:rPr>
      </w:pPr>
      <w:r w:rsidRPr="008D2CB3">
        <w:rPr>
          <w:noProof/>
          <w:szCs w:val="22"/>
        </w:rPr>
        <w:t xml:space="preserve">Ha </w:t>
      </w:r>
      <w:r w:rsidR="00862B5B">
        <w:rPr>
          <w:noProof/>
          <w:szCs w:val="22"/>
        </w:rPr>
        <w:t>Ö</w:t>
      </w:r>
      <w:r w:rsidR="001A355D">
        <w:rPr>
          <w:noProof/>
          <w:szCs w:val="22"/>
        </w:rPr>
        <w:t xml:space="preserve">nnél </w:t>
      </w:r>
      <w:r w:rsidRPr="008D2CB3">
        <w:rPr>
          <w:noProof/>
          <w:szCs w:val="22"/>
        </w:rPr>
        <w:t>bárm</w:t>
      </w:r>
      <w:r w:rsidR="001A355D">
        <w:rPr>
          <w:noProof/>
          <w:szCs w:val="22"/>
        </w:rPr>
        <w:t>i</w:t>
      </w:r>
      <w:r w:rsidRPr="008D2CB3">
        <w:rPr>
          <w:noProof/>
          <w:szCs w:val="22"/>
        </w:rPr>
        <w:t>ly</w:t>
      </w:r>
      <w:r w:rsidR="001A355D">
        <w:rPr>
          <w:noProof/>
          <w:szCs w:val="22"/>
        </w:rPr>
        <w:t>en</w:t>
      </w:r>
      <w:r w:rsidRPr="008D2CB3">
        <w:rPr>
          <w:noProof/>
          <w:szCs w:val="22"/>
        </w:rPr>
        <w:t xml:space="preserve"> mellékhatás </w:t>
      </w:r>
      <w:r w:rsidR="001A355D">
        <w:rPr>
          <w:noProof/>
          <w:szCs w:val="22"/>
        </w:rPr>
        <w:t>jelentkezik, tájékoztassa erről kezelő</w:t>
      </w:r>
      <w:r w:rsidRPr="008D2CB3">
        <w:rPr>
          <w:noProof/>
          <w:szCs w:val="22"/>
        </w:rPr>
        <w:t>orvosát vagy gyógyszerészét.</w:t>
      </w:r>
      <w:r w:rsidR="001A355D" w:rsidRPr="001A355D">
        <w:rPr>
          <w:noProof/>
          <w:szCs w:val="22"/>
        </w:rPr>
        <w:t xml:space="preserve"> </w:t>
      </w:r>
      <w:r w:rsidR="001A355D">
        <w:rPr>
          <w:noProof/>
          <w:szCs w:val="22"/>
        </w:rPr>
        <w:t>Ez a betegtájékoztatóban fel nem sorolt bármilyen lehetséges mellékhatásra is vonatkozik</w:t>
      </w:r>
      <w:r w:rsidR="00862B5B">
        <w:rPr>
          <w:noProof/>
          <w:szCs w:val="22"/>
        </w:rPr>
        <w:t>.</w:t>
      </w:r>
      <w:r w:rsidR="001A355D">
        <w:rPr>
          <w:noProof/>
          <w:szCs w:val="22"/>
        </w:rPr>
        <w:t xml:space="preserve"> Lásd 4.</w:t>
      </w:r>
      <w:r w:rsidR="00A50526">
        <w:rPr>
          <w:noProof/>
          <w:szCs w:val="22"/>
        </w:rPr>
        <w:t> </w:t>
      </w:r>
      <w:r w:rsidR="001A355D">
        <w:rPr>
          <w:noProof/>
          <w:szCs w:val="22"/>
        </w:rPr>
        <w:t>pont.</w:t>
      </w:r>
    </w:p>
    <w:p w:rsidR="0017143E" w:rsidRPr="008D2CB3" w:rsidRDefault="0017143E" w:rsidP="001E7729">
      <w:pPr>
        <w:tabs>
          <w:tab w:val="left" w:pos="1932"/>
        </w:tabs>
        <w:rPr>
          <w:szCs w:val="22"/>
        </w:rPr>
      </w:pPr>
    </w:p>
    <w:p w:rsidR="0017143E" w:rsidRPr="00F86A77" w:rsidRDefault="0017143E" w:rsidP="001E7729">
      <w:pPr>
        <w:spacing w:line="260" w:lineRule="atLeast"/>
        <w:ind w:right="-2"/>
        <w:rPr>
          <w:b/>
          <w:szCs w:val="22"/>
        </w:rPr>
      </w:pPr>
      <w:r w:rsidRPr="00F86A77">
        <w:rPr>
          <w:b/>
          <w:szCs w:val="22"/>
        </w:rPr>
        <w:t>A betegtájékoztató tartalma:</w:t>
      </w:r>
    </w:p>
    <w:p w:rsidR="0017143E" w:rsidRPr="008D2CB3" w:rsidRDefault="0017143E" w:rsidP="001E7729">
      <w:pPr>
        <w:numPr>
          <w:ilvl w:val="0"/>
          <w:numId w:val="27"/>
        </w:numPr>
        <w:suppressAutoHyphens/>
        <w:spacing w:line="260" w:lineRule="atLeast"/>
        <w:ind w:right="-29"/>
        <w:rPr>
          <w:szCs w:val="22"/>
        </w:rPr>
      </w:pPr>
      <w:r w:rsidRPr="008D2CB3">
        <w:rPr>
          <w:szCs w:val="22"/>
        </w:rPr>
        <w:t>Milyen típusú gyógyszer a</w:t>
      </w:r>
      <w:r w:rsidR="009B10E4" w:rsidRPr="008D2CB3">
        <w:rPr>
          <w:szCs w:val="22"/>
        </w:rPr>
        <w:t>z Iscover</w:t>
      </w:r>
      <w:r w:rsidRPr="008D2CB3">
        <w:rPr>
          <w:szCs w:val="22"/>
        </w:rPr>
        <w:t xml:space="preserve"> és milyen betegségek esetén alkalmazható?</w:t>
      </w:r>
    </w:p>
    <w:p w:rsidR="0017143E" w:rsidRPr="008D2CB3" w:rsidRDefault="0017143E" w:rsidP="001E7729">
      <w:pPr>
        <w:numPr>
          <w:ilvl w:val="0"/>
          <w:numId w:val="27"/>
        </w:numPr>
        <w:suppressAutoHyphens/>
        <w:spacing w:line="260" w:lineRule="atLeast"/>
        <w:ind w:right="-29"/>
        <w:rPr>
          <w:szCs w:val="22"/>
        </w:rPr>
      </w:pPr>
      <w:r w:rsidRPr="008D2CB3">
        <w:rPr>
          <w:szCs w:val="22"/>
        </w:rPr>
        <w:t>Tudnivalók a</w:t>
      </w:r>
      <w:r w:rsidR="009B10E4" w:rsidRPr="008D2CB3">
        <w:rPr>
          <w:szCs w:val="22"/>
        </w:rPr>
        <w:t>z Iscover</w:t>
      </w:r>
      <w:r w:rsidRPr="008D2CB3">
        <w:rPr>
          <w:szCs w:val="22"/>
        </w:rPr>
        <w:t xml:space="preserve"> szedése előtt</w:t>
      </w:r>
    </w:p>
    <w:p w:rsidR="0017143E" w:rsidRPr="008D2CB3" w:rsidRDefault="0017143E" w:rsidP="001E7729">
      <w:pPr>
        <w:numPr>
          <w:ilvl w:val="0"/>
          <w:numId w:val="27"/>
        </w:numPr>
        <w:spacing w:line="260" w:lineRule="atLeast"/>
        <w:ind w:right="-29"/>
        <w:rPr>
          <w:szCs w:val="22"/>
        </w:rPr>
      </w:pPr>
      <w:r w:rsidRPr="008D2CB3">
        <w:rPr>
          <w:szCs w:val="22"/>
        </w:rPr>
        <w:t>Hogyan kell szedni a</w:t>
      </w:r>
      <w:r w:rsidR="009B10E4" w:rsidRPr="008D2CB3">
        <w:rPr>
          <w:szCs w:val="22"/>
        </w:rPr>
        <w:t>z Iscover-t</w:t>
      </w:r>
      <w:r w:rsidRPr="008D2CB3">
        <w:rPr>
          <w:szCs w:val="22"/>
        </w:rPr>
        <w:t>?</w:t>
      </w:r>
    </w:p>
    <w:p w:rsidR="0017143E" w:rsidRPr="008D2CB3" w:rsidRDefault="0017143E" w:rsidP="001E7729">
      <w:pPr>
        <w:numPr>
          <w:ilvl w:val="0"/>
          <w:numId w:val="27"/>
        </w:numPr>
        <w:spacing w:line="260" w:lineRule="atLeast"/>
        <w:ind w:right="-29"/>
        <w:rPr>
          <w:szCs w:val="22"/>
        </w:rPr>
      </w:pPr>
      <w:r w:rsidRPr="008D2CB3">
        <w:rPr>
          <w:szCs w:val="22"/>
        </w:rPr>
        <w:t>Lehetséges mellékhatások</w:t>
      </w:r>
    </w:p>
    <w:p w:rsidR="0017143E" w:rsidRPr="008D2CB3" w:rsidRDefault="0017143E" w:rsidP="001E7729">
      <w:pPr>
        <w:numPr>
          <w:ilvl w:val="0"/>
          <w:numId w:val="27"/>
        </w:numPr>
        <w:spacing w:line="260" w:lineRule="atLeast"/>
        <w:ind w:right="-29"/>
        <w:rPr>
          <w:szCs w:val="22"/>
        </w:rPr>
      </w:pPr>
      <w:r w:rsidRPr="008D2CB3">
        <w:rPr>
          <w:szCs w:val="22"/>
        </w:rPr>
        <w:t>Hogyan kell a</w:t>
      </w:r>
      <w:r w:rsidR="009B10E4" w:rsidRPr="008D2CB3">
        <w:rPr>
          <w:szCs w:val="22"/>
        </w:rPr>
        <w:t>z Iscover-t</w:t>
      </w:r>
      <w:r w:rsidRPr="008D2CB3">
        <w:rPr>
          <w:szCs w:val="22"/>
        </w:rPr>
        <w:t xml:space="preserve"> tárolni?</w:t>
      </w:r>
    </w:p>
    <w:p w:rsidR="0017143E" w:rsidRPr="008D2CB3" w:rsidRDefault="001A355D" w:rsidP="001E7729">
      <w:pPr>
        <w:numPr>
          <w:ilvl w:val="0"/>
          <w:numId w:val="27"/>
        </w:numPr>
        <w:spacing w:line="260" w:lineRule="atLeast"/>
        <w:ind w:right="-29"/>
        <w:rPr>
          <w:szCs w:val="22"/>
        </w:rPr>
      </w:pPr>
      <w:r>
        <w:rPr>
          <w:szCs w:val="22"/>
        </w:rPr>
        <w:t>A csomagolás tartalma és egyéb</w:t>
      </w:r>
      <w:r w:rsidR="0017143E" w:rsidRPr="008D2CB3">
        <w:rPr>
          <w:szCs w:val="22"/>
        </w:rPr>
        <w:t xml:space="preserve"> információk</w:t>
      </w:r>
    </w:p>
    <w:p w:rsidR="0017143E" w:rsidRPr="008D2CB3" w:rsidRDefault="0017143E" w:rsidP="001E7729">
      <w:pPr>
        <w:tabs>
          <w:tab w:val="left" w:pos="568"/>
        </w:tabs>
        <w:spacing w:line="260" w:lineRule="atLeast"/>
        <w:ind w:right="-2"/>
        <w:rPr>
          <w:szCs w:val="22"/>
        </w:rPr>
      </w:pPr>
    </w:p>
    <w:p w:rsidR="0017143E" w:rsidRPr="008D2CB3" w:rsidRDefault="0017143E" w:rsidP="001E7729">
      <w:pPr>
        <w:tabs>
          <w:tab w:val="left" w:pos="567"/>
        </w:tabs>
        <w:rPr>
          <w:b/>
          <w:bCs/>
        </w:rPr>
      </w:pPr>
    </w:p>
    <w:p w:rsidR="0017143E" w:rsidRPr="008D2CB3" w:rsidRDefault="0017143E" w:rsidP="001E7729">
      <w:pPr>
        <w:tabs>
          <w:tab w:val="left" w:pos="567"/>
        </w:tabs>
        <w:ind w:left="567" w:hanging="567"/>
        <w:rPr>
          <w:b/>
          <w:bCs/>
        </w:rPr>
      </w:pPr>
      <w:r w:rsidRPr="008D2CB3">
        <w:rPr>
          <w:b/>
          <w:bCs/>
        </w:rPr>
        <w:t>1.</w:t>
      </w:r>
      <w:r w:rsidRPr="008D2CB3">
        <w:rPr>
          <w:b/>
          <w:bCs/>
        </w:rPr>
        <w:tab/>
        <w:t>M</w:t>
      </w:r>
      <w:r w:rsidR="001A355D" w:rsidRPr="001A355D">
        <w:rPr>
          <w:b/>
          <w:szCs w:val="22"/>
        </w:rPr>
        <w:t>ilyen típusú gyógyszer az Iscover és milyen betegségek esetén alkalmazható</w:t>
      </w:r>
      <w:r w:rsidRPr="008D2CB3">
        <w:rPr>
          <w:b/>
          <w:bCs/>
        </w:rPr>
        <w:t>?</w:t>
      </w:r>
    </w:p>
    <w:p w:rsidR="0017143E" w:rsidRPr="008D2CB3" w:rsidRDefault="0017143E" w:rsidP="001E7729">
      <w:pPr>
        <w:jc w:val="both"/>
        <w:rPr>
          <w:b/>
          <w:szCs w:val="22"/>
        </w:rPr>
      </w:pPr>
    </w:p>
    <w:p w:rsidR="0017143E" w:rsidRPr="008D2CB3" w:rsidRDefault="0017143E" w:rsidP="001E7729">
      <w:pPr>
        <w:rPr>
          <w:szCs w:val="22"/>
        </w:rPr>
      </w:pPr>
      <w:r w:rsidRPr="008D2CB3">
        <w:rPr>
          <w:szCs w:val="22"/>
        </w:rPr>
        <w:t>A</w:t>
      </w:r>
      <w:r w:rsidR="009B10E4" w:rsidRPr="008D2CB3">
        <w:rPr>
          <w:szCs w:val="22"/>
        </w:rPr>
        <w:t>z Iscover</w:t>
      </w:r>
      <w:r w:rsidRPr="008D2CB3">
        <w:rPr>
          <w:szCs w:val="22"/>
        </w:rPr>
        <w:t xml:space="preserve"> </w:t>
      </w:r>
      <w:r w:rsidR="001A355D">
        <w:rPr>
          <w:szCs w:val="22"/>
        </w:rPr>
        <w:t xml:space="preserve">klopidogrélt tartalmaz és </w:t>
      </w:r>
      <w:r w:rsidRPr="008D2CB3">
        <w:rPr>
          <w:szCs w:val="22"/>
        </w:rPr>
        <w:t xml:space="preserve">a vérlemezkék ellen ható gyógyszerek csoportjába tartozik. A vérlemezkék </w:t>
      </w:r>
      <w:r w:rsidR="00F42F7B" w:rsidRPr="008D2CB3">
        <w:rPr>
          <w:szCs w:val="22"/>
        </w:rPr>
        <w:t xml:space="preserve">a vérben található </w:t>
      </w:r>
      <w:r w:rsidRPr="008D2CB3">
        <w:rPr>
          <w:szCs w:val="22"/>
        </w:rPr>
        <w:t xml:space="preserve">nagyon apró </w:t>
      </w:r>
      <w:r w:rsidR="00877E59" w:rsidRPr="008D2CB3">
        <w:rPr>
          <w:szCs w:val="22"/>
        </w:rPr>
        <w:t>alakos elemek</w:t>
      </w:r>
      <w:r w:rsidRPr="008D2CB3">
        <w:rPr>
          <w:szCs w:val="22"/>
        </w:rPr>
        <w:t>, melyek a véralvadáskor összetapadnak. A vérlemezke ellen ható gyógyszerek, az összetapadást megakadályozva, csökkentik a vérrögképződés (</w:t>
      </w:r>
      <w:r w:rsidR="005E3DA5">
        <w:rPr>
          <w:szCs w:val="22"/>
        </w:rPr>
        <w:t>más néven</w:t>
      </w:r>
      <w:r w:rsidRPr="008D2CB3">
        <w:rPr>
          <w:szCs w:val="22"/>
        </w:rPr>
        <w:t xml:space="preserve"> trombóz)</w:t>
      </w:r>
      <w:r w:rsidR="005E3DA5" w:rsidRPr="005E3DA5">
        <w:rPr>
          <w:szCs w:val="22"/>
        </w:rPr>
        <w:t xml:space="preserve"> </w:t>
      </w:r>
      <w:r w:rsidR="005E3DA5" w:rsidRPr="008D2CB3">
        <w:rPr>
          <w:szCs w:val="22"/>
        </w:rPr>
        <w:t>lehetőségét</w:t>
      </w:r>
      <w:r w:rsidRPr="008D2CB3">
        <w:rPr>
          <w:szCs w:val="22"/>
        </w:rPr>
        <w:t xml:space="preserve">. </w:t>
      </w:r>
    </w:p>
    <w:p w:rsidR="0017143E" w:rsidRPr="008D2CB3" w:rsidRDefault="0017143E" w:rsidP="001E7729">
      <w:pPr>
        <w:jc w:val="both"/>
        <w:rPr>
          <w:szCs w:val="22"/>
        </w:rPr>
      </w:pPr>
    </w:p>
    <w:p w:rsidR="0017143E" w:rsidRPr="008D2CB3" w:rsidRDefault="0017143E" w:rsidP="001E7729">
      <w:pPr>
        <w:rPr>
          <w:szCs w:val="22"/>
        </w:rPr>
      </w:pPr>
      <w:r w:rsidRPr="008D2CB3">
        <w:rPr>
          <w:szCs w:val="22"/>
        </w:rPr>
        <w:t>A</w:t>
      </w:r>
      <w:r w:rsidR="009B10E4" w:rsidRPr="008D2CB3">
        <w:rPr>
          <w:szCs w:val="22"/>
        </w:rPr>
        <w:t>z Iscover</w:t>
      </w:r>
      <w:r w:rsidR="001A355D">
        <w:rPr>
          <w:szCs w:val="22"/>
        </w:rPr>
        <w:t>-t felnőttek szedik,</w:t>
      </w:r>
      <w:r w:rsidRPr="008D2CB3">
        <w:rPr>
          <w:szCs w:val="22"/>
        </w:rPr>
        <w:t xml:space="preserve"> alkalmazásának célja a vérrögképződés (tromb</w:t>
      </w:r>
      <w:r w:rsidR="005E3DA5">
        <w:rPr>
          <w:szCs w:val="22"/>
        </w:rPr>
        <w:t>ózis</w:t>
      </w:r>
      <w:r w:rsidRPr="008D2CB3">
        <w:rPr>
          <w:szCs w:val="22"/>
        </w:rPr>
        <w:t xml:space="preserve">) megakadályozása az elmeszesedett erekben (artériákban), ez a folyamat az aterotrombózis, mely aterotrombotikus eseményekhez vezethet (úgymint a szélütés, szívroham vagy halál). </w:t>
      </w:r>
    </w:p>
    <w:p w:rsidR="0017143E" w:rsidRPr="008D2CB3" w:rsidRDefault="0017143E" w:rsidP="001E7729">
      <w:pPr>
        <w:jc w:val="both"/>
        <w:rPr>
          <w:szCs w:val="22"/>
        </w:rPr>
      </w:pPr>
    </w:p>
    <w:p w:rsidR="0017143E" w:rsidRPr="008D2CB3" w:rsidRDefault="009B10E4" w:rsidP="001E7729">
      <w:pPr>
        <w:jc w:val="both"/>
        <w:rPr>
          <w:szCs w:val="22"/>
        </w:rPr>
      </w:pPr>
      <w:r w:rsidRPr="008D2CB3">
        <w:rPr>
          <w:szCs w:val="22"/>
        </w:rPr>
        <w:t>Iscover-</w:t>
      </w:r>
      <w:r w:rsidR="0017143E" w:rsidRPr="008D2CB3">
        <w:rPr>
          <w:szCs w:val="22"/>
        </w:rPr>
        <w:t>t írtak fel Önnek a vérrögképződés megakadályozása, valamint a fenti súlyos események kockázatának csökkentése érdekében, mert:</w:t>
      </w:r>
    </w:p>
    <w:p w:rsidR="0017143E" w:rsidRPr="008D2CB3" w:rsidRDefault="0017143E" w:rsidP="001E7729">
      <w:pPr>
        <w:ind w:left="567" w:hanging="567"/>
        <w:jc w:val="both"/>
        <w:rPr>
          <w:szCs w:val="22"/>
        </w:rPr>
      </w:pPr>
      <w:r w:rsidRPr="008D2CB3">
        <w:rPr>
          <w:szCs w:val="22"/>
        </w:rPr>
        <w:t>-</w:t>
      </w:r>
      <w:r w:rsidRPr="008D2CB3">
        <w:rPr>
          <w:szCs w:val="22"/>
        </w:rPr>
        <w:tab/>
        <w:t xml:space="preserve">az artériák elmeszesedtek (az állapotot ateroszklerózisnak is nevezik), </w:t>
      </w:r>
    </w:p>
    <w:p w:rsidR="0017143E" w:rsidRPr="008D2CB3" w:rsidRDefault="0017143E" w:rsidP="001E7729">
      <w:pPr>
        <w:ind w:left="567" w:hanging="567"/>
        <w:rPr>
          <w:szCs w:val="22"/>
        </w:rPr>
      </w:pPr>
      <w:r w:rsidRPr="008D2CB3">
        <w:rPr>
          <w:szCs w:val="22"/>
        </w:rPr>
        <w:t>-</w:t>
      </w:r>
      <w:r w:rsidRPr="008D2CB3">
        <w:rPr>
          <w:szCs w:val="22"/>
        </w:rPr>
        <w:tab/>
        <w:t>szívrohama, szélütése volt, vagy ún. perifériás artériás betegsége van, vagy</w:t>
      </w:r>
    </w:p>
    <w:p w:rsidR="00767D08" w:rsidRDefault="00767D08" w:rsidP="00767D08">
      <w:pPr>
        <w:ind w:left="567" w:hanging="567"/>
        <w:rPr>
          <w:szCs w:val="22"/>
        </w:rPr>
      </w:pPr>
      <w:r>
        <w:rPr>
          <w:szCs w:val="22"/>
        </w:rPr>
        <w:t>-</w:t>
      </w:r>
      <w:r>
        <w:rPr>
          <w:szCs w:val="22"/>
        </w:rPr>
        <w:tab/>
        <w:t xml:space="preserve">súlyos mellkasi fájdalma volt, ami „instabil angina” vagy „miokardiális infarktus” (szívroham) néven ismert. Ezen állapot kezeléseként, orvosa beültethetett egy, az ér belsejét tágító érmerevítőt (sztentet) az elzáródott vagy beszűkült artériába, hogy a megfelelő véráramlást visszaállítsa. Kezelőorvosa acetilszalicilsavat is rendelhet (sok gyógyszer tartalmazza ezt a vegyületet, amelyet fájdalom- és lázcsillapításra, valamint a vérrögképződés megakadályozására is használnak). </w:t>
      </w:r>
    </w:p>
    <w:p w:rsidR="00767D08" w:rsidRDefault="00767D08" w:rsidP="00767D08">
      <w:pPr>
        <w:ind w:left="567" w:hanging="567"/>
        <w:rPr>
          <w:szCs w:val="22"/>
        </w:rPr>
      </w:pPr>
      <w:r>
        <w:rPr>
          <w:szCs w:val="22"/>
        </w:rPr>
        <w:t>-</w:t>
      </w:r>
      <w:r>
        <w:rPr>
          <w:szCs w:val="22"/>
        </w:rPr>
        <w:tab/>
        <w:t>a szélütés (sztrók/átmeneti agyi keringési zavarnak is nevezik) rövid időn belül megszűnő tünetei vagy enyhe szélütés jelentkezett Önnél. Kezelőorvosa az első 24 órában acetilszalicilsavat is rendelhet Önnek.</w:t>
      </w:r>
    </w:p>
    <w:p w:rsidR="0017143E" w:rsidRPr="008D2CB3" w:rsidRDefault="00767D08" w:rsidP="00767D08">
      <w:pPr>
        <w:ind w:left="567" w:hanging="567"/>
        <w:jc w:val="both"/>
        <w:rPr>
          <w:szCs w:val="22"/>
        </w:rPr>
      </w:pPr>
      <w:r>
        <w:rPr>
          <w:szCs w:val="22"/>
        </w:rPr>
        <w:t>-</w:t>
      </w:r>
      <w:r>
        <w:rPr>
          <w:szCs w:val="22"/>
        </w:rPr>
        <w:tab/>
        <w:t xml:space="preserve">szívritmuszavara van, amelyet „pitvarfibrilláció”-nak neveznek, és nem szedhet „orális </w:t>
      </w:r>
      <w:r w:rsidR="005C33C6" w:rsidRPr="008D2CB3">
        <w:rPr>
          <w:szCs w:val="22"/>
        </w:rPr>
        <w:t xml:space="preserve">antikoaguláns” néven ismert gyógyszereket (K-vitamin-antagonisták), amelyek megelőzik az új vérrögök képződését, és megakadályozzák a már meglévők további növekedését. </w:t>
      </w:r>
      <w:r w:rsidR="00D22C8F">
        <w:rPr>
          <w:szCs w:val="22"/>
        </w:rPr>
        <w:t>Kezelőo</w:t>
      </w:r>
      <w:r w:rsidR="005C33C6" w:rsidRPr="008D2CB3">
        <w:rPr>
          <w:szCs w:val="22"/>
        </w:rPr>
        <w:t xml:space="preserve">rvosának tájékoztatnia kell Önt, hogy ennek az állapotnak a kezelésében az „orális antikoagulánsok” hatékonyabbak, mint az acetilszalicilsav vagy </w:t>
      </w:r>
      <w:r w:rsidR="009B10E4" w:rsidRPr="008D2CB3">
        <w:rPr>
          <w:szCs w:val="22"/>
        </w:rPr>
        <w:t xml:space="preserve">az Iscover </w:t>
      </w:r>
      <w:r w:rsidR="005C33C6" w:rsidRPr="008D2CB3">
        <w:rPr>
          <w:szCs w:val="22"/>
        </w:rPr>
        <w:t xml:space="preserve">és acetilszalicilsav kombináció. </w:t>
      </w:r>
      <w:r w:rsidR="00D22C8F">
        <w:rPr>
          <w:szCs w:val="22"/>
        </w:rPr>
        <w:t>Kezelőo</w:t>
      </w:r>
      <w:r w:rsidR="005C33C6" w:rsidRPr="008D2CB3">
        <w:rPr>
          <w:szCs w:val="22"/>
        </w:rPr>
        <w:t xml:space="preserve">rvosának </w:t>
      </w:r>
      <w:r w:rsidR="009B10E4" w:rsidRPr="008D2CB3">
        <w:rPr>
          <w:szCs w:val="22"/>
        </w:rPr>
        <w:t xml:space="preserve">az Iscovert </w:t>
      </w:r>
      <w:r w:rsidR="005C33C6" w:rsidRPr="008D2CB3">
        <w:rPr>
          <w:szCs w:val="22"/>
        </w:rPr>
        <w:t>és az acetilszalicilsavat együtt kell felírnia Önnek abban az esetben, ha nem szedhet „orális antikoagulánsokat”.</w:t>
      </w:r>
    </w:p>
    <w:p w:rsidR="0017143E" w:rsidRPr="008D2CB3" w:rsidRDefault="0017143E" w:rsidP="001E7729">
      <w:pPr>
        <w:spacing w:line="260" w:lineRule="atLeast"/>
        <w:ind w:left="567" w:right="-2" w:hanging="567"/>
        <w:rPr>
          <w:b/>
          <w:szCs w:val="22"/>
        </w:rPr>
      </w:pPr>
    </w:p>
    <w:p w:rsidR="0017143E" w:rsidRPr="008D2CB3" w:rsidRDefault="0017143E" w:rsidP="001E7729">
      <w:pPr>
        <w:keepNext/>
        <w:spacing w:line="260" w:lineRule="atLeast"/>
        <w:ind w:left="567" w:right="-2" w:hanging="567"/>
        <w:rPr>
          <w:b/>
          <w:szCs w:val="22"/>
        </w:rPr>
      </w:pPr>
      <w:r w:rsidRPr="008D2CB3">
        <w:rPr>
          <w:b/>
          <w:szCs w:val="22"/>
        </w:rPr>
        <w:t xml:space="preserve">2. </w:t>
      </w:r>
      <w:r w:rsidRPr="008D2CB3">
        <w:rPr>
          <w:b/>
          <w:szCs w:val="22"/>
        </w:rPr>
        <w:tab/>
        <w:t>T</w:t>
      </w:r>
      <w:r w:rsidR="001A355D">
        <w:rPr>
          <w:b/>
          <w:szCs w:val="22"/>
        </w:rPr>
        <w:t>udnivalók az Iscover szedése előtt</w:t>
      </w:r>
    </w:p>
    <w:p w:rsidR="0017143E" w:rsidRPr="008D2CB3" w:rsidRDefault="0017143E" w:rsidP="001E7729">
      <w:pPr>
        <w:keepNext/>
        <w:jc w:val="both"/>
        <w:rPr>
          <w:szCs w:val="22"/>
        </w:rPr>
      </w:pPr>
    </w:p>
    <w:p w:rsidR="0017143E" w:rsidRPr="008D2CB3" w:rsidRDefault="0017143E" w:rsidP="001E7729">
      <w:pPr>
        <w:keepNext/>
        <w:spacing w:line="260" w:lineRule="atLeast"/>
        <w:rPr>
          <w:b/>
          <w:szCs w:val="22"/>
        </w:rPr>
      </w:pPr>
      <w:r w:rsidRPr="008D2CB3">
        <w:rPr>
          <w:b/>
          <w:szCs w:val="22"/>
        </w:rPr>
        <w:t>Ne szedje a</w:t>
      </w:r>
      <w:r w:rsidR="009B10E4" w:rsidRPr="008D2CB3">
        <w:rPr>
          <w:b/>
          <w:szCs w:val="22"/>
        </w:rPr>
        <w:t>z Iscover-</w:t>
      </w:r>
      <w:r w:rsidRPr="008D2CB3">
        <w:rPr>
          <w:b/>
          <w:szCs w:val="22"/>
        </w:rPr>
        <w:t>t</w:t>
      </w:r>
    </w:p>
    <w:p w:rsidR="0017143E" w:rsidRPr="008D2CB3" w:rsidRDefault="0017143E" w:rsidP="001E7729">
      <w:pPr>
        <w:keepNext/>
        <w:numPr>
          <w:ilvl w:val="0"/>
          <w:numId w:val="20"/>
        </w:numPr>
        <w:tabs>
          <w:tab w:val="clear" w:pos="720"/>
          <w:tab w:val="num" w:pos="426"/>
        </w:tabs>
        <w:suppressAutoHyphens/>
        <w:spacing w:line="260" w:lineRule="atLeast"/>
        <w:ind w:left="426" w:hanging="426"/>
        <w:rPr>
          <w:szCs w:val="22"/>
        </w:rPr>
      </w:pPr>
      <w:r w:rsidRPr="008D2CB3">
        <w:rPr>
          <w:szCs w:val="22"/>
        </w:rPr>
        <w:t xml:space="preserve">ha allergiás (túlérzékeny) a klopidogrélre vagy </w:t>
      </w:r>
      <w:r w:rsidR="001A355D">
        <w:rPr>
          <w:szCs w:val="22"/>
        </w:rPr>
        <w:t>gyógyszer (6.</w:t>
      </w:r>
      <w:r w:rsidR="00A50526">
        <w:rPr>
          <w:szCs w:val="22"/>
        </w:rPr>
        <w:t> </w:t>
      </w:r>
      <w:r w:rsidR="001A355D">
        <w:rPr>
          <w:szCs w:val="22"/>
        </w:rPr>
        <w:t>pontban felsorolt)</w:t>
      </w:r>
      <w:r w:rsidRPr="008D2CB3">
        <w:rPr>
          <w:szCs w:val="22"/>
        </w:rPr>
        <w:t xml:space="preserve"> egyéb összetevőjére;</w:t>
      </w:r>
    </w:p>
    <w:p w:rsidR="0017143E" w:rsidRPr="008D2CB3" w:rsidRDefault="0017143E" w:rsidP="001E7729">
      <w:pPr>
        <w:numPr>
          <w:ilvl w:val="0"/>
          <w:numId w:val="21"/>
        </w:numPr>
        <w:tabs>
          <w:tab w:val="clear" w:pos="360"/>
          <w:tab w:val="num" w:pos="426"/>
        </w:tabs>
        <w:suppressAutoHyphens/>
        <w:spacing w:line="260" w:lineRule="atLeast"/>
        <w:ind w:left="426" w:hanging="426"/>
        <w:rPr>
          <w:szCs w:val="22"/>
        </w:rPr>
      </w:pPr>
      <w:r w:rsidRPr="008D2CB3">
        <w:rPr>
          <w:szCs w:val="22"/>
        </w:rPr>
        <w:t xml:space="preserve">ha olyan betegsége van, ami jelenleg vérzést okoz, mint pl. gyomorfekély vagy </w:t>
      </w:r>
      <w:r w:rsidR="00877E59" w:rsidRPr="008D2CB3">
        <w:rPr>
          <w:szCs w:val="22"/>
        </w:rPr>
        <w:t xml:space="preserve">koponyaűri </w:t>
      </w:r>
      <w:r w:rsidRPr="008D2CB3">
        <w:rPr>
          <w:szCs w:val="22"/>
        </w:rPr>
        <w:t>vérzés;</w:t>
      </w:r>
    </w:p>
    <w:p w:rsidR="0017143E" w:rsidRPr="008D2CB3" w:rsidRDefault="0017143E" w:rsidP="001E7729">
      <w:pPr>
        <w:numPr>
          <w:ilvl w:val="0"/>
          <w:numId w:val="22"/>
        </w:numPr>
        <w:tabs>
          <w:tab w:val="clear" w:pos="720"/>
          <w:tab w:val="num" w:pos="426"/>
        </w:tabs>
        <w:suppressAutoHyphens/>
        <w:spacing w:line="260" w:lineRule="atLeast"/>
        <w:ind w:left="426" w:hanging="426"/>
        <w:rPr>
          <w:szCs w:val="22"/>
        </w:rPr>
      </w:pPr>
      <w:r w:rsidRPr="008D2CB3">
        <w:rPr>
          <w:szCs w:val="22"/>
        </w:rPr>
        <w:t>ha súlyos májbetegsége van.</w:t>
      </w:r>
    </w:p>
    <w:p w:rsidR="0017143E" w:rsidRPr="008D2CB3" w:rsidRDefault="0017143E" w:rsidP="001E7729">
      <w:pPr>
        <w:suppressAutoHyphens/>
        <w:spacing w:line="260" w:lineRule="atLeast"/>
        <w:rPr>
          <w:szCs w:val="22"/>
        </w:rPr>
      </w:pPr>
    </w:p>
    <w:p w:rsidR="0017143E" w:rsidRPr="008D2CB3" w:rsidRDefault="0017143E" w:rsidP="001E7729">
      <w:pPr>
        <w:suppressAutoHyphens/>
        <w:spacing w:line="260" w:lineRule="atLeast"/>
        <w:rPr>
          <w:szCs w:val="22"/>
        </w:rPr>
      </w:pPr>
      <w:r w:rsidRPr="008D2CB3">
        <w:rPr>
          <w:szCs w:val="22"/>
        </w:rPr>
        <w:t>Ha úgy gondolja, hogy ezek közül bármelyik vonatkozik Önre, vagy ha bármilyen kétsége van, a</w:t>
      </w:r>
      <w:r w:rsidR="009B10E4" w:rsidRPr="008D2CB3">
        <w:rPr>
          <w:szCs w:val="22"/>
        </w:rPr>
        <w:t>z Iscover</w:t>
      </w:r>
      <w:r w:rsidRPr="008D2CB3">
        <w:rPr>
          <w:szCs w:val="22"/>
        </w:rPr>
        <w:t xml:space="preserve"> szedésének elkezdése előtt keresse fel kezelőorvosát.</w:t>
      </w:r>
    </w:p>
    <w:p w:rsidR="0017143E" w:rsidRPr="008D2CB3" w:rsidRDefault="0017143E" w:rsidP="001E7729">
      <w:pPr>
        <w:spacing w:line="260" w:lineRule="atLeast"/>
        <w:rPr>
          <w:szCs w:val="22"/>
        </w:rPr>
      </w:pPr>
    </w:p>
    <w:p w:rsidR="0017143E" w:rsidRPr="008D2CB3" w:rsidRDefault="00752C87" w:rsidP="001E7729">
      <w:pPr>
        <w:spacing w:line="260" w:lineRule="atLeast"/>
        <w:ind w:right="-2"/>
        <w:rPr>
          <w:b/>
          <w:szCs w:val="22"/>
        </w:rPr>
      </w:pPr>
      <w:r w:rsidRPr="00AB24CD">
        <w:rPr>
          <w:b/>
          <w:noProof/>
          <w:szCs w:val="24"/>
        </w:rPr>
        <w:t>Figyelmeztetések és óvintézkedések</w:t>
      </w:r>
    </w:p>
    <w:p w:rsidR="0017143E" w:rsidRPr="008D2CB3" w:rsidRDefault="0017143E" w:rsidP="001E7729">
      <w:pPr>
        <w:spacing w:line="260" w:lineRule="atLeast"/>
        <w:ind w:right="-2"/>
        <w:rPr>
          <w:szCs w:val="22"/>
        </w:rPr>
      </w:pPr>
      <w:r w:rsidRPr="008D2CB3">
        <w:rPr>
          <w:szCs w:val="22"/>
        </w:rPr>
        <w:t xml:space="preserve">Ha az alább felsorolt állapotok közül bármelyik vonatkozik Önre, akkor erről tájékoztatnia kell </w:t>
      </w:r>
      <w:r w:rsidR="00D22C8F">
        <w:rPr>
          <w:szCs w:val="22"/>
        </w:rPr>
        <w:t>kezelő</w:t>
      </w:r>
      <w:r w:rsidRPr="008D2CB3">
        <w:rPr>
          <w:szCs w:val="22"/>
        </w:rPr>
        <w:t>orvosát a</w:t>
      </w:r>
      <w:r w:rsidR="009B10E4" w:rsidRPr="008D2CB3">
        <w:rPr>
          <w:szCs w:val="22"/>
        </w:rPr>
        <w:t>z Iscover</w:t>
      </w:r>
      <w:r w:rsidRPr="008D2CB3">
        <w:rPr>
          <w:szCs w:val="22"/>
        </w:rPr>
        <w:t xml:space="preserve"> bevétele előtt:</w:t>
      </w:r>
    </w:p>
    <w:p w:rsidR="005D53DB" w:rsidRPr="008D2CB3" w:rsidRDefault="0017143E" w:rsidP="001E7729">
      <w:pPr>
        <w:numPr>
          <w:ilvl w:val="1"/>
          <w:numId w:val="17"/>
        </w:numPr>
        <w:tabs>
          <w:tab w:val="clear" w:pos="1440"/>
          <w:tab w:val="num" w:pos="567"/>
        </w:tabs>
        <w:suppressAutoHyphens/>
        <w:spacing w:line="260" w:lineRule="atLeast"/>
        <w:ind w:left="567" w:hanging="567"/>
        <w:rPr>
          <w:szCs w:val="22"/>
        </w:rPr>
      </w:pPr>
      <w:r w:rsidRPr="008D2CB3">
        <w:rPr>
          <w:szCs w:val="22"/>
        </w:rPr>
        <w:t xml:space="preserve">ha vérzés veszélye áll fenn: </w:t>
      </w:r>
    </w:p>
    <w:p w:rsidR="0017143E" w:rsidRPr="008D2CB3" w:rsidRDefault="0017143E" w:rsidP="001E7729">
      <w:pPr>
        <w:numPr>
          <w:ilvl w:val="2"/>
          <w:numId w:val="19"/>
        </w:numPr>
        <w:tabs>
          <w:tab w:val="clear" w:pos="2084"/>
          <w:tab w:val="num" w:pos="851"/>
        </w:tabs>
        <w:suppressAutoHyphens/>
        <w:spacing w:line="260" w:lineRule="atLeast"/>
        <w:ind w:left="851"/>
        <w:rPr>
          <w:szCs w:val="22"/>
        </w:rPr>
      </w:pPr>
      <w:r w:rsidRPr="008D2CB3">
        <w:rPr>
          <w:szCs w:val="22"/>
        </w:rPr>
        <w:t xml:space="preserve">ami belső vérzés (pl. gyomorfekély) kockázatát jelentő kóros állapot </w:t>
      </w:r>
    </w:p>
    <w:p w:rsidR="0017143E" w:rsidRPr="008D2CB3" w:rsidRDefault="0017143E" w:rsidP="001E7729">
      <w:pPr>
        <w:numPr>
          <w:ilvl w:val="0"/>
          <w:numId w:val="37"/>
        </w:numPr>
        <w:tabs>
          <w:tab w:val="clear" w:pos="284"/>
          <w:tab w:val="num" w:pos="851"/>
        </w:tabs>
        <w:suppressAutoHyphens/>
        <w:spacing w:line="260" w:lineRule="atLeast"/>
        <w:ind w:left="851"/>
        <w:rPr>
          <w:szCs w:val="22"/>
        </w:rPr>
      </w:pPr>
      <w:r w:rsidRPr="008D2CB3">
        <w:rPr>
          <w:szCs w:val="22"/>
        </w:rPr>
        <w:t>olyan vérképzőszervi betegség, ami belső vérzést idézhet elő (vérzés a szervezet bármelyik szövetében, szervében vagy ízületében)</w:t>
      </w:r>
    </w:p>
    <w:p w:rsidR="0017143E" w:rsidRPr="008D2CB3" w:rsidRDefault="0017143E" w:rsidP="001E7729">
      <w:pPr>
        <w:numPr>
          <w:ilvl w:val="0"/>
          <w:numId w:val="37"/>
        </w:numPr>
        <w:tabs>
          <w:tab w:val="clear" w:pos="284"/>
          <w:tab w:val="num" w:pos="851"/>
        </w:tabs>
        <w:suppressAutoHyphens/>
        <w:spacing w:line="260" w:lineRule="atLeast"/>
        <w:ind w:left="851"/>
        <w:rPr>
          <w:szCs w:val="22"/>
        </w:rPr>
      </w:pPr>
      <w:r w:rsidRPr="008D2CB3">
        <w:rPr>
          <w:szCs w:val="22"/>
        </w:rPr>
        <w:t>friss, súlyos sérülés</w:t>
      </w:r>
    </w:p>
    <w:p w:rsidR="0017143E" w:rsidRPr="008D2CB3" w:rsidRDefault="0017143E" w:rsidP="001E7729">
      <w:pPr>
        <w:numPr>
          <w:ilvl w:val="0"/>
          <w:numId w:val="37"/>
        </w:numPr>
        <w:tabs>
          <w:tab w:val="clear" w:pos="284"/>
          <w:tab w:val="num" w:pos="851"/>
        </w:tabs>
        <w:suppressAutoHyphens/>
        <w:spacing w:line="260" w:lineRule="atLeast"/>
        <w:ind w:left="851"/>
        <w:rPr>
          <w:szCs w:val="22"/>
        </w:rPr>
      </w:pPr>
      <w:r w:rsidRPr="008D2CB3">
        <w:rPr>
          <w:szCs w:val="22"/>
        </w:rPr>
        <w:t>friss sebészeti beavatkozás (fogászati is)</w:t>
      </w:r>
    </w:p>
    <w:p w:rsidR="0017143E" w:rsidRPr="008D2CB3" w:rsidRDefault="0017143E" w:rsidP="001E7729">
      <w:pPr>
        <w:numPr>
          <w:ilvl w:val="0"/>
          <w:numId w:val="37"/>
        </w:numPr>
        <w:tabs>
          <w:tab w:val="clear" w:pos="284"/>
          <w:tab w:val="num" w:pos="851"/>
        </w:tabs>
        <w:suppressAutoHyphens/>
        <w:spacing w:line="260" w:lineRule="atLeast"/>
        <w:ind w:left="851"/>
        <w:rPr>
          <w:szCs w:val="22"/>
        </w:rPr>
      </w:pPr>
      <w:r w:rsidRPr="008D2CB3">
        <w:rPr>
          <w:szCs w:val="22"/>
        </w:rPr>
        <w:t xml:space="preserve">a következő 7 napban tervezett sebészeti beavatkozás (fogászati is) </w:t>
      </w:r>
    </w:p>
    <w:p w:rsidR="0017143E" w:rsidRPr="008D2CB3" w:rsidRDefault="00877E59" w:rsidP="001E7729">
      <w:pPr>
        <w:numPr>
          <w:ilvl w:val="1"/>
          <w:numId w:val="17"/>
        </w:numPr>
        <w:tabs>
          <w:tab w:val="clear" w:pos="1440"/>
          <w:tab w:val="num" w:pos="567"/>
        </w:tabs>
        <w:suppressAutoHyphens/>
        <w:spacing w:line="260" w:lineRule="atLeast"/>
        <w:ind w:left="567" w:hanging="567"/>
        <w:rPr>
          <w:szCs w:val="22"/>
        </w:rPr>
      </w:pPr>
      <w:r w:rsidRPr="008D2CB3">
        <w:rPr>
          <w:szCs w:val="22"/>
        </w:rPr>
        <w:t>ha az elmúlt 7 napban az egyik agyi verőere elzáródott (vérkeringési zavar okozta szélütés)</w:t>
      </w:r>
    </w:p>
    <w:p w:rsidR="0017143E" w:rsidRPr="008D2CB3" w:rsidRDefault="0017143E" w:rsidP="001E7729">
      <w:pPr>
        <w:numPr>
          <w:ilvl w:val="1"/>
          <w:numId w:val="17"/>
        </w:numPr>
        <w:tabs>
          <w:tab w:val="clear" w:pos="1440"/>
          <w:tab w:val="num" w:pos="567"/>
        </w:tabs>
        <w:suppressAutoHyphens/>
        <w:spacing w:line="260" w:lineRule="atLeast"/>
        <w:ind w:left="567" w:hanging="567"/>
        <w:rPr>
          <w:szCs w:val="22"/>
        </w:rPr>
      </w:pPr>
      <w:r w:rsidRPr="008D2CB3">
        <w:rPr>
          <w:szCs w:val="22"/>
        </w:rPr>
        <w:t xml:space="preserve">ha vese- vagy májbetegsége van </w:t>
      </w:r>
    </w:p>
    <w:p w:rsidR="009A7A75" w:rsidRDefault="009A7A75" w:rsidP="009A7A75">
      <w:pPr>
        <w:numPr>
          <w:ilvl w:val="1"/>
          <w:numId w:val="17"/>
        </w:numPr>
        <w:tabs>
          <w:tab w:val="clear" w:pos="1440"/>
          <w:tab w:val="num" w:pos="567"/>
        </w:tabs>
        <w:suppressAutoHyphens/>
        <w:spacing w:line="260" w:lineRule="atLeast"/>
        <w:ind w:left="567" w:hanging="567"/>
        <w:rPr>
          <w:szCs w:val="22"/>
        </w:rPr>
      </w:pPr>
      <w:r>
        <w:rPr>
          <w:szCs w:val="22"/>
        </w:rPr>
        <w:t>ha a betegsége kezelésére alkalmazott bármelyik gyógyszerre allergiája vagy allergiás reakciója volt</w:t>
      </w:r>
    </w:p>
    <w:p w:rsidR="009A7A75" w:rsidRPr="00DE20ED" w:rsidRDefault="009A7A75" w:rsidP="009A7A75">
      <w:pPr>
        <w:numPr>
          <w:ilvl w:val="1"/>
          <w:numId w:val="17"/>
        </w:numPr>
        <w:tabs>
          <w:tab w:val="clear" w:pos="1440"/>
          <w:tab w:val="num" w:pos="567"/>
        </w:tabs>
        <w:suppressAutoHyphens/>
        <w:spacing w:line="260" w:lineRule="atLeast"/>
        <w:ind w:left="567" w:hanging="567"/>
        <w:rPr>
          <w:szCs w:val="22"/>
        </w:rPr>
      </w:pPr>
      <w:r w:rsidRPr="00DE20ED">
        <w:rPr>
          <w:szCs w:val="22"/>
        </w:rPr>
        <w:t>ha korábban jelentkezett már Önnél nem fizikai behatás okozta (nem traumás eredetű) agyi vérzés.</w:t>
      </w:r>
    </w:p>
    <w:p w:rsidR="0017143E" w:rsidRPr="00F86A77" w:rsidRDefault="0017143E" w:rsidP="001E7729">
      <w:pPr>
        <w:suppressAutoHyphens/>
        <w:spacing w:line="260" w:lineRule="atLeast"/>
        <w:rPr>
          <w:szCs w:val="22"/>
        </w:rPr>
      </w:pPr>
    </w:p>
    <w:p w:rsidR="0017143E" w:rsidRPr="008D2CB3" w:rsidRDefault="0017143E" w:rsidP="001E7729">
      <w:pPr>
        <w:suppressAutoHyphens/>
        <w:spacing w:line="260" w:lineRule="atLeast"/>
        <w:rPr>
          <w:szCs w:val="22"/>
        </w:rPr>
      </w:pPr>
      <w:r w:rsidRPr="008D2CB3">
        <w:rPr>
          <w:szCs w:val="22"/>
        </w:rPr>
        <w:t>A</w:t>
      </w:r>
      <w:r w:rsidR="009B10E4" w:rsidRPr="008D2CB3">
        <w:rPr>
          <w:szCs w:val="22"/>
        </w:rPr>
        <w:t>z Iscover</w:t>
      </w:r>
      <w:r w:rsidRPr="008D2CB3">
        <w:rPr>
          <w:szCs w:val="22"/>
        </w:rPr>
        <w:t>-kezelés alatt:</w:t>
      </w:r>
    </w:p>
    <w:p w:rsidR="0017143E" w:rsidRPr="008D2CB3" w:rsidRDefault="0017143E" w:rsidP="001E7729">
      <w:pPr>
        <w:numPr>
          <w:ilvl w:val="0"/>
          <w:numId w:val="19"/>
        </w:numPr>
        <w:tabs>
          <w:tab w:val="clear" w:pos="720"/>
          <w:tab w:val="num" w:pos="567"/>
        </w:tabs>
        <w:suppressAutoHyphens/>
        <w:spacing w:line="260" w:lineRule="atLeast"/>
        <w:ind w:left="567" w:hanging="567"/>
        <w:rPr>
          <w:szCs w:val="22"/>
        </w:rPr>
      </w:pPr>
      <w:r w:rsidRPr="008D2CB3">
        <w:rPr>
          <w:szCs w:val="22"/>
        </w:rPr>
        <w:t xml:space="preserve">Tájékoztassa kezelőorvosát, </w:t>
      </w:r>
      <w:r w:rsidR="00877E59" w:rsidRPr="008D2CB3">
        <w:rPr>
          <w:szCs w:val="22"/>
        </w:rPr>
        <w:t xml:space="preserve">ha Önnél </w:t>
      </w:r>
      <w:r w:rsidRPr="008D2CB3">
        <w:rPr>
          <w:szCs w:val="22"/>
        </w:rPr>
        <w:t>sebészeti beavatkozást terveznek (beleértve a fogászatit is).</w:t>
      </w:r>
    </w:p>
    <w:p w:rsidR="0017143E" w:rsidRPr="008D2CB3" w:rsidRDefault="0017143E" w:rsidP="001E7729">
      <w:pPr>
        <w:numPr>
          <w:ilvl w:val="0"/>
          <w:numId w:val="19"/>
        </w:numPr>
        <w:tabs>
          <w:tab w:val="clear" w:pos="720"/>
          <w:tab w:val="num" w:pos="567"/>
        </w:tabs>
        <w:suppressAutoHyphens/>
        <w:spacing w:line="260" w:lineRule="atLeast"/>
        <w:ind w:left="567" w:hanging="567"/>
        <w:rPr>
          <w:szCs w:val="22"/>
        </w:rPr>
      </w:pPr>
      <w:r w:rsidRPr="008D2CB3">
        <w:rPr>
          <w:szCs w:val="22"/>
        </w:rPr>
        <w:t>Azonnal jelezze kezelőorvosának, ha Önnél olyan tünetek jelentkeznének</w:t>
      </w:r>
      <w:r w:rsidR="001442A2" w:rsidRPr="008D2CB3">
        <w:rPr>
          <w:szCs w:val="22"/>
        </w:rPr>
        <w:t xml:space="preserve"> (ez az ún. TTP vagy trombocitopéniás trombotikus purpura)</w:t>
      </w:r>
      <w:r w:rsidRPr="008D2CB3">
        <w:rPr>
          <w:szCs w:val="22"/>
        </w:rPr>
        <w:t>, mint a láz és a bőr</w:t>
      </w:r>
      <w:r w:rsidR="00877E59" w:rsidRPr="008D2CB3">
        <w:rPr>
          <w:szCs w:val="22"/>
        </w:rPr>
        <w:t>be</w:t>
      </w:r>
      <w:r w:rsidRPr="008D2CB3">
        <w:rPr>
          <w:szCs w:val="22"/>
        </w:rPr>
        <w:t>vérzés, mely a bőr alatt apró, piros, tűhegynyi pontok</w:t>
      </w:r>
      <w:r w:rsidR="00877E59" w:rsidRPr="008D2CB3">
        <w:rPr>
          <w:szCs w:val="22"/>
        </w:rPr>
        <w:t xml:space="preserve"> formájában</w:t>
      </w:r>
      <w:r w:rsidRPr="008D2CB3">
        <w:rPr>
          <w:szCs w:val="22"/>
        </w:rPr>
        <w:t xml:space="preserve"> jelentkezik, megmagyarázhatatlan, különleges fáradtsággal, zavartsággal és a bőr vagy szemek sárgás elszíneződésével (sárgaság)</w:t>
      </w:r>
      <w:r w:rsidR="00877E59" w:rsidRPr="008D2CB3">
        <w:rPr>
          <w:szCs w:val="22"/>
        </w:rPr>
        <w:t xml:space="preserve"> együtt </w:t>
      </w:r>
      <w:r w:rsidRPr="008D2CB3">
        <w:rPr>
          <w:szCs w:val="22"/>
        </w:rPr>
        <w:t xml:space="preserve">vagy ezen tünetek nélkül is (lásd </w:t>
      </w:r>
      <w:r w:rsidR="00877E59" w:rsidRPr="008D2CB3">
        <w:rPr>
          <w:szCs w:val="22"/>
        </w:rPr>
        <w:t xml:space="preserve">4. pont </w:t>
      </w:r>
      <w:r w:rsidRPr="008D2CB3">
        <w:rPr>
          <w:szCs w:val="22"/>
        </w:rPr>
        <w:t>„L</w:t>
      </w:r>
      <w:r w:rsidR="00752C87">
        <w:rPr>
          <w:szCs w:val="22"/>
        </w:rPr>
        <w:t>ehetséges mellékhatások</w:t>
      </w:r>
      <w:r w:rsidRPr="008D2CB3">
        <w:rPr>
          <w:szCs w:val="22"/>
        </w:rPr>
        <w:t>”).</w:t>
      </w:r>
    </w:p>
    <w:p w:rsidR="0017143E" w:rsidRPr="008D2CB3" w:rsidRDefault="0017143E" w:rsidP="001E7729">
      <w:pPr>
        <w:numPr>
          <w:ilvl w:val="0"/>
          <w:numId w:val="19"/>
        </w:numPr>
        <w:tabs>
          <w:tab w:val="clear" w:pos="720"/>
          <w:tab w:val="num" w:pos="567"/>
        </w:tabs>
        <w:spacing w:line="260" w:lineRule="atLeast"/>
        <w:ind w:left="567" w:right="-29" w:hanging="567"/>
        <w:rPr>
          <w:b/>
          <w:szCs w:val="22"/>
        </w:rPr>
      </w:pPr>
      <w:r w:rsidRPr="008D2CB3">
        <w:rPr>
          <w:szCs w:val="22"/>
        </w:rPr>
        <w:t>Ha megvágja magát vagy megsérül, a szokásosnál kicsit hosszabb ideig tarthat</w:t>
      </w:r>
      <w:r w:rsidR="00877E59" w:rsidRPr="008D2CB3">
        <w:rPr>
          <w:szCs w:val="22"/>
        </w:rPr>
        <w:t>, hogy</w:t>
      </w:r>
      <w:r w:rsidRPr="008D2CB3">
        <w:rPr>
          <w:szCs w:val="22"/>
        </w:rPr>
        <w:t xml:space="preserve"> a vérzés eláll</w:t>
      </w:r>
      <w:r w:rsidR="00877E59" w:rsidRPr="008D2CB3">
        <w:rPr>
          <w:szCs w:val="22"/>
        </w:rPr>
        <w:t>jon</w:t>
      </w:r>
      <w:r w:rsidRPr="008D2CB3">
        <w:rPr>
          <w:szCs w:val="22"/>
        </w:rPr>
        <w:t>. Ez a gyógyszer hatásával</w:t>
      </w:r>
      <w:r w:rsidR="00877E59" w:rsidRPr="008D2CB3">
        <w:rPr>
          <w:szCs w:val="22"/>
        </w:rPr>
        <w:t xml:space="preserve"> függ össze, mert az </w:t>
      </w:r>
      <w:r w:rsidR="009B04BE" w:rsidRPr="008D2CB3">
        <w:rPr>
          <w:szCs w:val="22"/>
        </w:rPr>
        <w:t xml:space="preserve">gátolja </w:t>
      </w:r>
      <w:r w:rsidR="00431170" w:rsidRPr="008D2CB3">
        <w:rPr>
          <w:szCs w:val="22"/>
        </w:rPr>
        <w:t>a vér</w:t>
      </w:r>
      <w:r w:rsidR="009B04BE" w:rsidRPr="008D2CB3">
        <w:rPr>
          <w:szCs w:val="22"/>
        </w:rPr>
        <w:t xml:space="preserve">rögök kialakulását. </w:t>
      </w:r>
      <w:r w:rsidRPr="008D2CB3">
        <w:rPr>
          <w:szCs w:val="22"/>
        </w:rPr>
        <w:t xml:space="preserve">Kisebb vágások, sérülések esetén, pl. megvágja magát valamivel, akár borotválkozás közben is, ennek nincs különösebb jelentősége. Ugyanakkor, ha </w:t>
      </w:r>
      <w:r w:rsidR="00877E59" w:rsidRPr="008D2CB3">
        <w:rPr>
          <w:szCs w:val="22"/>
        </w:rPr>
        <w:t xml:space="preserve">vérzése miatt aggódik, </w:t>
      </w:r>
      <w:r w:rsidRPr="008D2CB3">
        <w:rPr>
          <w:szCs w:val="22"/>
        </w:rPr>
        <w:t xml:space="preserve">azonnal keresse fel kezelőorvosát (lásd </w:t>
      </w:r>
      <w:r w:rsidR="00877E59" w:rsidRPr="008D2CB3">
        <w:rPr>
          <w:szCs w:val="22"/>
        </w:rPr>
        <w:t xml:space="preserve">4. pont </w:t>
      </w:r>
      <w:r w:rsidRPr="008D2CB3">
        <w:rPr>
          <w:szCs w:val="22"/>
        </w:rPr>
        <w:t>„L</w:t>
      </w:r>
      <w:r w:rsidR="00752C87">
        <w:rPr>
          <w:szCs w:val="22"/>
        </w:rPr>
        <w:t>ehetséges mellékhatások</w:t>
      </w:r>
      <w:r w:rsidRPr="008D2CB3">
        <w:rPr>
          <w:szCs w:val="22"/>
        </w:rPr>
        <w:t>”).</w:t>
      </w:r>
    </w:p>
    <w:p w:rsidR="0017143E" w:rsidRPr="008D2CB3" w:rsidRDefault="0017143E" w:rsidP="001E7729">
      <w:pPr>
        <w:numPr>
          <w:ilvl w:val="0"/>
          <w:numId w:val="19"/>
        </w:numPr>
        <w:tabs>
          <w:tab w:val="clear" w:pos="720"/>
          <w:tab w:val="num" w:pos="567"/>
        </w:tabs>
        <w:suppressAutoHyphens/>
        <w:spacing w:line="260" w:lineRule="atLeast"/>
        <w:ind w:left="567" w:hanging="567"/>
        <w:rPr>
          <w:szCs w:val="22"/>
        </w:rPr>
      </w:pPr>
      <w:r w:rsidRPr="008D2CB3">
        <w:rPr>
          <w:szCs w:val="22"/>
        </w:rPr>
        <w:t>Kezelőorvosa vérvizsgálatot rendelhet el.</w:t>
      </w:r>
    </w:p>
    <w:p w:rsidR="0017143E" w:rsidRPr="008D2CB3" w:rsidRDefault="0017143E" w:rsidP="001E7729">
      <w:pPr>
        <w:suppressAutoHyphens/>
        <w:spacing w:line="260" w:lineRule="atLeast"/>
        <w:rPr>
          <w:szCs w:val="22"/>
        </w:rPr>
      </w:pPr>
    </w:p>
    <w:p w:rsidR="00752C87" w:rsidRPr="002A1B59" w:rsidRDefault="00752C87" w:rsidP="001E7729">
      <w:pPr>
        <w:ind w:right="-2"/>
        <w:rPr>
          <w:b/>
          <w:noProof/>
          <w:szCs w:val="24"/>
          <w:lang w:val="fr-BE"/>
        </w:rPr>
      </w:pPr>
      <w:r w:rsidRPr="002A1B59">
        <w:rPr>
          <w:b/>
          <w:noProof/>
          <w:szCs w:val="24"/>
          <w:lang w:val="fr-BE"/>
        </w:rPr>
        <w:t xml:space="preserve">Gyermekek és serdülők </w:t>
      </w:r>
    </w:p>
    <w:p w:rsidR="0017143E" w:rsidRPr="008D2CB3" w:rsidRDefault="00ED6D59" w:rsidP="001E7729">
      <w:pPr>
        <w:suppressAutoHyphens/>
        <w:spacing w:line="260" w:lineRule="atLeast"/>
        <w:rPr>
          <w:szCs w:val="22"/>
        </w:rPr>
      </w:pPr>
      <w:r>
        <w:rPr>
          <w:bCs/>
          <w:color w:val="222222"/>
          <w:szCs w:val="22"/>
          <w:shd w:val="clear" w:color="auto" w:fill="FFFFFF"/>
        </w:rPr>
        <w:t>Ne adja ezt a</w:t>
      </w:r>
      <w:r w:rsidR="00752C87" w:rsidRPr="009233FD">
        <w:rPr>
          <w:bCs/>
          <w:color w:val="222222"/>
          <w:szCs w:val="22"/>
          <w:shd w:val="clear" w:color="auto" w:fill="FFFFFF"/>
        </w:rPr>
        <w:t xml:space="preserve"> gyógyszer</w:t>
      </w:r>
      <w:r>
        <w:rPr>
          <w:bCs/>
          <w:color w:val="222222"/>
          <w:szCs w:val="22"/>
          <w:shd w:val="clear" w:color="auto" w:fill="FFFFFF"/>
        </w:rPr>
        <w:t>t</w:t>
      </w:r>
      <w:r w:rsidR="00752C87" w:rsidRPr="009233FD">
        <w:rPr>
          <w:bCs/>
          <w:color w:val="222222"/>
          <w:szCs w:val="22"/>
          <w:shd w:val="clear" w:color="auto" w:fill="FFFFFF"/>
        </w:rPr>
        <w:t xml:space="preserve"> gyermekeknek, mert nem hat</w:t>
      </w:r>
      <w:r w:rsidR="0017143E" w:rsidRPr="008D2CB3">
        <w:rPr>
          <w:szCs w:val="22"/>
        </w:rPr>
        <w:t xml:space="preserve">. </w:t>
      </w:r>
    </w:p>
    <w:p w:rsidR="0017143E" w:rsidRPr="008D2CB3" w:rsidRDefault="0017143E" w:rsidP="001E7729">
      <w:pPr>
        <w:spacing w:line="260" w:lineRule="atLeast"/>
        <w:ind w:right="-2"/>
        <w:rPr>
          <w:szCs w:val="22"/>
        </w:rPr>
      </w:pPr>
    </w:p>
    <w:p w:rsidR="0017143E" w:rsidRPr="008D2CB3" w:rsidRDefault="00752C87" w:rsidP="001E7729">
      <w:pPr>
        <w:spacing w:line="260" w:lineRule="atLeast"/>
        <w:ind w:right="-2"/>
        <w:rPr>
          <w:b/>
          <w:noProof/>
        </w:rPr>
      </w:pPr>
      <w:r>
        <w:rPr>
          <w:b/>
          <w:noProof/>
          <w:szCs w:val="22"/>
        </w:rPr>
        <w:t>E</w:t>
      </w:r>
      <w:r w:rsidR="0017143E" w:rsidRPr="008D2CB3">
        <w:rPr>
          <w:b/>
          <w:noProof/>
          <w:szCs w:val="22"/>
        </w:rPr>
        <w:t>gyéb gyógyszerek</w:t>
      </w:r>
      <w:r>
        <w:rPr>
          <w:b/>
          <w:noProof/>
          <w:szCs w:val="22"/>
        </w:rPr>
        <w:t xml:space="preserve"> és az Iscover</w:t>
      </w:r>
    </w:p>
    <w:p w:rsidR="00D04D24" w:rsidRPr="008D2CB3" w:rsidRDefault="0017143E" w:rsidP="001E7729">
      <w:pPr>
        <w:rPr>
          <w:szCs w:val="22"/>
        </w:rPr>
      </w:pPr>
      <w:r w:rsidRPr="008D2CB3">
        <w:rPr>
          <w:szCs w:val="22"/>
        </w:rPr>
        <w:t>Feltétlenül tájékoztassa kezelőorvosát vagy gyógyszerészét a jelenleg vagy nemrégiben szedett</w:t>
      </w:r>
      <w:r w:rsidR="00752C87">
        <w:rPr>
          <w:szCs w:val="22"/>
        </w:rPr>
        <w:t xml:space="preserve">, valamint </w:t>
      </w:r>
      <w:r w:rsidR="00ED6D59">
        <w:rPr>
          <w:szCs w:val="22"/>
        </w:rPr>
        <w:t>szedni</w:t>
      </w:r>
      <w:r w:rsidR="00752C87">
        <w:rPr>
          <w:szCs w:val="22"/>
        </w:rPr>
        <w:t xml:space="preserve"> tervezett</w:t>
      </w:r>
      <w:r w:rsidRPr="008D2CB3">
        <w:rPr>
          <w:szCs w:val="22"/>
        </w:rPr>
        <w:t xml:space="preserve"> egyéb gyógyszereiről, beleértve a vény nélkül kapható készítményeket is.</w:t>
      </w:r>
    </w:p>
    <w:p w:rsidR="0017143E" w:rsidRPr="008D2CB3" w:rsidRDefault="00D04D24" w:rsidP="001E7729">
      <w:pPr>
        <w:rPr>
          <w:szCs w:val="22"/>
        </w:rPr>
      </w:pPr>
      <w:r w:rsidRPr="008D2CB3">
        <w:rPr>
          <w:szCs w:val="22"/>
        </w:rPr>
        <w:t>Néhány gyógyszer befolyásolhatja a</w:t>
      </w:r>
      <w:r w:rsidR="009B10E4" w:rsidRPr="008D2CB3">
        <w:rPr>
          <w:szCs w:val="22"/>
        </w:rPr>
        <w:t>z Iscover</w:t>
      </w:r>
      <w:r w:rsidRPr="008D2CB3">
        <w:rPr>
          <w:szCs w:val="22"/>
        </w:rPr>
        <w:t xml:space="preserve"> </w:t>
      </w:r>
      <w:r w:rsidR="00877E59" w:rsidRPr="008D2CB3">
        <w:rPr>
          <w:szCs w:val="22"/>
        </w:rPr>
        <w:t>alkalmazását,</w:t>
      </w:r>
      <w:r w:rsidRPr="008D2CB3">
        <w:rPr>
          <w:szCs w:val="22"/>
        </w:rPr>
        <w:t xml:space="preserve"> és fordítva. </w:t>
      </w:r>
    </w:p>
    <w:p w:rsidR="0017143E" w:rsidRPr="008D2CB3" w:rsidRDefault="0017143E" w:rsidP="001E7729">
      <w:pPr>
        <w:rPr>
          <w:szCs w:val="22"/>
        </w:rPr>
      </w:pPr>
    </w:p>
    <w:p w:rsidR="00D04D24" w:rsidRPr="008D2CB3" w:rsidRDefault="0017143E" w:rsidP="001E7729">
      <w:pPr>
        <w:spacing w:line="260" w:lineRule="atLeast"/>
        <w:ind w:right="-2"/>
        <w:rPr>
          <w:szCs w:val="22"/>
        </w:rPr>
      </w:pPr>
      <w:r w:rsidRPr="008D2CB3">
        <w:rPr>
          <w:szCs w:val="22"/>
        </w:rPr>
        <w:t xml:space="preserve">Mindenképpen tájékoztatnia kell </w:t>
      </w:r>
      <w:r w:rsidR="00D22C8F">
        <w:rPr>
          <w:szCs w:val="22"/>
        </w:rPr>
        <w:t>kezelő</w:t>
      </w:r>
      <w:r w:rsidRPr="008D2CB3">
        <w:rPr>
          <w:szCs w:val="22"/>
        </w:rPr>
        <w:t xml:space="preserve">orvosát, ha </w:t>
      </w:r>
      <w:r w:rsidR="00D04D24" w:rsidRPr="008D2CB3">
        <w:rPr>
          <w:szCs w:val="22"/>
        </w:rPr>
        <w:t>az alábbi gyógyszereket alkalmazza:</w:t>
      </w:r>
    </w:p>
    <w:p w:rsidR="00AB7FB6" w:rsidRPr="00AB7FB6" w:rsidRDefault="00AB7FB6" w:rsidP="001E7729">
      <w:pPr>
        <w:pStyle w:val="ListBullet2"/>
        <w:numPr>
          <w:ilvl w:val="0"/>
          <w:numId w:val="54"/>
        </w:numPr>
        <w:spacing w:line="260" w:lineRule="atLeast"/>
        <w:ind w:left="567" w:right="-2" w:hanging="567"/>
        <w:rPr>
          <w:szCs w:val="22"/>
        </w:rPr>
      </w:pPr>
      <w:r w:rsidRPr="00BD1325">
        <w:t>olyan gyógyszereket, melyek növelik a vérzés kockázatát, mint</w:t>
      </w:r>
      <w:r>
        <w:t xml:space="preserve"> például</w:t>
      </w:r>
      <w:r w:rsidRPr="00BD1325">
        <w:t>:</w:t>
      </w:r>
      <w:r>
        <w:t xml:space="preserve"> </w:t>
      </w:r>
    </w:p>
    <w:p w:rsidR="00D04D24" w:rsidRPr="006A0AEB" w:rsidRDefault="00D04D24" w:rsidP="001E7729">
      <w:pPr>
        <w:pStyle w:val="ListBullet2"/>
        <w:numPr>
          <w:ilvl w:val="0"/>
          <w:numId w:val="57"/>
        </w:numPr>
        <w:spacing w:line="260" w:lineRule="atLeast"/>
        <w:ind w:left="1134" w:right="-2" w:hanging="567"/>
        <w:rPr>
          <w:szCs w:val="22"/>
        </w:rPr>
      </w:pPr>
      <w:r w:rsidRPr="00AB7FB6">
        <w:rPr>
          <w:szCs w:val="22"/>
        </w:rPr>
        <w:t>szájon át szedhető véralvadásgátló (antikoaguláns), vagyis olyan gyógyszer</w:t>
      </w:r>
      <w:r w:rsidRPr="006A0AEB">
        <w:rPr>
          <w:szCs w:val="22"/>
        </w:rPr>
        <w:t>, amely a vérrögképződést akadályozza,</w:t>
      </w:r>
    </w:p>
    <w:p w:rsidR="00D04D24" w:rsidRPr="008D2CB3" w:rsidRDefault="0017143E" w:rsidP="001E7729">
      <w:pPr>
        <w:numPr>
          <w:ilvl w:val="0"/>
          <w:numId w:val="57"/>
        </w:numPr>
        <w:spacing w:line="260" w:lineRule="atLeast"/>
        <w:ind w:left="1134" w:right="-2" w:hanging="567"/>
        <w:rPr>
          <w:szCs w:val="22"/>
        </w:rPr>
      </w:pPr>
      <w:r w:rsidRPr="008D2CB3">
        <w:rPr>
          <w:szCs w:val="22"/>
        </w:rPr>
        <w:t>nem</w:t>
      </w:r>
      <w:r w:rsidR="0025079B">
        <w:rPr>
          <w:szCs w:val="22"/>
        </w:rPr>
        <w:noBreakHyphen/>
      </w:r>
      <w:r w:rsidRPr="008D2CB3">
        <w:rPr>
          <w:szCs w:val="22"/>
        </w:rPr>
        <w:t>szteroid gyulladáscsökkentő gyógyszer, amit az izmok vagy ízületek fájdalmas és/vagy gyulladásos állapotainak kezelésére használnak,</w:t>
      </w:r>
    </w:p>
    <w:p w:rsidR="00D04D24" w:rsidRDefault="0017143E" w:rsidP="001E7729">
      <w:pPr>
        <w:numPr>
          <w:ilvl w:val="0"/>
          <w:numId w:val="55"/>
        </w:numPr>
        <w:tabs>
          <w:tab w:val="clear" w:pos="284"/>
          <w:tab w:val="num" w:pos="1134"/>
        </w:tabs>
        <w:spacing w:line="260" w:lineRule="atLeast"/>
        <w:ind w:left="1134" w:right="-2" w:hanging="567"/>
        <w:rPr>
          <w:szCs w:val="22"/>
        </w:rPr>
      </w:pPr>
      <w:r w:rsidRPr="008D2CB3">
        <w:rPr>
          <w:szCs w:val="22"/>
        </w:rPr>
        <w:t>heparin</w:t>
      </w:r>
      <w:r w:rsidR="00490C77" w:rsidRPr="008D2CB3">
        <w:rPr>
          <w:szCs w:val="22"/>
        </w:rPr>
        <w:t xml:space="preserve">, vagy </w:t>
      </w:r>
      <w:r w:rsidR="00D04D24" w:rsidRPr="008D2CB3">
        <w:rPr>
          <w:szCs w:val="22"/>
        </w:rPr>
        <w:t xml:space="preserve">bármely </w:t>
      </w:r>
      <w:r w:rsidR="00490C77" w:rsidRPr="008D2CB3">
        <w:rPr>
          <w:szCs w:val="22"/>
        </w:rPr>
        <w:t>egyéb</w:t>
      </w:r>
      <w:r w:rsidRPr="008D2CB3">
        <w:rPr>
          <w:szCs w:val="22"/>
        </w:rPr>
        <w:t xml:space="preserve"> </w:t>
      </w:r>
      <w:r w:rsidR="00AF7925" w:rsidRPr="008D2CB3">
        <w:rPr>
          <w:szCs w:val="22"/>
        </w:rPr>
        <w:t xml:space="preserve">injekciós </w:t>
      </w:r>
      <w:r w:rsidRPr="008D2CB3">
        <w:rPr>
          <w:szCs w:val="22"/>
        </w:rPr>
        <w:t>véralvadásgátló gyógyszer</w:t>
      </w:r>
      <w:r w:rsidR="00D04D24" w:rsidRPr="008D2CB3">
        <w:rPr>
          <w:szCs w:val="22"/>
        </w:rPr>
        <w:t>,</w:t>
      </w:r>
    </w:p>
    <w:p w:rsidR="00AB7FB6" w:rsidRDefault="00AB7FB6" w:rsidP="001E7729">
      <w:pPr>
        <w:numPr>
          <w:ilvl w:val="0"/>
          <w:numId w:val="55"/>
        </w:numPr>
        <w:tabs>
          <w:tab w:val="clear" w:pos="284"/>
          <w:tab w:val="num" w:pos="1134"/>
        </w:tabs>
        <w:spacing w:line="260" w:lineRule="atLeast"/>
        <w:ind w:left="1134" w:hanging="567"/>
        <w:rPr>
          <w:szCs w:val="22"/>
        </w:rPr>
      </w:pPr>
      <w:r>
        <w:rPr>
          <w:szCs w:val="22"/>
        </w:rPr>
        <w:t>tiklopidin, a vérlemezkék összecsapódása ellen ható gyógyszer</w:t>
      </w:r>
      <w:r w:rsidR="007C2C3D">
        <w:rPr>
          <w:szCs w:val="22"/>
        </w:rPr>
        <w:t>,</w:t>
      </w:r>
    </w:p>
    <w:p w:rsidR="00AB7FB6" w:rsidRDefault="00AB7FB6" w:rsidP="001E7729">
      <w:pPr>
        <w:numPr>
          <w:ilvl w:val="0"/>
          <w:numId w:val="55"/>
        </w:numPr>
        <w:tabs>
          <w:tab w:val="clear" w:pos="284"/>
          <w:tab w:val="num" w:pos="1134"/>
        </w:tabs>
        <w:spacing w:line="260" w:lineRule="atLeast"/>
        <w:ind w:left="1134" w:right="-2" w:hanging="567"/>
        <w:rPr>
          <w:szCs w:val="22"/>
        </w:rPr>
      </w:pPr>
      <w:r w:rsidRPr="006A0AEB">
        <w:rPr>
          <w:szCs w:val="22"/>
        </w:rPr>
        <w:t>szelektív szerotoninvisszavétel</w:t>
      </w:r>
      <w:r w:rsidR="0025079B">
        <w:rPr>
          <w:szCs w:val="22"/>
        </w:rPr>
        <w:noBreakHyphen/>
      </w:r>
      <w:r w:rsidRPr="006A0AEB">
        <w:rPr>
          <w:szCs w:val="22"/>
        </w:rPr>
        <w:t>gátló gyógyszerek (a teljesség igénye nélkül például a fluoxetin vagy fluvoxamin)</w:t>
      </w:r>
      <w:r w:rsidRPr="006B73DC">
        <w:rPr>
          <w:szCs w:val="22"/>
        </w:rPr>
        <w:t xml:space="preserve">, </w:t>
      </w:r>
      <w:r w:rsidRPr="00F612CB">
        <w:rPr>
          <w:szCs w:val="22"/>
        </w:rPr>
        <w:t xml:space="preserve">amiket általában </w:t>
      </w:r>
      <w:r w:rsidRPr="00C6097F">
        <w:rPr>
          <w:szCs w:val="22"/>
        </w:rPr>
        <w:t>a depresszió kezelésére alkalmaznak</w:t>
      </w:r>
      <w:r w:rsidR="00705F72">
        <w:rPr>
          <w:szCs w:val="22"/>
        </w:rPr>
        <w:t>,</w:t>
      </w:r>
    </w:p>
    <w:p w:rsidR="00F43037" w:rsidRPr="00736266" w:rsidRDefault="00F43037" w:rsidP="001E7729">
      <w:pPr>
        <w:numPr>
          <w:ilvl w:val="0"/>
          <w:numId w:val="55"/>
        </w:numPr>
        <w:tabs>
          <w:tab w:val="clear" w:pos="284"/>
          <w:tab w:val="num" w:pos="1134"/>
        </w:tabs>
        <w:spacing w:line="260" w:lineRule="atLeast"/>
        <w:ind w:left="1134" w:right="-2" w:hanging="567"/>
        <w:rPr>
          <w:szCs w:val="22"/>
        </w:rPr>
      </w:pPr>
      <w:r>
        <w:rPr>
          <w:szCs w:val="22"/>
        </w:rPr>
        <w:t>rifampicin (súlyos fertőzések kezelésére).</w:t>
      </w:r>
    </w:p>
    <w:p w:rsidR="00D04D24" w:rsidRPr="008D2CB3" w:rsidRDefault="00AF2DAA" w:rsidP="001E7729">
      <w:pPr>
        <w:numPr>
          <w:ilvl w:val="0"/>
          <w:numId w:val="36"/>
        </w:numPr>
        <w:tabs>
          <w:tab w:val="clear" w:pos="284"/>
          <w:tab w:val="num" w:pos="567"/>
        </w:tabs>
        <w:spacing w:line="260" w:lineRule="atLeast"/>
        <w:ind w:left="567" w:right="-2" w:hanging="567"/>
        <w:rPr>
          <w:szCs w:val="22"/>
        </w:rPr>
      </w:pPr>
      <w:r w:rsidRPr="008D2CB3">
        <w:rPr>
          <w:szCs w:val="22"/>
        </w:rPr>
        <w:t>gyomorpanaszainak kezelésére omeprazolt</w:t>
      </w:r>
      <w:r w:rsidR="00716247">
        <w:rPr>
          <w:szCs w:val="22"/>
        </w:rPr>
        <w:t xml:space="preserve"> vagy</w:t>
      </w:r>
      <w:r w:rsidRPr="008D2CB3">
        <w:rPr>
          <w:szCs w:val="22"/>
        </w:rPr>
        <w:t xml:space="preserve"> ezomeprazolt szed</w:t>
      </w:r>
      <w:r w:rsidR="00D04D24" w:rsidRPr="008D2CB3">
        <w:rPr>
          <w:szCs w:val="22"/>
        </w:rPr>
        <w:t>,</w:t>
      </w:r>
    </w:p>
    <w:p w:rsidR="00D04D24" w:rsidRPr="008D2CB3" w:rsidRDefault="00D04D24" w:rsidP="001E7729">
      <w:pPr>
        <w:numPr>
          <w:ilvl w:val="0"/>
          <w:numId w:val="36"/>
        </w:numPr>
        <w:tabs>
          <w:tab w:val="clear" w:pos="284"/>
          <w:tab w:val="num" w:pos="567"/>
        </w:tabs>
        <w:spacing w:line="260" w:lineRule="atLeast"/>
        <w:ind w:left="567" w:right="-2" w:hanging="567"/>
        <w:rPr>
          <w:szCs w:val="22"/>
        </w:rPr>
      </w:pPr>
      <w:r w:rsidRPr="008D2CB3">
        <w:rPr>
          <w:szCs w:val="22"/>
        </w:rPr>
        <w:t>flukonazolt</w:t>
      </w:r>
      <w:r w:rsidR="00716247">
        <w:rPr>
          <w:szCs w:val="22"/>
        </w:rPr>
        <w:t xml:space="preserve"> vagy</w:t>
      </w:r>
      <w:r w:rsidRPr="008D2CB3">
        <w:rPr>
          <w:szCs w:val="22"/>
        </w:rPr>
        <w:t xml:space="preserve"> vorikonazolt kap gombás fertőzés</w:t>
      </w:r>
      <w:r w:rsidR="00716247">
        <w:rPr>
          <w:szCs w:val="22"/>
        </w:rPr>
        <w:t>ek</w:t>
      </w:r>
      <w:r w:rsidRPr="008D2CB3">
        <w:rPr>
          <w:szCs w:val="22"/>
        </w:rPr>
        <w:t xml:space="preserve"> kezelésére,</w:t>
      </w:r>
    </w:p>
    <w:p w:rsidR="00D964C1" w:rsidRPr="008D2CB3" w:rsidRDefault="00D964C1" w:rsidP="001E7729">
      <w:pPr>
        <w:numPr>
          <w:ilvl w:val="0"/>
          <w:numId w:val="36"/>
        </w:numPr>
        <w:tabs>
          <w:tab w:val="clear" w:pos="284"/>
          <w:tab w:val="num" w:pos="567"/>
        </w:tabs>
        <w:spacing w:line="260" w:lineRule="atLeast"/>
        <w:ind w:left="567" w:right="-2" w:hanging="567"/>
        <w:rPr>
          <w:szCs w:val="22"/>
        </w:rPr>
      </w:pPr>
      <w:r w:rsidRPr="008D2CB3">
        <w:rPr>
          <w:szCs w:val="22"/>
        </w:rPr>
        <w:t>karbamazepint kap az epilepszia bizonyos formájának a kezelésére,</w:t>
      </w:r>
    </w:p>
    <w:p w:rsidR="00716247" w:rsidRPr="00792E0C" w:rsidRDefault="00716247" w:rsidP="001E7729">
      <w:pPr>
        <w:pStyle w:val="ListBullet2"/>
        <w:numPr>
          <w:ilvl w:val="0"/>
          <w:numId w:val="50"/>
        </w:numPr>
        <w:ind w:left="567" w:hanging="567"/>
        <w:rPr>
          <w:szCs w:val="22"/>
        </w:rPr>
      </w:pPr>
      <w:r w:rsidRPr="00792E0C">
        <w:t xml:space="preserve">efavirenzet </w:t>
      </w:r>
      <w:r w:rsidR="00273324">
        <w:t>vagy egyéb, retrovírus</w:t>
      </w:r>
      <w:r w:rsidR="00273324">
        <w:noBreakHyphen/>
        <w:t xml:space="preserve">ellenes gyógyszereket </w:t>
      </w:r>
      <w:r w:rsidR="00273324" w:rsidRPr="00075D92">
        <w:t xml:space="preserve">kap </w:t>
      </w:r>
      <w:r w:rsidR="00273324">
        <w:t>[</w:t>
      </w:r>
      <w:r w:rsidR="00273324" w:rsidRPr="00075D92">
        <w:t>HIV (emberi immunhiány-előidéző vírus) fertőzés kezelésére</w:t>
      </w:r>
      <w:r w:rsidR="00273324">
        <w:t>]</w:t>
      </w:r>
      <w:r w:rsidR="00273324" w:rsidRPr="00075D92">
        <w:t>,</w:t>
      </w:r>
    </w:p>
    <w:p w:rsidR="008D35D5" w:rsidRPr="006A0AEB" w:rsidRDefault="008D35D5" w:rsidP="001E7729">
      <w:pPr>
        <w:pStyle w:val="ListBullet2"/>
        <w:numPr>
          <w:ilvl w:val="0"/>
          <w:numId w:val="51"/>
        </w:numPr>
        <w:ind w:left="567" w:hanging="567"/>
        <w:rPr>
          <w:szCs w:val="22"/>
        </w:rPr>
      </w:pPr>
      <w:r w:rsidRPr="001E1EB2">
        <w:t>moklobemidet, a depressz</w:t>
      </w:r>
      <w:r w:rsidR="00D66624" w:rsidRPr="001E1EB2">
        <w:t>i</w:t>
      </w:r>
      <w:r w:rsidRPr="001E1EB2">
        <w:t>ó kezelésére használatos gyógyszert kap</w:t>
      </w:r>
      <w:r w:rsidR="00705F72">
        <w:t>,</w:t>
      </w:r>
      <w:r w:rsidRPr="001E1EB2">
        <w:t xml:space="preserve"> </w:t>
      </w:r>
    </w:p>
    <w:p w:rsidR="006A0AEB" w:rsidRPr="00D7175A" w:rsidRDefault="006A0AEB" w:rsidP="001E7729">
      <w:pPr>
        <w:pStyle w:val="ListBullet2"/>
        <w:numPr>
          <w:ilvl w:val="0"/>
          <w:numId w:val="51"/>
        </w:numPr>
        <w:spacing w:line="260" w:lineRule="atLeast"/>
        <w:ind w:left="567" w:hanging="567"/>
        <w:contextualSpacing w:val="0"/>
        <w:rPr>
          <w:szCs w:val="22"/>
        </w:rPr>
      </w:pPr>
      <w:r>
        <w:t>cukorbetegség kezelésére repaglinidet szed,</w:t>
      </w:r>
    </w:p>
    <w:p w:rsidR="00705F72" w:rsidRPr="00705F72" w:rsidRDefault="006A0AEB" w:rsidP="001E7729">
      <w:pPr>
        <w:pStyle w:val="ListBullet2"/>
        <w:numPr>
          <w:ilvl w:val="0"/>
          <w:numId w:val="51"/>
        </w:numPr>
        <w:spacing w:line="260" w:lineRule="atLeast"/>
        <w:ind w:left="567" w:hanging="567"/>
        <w:contextualSpacing w:val="0"/>
        <w:rPr>
          <w:szCs w:val="22"/>
        </w:rPr>
      </w:pPr>
      <w:r>
        <w:t>daganatos betegség kezelésére paklitaxel kezelést kap</w:t>
      </w:r>
      <w:r w:rsidR="00705F72">
        <w:t>,</w:t>
      </w:r>
    </w:p>
    <w:p w:rsidR="006A0AEB" w:rsidRPr="006A0AEB" w:rsidRDefault="00E12E4A" w:rsidP="001E7729">
      <w:pPr>
        <w:pStyle w:val="ListBullet2"/>
        <w:numPr>
          <w:ilvl w:val="0"/>
          <w:numId w:val="51"/>
        </w:numPr>
        <w:spacing w:line="260" w:lineRule="atLeast"/>
        <w:ind w:left="567" w:hanging="567"/>
        <w:contextualSpacing w:val="0"/>
        <w:rPr>
          <w:szCs w:val="22"/>
        </w:rPr>
      </w:pPr>
      <w:r>
        <w:t>opioidok: a klopidogrél</w:t>
      </w:r>
      <w:r>
        <w:noBreakHyphen/>
      </w:r>
      <w:r w:rsidR="00705F72">
        <w:t>kezelés alatt tájékoztassa kezelőorvosát, mielőtt bármilyen opioid gyógyszert ír fel Önnek</w:t>
      </w:r>
      <w:r w:rsidR="008465B6">
        <w:t xml:space="preserve"> (súlyos fájdalom kezelésére)</w:t>
      </w:r>
      <w:r w:rsidR="006A0AEB" w:rsidRPr="00270B86">
        <w:t xml:space="preserve">. </w:t>
      </w:r>
    </w:p>
    <w:p w:rsidR="0017143E" w:rsidRPr="008D2CB3" w:rsidRDefault="0017143E" w:rsidP="001E7729">
      <w:pPr>
        <w:spacing w:line="260" w:lineRule="atLeast"/>
        <w:ind w:right="-2"/>
        <w:rPr>
          <w:szCs w:val="22"/>
        </w:rPr>
      </w:pPr>
    </w:p>
    <w:p w:rsidR="0017143E" w:rsidRPr="008D2CB3" w:rsidRDefault="009A7A75" w:rsidP="001E7729">
      <w:pPr>
        <w:spacing w:line="260" w:lineRule="atLeast"/>
        <w:ind w:right="-2"/>
        <w:rPr>
          <w:szCs w:val="22"/>
        </w:rPr>
      </w:pPr>
      <w:r>
        <w:rPr>
          <w:szCs w:val="22"/>
        </w:rPr>
        <w:t xml:space="preserve">Ha súlyos mellkasi fájdalma (instabil angina vagy szívroham), enyhe fokú, átmeneti agyi keringési zavara vagy szélütése volt, </w:t>
      </w:r>
      <w:r w:rsidR="0017143E" w:rsidRPr="008D2CB3">
        <w:rPr>
          <w:szCs w:val="22"/>
        </w:rPr>
        <w:t>a</w:t>
      </w:r>
      <w:r w:rsidR="009B10E4" w:rsidRPr="008D2CB3">
        <w:rPr>
          <w:szCs w:val="22"/>
        </w:rPr>
        <w:t>z Iscover-</w:t>
      </w:r>
      <w:r w:rsidR="0017143E" w:rsidRPr="008D2CB3">
        <w:rPr>
          <w:szCs w:val="22"/>
        </w:rPr>
        <w:t>t acetilszalicilsavval együtt rendelik. Ezt a vegyületet több fájdalom-, és lázcsillapító gyógyszer is tartalmazza. Alkalmankénti acetilszalicilsav bevétele (ha 24 óra alatt nem több mint 1000 mg) általában nem okoz gondot, de a más okból történő, tartós szedését meg kell beszélni a kezelőorvosával.</w:t>
      </w:r>
    </w:p>
    <w:p w:rsidR="0017143E" w:rsidRPr="008D2CB3" w:rsidRDefault="0017143E" w:rsidP="001E7729">
      <w:pPr>
        <w:rPr>
          <w:szCs w:val="22"/>
        </w:rPr>
      </w:pPr>
    </w:p>
    <w:p w:rsidR="0017143E" w:rsidRPr="008D2CB3" w:rsidRDefault="0017143E" w:rsidP="001E7729">
      <w:pPr>
        <w:keepNext/>
        <w:keepLines/>
        <w:spacing w:line="260" w:lineRule="atLeast"/>
        <w:rPr>
          <w:b/>
          <w:noProof/>
          <w:szCs w:val="22"/>
        </w:rPr>
      </w:pPr>
      <w:r w:rsidRPr="008D2CB3">
        <w:rPr>
          <w:b/>
          <w:noProof/>
          <w:szCs w:val="22"/>
        </w:rPr>
        <w:t>A</w:t>
      </w:r>
      <w:r w:rsidR="009B10E4" w:rsidRPr="008D2CB3">
        <w:rPr>
          <w:b/>
          <w:noProof/>
          <w:szCs w:val="22"/>
        </w:rPr>
        <w:t>z Iscover</w:t>
      </w:r>
      <w:r w:rsidRPr="008D2CB3">
        <w:rPr>
          <w:b/>
          <w:noProof/>
          <w:szCs w:val="22"/>
        </w:rPr>
        <w:t xml:space="preserve"> egyidejű alkalmazása éte</w:t>
      </w:r>
      <w:r w:rsidR="00752C87">
        <w:rPr>
          <w:b/>
          <w:noProof/>
          <w:szCs w:val="22"/>
        </w:rPr>
        <w:t>l</w:t>
      </w:r>
      <w:r w:rsidRPr="008D2CB3">
        <w:rPr>
          <w:b/>
          <w:noProof/>
          <w:szCs w:val="22"/>
        </w:rPr>
        <w:t xml:space="preserve">lel </w:t>
      </w:r>
      <w:r w:rsidR="00752C87">
        <w:rPr>
          <w:b/>
          <w:noProof/>
          <w:szCs w:val="22"/>
        </w:rPr>
        <w:t>és</w:t>
      </w:r>
      <w:r w:rsidRPr="008D2CB3">
        <w:rPr>
          <w:b/>
          <w:noProof/>
          <w:szCs w:val="22"/>
        </w:rPr>
        <w:t xml:space="preserve"> ital</w:t>
      </w:r>
      <w:r w:rsidR="00752C87">
        <w:rPr>
          <w:b/>
          <w:noProof/>
          <w:szCs w:val="22"/>
        </w:rPr>
        <w:t>l</w:t>
      </w:r>
      <w:r w:rsidRPr="008D2CB3">
        <w:rPr>
          <w:b/>
          <w:noProof/>
          <w:szCs w:val="22"/>
        </w:rPr>
        <w:t>al</w:t>
      </w:r>
    </w:p>
    <w:p w:rsidR="0017143E" w:rsidRPr="008D2CB3" w:rsidRDefault="00DD47E1" w:rsidP="001E7729">
      <w:pPr>
        <w:keepNext/>
        <w:keepLines/>
        <w:spacing w:line="260" w:lineRule="atLeast"/>
        <w:rPr>
          <w:szCs w:val="22"/>
        </w:rPr>
      </w:pPr>
      <w:r w:rsidRPr="008D2CB3">
        <w:rPr>
          <w:szCs w:val="22"/>
        </w:rPr>
        <w:t>A</w:t>
      </w:r>
      <w:r w:rsidR="009B10E4" w:rsidRPr="008D2CB3">
        <w:rPr>
          <w:szCs w:val="22"/>
        </w:rPr>
        <w:t>z Iscover</w:t>
      </w:r>
      <w:r w:rsidR="0017143E" w:rsidRPr="008D2CB3">
        <w:rPr>
          <w:szCs w:val="22"/>
        </w:rPr>
        <w:t xml:space="preserve"> </w:t>
      </w:r>
      <w:r w:rsidR="00021E6B">
        <w:rPr>
          <w:szCs w:val="22"/>
        </w:rPr>
        <w:t xml:space="preserve">étkezéssel vagy étkezéstől függetlenül is </w:t>
      </w:r>
      <w:r w:rsidR="0017143E" w:rsidRPr="008D2CB3">
        <w:rPr>
          <w:szCs w:val="22"/>
        </w:rPr>
        <w:t>bevehető.</w:t>
      </w:r>
    </w:p>
    <w:p w:rsidR="0017143E" w:rsidRPr="008D2CB3" w:rsidRDefault="0017143E" w:rsidP="001E7729">
      <w:pPr>
        <w:spacing w:line="260" w:lineRule="atLeast"/>
        <w:ind w:right="-2"/>
        <w:rPr>
          <w:szCs w:val="22"/>
        </w:rPr>
      </w:pPr>
    </w:p>
    <w:p w:rsidR="0017143E" w:rsidRPr="008D2CB3" w:rsidRDefault="0017143E" w:rsidP="001E7729">
      <w:pPr>
        <w:spacing w:line="260" w:lineRule="atLeast"/>
        <w:ind w:right="-2"/>
        <w:rPr>
          <w:b/>
          <w:szCs w:val="22"/>
        </w:rPr>
      </w:pPr>
      <w:r w:rsidRPr="008D2CB3">
        <w:rPr>
          <w:b/>
          <w:szCs w:val="22"/>
        </w:rPr>
        <w:t>Terhesség és szoptatás</w:t>
      </w:r>
    </w:p>
    <w:p w:rsidR="00877E59" w:rsidRPr="008D2CB3" w:rsidRDefault="00877E59" w:rsidP="001E7729">
      <w:pPr>
        <w:rPr>
          <w:szCs w:val="22"/>
        </w:rPr>
      </w:pPr>
      <w:r w:rsidRPr="008D2CB3">
        <w:rPr>
          <w:szCs w:val="22"/>
        </w:rPr>
        <w:t xml:space="preserve">Terhesség alatt lehetőleg ne alkalmazza ezt a készítményt. </w:t>
      </w:r>
    </w:p>
    <w:p w:rsidR="00752C87" w:rsidRDefault="00752C87" w:rsidP="001E7729">
      <w:pPr>
        <w:rPr>
          <w:szCs w:val="22"/>
        </w:rPr>
      </w:pPr>
    </w:p>
    <w:p w:rsidR="00877E59" w:rsidRPr="008D2CB3" w:rsidRDefault="00877E59" w:rsidP="001E7729">
      <w:pPr>
        <w:rPr>
          <w:szCs w:val="22"/>
        </w:rPr>
      </w:pPr>
      <w:r w:rsidRPr="008D2CB3">
        <w:rPr>
          <w:szCs w:val="22"/>
        </w:rPr>
        <w:t>Ha Ön terhes vagy fennáll a terhesség gyanúja, a</w:t>
      </w:r>
      <w:r w:rsidR="009B10E4" w:rsidRPr="008D2CB3">
        <w:rPr>
          <w:szCs w:val="22"/>
        </w:rPr>
        <w:t>z Iscover</w:t>
      </w:r>
      <w:r w:rsidRPr="008D2CB3">
        <w:rPr>
          <w:szCs w:val="22"/>
        </w:rPr>
        <w:t xml:space="preserve"> szedésének megkezdése előtt tájékoztassa </w:t>
      </w:r>
      <w:r w:rsidR="00D22C8F">
        <w:rPr>
          <w:szCs w:val="22"/>
        </w:rPr>
        <w:t>kezelő</w:t>
      </w:r>
      <w:r w:rsidRPr="008D2CB3">
        <w:rPr>
          <w:szCs w:val="22"/>
        </w:rPr>
        <w:t>orvosát vagy gyógyszerészét. Amennyiben a</w:t>
      </w:r>
      <w:r w:rsidR="009B10E4" w:rsidRPr="008D2CB3">
        <w:rPr>
          <w:szCs w:val="22"/>
        </w:rPr>
        <w:t>z Iscover</w:t>
      </w:r>
      <w:r w:rsidRPr="008D2CB3">
        <w:rPr>
          <w:szCs w:val="22"/>
        </w:rPr>
        <w:t xml:space="preserve"> szedése során terhes lesz, azonnal keresse fel </w:t>
      </w:r>
      <w:r w:rsidR="00D22C8F">
        <w:rPr>
          <w:szCs w:val="22"/>
        </w:rPr>
        <w:t>kezelő</w:t>
      </w:r>
      <w:r w:rsidRPr="008D2CB3">
        <w:rPr>
          <w:szCs w:val="22"/>
        </w:rPr>
        <w:t>orvosát, mivel terhesség alatt nem ajánlott a</w:t>
      </w:r>
      <w:r w:rsidR="009B10E4" w:rsidRPr="008D2CB3">
        <w:rPr>
          <w:szCs w:val="22"/>
        </w:rPr>
        <w:t>z Iscover-t</w:t>
      </w:r>
      <w:r w:rsidRPr="008D2CB3">
        <w:rPr>
          <w:szCs w:val="22"/>
        </w:rPr>
        <w:t xml:space="preserve"> szedni.</w:t>
      </w:r>
    </w:p>
    <w:p w:rsidR="0017143E" w:rsidRPr="008D2CB3" w:rsidRDefault="0017143E" w:rsidP="001E7729">
      <w:pPr>
        <w:rPr>
          <w:szCs w:val="22"/>
        </w:rPr>
      </w:pPr>
    </w:p>
    <w:p w:rsidR="00AF2DAA" w:rsidRPr="008D2CB3" w:rsidRDefault="00AF2DAA" w:rsidP="001E7729">
      <w:pPr>
        <w:rPr>
          <w:szCs w:val="22"/>
        </w:rPr>
      </w:pPr>
      <w:r w:rsidRPr="008D2CB3">
        <w:rPr>
          <w:szCs w:val="22"/>
        </w:rPr>
        <w:t>A készítmény alkalmazása alatt a szoptatás nem javasolt.</w:t>
      </w:r>
    </w:p>
    <w:p w:rsidR="0017143E" w:rsidRPr="008D2CB3" w:rsidRDefault="00AF2DAA" w:rsidP="001E7729">
      <w:pPr>
        <w:spacing w:line="260" w:lineRule="atLeast"/>
        <w:ind w:right="-2"/>
        <w:rPr>
          <w:b/>
          <w:szCs w:val="22"/>
        </w:rPr>
      </w:pPr>
      <w:r w:rsidRPr="008D2CB3">
        <w:rPr>
          <w:szCs w:val="22"/>
        </w:rPr>
        <w:t>Ha Ön szoptató anya, vagy szoptatni szeretne, beszéljen kezelőorvosával, mielőtt elkezdené szedni ezt a gyógyszert.</w:t>
      </w:r>
    </w:p>
    <w:p w:rsidR="00752C87" w:rsidRDefault="00752C87" w:rsidP="001E7729">
      <w:pPr>
        <w:spacing w:line="260" w:lineRule="atLeast"/>
        <w:ind w:right="-29"/>
        <w:rPr>
          <w:b/>
          <w:szCs w:val="22"/>
        </w:rPr>
      </w:pPr>
    </w:p>
    <w:p w:rsidR="00752C87" w:rsidRPr="001B71FE" w:rsidRDefault="00752C87" w:rsidP="001E7729">
      <w:pPr>
        <w:spacing w:line="260" w:lineRule="atLeast"/>
        <w:ind w:right="-29"/>
        <w:rPr>
          <w:szCs w:val="22"/>
        </w:rPr>
      </w:pPr>
      <w:r w:rsidRPr="001B71FE">
        <w:rPr>
          <w:szCs w:val="22"/>
        </w:rPr>
        <w:t>Mielőtt bármilyen gyógyszert elkezdene szedni, beszélje meg kezelőorvosával vagy gyógyszerészével.</w:t>
      </w:r>
    </w:p>
    <w:p w:rsidR="00752C87" w:rsidRDefault="00752C87" w:rsidP="001E7729">
      <w:pPr>
        <w:spacing w:line="260" w:lineRule="atLeast"/>
        <w:ind w:right="-29"/>
        <w:rPr>
          <w:b/>
          <w:szCs w:val="22"/>
        </w:rPr>
      </w:pPr>
    </w:p>
    <w:p w:rsidR="0017143E" w:rsidRPr="008D2CB3" w:rsidRDefault="0017143E" w:rsidP="001E7729">
      <w:pPr>
        <w:spacing w:line="260" w:lineRule="atLeast"/>
        <w:ind w:right="-29"/>
        <w:rPr>
          <w:b/>
          <w:szCs w:val="22"/>
        </w:rPr>
      </w:pPr>
      <w:r w:rsidRPr="008D2CB3">
        <w:rPr>
          <w:b/>
          <w:szCs w:val="22"/>
        </w:rPr>
        <w:t xml:space="preserve">A készítmény hatásai a gépjárművezetéshez és </w:t>
      </w:r>
      <w:r w:rsidR="00553904">
        <w:rPr>
          <w:b/>
          <w:szCs w:val="22"/>
        </w:rPr>
        <w:t xml:space="preserve">a </w:t>
      </w:r>
      <w:r w:rsidRPr="008D2CB3">
        <w:rPr>
          <w:b/>
          <w:szCs w:val="22"/>
        </w:rPr>
        <w:t xml:space="preserve">gépek </w:t>
      </w:r>
      <w:r w:rsidRPr="008D2CB3">
        <w:rPr>
          <w:b/>
          <w:noProof/>
        </w:rPr>
        <w:t>kezeléséhez</w:t>
      </w:r>
      <w:r w:rsidRPr="008D2CB3">
        <w:rPr>
          <w:b/>
          <w:szCs w:val="22"/>
        </w:rPr>
        <w:t xml:space="preserve"> szükséges képességekre</w:t>
      </w:r>
    </w:p>
    <w:p w:rsidR="0017143E" w:rsidRPr="008D2CB3" w:rsidRDefault="0017143E" w:rsidP="001E7729">
      <w:pPr>
        <w:spacing w:line="260" w:lineRule="atLeast"/>
        <w:ind w:right="-29"/>
        <w:rPr>
          <w:szCs w:val="22"/>
        </w:rPr>
      </w:pPr>
      <w:r w:rsidRPr="008D2CB3">
        <w:rPr>
          <w:szCs w:val="22"/>
        </w:rPr>
        <w:t>A</w:t>
      </w:r>
      <w:r w:rsidR="009B10E4" w:rsidRPr="008D2CB3">
        <w:rPr>
          <w:szCs w:val="22"/>
        </w:rPr>
        <w:t>z Iscover</w:t>
      </w:r>
      <w:r w:rsidRPr="008D2CB3">
        <w:rPr>
          <w:szCs w:val="22"/>
        </w:rPr>
        <w:t xml:space="preserve"> valószínűleg nem befolyásolja a gépjárművezetéshez vagy a gépek</w:t>
      </w:r>
      <w:r w:rsidR="00E22C38">
        <w:rPr>
          <w:szCs w:val="22"/>
        </w:rPr>
        <w:t xml:space="preserve"> </w:t>
      </w:r>
      <w:r w:rsidR="00716247">
        <w:rPr>
          <w:szCs w:val="22"/>
        </w:rPr>
        <w:t>kezelésé</w:t>
      </w:r>
      <w:r w:rsidRPr="008D2CB3">
        <w:rPr>
          <w:szCs w:val="22"/>
        </w:rPr>
        <w:t>hez szükséges képességeket.</w:t>
      </w:r>
    </w:p>
    <w:p w:rsidR="0017143E" w:rsidRPr="008D2CB3" w:rsidRDefault="0017143E" w:rsidP="001E7729">
      <w:pPr>
        <w:spacing w:line="260" w:lineRule="atLeast"/>
        <w:ind w:right="-2"/>
        <w:rPr>
          <w:b/>
          <w:szCs w:val="22"/>
        </w:rPr>
      </w:pPr>
    </w:p>
    <w:p w:rsidR="0017143E" w:rsidRPr="00F86A77" w:rsidRDefault="0017143E" w:rsidP="001E7729">
      <w:pPr>
        <w:spacing w:line="260" w:lineRule="atLeast"/>
        <w:ind w:right="-2"/>
        <w:rPr>
          <w:b/>
          <w:noProof/>
          <w:szCs w:val="22"/>
        </w:rPr>
      </w:pPr>
      <w:r w:rsidRPr="00F86A77">
        <w:rPr>
          <w:b/>
          <w:noProof/>
          <w:szCs w:val="22"/>
        </w:rPr>
        <w:t>A</w:t>
      </w:r>
      <w:r w:rsidR="009B10E4" w:rsidRPr="00F86A77">
        <w:rPr>
          <w:b/>
          <w:noProof/>
          <w:szCs w:val="22"/>
        </w:rPr>
        <w:t>z Iscover</w:t>
      </w:r>
      <w:r w:rsidRPr="00F86A77">
        <w:rPr>
          <w:b/>
          <w:noProof/>
          <w:szCs w:val="22"/>
        </w:rPr>
        <w:t xml:space="preserve"> laktózt tartalmaz</w:t>
      </w:r>
    </w:p>
    <w:p w:rsidR="0017143E" w:rsidRPr="008D2CB3" w:rsidRDefault="0017143E" w:rsidP="001E7729">
      <w:pPr>
        <w:suppressAutoHyphens/>
        <w:spacing w:line="260" w:lineRule="atLeast"/>
      </w:pPr>
      <w:r w:rsidRPr="008D2CB3">
        <w:t xml:space="preserve">Amennyiben kezelőorvosa korábban már figyelmeztette Önt, hogy bizonyos cukrokra </w:t>
      </w:r>
      <w:r w:rsidR="0055350E" w:rsidRPr="008D2CB3">
        <w:t xml:space="preserve">(pl. tejcukor) </w:t>
      </w:r>
      <w:r w:rsidRPr="008D2CB3">
        <w:t xml:space="preserve">érzékeny, keresse fel </w:t>
      </w:r>
      <w:r w:rsidR="00D22C8F">
        <w:t>kezelő</w:t>
      </w:r>
      <w:r w:rsidRPr="008D2CB3">
        <w:t>orvosát, mielőtt elkezdi szedni ezt a gyógyszert.</w:t>
      </w:r>
    </w:p>
    <w:p w:rsidR="0017143E" w:rsidRPr="008D2CB3" w:rsidRDefault="0017143E" w:rsidP="001E7729">
      <w:pPr>
        <w:suppressAutoHyphens/>
        <w:spacing w:line="260" w:lineRule="atLeast"/>
        <w:rPr>
          <w:szCs w:val="22"/>
        </w:rPr>
      </w:pPr>
    </w:p>
    <w:p w:rsidR="00752C87" w:rsidRDefault="0017143E" w:rsidP="001E7729">
      <w:pPr>
        <w:spacing w:line="260" w:lineRule="atLeast"/>
        <w:ind w:right="-2"/>
        <w:rPr>
          <w:noProof/>
          <w:szCs w:val="22"/>
        </w:rPr>
      </w:pPr>
      <w:r w:rsidRPr="00F86A77">
        <w:rPr>
          <w:b/>
          <w:noProof/>
          <w:szCs w:val="22"/>
        </w:rPr>
        <w:t>A</w:t>
      </w:r>
      <w:r w:rsidR="009B10E4" w:rsidRPr="00F86A77">
        <w:rPr>
          <w:b/>
          <w:noProof/>
          <w:szCs w:val="22"/>
        </w:rPr>
        <w:t>z Iscover</w:t>
      </w:r>
      <w:r w:rsidR="0055350E" w:rsidRPr="00F86A77">
        <w:rPr>
          <w:b/>
          <w:noProof/>
          <w:szCs w:val="22"/>
        </w:rPr>
        <w:t xml:space="preserve"> </w:t>
      </w:r>
      <w:r w:rsidRPr="00F86A77">
        <w:rPr>
          <w:b/>
          <w:noProof/>
          <w:szCs w:val="22"/>
        </w:rPr>
        <w:t>hidrogénezett ricinusolaj</w:t>
      </w:r>
      <w:r w:rsidR="0055350E" w:rsidRPr="00F86A77">
        <w:rPr>
          <w:b/>
          <w:noProof/>
          <w:szCs w:val="22"/>
        </w:rPr>
        <w:t>at is tartalmaz</w:t>
      </w:r>
    </w:p>
    <w:p w:rsidR="0017143E" w:rsidRPr="008D2CB3" w:rsidRDefault="00752C87" w:rsidP="001E7729">
      <w:pPr>
        <w:spacing w:line="260" w:lineRule="atLeast"/>
        <w:ind w:right="-2"/>
        <w:rPr>
          <w:noProof/>
          <w:szCs w:val="22"/>
        </w:rPr>
      </w:pPr>
      <w:r>
        <w:rPr>
          <w:noProof/>
          <w:szCs w:val="22"/>
        </w:rPr>
        <w:t>Ez</w:t>
      </w:r>
      <w:r w:rsidR="0017143E" w:rsidRPr="008D2CB3">
        <w:rPr>
          <w:noProof/>
          <w:szCs w:val="22"/>
        </w:rPr>
        <w:t xml:space="preserve"> gyomorpanaszokat és hasmenést okozhat.</w:t>
      </w:r>
    </w:p>
    <w:p w:rsidR="0017143E" w:rsidRPr="008D2CB3" w:rsidRDefault="0017143E" w:rsidP="001E7729">
      <w:pPr>
        <w:spacing w:line="260" w:lineRule="atLeast"/>
        <w:ind w:right="-2"/>
        <w:rPr>
          <w:szCs w:val="22"/>
        </w:rPr>
      </w:pPr>
    </w:p>
    <w:p w:rsidR="0017143E" w:rsidRPr="008D2CB3" w:rsidRDefault="0017143E" w:rsidP="001E7729">
      <w:pPr>
        <w:spacing w:line="260" w:lineRule="atLeast"/>
        <w:ind w:right="-2"/>
        <w:rPr>
          <w:szCs w:val="22"/>
        </w:rPr>
      </w:pPr>
    </w:p>
    <w:p w:rsidR="0017143E" w:rsidRPr="008D2CB3" w:rsidRDefault="0017143E" w:rsidP="001E7729">
      <w:pPr>
        <w:spacing w:line="260" w:lineRule="atLeast"/>
        <w:ind w:left="567" w:right="-29" w:hanging="567"/>
        <w:rPr>
          <w:b/>
          <w:szCs w:val="22"/>
        </w:rPr>
      </w:pPr>
      <w:r w:rsidRPr="008D2CB3">
        <w:rPr>
          <w:b/>
          <w:szCs w:val="22"/>
        </w:rPr>
        <w:t>3.</w:t>
      </w:r>
      <w:r w:rsidRPr="008D2CB3">
        <w:rPr>
          <w:b/>
          <w:szCs w:val="22"/>
        </w:rPr>
        <w:tab/>
        <w:t>H</w:t>
      </w:r>
      <w:r w:rsidR="00752C87">
        <w:rPr>
          <w:b/>
          <w:szCs w:val="22"/>
        </w:rPr>
        <w:t>ogyan kell szedni az Iscover-t?</w:t>
      </w:r>
    </w:p>
    <w:p w:rsidR="0017143E" w:rsidRPr="008D2CB3" w:rsidRDefault="0017143E" w:rsidP="001E7729">
      <w:pPr>
        <w:spacing w:line="260" w:lineRule="atLeast"/>
        <w:ind w:left="567" w:right="-2" w:hanging="567"/>
        <w:rPr>
          <w:szCs w:val="22"/>
        </w:rPr>
      </w:pPr>
    </w:p>
    <w:p w:rsidR="0017143E" w:rsidRPr="008D2CB3" w:rsidRDefault="00FF7CEE" w:rsidP="001E7729">
      <w:pPr>
        <w:spacing w:line="260" w:lineRule="atLeast"/>
        <w:ind w:right="-2"/>
        <w:rPr>
          <w:szCs w:val="22"/>
        </w:rPr>
      </w:pPr>
      <w:r>
        <w:rPr>
          <w:szCs w:val="22"/>
        </w:rPr>
        <w:t>A</w:t>
      </w:r>
      <w:r w:rsidR="00752C87">
        <w:rPr>
          <w:szCs w:val="22"/>
        </w:rPr>
        <w:t xml:space="preserve"> gyógyszert</w:t>
      </w:r>
      <w:r w:rsidR="0017143E" w:rsidRPr="008D2CB3">
        <w:rPr>
          <w:szCs w:val="22"/>
        </w:rPr>
        <w:t xml:space="preserve"> mindig a</w:t>
      </w:r>
      <w:r w:rsidR="00752C87">
        <w:rPr>
          <w:szCs w:val="22"/>
        </w:rPr>
        <w:t xml:space="preserve"> k</w:t>
      </w:r>
      <w:r>
        <w:rPr>
          <w:szCs w:val="22"/>
        </w:rPr>
        <w:t>e</w:t>
      </w:r>
      <w:r w:rsidR="00752C87">
        <w:rPr>
          <w:szCs w:val="22"/>
        </w:rPr>
        <w:t>zelő</w:t>
      </w:r>
      <w:r w:rsidR="0017143E" w:rsidRPr="008D2CB3">
        <w:rPr>
          <w:szCs w:val="22"/>
        </w:rPr>
        <w:t>orvos</w:t>
      </w:r>
      <w:r w:rsidR="00752C87">
        <w:rPr>
          <w:szCs w:val="22"/>
        </w:rPr>
        <w:t>a vagy gyógyszerésze</w:t>
      </w:r>
      <w:r w:rsidR="0017143E" w:rsidRPr="008D2CB3">
        <w:rPr>
          <w:szCs w:val="22"/>
        </w:rPr>
        <w:t xml:space="preserve"> által elmondottaknak megfelelően alkalmazza. Amennyiben nem biztos az adagolást illetően, kérdezze meg kezelőorvosát vagy gyógyszerészét.</w:t>
      </w:r>
    </w:p>
    <w:p w:rsidR="0017143E" w:rsidRDefault="0017143E" w:rsidP="001E7729">
      <w:pPr>
        <w:spacing w:line="260" w:lineRule="atLeast"/>
        <w:ind w:right="-2"/>
        <w:rPr>
          <w:szCs w:val="22"/>
        </w:rPr>
      </w:pPr>
    </w:p>
    <w:p w:rsidR="00B6717C" w:rsidRDefault="00B6717C" w:rsidP="001E7729">
      <w:pPr>
        <w:spacing w:line="260" w:lineRule="atLeast"/>
        <w:ind w:right="-2"/>
        <w:rPr>
          <w:szCs w:val="22"/>
        </w:rPr>
      </w:pPr>
      <w:r>
        <w:rPr>
          <w:szCs w:val="22"/>
        </w:rPr>
        <w:t>Az ajánlott adag, az olyan betegeknek is, akik úgynevezett „pitvarfibrilláció”-ban (szabálytalan szív</w:t>
      </w:r>
      <w:r w:rsidR="007505A9">
        <w:rPr>
          <w:szCs w:val="22"/>
        </w:rPr>
        <w:t>verés</w:t>
      </w:r>
      <w:r>
        <w:rPr>
          <w:szCs w:val="22"/>
        </w:rPr>
        <w:t>) szenvednek, egy 75 mg-os Plavix tabletta naponta egyszer, amelyet szájon át</w:t>
      </w:r>
      <w:r w:rsidR="00A56CF0">
        <w:rPr>
          <w:szCs w:val="22"/>
        </w:rPr>
        <w:t>,</w:t>
      </w:r>
      <w:r>
        <w:rPr>
          <w:szCs w:val="22"/>
        </w:rPr>
        <w:t xml:space="preserve"> étkezés közben vagy attól </w:t>
      </w:r>
      <w:bookmarkStart w:id="12" w:name="_Hlk47432969"/>
      <w:r w:rsidR="00E243D2">
        <w:rPr>
          <w:szCs w:val="22"/>
        </w:rPr>
        <w:t>függetlenül, naponta azonos időpontban kell bevenni</w:t>
      </w:r>
      <w:bookmarkEnd w:id="12"/>
      <w:r>
        <w:rPr>
          <w:szCs w:val="22"/>
        </w:rPr>
        <w:t>.</w:t>
      </w:r>
    </w:p>
    <w:p w:rsidR="00B6717C" w:rsidRPr="008D2CB3" w:rsidRDefault="00B6717C" w:rsidP="001E7729">
      <w:pPr>
        <w:spacing w:line="260" w:lineRule="atLeast"/>
        <w:ind w:right="-2"/>
        <w:rPr>
          <w:szCs w:val="22"/>
        </w:rPr>
      </w:pPr>
    </w:p>
    <w:p w:rsidR="0017143E" w:rsidRPr="008D2CB3" w:rsidRDefault="0017143E" w:rsidP="001E7729">
      <w:pPr>
        <w:spacing w:line="260" w:lineRule="atLeast"/>
        <w:ind w:right="-2"/>
        <w:rPr>
          <w:szCs w:val="22"/>
        </w:rPr>
      </w:pPr>
      <w:r w:rsidRPr="008D2CB3">
        <w:rPr>
          <w:szCs w:val="22"/>
        </w:rPr>
        <w:t>Ha súlyos mellkasi fájdalma volt</w:t>
      </w:r>
      <w:r w:rsidR="00767F56" w:rsidRPr="008D2CB3">
        <w:rPr>
          <w:szCs w:val="22"/>
        </w:rPr>
        <w:t xml:space="preserve"> (instabil angina vagy szívroham)</w:t>
      </w:r>
      <w:r w:rsidRPr="008D2CB3">
        <w:rPr>
          <w:szCs w:val="22"/>
        </w:rPr>
        <w:t xml:space="preserve">, kezelőorvosa kezdő adagként 300 mg </w:t>
      </w:r>
      <w:r w:rsidR="009B10E4" w:rsidRPr="008D2CB3">
        <w:rPr>
          <w:szCs w:val="22"/>
        </w:rPr>
        <w:t>Iscover</w:t>
      </w:r>
      <w:r w:rsidR="00E12E4A">
        <w:rPr>
          <w:szCs w:val="22"/>
        </w:rPr>
        <w:noBreakHyphen/>
      </w:r>
      <w:r w:rsidRPr="008D2CB3">
        <w:rPr>
          <w:szCs w:val="22"/>
        </w:rPr>
        <w:t xml:space="preserve">adagot (egy darab 300 mg-os vagy 4 darab 75 mg-os tabletta) rendelhet. Ezt követően a </w:t>
      </w:r>
      <w:r w:rsidR="00752C87">
        <w:rPr>
          <w:szCs w:val="22"/>
        </w:rPr>
        <w:t>javasolt</w:t>
      </w:r>
      <w:r w:rsidRPr="008D2CB3">
        <w:rPr>
          <w:szCs w:val="22"/>
        </w:rPr>
        <w:t xml:space="preserve"> adag egy 75 mg-os </w:t>
      </w:r>
      <w:r w:rsidR="009B10E4" w:rsidRPr="008D2CB3">
        <w:rPr>
          <w:szCs w:val="22"/>
        </w:rPr>
        <w:t>Iscover</w:t>
      </w:r>
      <w:r w:rsidRPr="008D2CB3">
        <w:rPr>
          <w:szCs w:val="22"/>
        </w:rPr>
        <w:t xml:space="preserve"> tabletta</w:t>
      </w:r>
      <w:r w:rsidR="00752C87">
        <w:rPr>
          <w:szCs w:val="22"/>
        </w:rPr>
        <w:t xml:space="preserve"> naponta egyszer</w:t>
      </w:r>
      <w:r w:rsidRPr="008D2CB3">
        <w:rPr>
          <w:szCs w:val="22"/>
        </w:rPr>
        <w:t xml:space="preserve">, </w:t>
      </w:r>
      <w:r w:rsidR="00B6717C">
        <w:rPr>
          <w:szCs w:val="22"/>
        </w:rPr>
        <w:t>a fent leírtak szerint</w:t>
      </w:r>
      <w:r w:rsidRPr="008D2CB3">
        <w:rPr>
          <w:szCs w:val="22"/>
        </w:rPr>
        <w:t xml:space="preserve">. </w:t>
      </w:r>
    </w:p>
    <w:p w:rsidR="009A7A75" w:rsidRDefault="009A7A75" w:rsidP="009A7A75">
      <w:pPr>
        <w:spacing w:line="260" w:lineRule="atLeast"/>
        <w:ind w:right="-2"/>
        <w:rPr>
          <w:szCs w:val="22"/>
        </w:rPr>
      </w:pPr>
    </w:p>
    <w:p w:rsidR="009A7A75" w:rsidRDefault="009A7A75" w:rsidP="009A7A75">
      <w:pPr>
        <w:spacing w:line="260" w:lineRule="atLeast"/>
        <w:ind w:right="-2"/>
        <w:rPr>
          <w:szCs w:val="22"/>
        </w:rPr>
      </w:pPr>
      <w:r>
        <w:rPr>
          <w:szCs w:val="22"/>
        </w:rPr>
        <w:t>Ha a szélütés (sztrók/átmeneti agyi keringési zavarnak is nevezik) rövid időn belül megszűnő tünetei vagy enyhe szélütés jelentkezett Önnél, kezelőorvosa egyszeri kezdő adagként 300 mg Iscover-t (egy darab 300 mg-os vagy 4 darab 75 mg-os tabletta) rendelhet. Ezt követően a javasolt adag egy 75 mg-os Iscover tabletta naponta egyszer és acetilszalicilsav 3 hétig, a fent leírtak szerint. Ezt követően kezelőorvosa vagy csak Iscover vagy csak acetilszalicilsav</w:t>
      </w:r>
      <w:r>
        <w:rPr>
          <w:szCs w:val="22"/>
        </w:rPr>
        <w:noBreakHyphen/>
        <w:t>kezelést rendelhet.</w:t>
      </w:r>
    </w:p>
    <w:p w:rsidR="00714893" w:rsidRPr="008D2CB3" w:rsidRDefault="00714893" w:rsidP="001E7729">
      <w:pPr>
        <w:spacing w:line="260" w:lineRule="atLeast"/>
        <w:ind w:right="-2"/>
        <w:rPr>
          <w:szCs w:val="22"/>
        </w:rPr>
      </w:pPr>
    </w:p>
    <w:p w:rsidR="0017143E" w:rsidRPr="008D2CB3" w:rsidRDefault="0017143E" w:rsidP="001E7729">
      <w:pPr>
        <w:spacing w:line="260" w:lineRule="atLeast"/>
        <w:ind w:right="-2"/>
        <w:rPr>
          <w:szCs w:val="22"/>
        </w:rPr>
      </w:pPr>
      <w:r w:rsidRPr="008D2CB3">
        <w:rPr>
          <w:szCs w:val="22"/>
        </w:rPr>
        <w:t>A</w:t>
      </w:r>
      <w:r w:rsidR="009B10E4" w:rsidRPr="008D2CB3">
        <w:rPr>
          <w:szCs w:val="22"/>
        </w:rPr>
        <w:t>z Iscover-</w:t>
      </w:r>
      <w:r w:rsidRPr="008D2CB3">
        <w:rPr>
          <w:szCs w:val="22"/>
        </w:rPr>
        <w:t>t a kezelőorvosa által előírt ideig kell szednie.</w:t>
      </w:r>
    </w:p>
    <w:p w:rsidR="0017143E" w:rsidRPr="008D2CB3" w:rsidRDefault="0017143E" w:rsidP="001E7729">
      <w:pPr>
        <w:spacing w:line="260" w:lineRule="atLeast"/>
        <w:ind w:right="-2"/>
        <w:rPr>
          <w:szCs w:val="22"/>
        </w:rPr>
      </w:pPr>
    </w:p>
    <w:p w:rsidR="006E08E7" w:rsidRPr="008D2CB3" w:rsidRDefault="006E08E7" w:rsidP="001E7729">
      <w:pPr>
        <w:spacing w:line="260" w:lineRule="atLeast"/>
        <w:ind w:right="-2"/>
        <w:rPr>
          <w:b/>
          <w:szCs w:val="22"/>
        </w:rPr>
      </w:pPr>
      <w:r w:rsidRPr="008D2CB3">
        <w:rPr>
          <w:b/>
          <w:szCs w:val="22"/>
        </w:rPr>
        <w:t xml:space="preserve">Ha az előírtnál több </w:t>
      </w:r>
      <w:r w:rsidR="009B10E4" w:rsidRPr="008D2CB3">
        <w:rPr>
          <w:b/>
          <w:szCs w:val="22"/>
        </w:rPr>
        <w:t>Iscover-t</w:t>
      </w:r>
      <w:r w:rsidRPr="008D2CB3">
        <w:rPr>
          <w:b/>
          <w:szCs w:val="22"/>
        </w:rPr>
        <w:t xml:space="preserve"> vett be</w:t>
      </w:r>
    </w:p>
    <w:p w:rsidR="006E08E7" w:rsidRPr="008D2CB3" w:rsidRDefault="006E08E7" w:rsidP="001E7729">
      <w:pPr>
        <w:spacing w:line="260" w:lineRule="atLeast"/>
        <w:ind w:right="-2"/>
        <w:rPr>
          <w:szCs w:val="22"/>
        </w:rPr>
      </w:pPr>
      <w:r w:rsidRPr="008D2CB3">
        <w:rPr>
          <w:szCs w:val="22"/>
        </w:rPr>
        <w:t xml:space="preserve">Keresse fel </w:t>
      </w:r>
      <w:r w:rsidR="00752C87">
        <w:rPr>
          <w:szCs w:val="22"/>
        </w:rPr>
        <w:t>kezelő</w:t>
      </w:r>
      <w:r w:rsidRPr="008D2CB3">
        <w:rPr>
          <w:szCs w:val="22"/>
        </w:rPr>
        <w:t xml:space="preserve">orvosát vagy a legközelebbi </w:t>
      </w:r>
      <w:r w:rsidR="00DD47E1" w:rsidRPr="008D2CB3">
        <w:rPr>
          <w:szCs w:val="22"/>
        </w:rPr>
        <w:t xml:space="preserve">kórházi </w:t>
      </w:r>
      <w:r w:rsidRPr="008D2CB3">
        <w:rPr>
          <w:szCs w:val="22"/>
        </w:rPr>
        <w:t>sürgősségi osztályt, a megnövekedett vérzési kockázat miatt.</w:t>
      </w:r>
    </w:p>
    <w:p w:rsidR="0017143E" w:rsidRPr="008D2CB3" w:rsidRDefault="0017143E" w:rsidP="001E7729">
      <w:pPr>
        <w:keepNext/>
        <w:spacing w:line="260" w:lineRule="atLeast"/>
        <w:rPr>
          <w:szCs w:val="22"/>
        </w:rPr>
      </w:pPr>
    </w:p>
    <w:p w:rsidR="0017143E" w:rsidRPr="008D2CB3" w:rsidRDefault="0017143E" w:rsidP="001E7729">
      <w:pPr>
        <w:keepNext/>
        <w:spacing w:line="260" w:lineRule="atLeast"/>
        <w:rPr>
          <w:b/>
          <w:szCs w:val="22"/>
        </w:rPr>
      </w:pPr>
      <w:r w:rsidRPr="008D2CB3">
        <w:rPr>
          <w:noProof/>
          <w:szCs w:val="22"/>
        </w:rPr>
        <w:t xml:space="preserve">Ha bármilyen további kérdése van a </w:t>
      </w:r>
      <w:r w:rsidR="00752C87">
        <w:rPr>
          <w:noProof/>
          <w:szCs w:val="22"/>
        </w:rPr>
        <w:t>gyógyszer</w:t>
      </w:r>
      <w:r w:rsidRPr="008D2CB3">
        <w:rPr>
          <w:noProof/>
          <w:szCs w:val="22"/>
        </w:rPr>
        <w:t xml:space="preserve"> alkalmazásával kapcsolatban, kérdezze meg </w:t>
      </w:r>
      <w:r w:rsidR="00752C87">
        <w:rPr>
          <w:noProof/>
          <w:szCs w:val="22"/>
        </w:rPr>
        <w:t>kezelő</w:t>
      </w:r>
      <w:r w:rsidRPr="008D2CB3">
        <w:rPr>
          <w:noProof/>
          <w:szCs w:val="22"/>
        </w:rPr>
        <w:t>orvosát vagy gyógyszerészét.</w:t>
      </w:r>
    </w:p>
    <w:p w:rsidR="0017143E" w:rsidRPr="008D2CB3" w:rsidRDefault="0017143E" w:rsidP="001E7729">
      <w:pPr>
        <w:spacing w:line="260" w:lineRule="atLeast"/>
        <w:ind w:left="567" w:right="-2" w:hanging="567"/>
        <w:rPr>
          <w:b/>
          <w:szCs w:val="22"/>
        </w:rPr>
      </w:pPr>
    </w:p>
    <w:p w:rsidR="0017143E" w:rsidRPr="008D2CB3" w:rsidRDefault="0017143E" w:rsidP="001E7729">
      <w:pPr>
        <w:spacing w:line="260" w:lineRule="atLeast"/>
        <w:ind w:left="567" w:right="-2" w:hanging="567"/>
        <w:rPr>
          <w:b/>
          <w:szCs w:val="22"/>
        </w:rPr>
      </w:pPr>
    </w:p>
    <w:p w:rsidR="0017143E" w:rsidRPr="008D2CB3" w:rsidRDefault="0017143E" w:rsidP="001E7729">
      <w:pPr>
        <w:spacing w:line="260" w:lineRule="atLeast"/>
        <w:ind w:left="567" w:right="-2" w:hanging="567"/>
        <w:rPr>
          <w:b/>
          <w:szCs w:val="22"/>
        </w:rPr>
      </w:pPr>
      <w:r w:rsidRPr="008D2CB3">
        <w:rPr>
          <w:b/>
          <w:szCs w:val="22"/>
        </w:rPr>
        <w:t>4.</w:t>
      </w:r>
      <w:r w:rsidRPr="008D2CB3">
        <w:rPr>
          <w:b/>
          <w:szCs w:val="22"/>
        </w:rPr>
        <w:tab/>
        <w:t>L</w:t>
      </w:r>
      <w:r w:rsidR="00752C87">
        <w:rPr>
          <w:b/>
          <w:szCs w:val="22"/>
        </w:rPr>
        <w:t>ehetséges mellékhatások</w:t>
      </w:r>
    </w:p>
    <w:p w:rsidR="0017143E" w:rsidRPr="008D2CB3" w:rsidRDefault="0017143E" w:rsidP="001E7729">
      <w:pPr>
        <w:spacing w:line="260" w:lineRule="atLeast"/>
        <w:ind w:right="-29"/>
        <w:rPr>
          <w:szCs w:val="22"/>
        </w:rPr>
      </w:pPr>
    </w:p>
    <w:p w:rsidR="0017143E" w:rsidRPr="008D2CB3" w:rsidRDefault="0017143E" w:rsidP="001E7729">
      <w:pPr>
        <w:spacing w:line="260" w:lineRule="atLeast"/>
        <w:ind w:right="-29"/>
        <w:rPr>
          <w:szCs w:val="22"/>
        </w:rPr>
      </w:pPr>
      <w:r w:rsidRPr="008D2CB3">
        <w:rPr>
          <w:szCs w:val="22"/>
        </w:rPr>
        <w:t xml:space="preserve">Mint minden gyógyszer, </w:t>
      </w:r>
      <w:r w:rsidR="00752C87">
        <w:rPr>
          <w:szCs w:val="22"/>
        </w:rPr>
        <w:t>így ez a gyógyszer</w:t>
      </w:r>
      <w:r w:rsidRPr="008D2CB3">
        <w:rPr>
          <w:szCs w:val="22"/>
        </w:rPr>
        <w:t xml:space="preserve"> is okozhat mellékhatásokat, amelyek azonban nem mindenkinél jelentkeznek.</w:t>
      </w:r>
    </w:p>
    <w:p w:rsidR="00336D71" w:rsidRPr="008D2CB3" w:rsidRDefault="00336D71" w:rsidP="001E7729">
      <w:pPr>
        <w:spacing w:line="260" w:lineRule="atLeast"/>
        <w:ind w:right="-29"/>
        <w:rPr>
          <w:szCs w:val="22"/>
        </w:rPr>
      </w:pPr>
    </w:p>
    <w:p w:rsidR="00336D71" w:rsidRPr="00F86A77" w:rsidRDefault="00336D71" w:rsidP="001E7729">
      <w:pPr>
        <w:spacing w:line="260" w:lineRule="atLeast"/>
        <w:ind w:right="-29"/>
        <w:rPr>
          <w:b/>
          <w:szCs w:val="22"/>
        </w:rPr>
      </w:pPr>
      <w:r w:rsidRPr="00F86A77">
        <w:rPr>
          <w:b/>
          <w:szCs w:val="22"/>
        </w:rPr>
        <w:t>Azonnal keresse fel kezelőorvosát, ha:</w:t>
      </w:r>
    </w:p>
    <w:p w:rsidR="00336D71" w:rsidRPr="008D2CB3" w:rsidRDefault="00336D71" w:rsidP="001E7729">
      <w:pPr>
        <w:numPr>
          <w:ilvl w:val="0"/>
          <w:numId w:val="38"/>
        </w:numPr>
        <w:spacing w:line="260" w:lineRule="atLeast"/>
        <w:ind w:right="-29"/>
        <w:rPr>
          <w:szCs w:val="22"/>
        </w:rPr>
      </w:pPr>
      <w:r w:rsidRPr="008D2CB3">
        <w:rPr>
          <w:szCs w:val="22"/>
        </w:rPr>
        <w:t xml:space="preserve">láz, fertőzés tünetei vagy nagyfokú fáradtság jelentkezik. Ezeknek a hátterében </w:t>
      </w:r>
      <w:r w:rsidR="00877E59" w:rsidRPr="008D2CB3">
        <w:rPr>
          <w:szCs w:val="22"/>
        </w:rPr>
        <w:t xml:space="preserve">bizonyos vérsejtek számának </w:t>
      </w:r>
      <w:r w:rsidRPr="008D2CB3">
        <w:rPr>
          <w:szCs w:val="22"/>
        </w:rPr>
        <w:t>ritkán előforduló csökkenése állhat.</w:t>
      </w:r>
    </w:p>
    <w:p w:rsidR="00336D71" w:rsidRPr="008D2CB3" w:rsidRDefault="00336D71" w:rsidP="001E7729">
      <w:pPr>
        <w:numPr>
          <w:ilvl w:val="0"/>
          <w:numId w:val="38"/>
        </w:numPr>
        <w:spacing w:line="260" w:lineRule="atLeast"/>
        <w:ind w:right="-29"/>
        <w:rPr>
          <w:szCs w:val="22"/>
        </w:rPr>
      </w:pPr>
      <w:r w:rsidRPr="008D2CB3">
        <w:rPr>
          <w:szCs w:val="22"/>
        </w:rPr>
        <w:t xml:space="preserve">májműködés zavarára utaló tünetek jelentkeznek, mint például </w:t>
      </w:r>
      <w:r w:rsidRPr="008D2CB3">
        <w:rPr>
          <w:szCs w:val="22"/>
          <w:lang w:val="et-EE"/>
        </w:rPr>
        <w:t xml:space="preserve">a bőr és/vagy a szem sárgás elszíneződése (sárgaság), akár együttjárnak </w:t>
      </w:r>
      <w:r w:rsidR="00877E59" w:rsidRPr="008D2CB3">
        <w:rPr>
          <w:szCs w:val="22"/>
        </w:rPr>
        <w:t xml:space="preserve">a bőr alatt apró, piros, tűhegynyi pontokként megjelenő </w:t>
      </w:r>
      <w:r w:rsidRPr="008D2CB3">
        <w:rPr>
          <w:szCs w:val="22"/>
          <w:lang w:val="et-EE"/>
        </w:rPr>
        <w:t xml:space="preserve">vérzéssel </w:t>
      </w:r>
      <w:r w:rsidR="00877E59" w:rsidRPr="008D2CB3">
        <w:rPr>
          <w:szCs w:val="22"/>
        </w:rPr>
        <w:t>és</w:t>
      </w:r>
      <w:r w:rsidR="00877E59" w:rsidRPr="008D2CB3">
        <w:rPr>
          <w:szCs w:val="22"/>
          <w:lang w:val="et-EE"/>
        </w:rPr>
        <w:t xml:space="preserve">/vagy zavartsággal, </w:t>
      </w:r>
      <w:r w:rsidRPr="008D2CB3">
        <w:rPr>
          <w:szCs w:val="22"/>
          <w:lang w:val="et-EE"/>
        </w:rPr>
        <w:t>akár nem</w:t>
      </w:r>
      <w:r w:rsidR="00877E59" w:rsidRPr="008D2CB3">
        <w:rPr>
          <w:szCs w:val="22"/>
          <w:lang w:val="et-EE"/>
        </w:rPr>
        <w:t xml:space="preserve"> </w:t>
      </w:r>
      <w:r w:rsidRPr="008D2CB3">
        <w:rPr>
          <w:szCs w:val="22"/>
          <w:lang w:val="et-EE"/>
        </w:rPr>
        <w:t xml:space="preserve">(lásd </w:t>
      </w:r>
      <w:r w:rsidR="00877E59" w:rsidRPr="008D2CB3">
        <w:rPr>
          <w:szCs w:val="22"/>
          <w:lang w:val="et-EE"/>
        </w:rPr>
        <w:t xml:space="preserve">2. pont </w:t>
      </w:r>
      <w:r w:rsidRPr="008D2CB3">
        <w:rPr>
          <w:szCs w:val="22"/>
          <w:lang w:val="et-EE"/>
        </w:rPr>
        <w:t>„</w:t>
      </w:r>
      <w:r w:rsidR="00764544" w:rsidRPr="00F2144D">
        <w:rPr>
          <w:noProof/>
          <w:szCs w:val="24"/>
        </w:rPr>
        <w:t>Figyelmeztetések és óvintézkedések</w:t>
      </w:r>
      <w:r w:rsidRPr="008D2CB3">
        <w:rPr>
          <w:szCs w:val="22"/>
        </w:rPr>
        <w:t>”</w:t>
      </w:r>
      <w:r w:rsidRPr="008D2CB3">
        <w:rPr>
          <w:szCs w:val="22"/>
          <w:lang w:val="et-EE"/>
        </w:rPr>
        <w:t>).</w:t>
      </w:r>
    </w:p>
    <w:p w:rsidR="00336D71" w:rsidRPr="008D2CB3" w:rsidRDefault="00336D71" w:rsidP="001E7729">
      <w:pPr>
        <w:numPr>
          <w:ilvl w:val="0"/>
          <w:numId w:val="38"/>
        </w:numPr>
        <w:spacing w:line="260" w:lineRule="atLeast"/>
        <w:ind w:right="-29"/>
        <w:rPr>
          <w:szCs w:val="22"/>
        </w:rPr>
      </w:pPr>
      <w:r w:rsidRPr="008D2CB3">
        <w:rPr>
          <w:szCs w:val="22"/>
          <w:lang w:val="et-EE"/>
        </w:rPr>
        <w:t>Szájüregi duzzanat vagy bőrelváltozások, mint például kiütések, viszketés, hóly</w:t>
      </w:r>
      <w:r w:rsidR="00877E59" w:rsidRPr="008D2CB3">
        <w:rPr>
          <w:szCs w:val="22"/>
          <w:lang w:val="et-EE"/>
        </w:rPr>
        <w:t>ag</w:t>
      </w:r>
      <w:r w:rsidRPr="008D2CB3">
        <w:rPr>
          <w:szCs w:val="22"/>
          <w:lang w:val="et-EE"/>
        </w:rPr>
        <w:t>os bőrelváltozások. Ezek allergiás reakciók tünetei lehetnek.</w:t>
      </w:r>
    </w:p>
    <w:p w:rsidR="00336D71" w:rsidRPr="008D2CB3" w:rsidRDefault="00336D71" w:rsidP="001E7729">
      <w:pPr>
        <w:spacing w:line="260" w:lineRule="atLeast"/>
        <w:ind w:right="-29"/>
        <w:rPr>
          <w:szCs w:val="22"/>
          <w:lang w:val="et-EE"/>
        </w:rPr>
      </w:pPr>
    </w:p>
    <w:p w:rsidR="00336D71" w:rsidRPr="008D2CB3" w:rsidRDefault="00336D71" w:rsidP="001E7729">
      <w:pPr>
        <w:spacing w:line="260" w:lineRule="atLeast"/>
        <w:ind w:right="-29"/>
        <w:rPr>
          <w:szCs w:val="22"/>
        </w:rPr>
      </w:pPr>
      <w:r w:rsidRPr="008D2CB3">
        <w:rPr>
          <w:b/>
          <w:szCs w:val="22"/>
        </w:rPr>
        <w:t>A</w:t>
      </w:r>
      <w:r w:rsidR="009B10E4" w:rsidRPr="008D2CB3">
        <w:rPr>
          <w:b/>
          <w:szCs w:val="22"/>
        </w:rPr>
        <w:t>z Iscover</w:t>
      </w:r>
      <w:r w:rsidRPr="008D2CB3">
        <w:rPr>
          <w:b/>
          <w:szCs w:val="22"/>
        </w:rPr>
        <w:t xml:space="preserve"> szedése során jelentkező leggyakoribb mellékhatás a vérzés. </w:t>
      </w:r>
      <w:r w:rsidRPr="008D2CB3">
        <w:rPr>
          <w:szCs w:val="22"/>
        </w:rPr>
        <w:t>A vérzés jelentkezhet gyomor vagy bélvérzés, bőrvérzés, vérömleny (szokatlan vérzés vagy bőr alatti véraláfutás), orrvérzés, vérvizelés formájában, Néhány esetben a szem bevérzését, koponyaűri vérzést, tüdő- vagy ízületi vérzést jelentettek.</w:t>
      </w:r>
    </w:p>
    <w:p w:rsidR="00336D71" w:rsidRPr="008D2CB3" w:rsidRDefault="00336D71" w:rsidP="001E7729">
      <w:pPr>
        <w:spacing w:line="260" w:lineRule="atLeast"/>
        <w:ind w:right="-29"/>
        <w:rPr>
          <w:szCs w:val="22"/>
        </w:rPr>
      </w:pPr>
    </w:p>
    <w:p w:rsidR="00336D71" w:rsidRPr="008D2CB3" w:rsidRDefault="00336D71" w:rsidP="00D16754">
      <w:pPr>
        <w:keepNext/>
        <w:spacing w:line="260" w:lineRule="atLeast"/>
        <w:ind w:right="-28"/>
        <w:rPr>
          <w:b/>
          <w:szCs w:val="22"/>
        </w:rPr>
      </w:pPr>
      <w:r w:rsidRPr="008D2CB3">
        <w:rPr>
          <w:b/>
          <w:szCs w:val="22"/>
        </w:rPr>
        <w:t>Ha azt tapasztalja, hogy a</w:t>
      </w:r>
      <w:r w:rsidR="009B10E4" w:rsidRPr="008D2CB3">
        <w:rPr>
          <w:b/>
          <w:szCs w:val="22"/>
        </w:rPr>
        <w:t>z Iscover</w:t>
      </w:r>
      <w:r w:rsidRPr="008D2CB3">
        <w:rPr>
          <w:b/>
          <w:szCs w:val="22"/>
        </w:rPr>
        <w:t xml:space="preserve"> szedése közben hosszabb ideig tart a vérzés</w:t>
      </w:r>
    </w:p>
    <w:p w:rsidR="00877E59" w:rsidRPr="008D2CB3" w:rsidRDefault="00877E59" w:rsidP="00D16754">
      <w:pPr>
        <w:keepNext/>
        <w:spacing w:line="260" w:lineRule="atLeast"/>
        <w:ind w:right="-28"/>
        <w:rPr>
          <w:szCs w:val="22"/>
        </w:rPr>
      </w:pPr>
      <w:r w:rsidRPr="008D2CB3">
        <w:rPr>
          <w:szCs w:val="22"/>
        </w:rPr>
        <w:t xml:space="preserve">Ha megvágja magát vagy megsérül, a szokásosnál kicsit hosszabb ideig tarthat, hogy a vérzés elálljon. Ez a gyógyszer hatásával függ össze, mert az gátolja a vérrögök kialakulását. Kisebb vágások, sérülések esetén, pl. megvágja magát valamivel, akár borotválkozás közben is, ennek nincs különösebb jelentősége. Ugyanakkor, ha vérzése miatt aggódik, azonnal keresse fel kezelőorvosát </w:t>
      </w:r>
      <w:r w:rsidRPr="008D2CB3">
        <w:rPr>
          <w:szCs w:val="22"/>
          <w:lang w:val="et-EE"/>
        </w:rPr>
        <w:t>(lásd 2. pont „</w:t>
      </w:r>
      <w:r w:rsidR="00752C87" w:rsidRPr="00F2144D">
        <w:rPr>
          <w:noProof/>
          <w:szCs w:val="24"/>
        </w:rPr>
        <w:t>Figyelmeztetések és óvintézkedések</w:t>
      </w:r>
      <w:r w:rsidRPr="008D2CB3">
        <w:rPr>
          <w:szCs w:val="22"/>
        </w:rPr>
        <w:t>”</w:t>
      </w:r>
      <w:r w:rsidRPr="008D2CB3">
        <w:rPr>
          <w:szCs w:val="22"/>
          <w:lang w:val="et-EE"/>
        </w:rPr>
        <w:t>)</w:t>
      </w:r>
      <w:r w:rsidRPr="008D2CB3">
        <w:rPr>
          <w:szCs w:val="22"/>
        </w:rPr>
        <w:t>.</w:t>
      </w:r>
    </w:p>
    <w:p w:rsidR="00DD6BB0" w:rsidRPr="008D2CB3" w:rsidRDefault="00DD6BB0" w:rsidP="001E7729">
      <w:pPr>
        <w:spacing w:line="260" w:lineRule="atLeast"/>
        <w:ind w:right="-29"/>
        <w:rPr>
          <w:b/>
          <w:szCs w:val="22"/>
        </w:rPr>
      </w:pPr>
    </w:p>
    <w:p w:rsidR="00336D71" w:rsidRPr="008D2CB3" w:rsidRDefault="00336D71" w:rsidP="001E7729">
      <w:pPr>
        <w:spacing w:line="260" w:lineRule="atLeast"/>
        <w:ind w:right="-29"/>
        <w:rPr>
          <w:b/>
          <w:szCs w:val="22"/>
        </w:rPr>
      </w:pPr>
      <w:r w:rsidRPr="008D2CB3">
        <w:rPr>
          <w:b/>
          <w:szCs w:val="22"/>
        </w:rPr>
        <w:t>A</w:t>
      </w:r>
      <w:r w:rsidR="009B10E4" w:rsidRPr="008D2CB3">
        <w:rPr>
          <w:b/>
          <w:szCs w:val="22"/>
        </w:rPr>
        <w:t xml:space="preserve">z </w:t>
      </w:r>
      <w:r w:rsidRPr="008D2CB3">
        <w:rPr>
          <w:b/>
          <w:szCs w:val="22"/>
        </w:rPr>
        <w:t xml:space="preserve">egyéb mellékhatások </w:t>
      </w:r>
      <w:r w:rsidR="00776C09">
        <w:rPr>
          <w:b/>
          <w:szCs w:val="22"/>
        </w:rPr>
        <w:t>közé tartoznak</w:t>
      </w:r>
      <w:r w:rsidRPr="008D2CB3">
        <w:rPr>
          <w:b/>
          <w:szCs w:val="22"/>
        </w:rPr>
        <w:t>:</w:t>
      </w:r>
    </w:p>
    <w:p w:rsidR="00DD6BB0" w:rsidRPr="008D2CB3" w:rsidRDefault="00DD6BB0" w:rsidP="001E7729">
      <w:pPr>
        <w:rPr>
          <w:bCs/>
        </w:rPr>
      </w:pPr>
    </w:p>
    <w:p w:rsidR="00764544" w:rsidRDefault="00336D71" w:rsidP="001E7729">
      <w:r w:rsidRPr="008D2CB3">
        <w:rPr>
          <w:bCs/>
        </w:rPr>
        <w:t>Gyakori mellékhatások</w:t>
      </w:r>
      <w:r w:rsidR="00764544">
        <w:rPr>
          <w:bCs/>
        </w:rPr>
        <w:t xml:space="preserve"> (10 betegből legfeljebb 1-et érinthet)</w:t>
      </w:r>
      <w:r w:rsidRPr="008D2CB3">
        <w:t>:</w:t>
      </w:r>
    </w:p>
    <w:p w:rsidR="00336D71" w:rsidRPr="008D2CB3" w:rsidRDefault="00764544" w:rsidP="001E7729">
      <w:pPr>
        <w:rPr>
          <w:szCs w:val="22"/>
        </w:rPr>
      </w:pPr>
      <w:r>
        <w:rPr>
          <w:szCs w:val="22"/>
        </w:rPr>
        <w:t>H</w:t>
      </w:r>
      <w:r w:rsidR="00336D71" w:rsidRPr="008D2CB3">
        <w:rPr>
          <w:szCs w:val="22"/>
        </w:rPr>
        <w:t xml:space="preserve">asmenés, hasi fájdalom, emésztési zavar vagy gyomorégés. </w:t>
      </w:r>
    </w:p>
    <w:p w:rsidR="00336D71" w:rsidRPr="008D2CB3" w:rsidRDefault="00336D71" w:rsidP="001E7729">
      <w:pPr>
        <w:pStyle w:val="BodyText2"/>
        <w:rPr>
          <w:b w:val="0"/>
          <w:lang w:val="hu-HU"/>
        </w:rPr>
      </w:pPr>
    </w:p>
    <w:p w:rsidR="00764544" w:rsidRDefault="00336D71" w:rsidP="001E7729">
      <w:pPr>
        <w:pStyle w:val="BodyText2"/>
        <w:jc w:val="left"/>
        <w:rPr>
          <w:b w:val="0"/>
          <w:lang w:val="hu-HU"/>
        </w:rPr>
      </w:pPr>
      <w:r w:rsidRPr="008D2CB3">
        <w:rPr>
          <w:b w:val="0"/>
          <w:lang w:val="hu-HU"/>
        </w:rPr>
        <w:t>Nem gyakori mellékhatások</w:t>
      </w:r>
      <w:r w:rsidR="00764544">
        <w:rPr>
          <w:b w:val="0"/>
          <w:lang w:val="hu-HU"/>
        </w:rPr>
        <w:t xml:space="preserve"> </w:t>
      </w:r>
      <w:r w:rsidR="00764544" w:rsidRPr="000355CA">
        <w:rPr>
          <w:b w:val="0"/>
          <w:bCs/>
          <w:lang w:val="hu-HU"/>
        </w:rPr>
        <w:t xml:space="preserve">(100 </w:t>
      </w:r>
      <w:r w:rsidR="00764544" w:rsidRPr="00F86A77">
        <w:rPr>
          <w:b w:val="0"/>
          <w:bCs/>
          <w:lang w:val="hu-HU"/>
        </w:rPr>
        <w:t>betegből</w:t>
      </w:r>
      <w:r w:rsidR="00764544" w:rsidRPr="000355CA">
        <w:rPr>
          <w:b w:val="0"/>
          <w:bCs/>
          <w:lang w:val="hu-HU"/>
        </w:rPr>
        <w:t xml:space="preserve"> </w:t>
      </w:r>
      <w:r w:rsidR="00764544" w:rsidRPr="00F86A77">
        <w:rPr>
          <w:b w:val="0"/>
          <w:bCs/>
          <w:lang w:val="hu-HU"/>
        </w:rPr>
        <w:t>legfeljebb</w:t>
      </w:r>
      <w:r w:rsidR="00764544" w:rsidRPr="000355CA">
        <w:rPr>
          <w:b w:val="0"/>
          <w:bCs/>
          <w:lang w:val="hu-HU"/>
        </w:rPr>
        <w:t xml:space="preserve"> 1-et </w:t>
      </w:r>
      <w:r w:rsidR="00764544" w:rsidRPr="00F86A77">
        <w:rPr>
          <w:b w:val="0"/>
          <w:bCs/>
          <w:lang w:val="hu-HU"/>
        </w:rPr>
        <w:t>érinthet</w:t>
      </w:r>
      <w:r w:rsidR="00764544" w:rsidRPr="000355CA">
        <w:rPr>
          <w:b w:val="0"/>
          <w:bCs/>
          <w:lang w:val="hu-HU"/>
        </w:rPr>
        <w:t>)</w:t>
      </w:r>
      <w:r w:rsidRPr="00764544">
        <w:rPr>
          <w:b w:val="0"/>
          <w:lang w:val="hu-HU"/>
        </w:rPr>
        <w:t>:</w:t>
      </w:r>
    </w:p>
    <w:p w:rsidR="00336D71" w:rsidRPr="008D2CB3" w:rsidRDefault="00764544" w:rsidP="001E7729">
      <w:pPr>
        <w:pStyle w:val="BodyText2"/>
        <w:jc w:val="left"/>
        <w:rPr>
          <w:b w:val="0"/>
          <w:lang w:val="hu-HU"/>
        </w:rPr>
      </w:pPr>
      <w:r>
        <w:rPr>
          <w:b w:val="0"/>
          <w:szCs w:val="22"/>
          <w:lang w:val="hu-HU"/>
        </w:rPr>
        <w:t>F</w:t>
      </w:r>
      <w:r w:rsidR="00336D71" w:rsidRPr="008D2CB3">
        <w:rPr>
          <w:b w:val="0"/>
          <w:szCs w:val="22"/>
          <w:lang w:val="hu-HU"/>
        </w:rPr>
        <w:t xml:space="preserve">ejfájás, gyomorfekély, hányás, hányinger, székrekedés, fokozott gázképződés a gyomorban és a belekben, bőrkiütés, viszketés, szédülés, </w:t>
      </w:r>
      <w:r w:rsidR="006B54D4" w:rsidRPr="008D2CB3">
        <w:rPr>
          <w:b w:val="0"/>
          <w:szCs w:val="22"/>
          <w:lang w:val="hu-HU"/>
        </w:rPr>
        <w:t>bizsergés és zsibbadás-érzés</w:t>
      </w:r>
      <w:r w:rsidR="00336D71" w:rsidRPr="008D2CB3">
        <w:rPr>
          <w:b w:val="0"/>
          <w:szCs w:val="22"/>
          <w:lang w:val="hu-HU"/>
        </w:rPr>
        <w:t>.</w:t>
      </w:r>
    </w:p>
    <w:p w:rsidR="00336D71" w:rsidRPr="008D2CB3" w:rsidRDefault="00336D71" w:rsidP="001E7729">
      <w:pPr>
        <w:jc w:val="both"/>
        <w:rPr>
          <w:bCs/>
        </w:rPr>
      </w:pPr>
    </w:p>
    <w:p w:rsidR="00764544" w:rsidRDefault="00336D71" w:rsidP="001E7729">
      <w:pPr>
        <w:jc w:val="both"/>
        <w:rPr>
          <w:szCs w:val="22"/>
        </w:rPr>
      </w:pPr>
      <w:r w:rsidRPr="008D2CB3">
        <w:rPr>
          <w:bCs/>
        </w:rPr>
        <w:t>Ritka mellékhatások</w:t>
      </w:r>
      <w:r w:rsidR="00764544">
        <w:rPr>
          <w:bCs/>
        </w:rPr>
        <w:t xml:space="preserve"> (1000 betegből legfeljebb 1-et érinthet)</w:t>
      </w:r>
      <w:r w:rsidRPr="008D2CB3">
        <w:t>:</w:t>
      </w:r>
    </w:p>
    <w:p w:rsidR="00336D71" w:rsidRPr="008D2CB3" w:rsidRDefault="00764544" w:rsidP="001E7729">
      <w:pPr>
        <w:jc w:val="both"/>
        <w:rPr>
          <w:szCs w:val="22"/>
        </w:rPr>
      </w:pPr>
      <w:r>
        <w:rPr>
          <w:szCs w:val="22"/>
        </w:rPr>
        <w:t>F</w:t>
      </w:r>
      <w:r w:rsidR="00336D71" w:rsidRPr="008D2CB3">
        <w:rPr>
          <w:szCs w:val="22"/>
        </w:rPr>
        <w:t>orgó jellegű szédülés</w:t>
      </w:r>
      <w:r w:rsidR="00B6717C">
        <w:rPr>
          <w:szCs w:val="22"/>
        </w:rPr>
        <w:t>, a mell megnagyobbodása férfiaknál.</w:t>
      </w:r>
    </w:p>
    <w:p w:rsidR="00336D71" w:rsidRPr="008D2CB3" w:rsidRDefault="00336D71" w:rsidP="001E7729">
      <w:pPr>
        <w:jc w:val="both"/>
        <w:rPr>
          <w:szCs w:val="22"/>
        </w:rPr>
      </w:pPr>
    </w:p>
    <w:p w:rsidR="00764544" w:rsidRDefault="00336D71" w:rsidP="001E7729">
      <w:pPr>
        <w:rPr>
          <w:szCs w:val="22"/>
        </w:rPr>
      </w:pPr>
      <w:r w:rsidRPr="008D2CB3">
        <w:rPr>
          <w:szCs w:val="22"/>
        </w:rPr>
        <w:t>Nagyon ritka mellékhatások</w:t>
      </w:r>
      <w:r w:rsidR="00764544">
        <w:rPr>
          <w:szCs w:val="22"/>
        </w:rPr>
        <w:t xml:space="preserve"> </w:t>
      </w:r>
      <w:r w:rsidR="00764544">
        <w:rPr>
          <w:bCs/>
        </w:rPr>
        <w:t>(10000 betegből legfeljebb 1-et érinthet)</w:t>
      </w:r>
      <w:r w:rsidRPr="008D2CB3">
        <w:rPr>
          <w:szCs w:val="22"/>
        </w:rPr>
        <w:t>:</w:t>
      </w:r>
    </w:p>
    <w:p w:rsidR="00336D71" w:rsidRPr="008D2CB3" w:rsidRDefault="00764544" w:rsidP="001E7729">
      <w:pPr>
        <w:rPr>
          <w:szCs w:val="22"/>
        </w:rPr>
      </w:pPr>
      <w:r>
        <w:rPr>
          <w:szCs w:val="22"/>
        </w:rPr>
        <w:t>S</w:t>
      </w:r>
      <w:r w:rsidR="00336D71" w:rsidRPr="008D2CB3">
        <w:rPr>
          <w:szCs w:val="22"/>
        </w:rPr>
        <w:t xml:space="preserve">árgaság, </w:t>
      </w:r>
      <w:r w:rsidR="008B5444" w:rsidRPr="008D2CB3">
        <w:rPr>
          <w:szCs w:val="22"/>
        </w:rPr>
        <w:t>erős</w:t>
      </w:r>
      <w:r w:rsidR="00336D71" w:rsidRPr="008D2CB3">
        <w:rPr>
          <w:szCs w:val="22"/>
        </w:rPr>
        <w:t xml:space="preserve"> hasi fájdalom hátfájással, vagy anélkül, láz, esetenként köhögéssel</w:t>
      </w:r>
      <w:r w:rsidR="008B5444" w:rsidRPr="008D2CB3">
        <w:rPr>
          <w:szCs w:val="22"/>
        </w:rPr>
        <w:t xml:space="preserve"> járó nehéz</w:t>
      </w:r>
      <w:r w:rsidR="00336D71" w:rsidRPr="008D2CB3">
        <w:rPr>
          <w:szCs w:val="22"/>
        </w:rPr>
        <w:t>légzés, testszerte jelentkező allergiás reakció</w:t>
      </w:r>
      <w:r w:rsidR="008B5444" w:rsidRPr="008D2CB3">
        <w:rPr>
          <w:szCs w:val="22"/>
        </w:rPr>
        <w:t>k</w:t>
      </w:r>
      <w:r w:rsidR="00B55EB3">
        <w:rPr>
          <w:szCs w:val="22"/>
        </w:rPr>
        <w:t xml:space="preserve"> </w:t>
      </w:r>
      <w:r w:rsidR="00B55EB3" w:rsidRPr="002D3EFE">
        <w:rPr>
          <w:szCs w:val="22"/>
        </w:rPr>
        <w:t>(</w:t>
      </w:r>
      <w:r w:rsidR="00B55EB3">
        <w:rPr>
          <w:szCs w:val="22"/>
        </w:rPr>
        <w:t>például</w:t>
      </w:r>
      <w:r w:rsidR="00B55EB3" w:rsidRPr="002D3EFE">
        <w:rPr>
          <w:szCs w:val="22"/>
        </w:rPr>
        <w:t xml:space="preserve">, </w:t>
      </w:r>
      <w:r w:rsidR="00B55EB3">
        <w:rPr>
          <w:szCs w:val="22"/>
        </w:rPr>
        <w:t xml:space="preserve">általános melegség érzés, hirtelen kialakuló, </w:t>
      </w:r>
      <w:r w:rsidR="00ED6D59">
        <w:rPr>
          <w:szCs w:val="22"/>
        </w:rPr>
        <w:t xml:space="preserve">akár </w:t>
      </w:r>
      <w:r w:rsidR="00B55EB3">
        <w:rPr>
          <w:szCs w:val="22"/>
        </w:rPr>
        <w:t xml:space="preserve">ájuláshoz </w:t>
      </w:r>
      <w:r w:rsidR="00ED6D59">
        <w:rPr>
          <w:szCs w:val="22"/>
        </w:rPr>
        <w:t xml:space="preserve">is </w:t>
      </w:r>
      <w:r w:rsidR="00B55EB3">
        <w:rPr>
          <w:szCs w:val="22"/>
        </w:rPr>
        <w:t>vezető rossz közérzettel)</w:t>
      </w:r>
      <w:r w:rsidR="00862B5B">
        <w:rPr>
          <w:szCs w:val="22"/>
        </w:rPr>
        <w:t xml:space="preserve">, </w:t>
      </w:r>
      <w:r w:rsidR="00336D71" w:rsidRPr="008D2CB3">
        <w:rPr>
          <w:szCs w:val="22"/>
        </w:rPr>
        <w:t>szájüregi duzzanat</w:t>
      </w:r>
      <w:r w:rsidR="008B5444" w:rsidRPr="008D2CB3">
        <w:rPr>
          <w:szCs w:val="22"/>
        </w:rPr>
        <w:t>,</w:t>
      </w:r>
      <w:r w:rsidR="00336D71" w:rsidRPr="008D2CB3">
        <w:rPr>
          <w:szCs w:val="22"/>
        </w:rPr>
        <w:t xml:space="preserve"> hólyagos bőrelváltozások, túlérzékenységi reakció a bőrön, szájnyálkahárty</w:t>
      </w:r>
      <w:r>
        <w:rPr>
          <w:szCs w:val="22"/>
        </w:rPr>
        <w:t xml:space="preserve">a </w:t>
      </w:r>
      <w:r w:rsidR="00336D71" w:rsidRPr="008D2CB3">
        <w:rPr>
          <w:szCs w:val="22"/>
        </w:rPr>
        <w:t xml:space="preserve">gyulladás (sztomatitisz), vérnyomáscsökkenés, zavartság, hallucinációk, ízületi fájdalom, izomfájdalom, </w:t>
      </w:r>
      <w:r w:rsidR="008B5444" w:rsidRPr="008D2CB3">
        <w:rPr>
          <w:szCs w:val="22"/>
        </w:rPr>
        <w:t xml:space="preserve">az </w:t>
      </w:r>
      <w:r w:rsidR="00336D71" w:rsidRPr="008D2CB3">
        <w:rPr>
          <w:szCs w:val="22"/>
        </w:rPr>
        <w:t xml:space="preserve">ízérzés </w:t>
      </w:r>
      <w:r w:rsidR="008B5444" w:rsidRPr="008D2CB3">
        <w:rPr>
          <w:szCs w:val="22"/>
        </w:rPr>
        <w:t>meg</w:t>
      </w:r>
      <w:r w:rsidR="006B54D4" w:rsidRPr="008D2CB3">
        <w:rPr>
          <w:szCs w:val="22"/>
        </w:rPr>
        <w:t>változása</w:t>
      </w:r>
      <w:r w:rsidR="00371C16">
        <w:rPr>
          <w:szCs w:val="22"/>
        </w:rPr>
        <w:t xml:space="preserve"> vagy az ízérzés elvesztése</w:t>
      </w:r>
      <w:r w:rsidR="00336D71" w:rsidRPr="008D2CB3">
        <w:rPr>
          <w:szCs w:val="22"/>
        </w:rPr>
        <w:t>.</w:t>
      </w:r>
    </w:p>
    <w:p w:rsidR="00162A70" w:rsidRDefault="00162A70" w:rsidP="001E7729">
      <w:pPr>
        <w:rPr>
          <w:szCs w:val="22"/>
        </w:rPr>
      </w:pPr>
    </w:p>
    <w:p w:rsidR="00162A70" w:rsidRDefault="00162A70" w:rsidP="001E7729">
      <w:pPr>
        <w:tabs>
          <w:tab w:val="left" w:pos="540"/>
        </w:tabs>
        <w:rPr>
          <w:szCs w:val="22"/>
        </w:rPr>
      </w:pPr>
      <w:r>
        <w:rPr>
          <w:szCs w:val="22"/>
        </w:rPr>
        <w:t>Nem ismert gyakoriságú mellékhatások</w:t>
      </w:r>
      <w:r w:rsidRPr="001C452B">
        <w:rPr>
          <w:szCs w:val="22"/>
        </w:rPr>
        <w:t xml:space="preserve"> (</w:t>
      </w:r>
      <w:r>
        <w:rPr>
          <w:szCs w:val="22"/>
        </w:rPr>
        <w:t xml:space="preserve">a gyakoriság </w:t>
      </w:r>
      <w:r w:rsidRPr="00006C2D">
        <w:rPr>
          <w:noProof/>
        </w:rPr>
        <w:t>a rendelkezésre álló adatokból nem állapítható meg</w:t>
      </w:r>
      <w:r>
        <w:rPr>
          <w:noProof/>
        </w:rPr>
        <w:t>)</w:t>
      </w:r>
      <w:r w:rsidRPr="001C452B">
        <w:rPr>
          <w:szCs w:val="22"/>
        </w:rPr>
        <w:t xml:space="preserve">: </w:t>
      </w:r>
    </w:p>
    <w:p w:rsidR="00162A70" w:rsidRDefault="00162A70" w:rsidP="001E7729">
      <w:pPr>
        <w:tabs>
          <w:tab w:val="left" w:pos="540"/>
        </w:tabs>
        <w:rPr>
          <w:szCs w:val="22"/>
        </w:rPr>
      </w:pPr>
      <w:r>
        <w:rPr>
          <w:szCs w:val="22"/>
        </w:rPr>
        <w:t>Mellkasi és hasi fájdalommal járó túlérzékenységi reakciók</w:t>
      </w:r>
      <w:r w:rsidR="00200FDF">
        <w:rPr>
          <w:szCs w:val="22"/>
        </w:rPr>
        <w:t>, állandó alacsony vércukorszint okozta tünetek</w:t>
      </w:r>
      <w:r>
        <w:rPr>
          <w:szCs w:val="22"/>
        </w:rPr>
        <w:t>.</w:t>
      </w:r>
    </w:p>
    <w:p w:rsidR="00336D71" w:rsidRPr="008D2CB3" w:rsidRDefault="00336D71" w:rsidP="001E7729">
      <w:pPr>
        <w:rPr>
          <w:szCs w:val="22"/>
        </w:rPr>
      </w:pPr>
    </w:p>
    <w:p w:rsidR="00336D71" w:rsidRPr="008D2CB3" w:rsidRDefault="00336D71" w:rsidP="001E7729">
      <w:pPr>
        <w:jc w:val="both"/>
        <w:rPr>
          <w:szCs w:val="22"/>
        </w:rPr>
      </w:pPr>
      <w:r w:rsidRPr="008D2CB3">
        <w:rPr>
          <w:szCs w:val="22"/>
        </w:rPr>
        <w:t>Emellett kezelőorvosa eltéréseket észlelhet a vér és vizeletvizsgálati eredményeiben.</w:t>
      </w:r>
    </w:p>
    <w:p w:rsidR="00900D5D" w:rsidRDefault="00900D5D" w:rsidP="001E7729">
      <w:pPr>
        <w:ind w:right="-2"/>
        <w:rPr>
          <w:szCs w:val="22"/>
        </w:rPr>
      </w:pPr>
    </w:p>
    <w:p w:rsidR="00900D5D" w:rsidRPr="00FD34F4" w:rsidRDefault="00900D5D" w:rsidP="001E7729">
      <w:pPr>
        <w:ind w:right="-29"/>
        <w:rPr>
          <w:b/>
          <w:bCs/>
        </w:rPr>
      </w:pPr>
      <w:r>
        <w:rPr>
          <w:b/>
          <w:bCs/>
        </w:rPr>
        <w:t>Mellékhatások bejelentése</w:t>
      </w:r>
    </w:p>
    <w:p w:rsidR="0017143E" w:rsidRPr="008D2CB3" w:rsidRDefault="0017143E" w:rsidP="001E7729">
      <w:pPr>
        <w:ind w:right="-2"/>
        <w:rPr>
          <w:szCs w:val="22"/>
        </w:rPr>
      </w:pPr>
      <w:r w:rsidRPr="008D2CB3">
        <w:rPr>
          <w:szCs w:val="22"/>
        </w:rPr>
        <w:t xml:space="preserve">Ha </w:t>
      </w:r>
      <w:r w:rsidR="00764544">
        <w:rPr>
          <w:szCs w:val="22"/>
        </w:rPr>
        <w:t xml:space="preserve">Önnél </w:t>
      </w:r>
      <w:r w:rsidRPr="008D2CB3">
        <w:rPr>
          <w:szCs w:val="22"/>
        </w:rPr>
        <w:t>bárm</w:t>
      </w:r>
      <w:r w:rsidR="00764544">
        <w:rPr>
          <w:szCs w:val="22"/>
        </w:rPr>
        <w:t>i</w:t>
      </w:r>
      <w:r w:rsidRPr="008D2CB3">
        <w:rPr>
          <w:szCs w:val="22"/>
        </w:rPr>
        <w:t>ly</w:t>
      </w:r>
      <w:r w:rsidR="00764544">
        <w:rPr>
          <w:szCs w:val="22"/>
        </w:rPr>
        <w:t>en</w:t>
      </w:r>
      <w:r w:rsidRPr="008D2CB3">
        <w:rPr>
          <w:szCs w:val="22"/>
        </w:rPr>
        <w:t xml:space="preserve"> mellékhatás </w:t>
      </w:r>
      <w:r w:rsidR="00764544">
        <w:rPr>
          <w:szCs w:val="22"/>
        </w:rPr>
        <w:t>jelentkezik, tájékoztassa</w:t>
      </w:r>
      <w:r w:rsidRPr="008D2CB3">
        <w:rPr>
          <w:szCs w:val="22"/>
        </w:rPr>
        <w:t xml:space="preserve"> </w:t>
      </w:r>
      <w:r w:rsidR="00764544">
        <w:rPr>
          <w:szCs w:val="22"/>
        </w:rPr>
        <w:t>kezelő</w:t>
      </w:r>
      <w:r w:rsidRPr="008D2CB3">
        <w:rPr>
          <w:szCs w:val="22"/>
        </w:rPr>
        <w:t>orvosát vagy gyógyszerészét.</w:t>
      </w:r>
      <w:r w:rsidR="00764544">
        <w:rPr>
          <w:szCs w:val="22"/>
        </w:rPr>
        <w:t xml:space="preserve"> </w:t>
      </w:r>
      <w:r w:rsidR="00764544" w:rsidRPr="00123EBC">
        <w:rPr>
          <w:noProof/>
          <w:szCs w:val="24"/>
        </w:rPr>
        <w:t>Ez</w:t>
      </w:r>
      <w:r w:rsidR="00764544" w:rsidRPr="00123EBC">
        <w:t xml:space="preserve"> a </w:t>
      </w:r>
      <w:r w:rsidR="00764544" w:rsidRPr="00883572">
        <w:t>betegtájékoztatóban</w:t>
      </w:r>
      <w:r w:rsidR="00764544" w:rsidRPr="00123EBC">
        <w:t xml:space="preserve"> </w:t>
      </w:r>
      <w:r w:rsidR="00764544" w:rsidRPr="00123EBC">
        <w:rPr>
          <w:noProof/>
          <w:szCs w:val="24"/>
        </w:rPr>
        <w:t>fel nem sorolt bármilyen lehetséges mellékhatásra is vonatkozik.</w:t>
      </w:r>
      <w:r w:rsidR="00900D5D" w:rsidRPr="00900D5D">
        <w:t xml:space="preserve"> </w:t>
      </w:r>
      <w:r w:rsidR="00900D5D" w:rsidRPr="00341F90">
        <w:t xml:space="preserve">A mellékhatásokat közvetlenül a hatóság részére is bejelentheti az </w:t>
      </w:r>
      <w:hyperlink r:id="rId15" w:history="1">
        <w:r w:rsidR="00900D5D" w:rsidRPr="00390456">
          <w:rPr>
            <w:rStyle w:val="Hyperlink"/>
            <w:highlight w:val="lightGray"/>
          </w:rPr>
          <w:t>V. függelékben</w:t>
        </w:r>
      </w:hyperlink>
      <w:r w:rsidR="00900D5D" w:rsidRPr="00130037">
        <w:rPr>
          <w:highlight w:val="lightGray"/>
        </w:rPr>
        <w:t xml:space="preserve"> található elérhetőségeken keresztül</w:t>
      </w:r>
      <w:r w:rsidR="00900D5D" w:rsidRPr="00341F90">
        <w:t>.</w:t>
      </w:r>
      <w:r w:rsidR="00162A70">
        <w:t xml:space="preserve"> </w:t>
      </w:r>
      <w:r w:rsidR="00900D5D" w:rsidRPr="00341F90">
        <w:t>A mellékhatások bejelentésével Ön is hozzájárulhat ahhoz</w:t>
      </w:r>
      <w:r w:rsidR="00900D5D">
        <w:t>, hogy minél több információ álljon rendelkezésre a gyógyszer biztonságos alkalmazásával kapcsolatban.</w:t>
      </w:r>
    </w:p>
    <w:p w:rsidR="004E5439" w:rsidRPr="008D2CB3" w:rsidRDefault="004E5439" w:rsidP="001E7729">
      <w:pPr>
        <w:spacing w:line="260" w:lineRule="atLeast"/>
        <w:ind w:left="567" w:right="-2" w:hanging="567"/>
        <w:rPr>
          <w:b/>
          <w:szCs w:val="22"/>
        </w:rPr>
      </w:pPr>
    </w:p>
    <w:p w:rsidR="004E5439" w:rsidRPr="008D2CB3" w:rsidRDefault="004E5439" w:rsidP="001E7729">
      <w:pPr>
        <w:spacing w:line="260" w:lineRule="atLeast"/>
        <w:ind w:left="567" w:right="-2" w:hanging="567"/>
        <w:rPr>
          <w:b/>
          <w:szCs w:val="22"/>
        </w:rPr>
      </w:pPr>
    </w:p>
    <w:p w:rsidR="0017143E" w:rsidRPr="008D2CB3" w:rsidRDefault="0017143E" w:rsidP="001E7729">
      <w:pPr>
        <w:spacing w:line="260" w:lineRule="atLeast"/>
        <w:ind w:left="567" w:right="-2" w:hanging="567"/>
        <w:rPr>
          <w:b/>
          <w:szCs w:val="22"/>
        </w:rPr>
      </w:pPr>
      <w:r w:rsidRPr="008D2CB3">
        <w:rPr>
          <w:b/>
          <w:szCs w:val="22"/>
        </w:rPr>
        <w:t>5.</w:t>
      </w:r>
      <w:r w:rsidRPr="008D2CB3">
        <w:rPr>
          <w:b/>
          <w:szCs w:val="22"/>
        </w:rPr>
        <w:tab/>
      </w:r>
      <w:r w:rsidRPr="00F86A77">
        <w:rPr>
          <w:b/>
          <w:szCs w:val="22"/>
        </w:rPr>
        <w:t>Hogyan kell a</w:t>
      </w:r>
      <w:r w:rsidR="00764544">
        <w:rPr>
          <w:b/>
          <w:szCs w:val="22"/>
        </w:rPr>
        <w:t>z Iscover</w:t>
      </w:r>
      <w:r w:rsidR="00764544">
        <w:rPr>
          <w:b/>
          <w:szCs w:val="22"/>
        </w:rPr>
        <w:noBreakHyphen/>
        <w:t>t tárolni</w:t>
      </w:r>
      <w:r w:rsidRPr="008D2CB3">
        <w:rPr>
          <w:b/>
          <w:caps/>
          <w:szCs w:val="22"/>
        </w:rPr>
        <w:t>?</w:t>
      </w:r>
    </w:p>
    <w:p w:rsidR="0017143E" w:rsidRPr="008D2CB3" w:rsidRDefault="0017143E" w:rsidP="001E7729">
      <w:pPr>
        <w:spacing w:line="260" w:lineRule="atLeast"/>
        <w:ind w:right="-2"/>
        <w:rPr>
          <w:szCs w:val="22"/>
        </w:rPr>
      </w:pPr>
    </w:p>
    <w:p w:rsidR="0017143E" w:rsidRPr="008D2CB3" w:rsidRDefault="0017143E" w:rsidP="001E7729">
      <w:pPr>
        <w:spacing w:line="260" w:lineRule="atLeast"/>
        <w:rPr>
          <w:szCs w:val="22"/>
        </w:rPr>
      </w:pPr>
      <w:r w:rsidRPr="008D2CB3">
        <w:rPr>
          <w:szCs w:val="22"/>
        </w:rPr>
        <w:t xml:space="preserve">A gyógyszer gyermekektől elzárva tartandó! </w:t>
      </w:r>
    </w:p>
    <w:p w:rsidR="00764544" w:rsidRDefault="00764544" w:rsidP="001E7729">
      <w:pPr>
        <w:rPr>
          <w:szCs w:val="22"/>
        </w:rPr>
      </w:pPr>
    </w:p>
    <w:p w:rsidR="00764544" w:rsidRPr="008D2CB3" w:rsidRDefault="0017143E" w:rsidP="001E7729">
      <w:pPr>
        <w:rPr>
          <w:szCs w:val="22"/>
        </w:rPr>
      </w:pPr>
      <w:r w:rsidRPr="008D2CB3">
        <w:rPr>
          <w:szCs w:val="22"/>
        </w:rPr>
        <w:t>A dobozon és a buborék</w:t>
      </w:r>
      <w:r w:rsidR="00D04D24" w:rsidRPr="008D2CB3">
        <w:rPr>
          <w:szCs w:val="22"/>
        </w:rPr>
        <w:t>csomagoláson</w:t>
      </w:r>
      <w:r w:rsidRPr="008D2CB3">
        <w:rPr>
          <w:szCs w:val="22"/>
        </w:rPr>
        <w:t xml:space="preserve"> feltüntetett lejárati idő </w:t>
      </w:r>
      <w:r w:rsidR="00764544">
        <w:rPr>
          <w:szCs w:val="22"/>
        </w:rPr>
        <w:t>(</w:t>
      </w:r>
      <w:r w:rsidR="00ED6D59">
        <w:rPr>
          <w:szCs w:val="22"/>
        </w:rPr>
        <w:t xml:space="preserve">Felhasználható, </w:t>
      </w:r>
      <w:r w:rsidR="00764544">
        <w:rPr>
          <w:szCs w:val="22"/>
        </w:rPr>
        <w:t>Felh.</w:t>
      </w:r>
      <w:r w:rsidR="00ED6D59">
        <w:rPr>
          <w:szCs w:val="22"/>
        </w:rPr>
        <w:t>:</w:t>
      </w:r>
      <w:r w:rsidR="00764544">
        <w:rPr>
          <w:szCs w:val="22"/>
        </w:rPr>
        <w:t xml:space="preserve">) </w:t>
      </w:r>
      <w:r w:rsidRPr="008D2CB3">
        <w:rPr>
          <w:szCs w:val="22"/>
        </w:rPr>
        <w:t>után ne szedje a</w:t>
      </w:r>
      <w:r w:rsidR="00764544">
        <w:rPr>
          <w:szCs w:val="22"/>
        </w:rPr>
        <w:t xml:space="preserve"> gyógyszert</w:t>
      </w:r>
      <w:r w:rsidRPr="008D2CB3">
        <w:rPr>
          <w:szCs w:val="22"/>
        </w:rPr>
        <w:t>.</w:t>
      </w:r>
      <w:r w:rsidR="00764544" w:rsidRPr="00123EBC">
        <w:t xml:space="preserve"> A </w:t>
      </w:r>
      <w:r w:rsidR="00764544" w:rsidRPr="00883572">
        <w:t xml:space="preserve">lejárati idő </w:t>
      </w:r>
      <w:r w:rsidR="00764544" w:rsidRPr="00883572">
        <w:rPr>
          <w:noProof/>
          <w:szCs w:val="24"/>
        </w:rPr>
        <w:t>az adott</w:t>
      </w:r>
      <w:r w:rsidR="00764544" w:rsidRPr="00883572">
        <w:t xml:space="preserve"> hónap utolsó napjára vonatkozik</w:t>
      </w:r>
      <w:r w:rsidR="00764544" w:rsidRPr="00123EBC">
        <w:t xml:space="preserve">. </w:t>
      </w:r>
    </w:p>
    <w:p w:rsidR="0017143E" w:rsidRPr="008D2CB3" w:rsidRDefault="0017143E" w:rsidP="001E7729">
      <w:pPr>
        <w:rPr>
          <w:szCs w:val="22"/>
        </w:rPr>
      </w:pPr>
    </w:p>
    <w:p w:rsidR="0017143E" w:rsidRPr="008D2CB3" w:rsidRDefault="009546C5" w:rsidP="001E7729">
      <w:pPr>
        <w:spacing w:line="260" w:lineRule="atLeast"/>
        <w:rPr>
          <w:szCs w:val="22"/>
        </w:rPr>
      </w:pPr>
      <w:r w:rsidRPr="008D2CB3">
        <w:rPr>
          <w:szCs w:val="22"/>
        </w:rPr>
        <w:t>Ez a gyógyszer nem igényel k</w:t>
      </w:r>
      <w:r w:rsidR="0017143E" w:rsidRPr="008D2CB3">
        <w:rPr>
          <w:szCs w:val="22"/>
        </w:rPr>
        <w:t xml:space="preserve">ülönleges tárolást. </w:t>
      </w:r>
    </w:p>
    <w:p w:rsidR="0017143E" w:rsidRPr="008D2CB3" w:rsidRDefault="0017143E" w:rsidP="001E7729">
      <w:pPr>
        <w:tabs>
          <w:tab w:val="left" w:pos="0"/>
        </w:tabs>
        <w:jc w:val="both"/>
        <w:rPr>
          <w:szCs w:val="22"/>
        </w:rPr>
      </w:pPr>
      <w:r w:rsidRPr="008D2CB3">
        <w:rPr>
          <w:szCs w:val="22"/>
        </w:rPr>
        <w:t>Ne alkalmazza a</w:t>
      </w:r>
      <w:r w:rsidR="00764544">
        <w:rPr>
          <w:szCs w:val="22"/>
        </w:rPr>
        <w:t xml:space="preserve"> gyógyszert</w:t>
      </w:r>
      <w:r w:rsidRPr="008D2CB3">
        <w:rPr>
          <w:szCs w:val="22"/>
        </w:rPr>
        <w:t xml:space="preserve">, ha a bomlás látható jeleit észleli. </w:t>
      </w:r>
    </w:p>
    <w:p w:rsidR="0017143E" w:rsidRPr="008D2CB3" w:rsidRDefault="0017143E" w:rsidP="001E7729">
      <w:pPr>
        <w:tabs>
          <w:tab w:val="left" w:pos="0"/>
        </w:tabs>
        <w:jc w:val="both"/>
        <w:rPr>
          <w:szCs w:val="22"/>
        </w:rPr>
      </w:pPr>
    </w:p>
    <w:p w:rsidR="0017143E" w:rsidRPr="008D2CB3" w:rsidRDefault="00764544" w:rsidP="001E7729">
      <w:pPr>
        <w:tabs>
          <w:tab w:val="left" w:pos="0"/>
        </w:tabs>
        <w:rPr>
          <w:szCs w:val="22"/>
        </w:rPr>
      </w:pPr>
      <w:r>
        <w:rPr>
          <w:noProof/>
          <w:szCs w:val="22"/>
        </w:rPr>
        <w:t>Semmilyen</w:t>
      </w:r>
      <w:r w:rsidR="0017143E" w:rsidRPr="008D2CB3">
        <w:rPr>
          <w:noProof/>
          <w:szCs w:val="22"/>
        </w:rPr>
        <w:t xml:space="preserve"> gyógyszert ne</w:t>
      </w:r>
      <w:r>
        <w:rPr>
          <w:noProof/>
          <w:szCs w:val="22"/>
        </w:rPr>
        <w:t xml:space="preserve"> dobjon</w:t>
      </w:r>
      <w:r w:rsidR="0017143E" w:rsidRPr="008D2CB3">
        <w:rPr>
          <w:noProof/>
          <w:szCs w:val="22"/>
        </w:rPr>
        <w:t xml:space="preserve"> a szennyvíz</w:t>
      </w:r>
      <w:r>
        <w:rPr>
          <w:noProof/>
          <w:szCs w:val="22"/>
        </w:rPr>
        <w:t>be</w:t>
      </w:r>
      <w:r w:rsidR="0017143E" w:rsidRPr="008D2CB3">
        <w:rPr>
          <w:noProof/>
          <w:szCs w:val="22"/>
        </w:rPr>
        <w:t xml:space="preserve"> vagy a háztartási hulladék</w:t>
      </w:r>
      <w:r>
        <w:rPr>
          <w:noProof/>
          <w:szCs w:val="22"/>
        </w:rPr>
        <w:t>ba</w:t>
      </w:r>
      <w:r w:rsidR="0017143E" w:rsidRPr="008D2CB3">
        <w:rPr>
          <w:noProof/>
          <w:szCs w:val="22"/>
        </w:rPr>
        <w:t xml:space="preserve">. Kérdezze meg gyógyszerészét, hogy </w:t>
      </w:r>
      <w:r>
        <w:rPr>
          <w:noProof/>
          <w:szCs w:val="22"/>
        </w:rPr>
        <w:t>mit tegyen a már nem használt gyógyszereivel</w:t>
      </w:r>
      <w:r w:rsidR="0017143E" w:rsidRPr="008D2CB3">
        <w:rPr>
          <w:noProof/>
          <w:szCs w:val="22"/>
        </w:rPr>
        <w:t>. Ezek az intézkedések elősegítik a környezet védelmét</w:t>
      </w:r>
    </w:p>
    <w:p w:rsidR="0017143E" w:rsidRPr="008D2CB3" w:rsidRDefault="0017143E" w:rsidP="001E7729">
      <w:pPr>
        <w:tabs>
          <w:tab w:val="left" w:pos="0"/>
        </w:tabs>
        <w:jc w:val="both"/>
        <w:rPr>
          <w:szCs w:val="22"/>
        </w:rPr>
      </w:pPr>
    </w:p>
    <w:p w:rsidR="0017143E" w:rsidRPr="008D2CB3" w:rsidRDefault="0017143E" w:rsidP="001E7729">
      <w:pPr>
        <w:tabs>
          <w:tab w:val="left" w:pos="0"/>
        </w:tabs>
        <w:jc w:val="both"/>
        <w:rPr>
          <w:szCs w:val="22"/>
        </w:rPr>
      </w:pPr>
    </w:p>
    <w:p w:rsidR="0017143E" w:rsidRPr="008D2CB3" w:rsidRDefault="0017143E" w:rsidP="00D16754">
      <w:pPr>
        <w:keepNext/>
        <w:rPr>
          <w:b/>
          <w:bCs/>
          <w:szCs w:val="22"/>
        </w:rPr>
      </w:pPr>
      <w:r w:rsidRPr="008D2CB3">
        <w:rPr>
          <w:b/>
          <w:bCs/>
          <w:szCs w:val="22"/>
        </w:rPr>
        <w:t>6.</w:t>
      </w:r>
      <w:r w:rsidRPr="008D2CB3">
        <w:rPr>
          <w:b/>
          <w:bCs/>
          <w:szCs w:val="22"/>
        </w:rPr>
        <w:tab/>
      </w:r>
      <w:r w:rsidR="00764544" w:rsidRPr="00764544">
        <w:rPr>
          <w:b/>
          <w:bCs/>
          <w:szCs w:val="22"/>
        </w:rPr>
        <w:t xml:space="preserve"> </w:t>
      </w:r>
      <w:r w:rsidR="00764544">
        <w:rPr>
          <w:b/>
          <w:bCs/>
          <w:szCs w:val="22"/>
        </w:rPr>
        <w:t>A csomagolás tartalma és egyéb információk</w:t>
      </w:r>
    </w:p>
    <w:p w:rsidR="0017143E" w:rsidRPr="008D2CB3" w:rsidRDefault="0017143E" w:rsidP="00D16754">
      <w:pPr>
        <w:keepNext/>
        <w:jc w:val="both"/>
        <w:rPr>
          <w:szCs w:val="22"/>
        </w:rPr>
      </w:pPr>
    </w:p>
    <w:p w:rsidR="0017143E" w:rsidRPr="008D2CB3" w:rsidRDefault="0017143E" w:rsidP="00D16754">
      <w:pPr>
        <w:keepNext/>
        <w:rPr>
          <w:b/>
          <w:szCs w:val="22"/>
        </w:rPr>
      </w:pPr>
      <w:r w:rsidRPr="008D2CB3">
        <w:rPr>
          <w:b/>
          <w:szCs w:val="22"/>
        </w:rPr>
        <w:t>Mit tartalmaz a</w:t>
      </w:r>
      <w:r w:rsidR="009B10E4" w:rsidRPr="008D2CB3">
        <w:rPr>
          <w:b/>
          <w:szCs w:val="22"/>
        </w:rPr>
        <w:t>z Iscover</w:t>
      </w:r>
      <w:r w:rsidR="001329BB">
        <w:rPr>
          <w:b/>
          <w:szCs w:val="22"/>
        </w:rPr>
        <w:t>?</w:t>
      </w:r>
    </w:p>
    <w:p w:rsidR="0017143E" w:rsidRPr="008D2CB3" w:rsidRDefault="0017143E" w:rsidP="00D16754">
      <w:pPr>
        <w:keepNext/>
        <w:rPr>
          <w:szCs w:val="22"/>
        </w:rPr>
      </w:pPr>
      <w:r w:rsidRPr="008D2CB3">
        <w:rPr>
          <w:szCs w:val="22"/>
        </w:rPr>
        <w:t xml:space="preserve">A készítmény hatóanyaga a klopidogrél. Minden tabletta 300 mg klopidogrélt </w:t>
      </w:r>
      <w:r w:rsidR="00CB7619" w:rsidRPr="008D2CB3">
        <w:rPr>
          <w:szCs w:val="22"/>
        </w:rPr>
        <w:t>(</w:t>
      </w:r>
      <w:r w:rsidR="00CB7619" w:rsidRPr="008D2CB3">
        <w:t>hidrogén</w:t>
      </w:r>
      <w:r w:rsidR="00CB7619" w:rsidRPr="008D2CB3">
        <w:noBreakHyphen/>
        <w:t>szulfát formájában)</w:t>
      </w:r>
      <w:r w:rsidR="00DD6BB0" w:rsidRPr="008D2CB3">
        <w:t xml:space="preserve"> </w:t>
      </w:r>
      <w:r w:rsidRPr="008D2CB3">
        <w:rPr>
          <w:szCs w:val="22"/>
        </w:rPr>
        <w:t>tartalmaz.</w:t>
      </w:r>
    </w:p>
    <w:p w:rsidR="0017143E" w:rsidRPr="008D2CB3" w:rsidRDefault="0017143E" w:rsidP="001E7729">
      <w:pPr>
        <w:rPr>
          <w:szCs w:val="22"/>
        </w:rPr>
      </w:pPr>
    </w:p>
    <w:p w:rsidR="00AF2DAA" w:rsidRPr="008D2CB3" w:rsidRDefault="0017143E" w:rsidP="001E7729">
      <w:pPr>
        <w:rPr>
          <w:szCs w:val="22"/>
        </w:rPr>
      </w:pPr>
      <w:r w:rsidRPr="008D2CB3">
        <w:rPr>
          <w:szCs w:val="22"/>
        </w:rPr>
        <w:t>Egyéb összetevők</w:t>
      </w:r>
      <w:r w:rsidR="00764544">
        <w:rPr>
          <w:szCs w:val="22"/>
        </w:rPr>
        <w:t xml:space="preserve"> (lásd 2.</w:t>
      </w:r>
      <w:r w:rsidR="00A50526">
        <w:rPr>
          <w:szCs w:val="22"/>
        </w:rPr>
        <w:t> </w:t>
      </w:r>
      <w:r w:rsidR="00764544">
        <w:rPr>
          <w:szCs w:val="22"/>
        </w:rPr>
        <w:t xml:space="preserve">pont </w:t>
      </w:r>
      <w:r w:rsidR="00ED6D59">
        <w:rPr>
          <w:szCs w:val="22"/>
        </w:rPr>
        <w:t>„</w:t>
      </w:r>
      <w:r w:rsidR="00764544" w:rsidRPr="002F1601">
        <w:rPr>
          <w:noProof/>
          <w:szCs w:val="22"/>
        </w:rPr>
        <w:t>A</w:t>
      </w:r>
      <w:r w:rsidR="00764544">
        <w:rPr>
          <w:noProof/>
          <w:szCs w:val="22"/>
        </w:rPr>
        <w:t xml:space="preserve">z Iscover </w:t>
      </w:r>
      <w:r w:rsidR="00764544" w:rsidRPr="002F1601">
        <w:rPr>
          <w:noProof/>
          <w:szCs w:val="22"/>
        </w:rPr>
        <w:t>laktózt tartalmaz</w:t>
      </w:r>
      <w:r w:rsidR="00ED6D59">
        <w:rPr>
          <w:noProof/>
          <w:szCs w:val="22"/>
        </w:rPr>
        <w:t>”</w:t>
      </w:r>
      <w:r w:rsidR="00764544">
        <w:rPr>
          <w:noProof/>
          <w:szCs w:val="22"/>
        </w:rPr>
        <w:t xml:space="preserve"> és </w:t>
      </w:r>
      <w:r w:rsidR="00ED6D59">
        <w:rPr>
          <w:noProof/>
          <w:szCs w:val="22"/>
        </w:rPr>
        <w:t>„</w:t>
      </w:r>
      <w:r w:rsidR="00764544" w:rsidRPr="002F1601">
        <w:rPr>
          <w:noProof/>
          <w:szCs w:val="22"/>
        </w:rPr>
        <w:t>A</w:t>
      </w:r>
      <w:r w:rsidR="00764544">
        <w:rPr>
          <w:noProof/>
          <w:szCs w:val="22"/>
        </w:rPr>
        <w:t>z Iscover</w:t>
      </w:r>
      <w:r w:rsidR="00764544" w:rsidRPr="002F1601">
        <w:rPr>
          <w:noProof/>
          <w:szCs w:val="22"/>
        </w:rPr>
        <w:t xml:space="preserve"> hidrogénezett ricinusolajat is tartalmaz</w:t>
      </w:r>
      <w:r w:rsidR="00ED6D59">
        <w:rPr>
          <w:noProof/>
          <w:szCs w:val="22"/>
        </w:rPr>
        <w:t>”</w:t>
      </w:r>
      <w:r w:rsidRPr="008D2CB3">
        <w:rPr>
          <w:szCs w:val="22"/>
        </w:rPr>
        <w:t xml:space="preserve">: </w:t>
      </w:r>
    </w:p>
    <w:p w:rsidR="00AF2DAA" w:rsidRPr="008D2CB3" w:rsidRDefault="00AF2DAA" w:rsidP="001E7729">
      <w:pPr>
        <w:keepNext/>
        <w:numPr>
          <w:ilvl w:val="0"/>
          <w:numId w:val="60"/>
        </w:numPr>
        <w:tabs>
          <w:tab w:val="clear" w:pos="750"/>
          <w:tab w:val="num" w:pos="426"/>
          <w:tab w:val="left" w:pos="1134"/>
        </w:tabs>
        <w:ind w:left="1134" w:hanging="744"/>
        <w:rPr>
          <w:szCs w:val="22"/>
        </w:rPr>
      </w:pPr>
      <w:r w:rsidRPr="008D2CB3">
        <w:rPr>
          <w:szCs w:val="22"/>
        </w:rPr>
        <w:t>Tablettamag: mannit (E421), hidrogénezett ricinusolaj, mikrokristályos cellulóz, makrogol 6000 és kismértékben szubsztituált hidroxi-propilcellulóz</w:t>
      </w:r>
    </w:p>
    <w:p w:rsidR="00AF2DAA" w:rsidRPr="008D2CB3" w:rsidRDefault="00AF2DAA" w:rsidP="001E7729">
      <w:pPr>
        <w:keepNext/>
        <w:numPr>
          <w:ilvl w:val="0"/>
          <w:numId w:val="60"/>
        </w:numPr>
        <w:tabs>
          <w:tab w:val="clear" w:pos="750"/>
          <w:tab w:val="num" w:pos="426"/>
          <w:tab w:val="left" w:pos="1134"/>
        </w:tabs>
        <w:ind w:left="1134" w:hanging="744"/>
        <w:rPr>
          <w:szCs w:val="22"/>
        </w:rPr>
      </w:pPr>
      <w:r w:rsidRPr="008D2CB3">
        <w:rPr>
          <w:szCs w:val="22"/>
        </w:rPr>
        <w:t>Bevonat: laktóz (tejcukor), hipromellóz (E464), triacetin (E1518), vörös vas-oxid (E172), titán-dioxid (E171)</w:t>
      </w:r>
    </w:p>
    <w:p w:rsidR="00AF2DAA" w:rsidRPr="008D2CB3" w:rsidRDefault="00AF2DAA" w:rsidP="001E7729">
      <w:pPr>
        <w:keepNext/>
        <w:numPr>
          <w:ilvl w:val="0"/>
          <w:numId w:val="60"/>
        </w:numPr>
        <w:tabs>
          <w:tab w:val="clear" w:pos="750"/>
          <w:tab w:val="num" w:pos="426"/>
          <w:tab w:val="left" w:pos="1134"/>
        </w:tabs>
        <w:ind w:left="1134" w:hanging="744"/>
        <w:rPr>
          <w:szCs w:val="22"/>
        </w:rPr>
      </w:pPr>
      <w:r w:rsidRPr="008D2CB3">
        <w:rPr>
          <w:szCs w:val="22"/>
        </w:rPr>
        <w:t>Fényesítő anyag: karnauba viasz</w:t>
      </w:r>
    </w:p>
    <w:p w:rsidR="0017143E" w:rsidRPr="008D2CB3" w:rsidRDefault="0017143E" w:rsidP="001E7729">
      <w:pPr>
        <w:rPr>
          <w:szCs w:val="22"/>
        </w:rPr>
      </w:pPr>
    </w:p>
    <w:p w:rsidR="0017143E" w:rsidRPr="008D2CB3" w:rsidRDefault="0017143E" w:rsidP="001E7729">
      <w:pPr>
        <w:spacing w:line="260" w:lineRule="atLeast"/>
        <w:rPr>
          <w:noProof/>
        </w:rPr>
      </w:pPr>
      <w:r w:rsidRPr="008D2CB3">
        <w:rPr>
          <w:b/>
          <w:bCs/>
          <w:noProof/>
        </w:rPr>
        <w:t>Milyen a</w:t>
      </w:r>
      <w:r w:rsidR="009B10E4" w:rsidRPr="008D2CB3">
        <w:rPr>
          <w:b/>
          <w:bCs/>
          <w:noProof/>
        </w:rPr>
        <w:t>z Iscover</w:t>
      </w:r>
      <w:r w:rsidRPr="008D2CB3">
        <w:rPr>
          <w:b/>
          <w:bCs/>
          <w:noProof/>
        </w:rPr>
        <w:t xml:space="preserve"> külleme és mit tartalmaz a csomagolás</w:t>
      </w:r>
      <w:r w:rsidR="001329BB">
        <w:rPr>
          <w:b/>
          <w:bCs/>
          <w:noProof/>
        </w:rPr>
        <w:t>?</w:t>
      </w:r>
    </w:p>
    <w:p w:rsidR="0017143E" w:rsidRPr="008D2CB3" w:rsidRDefault="0017143E" w:rsidP="001E7729">
      <w:pPr>
        <w:rPr>
          <w:b/>
          <w:szCs w:val="22"/>
        </w:rPr>
      </w:pPr>
    </w:p>
    <w:p w:rsidR="0017143E" w:rsidRPr="008D2CB3" w:rsidRDefault="0017143E" w:rsidP="001E7729">
      <w:r w:rsidRPr="008D2CB3">
        <w:t>A</w:t>
      </w:r>
      <w:r w:rsidR="009B10E4" w:rsidRPr="008D2CB3">
        <w:t>z Iscover</w:t>
      </w:r>
      <w:r w:rsidRPr="008D2CB3">
        <w:t xml:space="preserve"> 300 mg </w:t>
      </w:r>
      <w:r w:rsidR="00764544">
        <w:t xml:space="preserve">filmtabletta </w:t>
      </w:r>
      <w:r w:rsidRPr="008D2CB3">
        <w:rPr>
          <w:szCs w:val="22"/>
        </w:rPr>
        <w:t xml:space="preserve">ovális, rózsaszín, </w:t>
      </w:r>
      <w:r w:rsidR="008B5444" w:rsidRPr="008D2CB3">
        <w:rPr>
          <w:szCs w:val="22"/>
        </w:rPr>
        <w:t xml:space="preserve">mindkét oldalán domború, </w:t>
      </w:r>
      <w:r w:rsidRPr="008D2CB3">
        <w:rPr>
          <w:szCs w:val="22"/>
        </w:rPr>
        <w:t xml:space="preserve">egyik oldalán „300”, másik oldalán „1332” mélynyomású jelzéssel </w:t>
      </w:r>
      <w:r w:rsidRPr="008D2CB3">
        <w:t>ellátott filmbevonatú tabletta.</w:t>
      </w:r>
    </w:p>
    <w:p w:rsidR="0017143E" w:rsidRPr="008D2CB3" w:rsidRDefault="006B54D4" w:rsidP="001E7729">
      <w:r w:rsidRPr="008D2CB3">
        <w:t>A</w:t>
      </w:r>
      <w:r w:rsidR="009B10E4" w:rsidRPr="008D2CB3">
        <w:t>z Iscover</w:t>
      </w:r>
      <w:r w:rsidRPr="008D2CB3">
        <w:t xml:space="preserve"> </w:t>
      </w:r>
      <w:r w:rsidR="008B5444" w:rsidRPr="008D2CB3">
        <w:t xml:space="preserve">4 × 1, 10 × 1, 30 × 1 és 100 × 1 filmtablettát tartalmazó </w:t>
      </w:r>
      <w:r w:rsidR="00C4516D">
        <w:t>dobozban, egységadagos alumínium</w:t>
      </w:r>
      <w:r w:rsidR="0017143E" w:rsidRPr="008D2CB3">
        <w:t xml:space="preserve"> buborék</w:t>
      </w:r>
      <w:r w:rsidR="005A2198" w:rsidRPr="008D2CB3">
        <w:t>csomagolásban</w:t>
      </w:r>
      <w:r w:rsidR="0017143E" w:rsidRPr="008D2CB3">
        <w:t xml:space="preserve"> </w:t>
      </w:r>
      <w:r w:rsidRPr="008D2CB3">
        <w:t>kerül forgalomba</w:t>
      </w:r>
      <w:r w:rsidR="0017143E" w:rsidRPr="008D2CB3">
        <w:t>. Nem feltétlenül mindegyik kiszerelés kerül kereskedelmi forgalomba.</w:t>
      </w:r>
    </w:p>
    <w:p w:rsidR="0017143E" w:rsidRPr="008D2CB3" w:rsidRDefault="0017143E" w:rsidP="001E7729">
      <w:pPr>
        <w:rPr>
          <w:szCs w:val="22"/>
        </w:rPr>
      </w:pPr>
    </w:p>
    <w:p w:rsidR="0017143E" w:rsidRPr="008D2CB3" w:rsidRDefault="0017143E" w:rsidP="001E7729">
      <w:pPr>
        <w:keepNext/>
        <w:spacing w:line="260" w:lineRule="atLeast"/>
        <w:rPr>
          <w:b/>
          <w:bCs/>
          <w:noProof/>
          <w:szCs w:val="22"/>
        </w:rPr>
      </w:pPr>
      <w:r w:rsidRPr="008D2CB3">
        <w:rPr>
          <w:b/>
          <w:bCs/>
          <w:noProof/>
          <w:szCs w:val="22"/>
        </w:rPr>
        <w:t>A forgalomba hozatali engedély jogosultja és a gyártó</w:t>
      </w:r>
      <w:r w:rsidR="00A40D6B">
        <w:rPr>
          <w:b/>
          <w:bCs/>
          <w:noProof/>
          <w:szCs w:val="22"/>
        </w:rPr>
        <w:t>k</w:t>
      </w:r>
    </w:p>
    <w:p w:rsidR="0017143E" w:rsidRPr="008D2CB3" w:rsidRDefault="0017143E" w:rsidP="001E7729">
      <w:pPr>
        <w:keepNext/>
        <w:rPr>
          <w:szCs w:val="22"/>
        </w:rPr>
      </w:pPr>
    </w:p>
    <w:p w:rsidR="002C0C2F" w:rsidRPr="008D2CB3" w:rsidRDefault="002C0C2F" w:rsidP="001E7729">
      <w:pPr>
        <w:keepNext/>
        <w:ind w:left="708" w:hanging="708"/>
        <w:rPr>
          <w:szCs w:val="22"/>
        </w:rPr>
      </w:pPr>
      <w:r w:rsidRPr="008D2CB3">
        <w:rPr>
          <w:szCs w:val="22"/>
        </w:rPr>
        <w:t xml:space="preserve">A forgalomba hozatali engedély jogosultja: </w:t>
      </w:r>
    </w:p>
    <w:p w:rsidR="00B24B25" w:rsidRPr="0008524E" w:rsidRDefault="00EF7580" w:rsidP="001E7729">
      <w:pPr>
        <w:rPr>
          <w:szCs w:val="22"/>
          <w:lang w:val="fr-FR"/>
        </w:rPr>
      </w:pPr>
      <w:r>
        <w:rPr>
          <w:szCs w:val="22"/>
          <w:lang w:val="fr-FR"/>
        </w:rPr>
        <w:t>sanofi-aventis g</w:t>
      </w:r>
      <w:r w:rsidR="00B24B25" w:rsidRPr="0008524E">
        <w:rPr>
          <w:szCs w:val="22"/>
          <w:lang w:val="fr-FR"/>
        </w:rPr>
        <w:t>roupe</w:t>
      </w:r>
    </w:p>
    <w:p w:rsidR="00B24B25" w:rsidRPr="0008524E" w:rsidRDefault="00B24B25" w:rsidP="001E7729">
      <w:pPr>
        <w:rPr>
          <w:szCs w:val="22"/>
          <w:lang w:val="fr-FR"/>
        </w:rPr>
      </w:pPr>
      <w:r w:rsidRPr="0008524E">
        <w:rPr>
          <w:szCs w:val="22"/>
          <w:lang w:val="fr-FR"/>
        </w:rPr>
        <w:t>54, rue La Boétie</w:t>
      </w:r>
    </w:p>
    <w:p w:rsidR="00B24B25" w:rsidRDefault="00B24B25" w:rsidP="001E7729">
      <w:pPr>
        <w:rPr>
          <w:szCs w:val="22"/>
          <w:lang w:val="fr-FR"/>
        </w:rPr>
      </w:pPr>
      <w:r>
        <w:rPr>
          <w:szCs w:val="22"/>
          <w:lang w:val="fr-FR"/>
        </w:rPr>
        <w:t>F-75008 Paris</w:t>
      </w:r>
    </w:p>
    <w:p w:rsidR="0017143E" w:rsidRPr="008D2CB3" w:rsidRDefault="00B24B25" w:rsidP="001E7729">
      <w:pPr>
        <w:jc w:val="both"/>
        <w:rPr>
          <w:szCs w:val="22"/>
        </w:rPr>
      </w:pPr>
      <w:r>
        <w:rPr>
          <w:szCs w:val="22"/>
        </w:rPr>
        <w:t>Franciaország</w:t>
      </w:r>
    </w:p>
    <w:p w:rsidR="0017143E" w:rsidRPr="008D2CB3" w:rsidRDefault="0017143E" w:rsidP="001E7729">
      <w:pPr>
        <w:tabs>
          <w:tab w:val="left" w:pos="568"/>
        </w:tabs>
        <w:spacing w:line="260" w:lineRule="atLeast"/>
        <w:ind w:right="-2"/>
        <w:rPr>
          <w:szCs w:val="22"/>
        </w:rPr>
      </w:pPr>
    </w:p>
    <w:p w:rsidR="0017143E" w:rsidRPr="008D2CB3" w:rsidRDefault="0017143E" w:rsidP="001E7729">
      <w:pPr>
        <w:tabs>
          <w:tab w:val="left" w:pos="568"/>
        </w:tabs>
        <w:spacing w:line="260" w:lineRule="atLeast"/>
        <w:ind w:right="-2"/>
        <w:rPr>
          <w:szCs w:val="22"/>
        </w:rPr>
      </w:pPr>
      <w:r w:rsidRPr="008D2CB3">
        <w:rPr>
          <w:szCs w:val="22"/>
        </w:rPr>
        <w:t>Gyártó</w:t>
      </w:r>
    </w:p>
    <w:p w:rsidR="0017143E" w:rsidRPr="008D2CB3" w:rsidRDefault="0017143E" w:rsidP="001E7729">
      <w:pPr>
        <w:tabs>
          <w:tab w:val="left" w:pos="568"/>
        </w:tabs>
        <w:spacing w:line="260" w:lineRule="atLeast"/>
        <w:ind w:right="-2"/>
        <w:rPr>
          <w:szCs w:val="22"/>
        </w:rPr>
      </w:pPr>
      <w:r w:rsidRPr="008D2CB3">
        <w:rPr>
          <w:szCs w:val="22"/>
        </w:rPr>
        <w:t>Sanofi Winthrop Industrie</w:t>
      </w:r>
    </w:p>
    <w:p w:rsidR="0017143E" w:rsidRPr="008D2CB3" w:rsidRDefault="0017143E" w:rsidP="001E7729">
      <w:pPr>
        <w:tabs>
          <w:tab w:val="left" w:pos="720"/>
        </w:tabs>
        <w:rPr>
          <w:szCs w:val="22"/>
        </w:rPr>
      </w:pPr>
      <w:r w:rsidRPr="008D2CB3">
        <w:rPr>
          <w:szCs w:val="22"/>
        </w:rPr>
        <w:t xml:space="preserve">1, Rue de la Vierge, </w:t>
      </w:r>
      <w:r w:rsidRPr="008D2CB3">
        <w:rPr>
          <w:noProof/>
          <w:lang w:val="fr-FR"/>
        </w:rPr>
        <w:t>Ambarès &amp; Lagrave, F-</w:t>
      </w:r>
      <w:r w:rsidRPr="008D2CB3">
        <w:rPr>
          <w:lang w:val="fr-FR"/>
        </w:rPr>
        <w:t>33565 Carbon Blanc cedex</w:t>
      </w:r>
      <w:r w:rsidRPr="008D2CB3">
        <w:rPr>
          <w:szCs w:val="22"/>
        </w:rPr>
        <w:t>, Franciaország</w:t>
      </w:r>
    </w:p>
    <w:p w:rsidR="0017143E" w:rsidRPr="008D2CB3" w:rsidRDefault="0017143E" w:rsidP="001E7729">
      <w:pPr>
        <w:rPr>
          <w:szCs w:val="22"/>
        </w:rPr>
      </w:pPr>
    </w:p>
    <w:p w:rsidR="0017143E" w:rsidRPr="008D2CB3" w:rsidRDefault="0017143E" w:rsidP="001E7729">
      <w:pPr>
        <w:rPr>
          <w:szCs w:val="22"/>
        </w:rPr>
      </w:pPr>
      <w:r w:rsidRPr="008D2CB3">
        <w:rPr>
          <w:szCs w:val="22"/>
        </w:rPr>
        <w:t xml:space="preserve">A készítményhez kapcsolódó további kérdéseivel forduljon a forgalomba hozatali engedély jogosultjának helyi képviseletéhez. </w:t>
      </w:r>
    </w:p>
    <w:p w:rsidR="0017143E" w:rsidRPr="008D2CB3" w:rsidRDefault="0017143E" w:rsidP="001E7729">
      <w:pPr>
        <w:rPr>
          <w:szCs w:val="22"/>
        </w:rPr>
      </w:pPr>
    </w:p>
    <w:p w:rsidR="0017143E" w:rsidRPr="00123EBC" w:rsidRDefault="0017143E" w:rsidP="001E7729">
      <w:pPr>
        <w:keepNext/>
        <w:rPr>
          <w:szCs w:val="22"/>
        </w:rPr>
      </w:pPr>
    </w:p>
    <w:tbl>
      <w:tblPr>
        <w:tblW w:w="9356" w:type="dxa"/>
        <w:tblInd w:w="-34" w:type="dxa"/>
        <w:tblLayout w:type="fixed"/>
        <w:tblLook w:val="0000" w:firstRow="0" w:lastRow="0" w:firstColumn="0" w:lastColumn="0" w:noHBand="0" w:noVBand="0"/>
      </w:tblPr>
      <w:tblGrid>
        <w:gridCol w:w="34"/>
        <w:gridCol w:w="4644"/>
        <w:gridCol w:w="4678"/>
      </w:tblGrid>
      <w:tr w:rsidR="004B1D0A" w:rsidRPr="008D2CB3">
        <w:trPr>
          <w:gridBefore w:val="1"/>
          <w:wBefore w:w="34" w:type="dxa"/>
          <w:cantSplit/>
        </w:trPr>
        <w:tc>
          <w:tcPr>
            <w:tcW w:w="4644" w:type="dxa"/>
          </w:tcPr>
          <w:p w:rsidR="004B1D0A" w:rsidRPr="004359C7" w:rsidRDefault="004B1D0A" w:rsidP="001E7729">
            <w:pPr>
              <w:rPr>
                <w:b/>
                <w:bCs/>
                <w:szCs w:val="22"/>
                <w:lang w:val="fr-FR"/>
              </w:rPr>
            </w:pPr>
            <w:r w:rsidRPr="004359C7">
              <w:rPr>
                <w:b/>
                <w:bCs/>
                <w:szCs w:val="22"/>
                <w:lang w:val="fr-FR"/>
              </w:rPr>
              <w:t>België/Belgique/Belgien</w:t>
            </w:r>
          </w:p>
          <w:p w:rsidR="004B1D0A" w:rsidRPr="004359C7" w:rsidRDefault="00B96766" w:rsidP="001E7729">
            <w:pPr>
              <w:rPr>
                <w:szCs w:val="22"/>
                <w:lang w:val="fr-FR"/>
              </w:rPr>
            </w:pPr>
            <w:r>
              <w:rPr>
                <w:snapToGrid w:val="0"/>
                <w:szCs w:val="22"/>
                <w:lang w:val="fr-FR"/>
              </w:rPr>
              <w:t>S</w:t>
            </w:r>
            <w:r w:rsidR="004B1D0A" w:rsidRPr="004359C7">
              <w:rPr>
                <w:snapToGrid w:val="0"/>
                <w:szCs w:val="22"/>
                <w:lang w:val="fr-FR"/>
              </w:rPr>
              <w:t>anofi Belgium</w:t>
            </w:r>
          </w:p>
          <w:p w:rsidR="004B1D0A" w:rsidRPr="004359C7" w:rsidRDefault="004B1D0A" w:rsidP="001E7729">
            <w:pPr>
              <w:rPr>
                <w:snapToGrid w:val="0"/>
                <w:szCs w:val="22"/>
              </w:rPr>
            </w:pPr>
            <w:r w:rsidRPr="004359C7">
              <w:rPr>
                <w:szCs w:val="22"/>
              </w:rPr>
              <w:t xml:space="preserve">Tél/Tel: </w:t>
            </w:r>
            <w:r w:rsidRPr="004359C7">
              <w:rPr>
                <w:snapToGrid w:val="0"/>
                <w:szCs w:val="22"/>
              </w:rPr>
              <w:t>+32 (0)2 710 54 00</w:t>
            </w:r>
          </w:p>
          <w:p w:rsidR="004B1D0A" w:rsidRPr="004359C7" w:rsidRDefault="004B1D0A" w:rsidP="001E7729">
            <w:pPr>
              <w:rPr>
                <w:szCs w:val="22"/>
              </w:rPr>
            </w:pPr>
          </w:p>
        </w:tc>
        <w:tc>
          <w:tcPr>
            <w:tcW w:w="4678" w:type="dxa"/>
          </w:tcPr>
          <w:p w:rsidR="004B1D0A" w:rsidRPr="004359C7" w:rsidRDefault="004B1D0A" w:rsidP="001E7729">
            <w:pPr>
              <w:rPr>
                <w:b/>
                <w:bCs/>
                <w:szCs w:val="22"/>
              </w:rPr>
            </w:pPr>
            <w:r w:rsidRPr="004359C7">
              <w:rPr>
                <w:b/>
                <w:bCs/>
                <w:szCs w:val="22"/>
              </w:rPr>
              <w:t>Lietuva</w:t>
            </w:r>
          </w:p>
          <w:p w:rsidR="004B1D0A" w:rsidRPr="004359C7" w:rsidRDefault="004B1D0A" w:rsidP="001E7729">
            <w:pPr>
              <w:rPr>
                <w:szCs w:val="22"/>
              </w:rPr>
            </w:pPr>
            <w:r w:rsidRPr="004359C7">
              <w:rPr>
                <w:szCs w:val="22"/>
              </w:rPr>
              <w:t xml:space="preserve">UAB </w:t>
            </w:r>
            <w:r w:rsidR="00162A70" w:rsidRPr="00123EBC">
              <w:rPr>
                <w:snapToGrid w:val="0"/>
                <w:szCs w:val="22"/>
                <w:lang w:val="fi-FI"/>
              </w:rPr>
              <w:t>«SANOFI-AVENTIS LIETUVA»</w:t>
            </w:r>
          </w:p>
          <w:p w:rsidR="004B1D0A" w:rsidRPr="004359C7" w:rsidRDefault="004B1D0A" w:rsidP="001E7729">
            <w:pPr>
              <w:rPr>
                <w:szCs w:val="22"/>
              </w:rPr>
            </w:pPr>
            <w:r w:rsidRPr="004359C7">
              <w:rPr>
                <w:szCs w:val="22"/>
              </w:rPr>
              <w:t>Tel: +370 5 2755224</w:t>
            </w:r>
          </w:p>
          <w:p w:rsidR="004B1D0A" w:rsidRPr="004359C7" w:rsidRDefault="004B1D0A" w:rsidP="001E7729">
            <w:pPr>
              <w:rPr>
                <w:szCs w:val="22"/>
              </w:rPr>
            </w:pPr>
          </w:p>
        </w:tc>
      </w:tr>
      <w:tr w:rsidR="004B1D0A" w:rsidRPr="008D2CB3">
        <w:trPr>
          <w:gridBefore w:val="1"/>
          <w:wBefore w:w="34" w:type="dxa"/>
          <w:cantSplit/>
        </w:trPr>
        <w:tc>
          <w:tcPr>
            <w:tcW w:w="4644" w:type="dxa"/>
          </w:tcPr>
          <w:p w:rsidR="004B1D0A" w:rsidRPr="00100BBB" w:rsidRDefault="004B1D0A" w:rsidP="001E7729">
            <w:pPr>
              <w:rPr>
                <w:b/>
                <w:bCs/>
                <w:szCs w:val="22"/>
              </w:rPr>
            </w:pPr>
            <w:r w:rsidRPr="004359C7">
              <w:rPr>
                <w:b/>
                <w:bCs/>
                <w:szCs w:val="22"/>
              </w:rPr>
              <w:t>България</w:t>
            </w:r>
          </w:p>
          <w:p w:rsidR="004B1D0A" w:rsidRPr="00100BBB" w:rsidRDefault="00162A70" w:rsidP="001E7729">
            <w:pPr>
              <w:rPr>
                <w:noProof/>
                <w:szCs w:val="22"/>
              </w:rPr>
            </w:pPr>
            <w:r w:rsidRPr="00123EBC">
              <w:rPr>
                <w:noProof/>
                <w:szCs w:val="22"/>
                <w:lang w:val="fr-BE"/>
              </w:rPr>
              <w:t>SANOFI BULGARIA</w:t>
            </w:r>
            <w:r w:rsidR="004B1D0A" w:rsidRPr="00100BBB">
              <w:rPr>
                <w:noProof/>
                <w:szCs w:val="22"/>
              </w:rPr>
              <w:t xml:space="preserve"> EOOD</w:t>
            </w:r>
          </w:p>
          <w:p w:rsidR="004B1D0A" w:rsidRPr="00100BBB" w:rsidRDefault="004B1D0A" w:rsidP="001E7729">
            <w:pPr>
              <w:rPr>
                <w:szCs w:val="22"/>
              </w:rPr>
            </w:pPr>
            <w:r w:rsidRPr="004359C7">
              <w:rPr>
                <w:bCs/>
                <w:szCs w:val="22"/>
              </w:rPr>
              <w:t>Тел</w:t>
            </w:r>
            <w:r w:rsidRPr="00100BBB">
              <w:rPr>
                <w:bCs/>
                <w:szCs w:val="22"/>
              </w:rPr>
              <w:t>: +359 (0)2</w:t>
            </w:r>
            <w:r w:rsidRPr="00100BBB">
              <w:rPr>
                <w:szCs w:val="22"/>
              </w:rPr>
              <w:t xml:space="preserve"> 970 53 00</w:t>
            </w:r>
          </w:p>
          <w:p w:rsidR="004B1D0A" w:rsidRPr="00100BBB" w:rsidRDefault="004B1D0A" w:rsidP="001E7729">
            <w:pPr>
              <w:rPr>
                <w:szCs w:val="22"/>
              </w:rPr>
            </w:pPr>
          </w:p>
        </w:tc>
        <w:tc>
          <w:tcPr>
            <w:tcW w:w="4678" w:type="dxa"/>
          </w:tcPr>
          <w:p w:rsidR="004B1D0A" w:rsidRPr="004359C7" w:rsidRDefault="004B1D0A" w:rsidP="001E7729">
            <w:pPr>
              <w:rPr>
                <w:b/>
                <w:bCs/>
                <w:szCs w:val="22"/>
              </w:rPr>
            </w:pPr>
            <w:r w:rsidRPr="004359C7">
              <w:rPr>
                <w:b/>
                <w:bCs/>
                <w:szCs w:val="22"/>
              </w:rPr>
              <w:t>Luxembourg/Luxemburg</w:t>
            </w:r>
          </w:p>
          <w:p w:rsidR="004B1D0A" w:rsidRPr="004359C7" w:rsidRDefault="00B96766" w:rsidP="001E7729">
            <w:pPr>
              <w:rPr>
                <w:snapToGrid w:val="0"/>
                <w:szCs w:val="22"/>
              </w:rPr>
            </w:pPr>
            <w:r>
              <w:rPr>
                <w:snapToGrid w:val="0"/>
                <w:szCs w:val="22"/>
              </w:rPr>
              <w:t>S</w:t>
            </w:r>
            <w:r w:rsidR="004B1D0A" w:rsidRPr="004359C7">
              <w:rPr>
                <w:snapToGrid w:val="0"/>
                <w:szCs w:val="22"/>
              </w:rPr>
              <w:t xml:space="preserve">anofi Belgium </w:t>
            </w:r>
          </w:p>
          <w:p w:rsidR="004B1D0A" w:rsidRPr="004359C7" w:rsidRDefault="004B1D0A" w:rsidP="001E7729">
            <w:pPr>
              <w:rPr>
                <w:szCs w:val="22"/>
              </w:rPr>
            </w:pPr>
            <w:r w:rsidRPr="004359C7">
              <w:rPr>
                <w:szCs w:val="22"/>
              </w:rPr>
              <w:t xml:space="preserve">Tél/Tel: </w:t>
            </w:r>
            <w:r w:rsidRPr="004359C7">
              <w:rPr>
                <w:snapToGrid w:val="0"/>
                <w:szCs w:val="22"/>
              </w:rPr>
              <w:t>+32 (0)2 710 54 00 (</w:t>
            </w:r>
            <w:r w:rsidRPr="004359C7">
              <w:rPr>
                <w:szCs w:val="22"/>
              </w:rPr>
              <w:t>Belgique/Belgien)</w:t>
            </w:r>
          </w:p>
          <w:p w:rsidR="004B1D0A" w:rsidRPr="004359C7" w:rsidRDefault="004B1D0A" w:rsidP="001E7729">
            <w:pPr>
              <w:rPr>
                <w:szCs w:val="22"/>
              </w:rPr>
            </w:pPr>
          </w:p>
        </w:tc>
      </w:tr>
      <w:tr w:rsidR="004B1D0A" w:rsidRPr="00123EBC">
        <w:trPr>
          <w:gridBefore w:val="1"/>
          <w:wBefore w:w="34" w:type="dxa"/>
          <w:cantSplit/>
        </w:trPr>
        <w:tc>
          <w:tcPr>
            <w:tcW w:w="4644" w:type="dxa"/>
          </w:tcPr>
          <w:p w:rsidR="004B1D0A" w:rsidRPr="00D61228" w:rsidRDefault="004B1D0A" w:rsidP="001E7729">
            <w:pPr>
              <w:rPr>
                <w:b/>
                <w:bCs/>
                <w:szCs w:val="22"/>
                <w:lang w:val="sv-SE"/>
              </w:rPr>
            </w:pPr>
            <w:r w:rsidRPr="00D61228">
              <w:rPr>
                <w:b/>
                <w:bCs/>
                <w:szCs w:val="22"/>
                <w:lang w:val="sv-SE"/>
              </w:rPr>
              <w:t>Česká republika</w:t>
            </w:r>
          </w:p>
          <w:p w:rsidR="004B1D0A" w:rsidRPr="00D61228" w:rsidRDefault="004B1D0A" w:rsidP="001E7729">
            <w:pPr>
              <w:rPr>
                <w:szCs w:val="22"/>
                <w:lang w:val="sv-SE"/>
              </w:rPr>
            </w:pPr>
            <w:r w:rsidRPr="00D61228">
              <w:rPr>
                <w:szCs w:val="22"/>
                <w:lang w:val="sv-SE"/>
              </w:rPr>
              <w:t>sanofi-aventis, s.r.o.</w:t>
            </w:r>
          </w:p>
          <w:p w:rsidR="004B1D0A" w:rsidRPr="004359C7" w:rsidRDefault="004B1D0A" w:rsidP="001E7729">
            <w:pPr>
              <w:rPr>
                <w:szCs w:val="22"/>
                <w:lang w:val="it-IT"/>
              </w:rPr>
            </w:pPr>
            <w:r w:rsidRPr="004359C7">
              <w:rPr>
                <w:szCs w:val="22"/>
                <w:lang w:val="it-IT"/>
              </w:rPr>
              <w:t>Tel: +420 233 086 111</w:t>
            </w:r>
          </w:p>
          <w:p w:rsidR="004B1D0A" w:rsidRPr="004359C7" w:rsidRDefault="004B1D0A" w:rsidP="001E7729">
            <w:pPr>
              <w:rPr>
                <w:szCs w:val="22"/>
                <w:lang w:val="it-IT"/>
              </w:rPr>
            </w:pPr>
          </w:p>
        </w:tc>
        <w:tc>
          <w:tcPr>
            <w:tcW w:w="4678" w:type="dxa"/>
          </w:tcPr>
          <w:p w:rsidR="004B1D0A" w:rsidRPr="00123EBC" w:rsidRDefault="004B1D0A" w:rsidP="001E7729">
            <w:pPr>
              <w:rPr>
                <w:b/>
                <w:bCs/>
                <w:szCs w:val="22"/>
                <w:lang w:val="it-IT"/>
              </w:rPr>
            </w:pPr>
            <w:r w:rsidRPr="00123EBC">
              <w:rPr>
                <w:b/>
                <w:bCs/>
                <w:szCs w:val="22"/>
                <w:lang w:val="it-IT"/>
              </w:rPr>
              <w:t>Magyarország</w:t>
            </w:r>
          </w:p>
          <w:p w:rsidR="004B1D0A" w:rsidRPr="00123EBC" w:rsidRDefault="00162A70" w:rsidP="001E7729">
            <w:pPr>
              <w:rPr>
                <w:szCs w:val="22"/>
                <w:lang w:val="it-IT"/>
              </w:rPr>
            </w:pPr>
            <w:r w:rsidRPr="00123EBC">
              <w:rPr>
                <w:szCs w:val="22"/>
                <w:lang w:val="it-IT"/>
              </w:rPr>
              <w:t xml:space="preserve">SANOFI-AVENTIS Zrt. </w:t>
            </w:r>
          </w:p>
          <w:p w:rsidR="004B1D0A" w:rsidRPr="00123EBC" w:rsidRDefault="004B1D0A" w:rsidP="001E7729">
            <w:pPr>
              <w:rPr>
                <w:szCs w:val="22"/>
                <w:lang w:val="it-IT"/>
              </w:rPr>
            </w:pPr>
            <w:r w:rsidRPr="00123EBC">
              <w:rPr>
                <w:szCs w:val="22"/>
                <w:lang w:val="it-IT"/>
              </w:rPr>
              <w:t>Tel</w:t>
            </w:r>
            <w:r w:rsidR="00D96521" w:rsidRPr="00123EBC">
              <w:rPr>
                <w:szCs w:val="22"/>
                <w:lang w:val="it-IT"/>
              </w:rPr>
              <w:t>.</w:t>
            </w:r>
            <w:r w:rsidRPr="00123EBC">
              <w:rPr>
                <w:szCs w:val="22"/>
                <w:lang w:val="it-IT"/>
              </w:rPr>
              <w:t>: +36 1 505 0050</w:t>
            </w:r>
          </w:p>
          <w:p w:rsidR="004B1D0A" w:rsidRPr="00123EBC" w:rsidRDefault="004B1D0A" w:rsidP="001E7729">
            <w:pPr>
              <w:rPr>
                <w:szCs w:val="22"/>
                <w:lang w:val="it-IT"/>
              </w:rPr>
            </w:pPr>
          </w:p>
        </w:tc>
      </w:tr>
      <w:tr w:rsidR="004B1D0A" w:rsidRPr="003346F0">
        <w:trPr>
          <w:gridBefore w:val="1"/>
          <w:wBefore w:w="34" w:type="dxa"/>
          <w:cantSplit/>
        </w:trPr>
        <w:tc>
          <w:tcPr>
            <w:tcW w:w="4644" w:type="dxa"/>
          </w:tcPr>
          <w:p w:rsidR="004B1D0A" w:rsidRPr="004359C7" w:rsidRDefault="004B1D0A" w:rsidP="001E7729">
            <w:pPr>
              <w:rPr>
                <w:b/>
                <w:bCs/>
                <w:szCs w:val="22"/>
              </w:rPr>
            </w:pPr>
            <w:r w:rsidRPr="004359C7">
              <w:rPr>
                <w:b/>
                <w:bCs/>
                <w:szCs w:val="22"/>
              </w:rPr>
              <w:t>Danmark</w:t>
            </w:r>
          </w:p>
          <w:p w:rsidR="004B1D0A" w:rsidRPr="004359C7" w:rsidRDefault="00705F72" w:rsidP="001E7729">
            <w:pPr>
              <w:rPr>
                <w:szCs w:val="22"/>
              </w:rPr>
            </w:pPr>
            <w:r>
              <w:rPr>
                <w:szCs w:val="22"/>
              </w:rPr>
              <w:t>S</w:t>
            </w:r>
            <w:r w:rsidR="004B1D0A" w:rsidRPr="004359C7">
              <w:rPr>
                <w:szCs w:val="22"/>
              </w:rPr>
              <w:t>anofi A/S</w:t>
            </w:r>
          </w:p>
          <w:p w:rsidR="004B1D0A" w:rsidRPr="004359C7" w:rsidRDefault="004B1D0A" w:rsidP="001E7729">
            <w:pPr>
              <w:rPr>
                <w:szCs w:val="22"/>
              </w:rPr>
            </w:pPr>
            <w:r w:rsidRPr="004359C7">
              <w:rPr>
                <w:szCs w:val="22"/>
              </w:rPr>
              <w:t>Tlf: +45 45 16 70 00</w:t>
            </w:r>
          </w:p>
          <w:p w:rsidR="004B1D0A" w:rsidRPr="004359C7" w:rsidRDefault="004B1D0A" w:rsidP="001E7729">
            <w:pPr>
              <w:rPr>
                <w:szCs w:val="22"/>
              </w:rPr>
            </w:pPr>
          </w:p>
        </w:tc>
        <w:tc>
          <w:tcPr>
            <w:tcW w:w="4678" w:type="dxa"/>
          </w:tcPr>
          <w:p w:rsidR="004B1D0A" w:rsidRPr="00123EBC" w:rsidRDefault="004B1D0A" w:rsidP="001E7729">
            <w:pPr>
              <w:rPr>
                <w:b/>
                <w:bCs/>
                <w:szCs w:val="22"/>
                <w:lang w:val="fi-FI"/>
              </w:rPr>
            </w:pPr>
            <w:r w:rsidRPr="00123EBC">
              <w:rPr>
                <w:b/>
                <w:bCs/>
                <w:szCs w:val="22"/>
                <w:lang w:val="fi-FI"/>
              </w:rPr>
              <w:t>Malta</w:t>
            </w:r>
          </w:p>
          <w:p w:rsidR="00C42730" w:rsidRDefault="00C4516D" w:rsidP="00C42730">
            <w:pPr>
              <w:rPr>
                <w:sz w:val="24"/>
                <w:szCs w:val="22"/>
                <w:lang w:val="cs-CZ"/>
              </w:rPr>
            </w:pPr>
            <w:r w:rsidRPr="00EF7CDD">
              <w:rPr>
                <w:szCs w:val="22"/>
                <w:lang w:val="cs-CZ"/>
              </w:rPr>
              <w:t>Sanofi S.</w:t>
            </w:r>
            <w:r>
              <w:rPr>
                <w:szCs w:val="22"/>
                <w:lang w:val="cs-CZ"/>
              </w:rPr>
              <w:t>r</w:t>
            </w:r>
            <w:r w:rsidRPr="00EF7CDD">
              <w:rPr>
                <w:szCs w:val="22"/>
                <w:lang w:val="cs-CZ"/>
              </w:rPr>
              <w:t>.</w:t>
            </w:r>
            <w:r>
              <w:rPr>
                <w:szCs w:val="22"/>
                <w:lang w:val="cs-CZ"/>
              </w:rPr>
              <w:t>l</w:t>
            </w:r>
            <w:r w:rsidRPr="00EF7CDD">
              <w:rPr>
                <w:szCs w:val="22"/>
                <w:lang w:val="cs-CZ"/>
              </w:rPr>
              <w:t>.</w:t>
            </w:r>
          </w:p>
          <w:p w:rsidR="00C42730" w:rsidRDefault="00C42730" w:rsidP="00C42730">
            <w:pPr>
              <w:rPr>
                <w:szCs w:val="22"/>
                <w:lang w:val="cs-CZ"/>
              </w:rPr>
            </w:pPr>
            <w:r>
              <w:rPr>
                <w:szCs w:val="22"/>
                <w:lang w:val="cs-CZ"/>
              </w:rPr>
              <w:t>Tel: +39 02 39394275</w:t>
            </w:r>
          </w:p>
          <w:p w:rsidR="004B1D0A" w:rsidRPr="004359C7" w:rsidRDefault="004B1D0A" w:rsidP="001E7729">
            <w:pPr>
              <w:rPr>
                <w:szCs w:val="22"/>
                <w:lang w:val="it-IT"/>
              </w:rPr>
            </w:pPr>
          </w:p>
        </w:tc>
      </w:tr>
      <w:tr w:rsidR="004B1D0A" w:rsidRPr="008D2CB3">
        <w:trPr>
          <w:gridBefore w:val="1"/>
          <w:wBefore w:w="34" w:type="dxa"/>
          <w:cantSplit/>
        </w:trPr>
        <w:tc>
          <w:tcPr>
            <w:tcW w:w="4644" w:type="dxa"/>
          </w:tcPr>
          <w:p w:rsidR="004B1D0A" w:rsidRPr="004359C7" w:rsidRDefault="004B1D0A" w:rsidP="001E7729">
            <w:pPr>
              <w:rPr>
                <w:b/>
                <w:bCs/>
                <w:szCs w:val="22"/>
                <w:lang w:val="de-DE"/>
              </w:rPr>
            </w:pPr>
            <w:r w:rsidRPr="004359C7">
              <w:rPr>
                <w:b/>
                <w:bCs/>
                <w:szCs w:val="22"/>
                <w:lang w:val="de-DE"/>
              </w:rPr>
              <w:t>Deutschland</w:t>
            </w:r>
          </w:p>
          <w:p w:rsidR="004B1D0A" w:rsidRPr="004359C7" w:rsidRDefault="004B1D0A" w:rsidP="001E7729">
            <w:pPr>
              <w:rPr>
                <w:szCs w:val="22"/>
                <w:lang w:val="de-DE"/>
              </w:rPr>
            </w:pPr>
            <w:r w:rsidRPr="004359C7">
              <w:rPr>
                <w:szCs w:val="22"/>
                <w:lang w:val="de-DE"/>
              </w:rPr>
              <w:t>Sanofi-Aventis Deutschland GmbH</w:t>
            </w:r>
          </w:p>
          <w:p w:rsidR="00371C16" w:rsidRDefault="00371C16" w:rsidP="00371C16">
            <w:pPr>
              <w:rPr>
                <w:szCs w:val="22"/>
                <w:lang w:val="cs-CZ"/>
              </w:rPr>
            </w:pPr>
            <w:r>
              <w:rPr>
                <w:szCs w:val="22"/>
                <w:lang w:val="cs-CZ"/>
              </w:rPr>
              <w:t>Tel.: 0800 52 52 010</w:t>
            </w:r>
          </w:p>
          <w:p w:rsidR="004B1D0A" w:rsidRPr="004359C7" w:rsidRDefault="004B1D0A" w:rsidP="001E7729">
            <w:pPr>
              <w:rPr>
                <w:szCs w:val="22"/>
                <w:lang w:val="de-DE"/>
              </w:rPr>
            </w:pPr>
            <w:r w:rsidRPr="004359C7">
              <w:rPr>
                <w:szCs w:val="22"/>
                <w:lang w:val="de-DE"/>
              </w:rPr>
              <w:t>Tel</w:t>
            </w:r>
            <w:r w:rsidR="00371C16">
              <w:rPr>
                <w:szCs w:val="22"/>
                <w:lang w:val="de-DE"/>
              </w:rPr>
              <w:t>. aus dem Ausland</w:t>
            </w:r>
            <w:r w:rsidRPr="004359C7">
              <w:rPr>
                <w:szCs w:val="22"/>
                <w:lang w:val="de-DE"/>
              </w:rPr>
              <w:t xml:space="preserve">: +49 </w:t>
            </w:r>
            <w:r w:rsidR="00371C16">
              <w:rPr>
                <w:szCs w:val="22"/>
                <w:lang w:val="cs-CZ"/>
              </w:rPr>
              <w:t>69 305 21 131</w:t>
            </w:r>
          </w:p>
          <w:p w:rsidR="004B1D0A" w:rsidRPr="004359C7" w:rsidRDefault="004B1D0A" w:rsidP="001E7729">
            <w:pPr>
              <w:rPr>
                <w:szCs w:val="22"/>
                <w:lang w:val="de-DE"/>
              </w:rPr>
            </w:pPr>
          </w:p>
        </w:tc>
        <w:tc>
          <w:tcPr>
            <w:tcW w:w="4678" w:type="dxa"/>
          </w:tcPr>
          <w:p w:rsidR="009D2D8C" w:rsidRPr="004359C7" w:rsidRDefault="009D2D8C" w:rsidP="009D2D8C">
            <w:pPr>
              <w:rPr>
                <w:b/>
                <w:bCs/>
                <w:szCs w:val="22"/>
                <w:lang w:val="cs-CZ"/>
              </w:rPr>
            </w:pPr>
            <w:r w:rsidRPr="004359C7">
              <w:rPr>
                <w:b/>
                <w:bCs/>
                <w:szCs w:val="22"/>
                <w:lang w:val="cs-CZ"/>
              </w:rPr>
              <w:t>Nederland</w:t>
            </w:r>
          </w:p>
          <w:p w:rsidR="009D2D8C" w:rsidRPr="004359C7" w:rsidRDefault="009D2D8C" w:rsidP="009D2D8C">
            <w:pPr>
              <w:rPr>
                <w:szCs w:val="22"/>
                <w:lang w:val="cs-CZ"/>
              </w:rPr>
            </w:pPr>
            <w:r>
              <w:rPr>
                <w:szCs w:val="22"/>
                <w:lang w:val="nl-NL"/>
              </w:rPr>
              <w:t xml:space="preserve">Genzyme Europe </w:t>
            </w:r>
            <w:r w:rsidRPr="004359C7">
              <w:rPr>
                <w:szCs w:val="22"/>
                <w:lang w:val="cs-CZ"/>
              </w:rPr>
              <w:t>B.V.</w:t>
            </w:r>
          </w:p>
          <w:p w:rsidR="009D2D8C" w:rsidRPr="004359C7" w:rsidRDefault="009D2D8C" w:rsidP="009D2D8C">
            <w:pPr>
              <w:rPr>
                <w:szCs w:val="22"/>
                <w:lang w:val="nl-NL"/>
              </w:rPr>
            </w:pPr>
            <w:r w:rsidRPr="004359C7">
              <w:rPr>
                <w:szCs w:val="22"/>
                <w:lang w:val="cs-CZ"/>
              </w:rPr>
              <w:t xml:space="preserve">Tel: +31 </w:t>
            </w:r>
            <w:r>
              <w:rPr>
                <w:szCs w:val="22"/>
                <w:lang w:val="cs-CZ"/>
              </w:rPr>
              <w:t>20 245 4000</w:t>
            </w:r>
          </w:p>
          <w:p w:rsidR="004B1D0A" w:rsidRPr="004359C7" w:rsidRDefault="004B1D0A" w:rsidP="001E7729">
            <w:pPr>
              <w:rPr>
                <w:szCs w:val="22"/>
              </w:rPr>
            </w:pPr>
          </w:p>
        </w:tc>
      </w:tr>
      <w:tr w:rsidR="004B1D0A" w:rsidRPr="00123EBC">
        <w:trPr>
          <w:gridBefore w:val="1"/>
          <w:wBefore w:w="34" w:type="dxa"/>
          <w:cantSplit/>
        </w:trPr>
        <w:tc>
          <w:tcPr>
            <w:tcW w:w="4644" w:type="dxa"/>
          </w:tcPr>
          <w:p w:rsidR="004B1D0A" w:rsidRPr="004359C7" w:rsidRDefault="004B1D0A" w:rsidP="001E7729">
            <w:pPr>
              <w:rPr>
                <w:b/>
                <w:bCs/>
                <w:szCs w:val="22"/>
                <w:lang w:val="it-IT"/>
              </w:rPr>
            </w:pPr>
            <w:r w:rsidRPr="004359C7">
              <w:rPr>
                <w:b/>
                <w:bCs/>
                <w:szCs w:val="22"/>
                <w:lang w:val="it-IT"/>
              </w:rPr>
              <w:t>Eesti</w:t>
            </w:r>
          </w:p>
          <w:p w:rsidR="004B1D0A" w:rsidRPr="004359C7" w:rsidRDefault="004B1D0A" w:rsidP="001E7729">
            <w:pPr>
              <w:rPr>
                <w:szCs w:val="22"/>
                <w:lang w:val="it-IT"/>
              </w:rPr>
            </w:pPr>
            <w:r w:rsidRPr="004359C7">
              <w:rPr>
                <w:szCs w:val="22"/>
                <w:lang w:val="it-IT"/>
              </w:rPr>
              <w:t>sanofi-aventis Estonia OÜ</w:t>
            </w:r>
          </w:p>
          <w:p w:rsidR="004B1D0A" w:rsidRPr="004359C7" w:rsidRDefault="004B1D0A" w:rsidP="001E7729">
            <w:pPr>
              <w:rPr>
                <w:szCs w:val="22"/>
                <w:lang w:val="it-IT"/>
              </w:rPr>
            </w:pPr>
            <w:r w:rsidRPr="004359C7">
              <w:rPr>
                <w:szCs w:val="22"/>
                <w:lang w:val="it-IT"/>
              </w:rPr>
              <w:t>Tel: +372 627 3488</w:t>
            </w:r>
          </w:p>
          <w:p w:rsidR="004B1D0A" w:rsidRPr="004359C7" w:rsidRDefault="004B1D0A" w:rsidP="001E7729">
            <w:pPr>
              <w:rPr>
                <w:szCs w:val="22"/>
                <w:lang w:val="it-IT"/>
              </w:rPr>
            </w:pPr>
          </w:p>
        </w:tc>
        <w:tc>
          <w:tcPr>
            <w:tcW w:w="4678" w:type="dxa"/>
          </w:tcPr>
          <w:p w:rsidR="004B1D0A" w:rsidRPr="004359C7" w:rsidRDefault="004B1D0A" w:rsidP="001E7729">
            <w:pPr>
              <w:rPr>
                <w:b/>
                <w:bCs/>
                <w:szCs w:val="22"/>
              </w:rPr>
            </w:pPr>
            <w:r w:rsidRPr="004359C7">
              <w:rPr>
                <w:b/>
                <w:bCs/>
                <w:szCs w:val="22"/>
              </w:rPr>
              <w:t>Norge</w:t>
            </w:r>
          </w:p>
          <w:p w:rsidR="004B1D0A" w:rsidRPr="004359C7" w:rsidRDefault="004B1D0A" w:rsidP="001E7729">
            <w:pPr>
              <w:rPr>
                <w:szCs w:val="22"/>
              </w:rPr>
            </w:pPr>
            <w:r w:rsidRPr="004359C7">
              <w:rPr>
                <w:szCs w:val="22"/>
              </w:rPr>
              <w:t xml:space="preserve">sanofi-aventis </w:t>
            </w:r>
            <w:smartTag w:uri="urn:schemas-microsoft-com:office:smarttags" w:element="place">
              <w:smartTag w:uri="urn:schemas-microsoft-com:office:smarttags" w:element="City">
                <w:r w:rsidRPr="004359C7">
                  <w:rPr>
                    <w:szCs w:val="22"/>
                  </w:rPr>
                  <w:t>Norge</w:t>
                </w:r>
              </w:smartTag>
              <w:r w:rsidRPr="004359C7">
                <w:rPr>
                  <w:szCs w:val="22"/>
                </w:rPr>
                <w:t xml:space="preserve"> </w:t>
              </w:r>
              <w:smartTag w:uri="urn:schemas-microsoft-com:office:smarttags" w:element="State">
                <w:r w:rsidRPr="004359C7">
                  <w:rPr>
                    <w:szCs w:val="22"/>
                  </w:rPr>
                  <w:t>AS</w:t>
                </w:r>
              </w:smartTag>
            </w:smartTag>
          </w:p>
          <w:p w:rsidR="004B1D0A" w:rsidRPr="004359C7" w:rsidRDefault="004B1D0A" w:rsidP="001E7729">
            <w:pPr>
              <w:rPr>
                <w:szCs w:val="22"/>
              </w:rPr>
            </w:pPr>
            <w:r w:rsidRPr="004359C7">
              <w:rPr>
                <w:szCs w:val="22"/>
              </w:rPr>
              <w:t>Tlf: +47 67 10 71 00</w:t>
            </w:r>
          </w:p>
          <w:p w:rsidR="004B1D0A" w:rsidRPr="004359C7" w:rsidRDefault="004B1D0A" w:rsidP="001E7729">
            <w:pPr>
              <w:rPr>
                <w:szCs w:val="22"/>
              </w:rPr>
            </w:pPr>
          </w:p>
        </w:tc>
      </w:tr>
      <w:tr w:rsidR="004B1D0A" w:rsidRPr="004B1D0A">
        <w:trPr>
          <w:gridBefore w:val="1"/>
          <w:wBefore w:w="34" w:type="dxa"/>
          <w:cantSplit/>
        </w:trPr>
        <w:tc>
          <w:tcPr>
            <w:tcW w:w="4644" w:type="dxa"/>
          </w:tcPr>
          <w:p w:rsidR="004B1D0A" w:rsidRPr="00123EBC" w:rsidRDefault="004B1D0A" w:rsidP="001E7729">
            <w:pPr>
              <w:rPr>
                <w:b/>
                <w:bCs/>
                <w:szCs w:val="22"/>
                <w:lang w:val="sv-SE"/>
              </w:rPr>
            </w:pPr>
            <w:r w:rsidRPr="004359C7">
              <w:rPr>
                <w:b/>
                <w:bCs/>
                <w:szCs w:val="22"/>
              </w:rPr>
              <w:t>Ελλάδα</w:t>
            </w:r>
          </w:p>
          <w:p w:rsidR="004B1D0A" w:rsidRPr="00123EBC" w:rsidRDefault="004B1D0A" w:rsidP="001E7729">
            <w:pPr>
              <w:rPr>
                <w:szCs w:val="22"/>
                <w:lang w:val="sv-SE"/>
              </w:rPr>
            </w:pPr>
            <w:r w:rsidRPr="00123EBC">
              <w:rPr>
                <w:szCs w:val="22"/>
                <w:lang w:val="sv-SE"/>
              </w:rPr>
              <w:t>sanofi-aventis AEBE</w:t>
            </w:r>
          </w:p>
          <w:p w:rsidR="004B1D0A" w:rsidRPr="00123EBC" w:rsidRDefault="004B1D0A" w:rsidP="001E7729">
            <w:pPr>
              <w:rPr>
                <w:szCs w:val="22"/>
                <w:lang w:val="sv-SE"/>
              </w:rPr>
            </w:pPr>
            <w:r w:rsidRPr="004359C7">
              <w:rPr>
                <w:szCs w:val="22"/>
              </w:rPr>
              <w:t>Τηλ</w:t>
            </w:r>
            <w:r w:rsidRPr="00123EBC">
              <w:rPr>
                <w:szCs w:val="22"/>
                <w:lang w:val="sv-SE"/>
              </w:rPr>
              <w:t>: +30 210 900 16 00</w:t>
            </w:r>
          </w:p>
          <w:p w:rsidR="004B1D0A" w:rsidRPr="00123EBC" w:rsidRDefault="004B1D0A" w:rsidP="001E7729">
            <w:pPr>
              <w:rPr>
                <w:szCs w:val="22"/>
                <w:lang w:val="sv-SE"/>
              </w:rPr>
            </w:pPr>
          </w:p>
        </w:tc>
        <w:tc>
          <w:tcPr>
            <w:tcW w:w="4678" w:type="dxa"/>
            <w:tcBorders>
              <w:top w:val="nil"/>
              <w:left w:val="nil"/>
              <w:bottom w:val="nil"/>
              <w:right w:val="nil"/>
            </w:tcBorders>
          </w:tcPr>
          <w:p w:rsidR="004B1D0A" w:rsidRPr="004359C7" w:rsidRDefault="004B1D0A" w:rsidP="001E7729">
            <w:pPr>
              <w:rPr>
                <w:b/>
                <w:bCs/>
                <w:szCs w:val="22"/>
                <w:lang w:val="de-DE"/>
              </w:rPr>
            </w:pPr>
            <w:r w:rsidRPr="004359C7">
              <w:rPr>
                <w:b/>
                <w:bCs/>
                <w:szCs w:val="22"/>
                <w:lang w:val="de-DE"/>
              </w:rPr>
              <w:t>Österreich</w:t>
            </w:r>
          </w:p>
          <w:p w:rsidR="004B1D0A" w:rsidRPr="004359C7" w:rsidRDefault="004B1D0A" w:rsidP="001E7729">
            <w:pPr>
              <w:rPr>
                <w:szCs w:val="22"/>
                <w:lang w:val="de-DE"/>
              </w:rPr>
            </w:pPr>
            <w:r w:rsidRPr="004359C7">
              <w:rPr>
                <w:szCs w:val="22"/>
                <w:lang w:val="de-DE"/>
              </w:rPr>
              <w:t>sanofi-aventis GmbH</w:t>
            </w:r>
          </w:p>
          <w:p w:rsidR="004B1D0A" w:rsidRPr="004359C7" w:rsidRDefault="004B1D0A" w:rsidP="001E7729">
            <w:pPr>
              <w:rPr>
                <w:szCs w:val="22"/>
                <w:lang w:val="de-DE"/>
              </w:rPr>
            </w:pPr>
            <w:r w:rsidRPr="004359C7">
              <w:rPr>
                <w:szCs w:val="22"/>
                <w:lang w:val="de-DE"/>
              </w:rPr>
              <w:t>Tel: +43 1 80 185 – 0</w:t>
            </w:r>
          </w:p>
          <w:p w:rsidR="004B1D0A" w:rsidRPr="004359C7" w:rsidRDefault="004B1D0A" w:rsidP="001E7729">
            <w:pPr>
              <w:rPr>
                <w:szCs w:val="22"/>
                <w:lang w:val="de-DE"/>
              </w:rPr>
            </w:pPr>
          </w:p>
        </w:tc>
      </w:tr>
      <w:tr w:rsidR="004B1D0A" w:rsidRPr="008D2CB3">
        <w:trPr>
          <w:gridBefore w:val="1"/>
          <w:wBefore w:w="34" w:type="dxa"/>
          <w:cantSplit/>
        </w:trPr>
        <w:tc>
          <w:tcPr>
            <w:tcW w:w="4644" w:type="dxa"/>
            <w:tcBorders>
              <w:top w:val="nil"/>
              <w:left w:val="nil"/>
              <w:bottom w:val="nil"/>
              <w:right w:val="nil"/>
            </w:tcBorders>
          </w:tcPr>
          <w:p w:rsidR="004B1D0A" w:rsidRPr="00D61228" w:rsidRDefault="004B1D0A" w:rsidP="001E7729">
            <w:pPr>
              <w:rPr>
                <w:b/>
                <w:bCs/>
                <w:szCs w:val="22"/>
                <w:lang w:val="es-ES"/>
              </w:rPr>
            </w:pPr>
            <w:r w:rsidRPr="00D61228">
              <w:rPr>
                <w:b/>
                <w:bCs/>
                <w:szCs w:val="22"/>
                <w:lang w:val="es-ES"/>
              </w:rPr>
              <w:t>España</w:t>
            </w:r>
          </w:p>
          <w:p w:rsidR="004B1D0A" w:rsidRPr="00D61228" w:rsidRDefault="004B1D0A" w:rsidP="001E7729">
            <w:pPr>
              <w:rPr>
                <w:smallCaps/>
                <w:szCs w:val="22"/>
                <w:lang w:val="es-ES"/>
              </w:rPr>
            </w:pPr>
            <w:r w:rsidRPr="00D61228">
              <w:rPr>
                <w:szCs w:val="22"/>
                <w:lang w:val="es-ES"/>
              </w:rPr>
              <w:t>sanofi-aventis, S.A.</w:t>
            </w:r>
          </w:p>
          <w:p w:rsidR="004B1D0A" w:rsidRPr="004359C7" w:rsidRDefault="004B1D0A" w:rsidP="001E7729">
            <w:pPr>
              <w:rPr>
                <w:szCs w:val="22"/>
              </w:rPr>
            </w:pPr>
            <w:r w:rsidRPr="004359C7">
              <w:rPr>
                <w:szCs w:val="22"/>
              </w:rPr>
              <w:t>Tel: +34 93 485 94 00</w:t>
            </w:r>
          </w:p>
          <w:p w:rsidR="004B1D0A" w:rsidRPr="004359C7" w:rsidRDefault="004B1D0A" w:rsidP="001E7729">
            <w:pPr>
              <w:rPr>
                <w:szCs w:val="22"/>
              </w:rPr>
            </w:pPr>
          </w:p>
        </w:tc>
        <w:tc>
          <w:tcPr>
            <w:tcW w:w="4678" w:type="dxa"/>
          </w:tcPr>
          <w:p w:rsidR="004B1D0A" w:rsidRPr="00D61228" w:rsidRDefault="004B1D0A" w:rsidP="001E7729">
            <w:pPr>
              <w:rPr>
                <w:b/>
                <w:bCs/>
                <w:szCs w:val="22"/>
                <w:lang w:val="sv-SE"/>
              </w:rPr>
            </w:pPr>
            <w:r w:rsidRPr="00D61228">
              <w:rPr>
                <w:b/>
                <w:bCs/>
                <w:szCs w:val="22"/>
                <w:lang w:val="sv-SE"/>
              </w:rPr>
              <w:t>Polska</w:t>
            </w:r>
          </w:p>
          <w:p w:rsidR="004B1D0A" w:rsidRPr="00D61228" w:rsidRDefault="004B1D0A" w:rsidP="001E7729">
            <w:pPr>
              <w:rPr>
                <w:szCs w:val="22"/>
                <w:lang w:val="sv-SE"/>
              </w:rPr>
            </w:pPr>
            <w:r w:rsidRPr="00D61228">
              <w:rPr>
                <w:szCs w:val="22"/>
                <w:lang w:val="sv-SE"/>
              </w:rPr>
              <w:t>sanofi-aventis Sp. z o.o.</w:t>
            </w:r>
          </w:p>
          <w:p w:rsidR="004B1D0A" w:rsidRPr="00697C8C" w:rsidRDefault="004B1D0A" w:rsidP="001E7729">
            <w:pPr>
              <w:rPr>
                <w:szCs w:val="22"/>
                <w:lang w:val="fr-FR"/>
              </w:rPr>
            </w:pPr>
            <w:r>
              <w:rPr>
                <w:szCs w:val="22"/>
                <w:lang w:val="fr-FR"/>
              </w:rPr>
              <w:t>Tel:</w:t>
            </w:r>
            <w:r w:rsidRPr="00697C8C">
              <w:rPr>
                <w:szCs w:val="22"/>
                <w:lang w:val="fr-FR"/>
              </w:rPr>
              <w:t xml:space="preserve"> </w:t>
            </w:r>
            <w:r>
              <w:rPr>
                <w:szCs w:val="22"/>
                <w:lang w:val="fr-FR"/>
              </w:rPr>
              <w:t xml:space="preserve">+48 </w:t>
            </w:r>
            <w:r w:rsidRPr="00697C8C">
              <w:rPr>
                <w:szCs w:val="22"/>
                <w:lang w:val="fr-FR"/>
              </w:rPr>
              <w:t>22 280 00 00</w:t>
            </w:r>
          </w:p>
          <w:p w:rsidR="004B1D0A" w:rsidRPr="004359C7" w:rsidRDefault="004B1D0A" w:rsidP="001E7729">
            <w:pPr>
              <w:rPr>
                <w:szCs w:val="22"/>
              </w:rPr>
            </w:pPr>
          </w:p>
        </w:tc>
      </w:tr>
      <w:tr w:rsidR="004B1D0A" w:rsidRPr="00123EBC">
        <w:trPr>
          <w:cantSplit/>
        </w:trPr>
        <w:tc>
          <w:tcPr>
            <w:tcW w:w="4678" w:type="dxa"/>
            <w:gridSpan w:val="2"/>
          </w:tcPr>
          <w:p w:rsidR="004B1D0A" w:rsidRPr="004359C7" w:rsidRDefault="004B1D0A" w:rsidP="001E7729">
            <w:pPr>
              <w:rPr>
                <w:b/>
                <w:bCs/>
                <w:szCs w:val="22"/>
                <w:lang w:val="fr-FR"/>
              </w:rPr>
            </w:pPr>
            <w:r w:rsidRPr="004359C7">
              <w:rPr>
                <w:b/>
                <w:bCs/>
                <w:szCs w:val="22"/>
                <w:lang w:val="fr-FR"/>
              </w:rPr>
              <w:t>France</w:t>
            </w:r>
          </w:p>
          <w:p w:rsidR="004B1D0A" w:rsidRPr="004359C7" w:rsidRDefault="004B1D0A" w:rsidP="001E7729">
            <w:pPr>
              <w:rPr>
                <w:szCs w:val="22"/>
                <w:lang w:val="fr-FR"/>
              </w:rPr>
            </w:pPr>
            <w:r w:rsidRPr="004359C7">
              <w:rPr>
                <w:szCs w:val="22"/>
                <w:lang w:val="fr-FR"/>
              </w:rPr>
              <w:t>sanofi-aventis France</w:t>
            </w:r>
          </w:p>
          <w:p w:rsidR="004B1D0A" w:rsidRPr="004359C7" w:rsidRDefault="004B1D0A" w:rsidP="001E7729">
            <w:pPr>
              <w:rPr>
                <w:szCs w:val="22"/>
                <w:lang w:val="fr-FR"/>
              </w:rPr>
            </w:pPr>
            <w:r w:rsidRPr="004359C7">
              <w:rPr>
                <w:szCs w:val="22"/>
                <w:lang w:val="fr-FR"/>
              </w:rPr>
              <w:t>Tél: 0 800 222 555</w:t>
            </w:r>
          </w:p>
          <w:p w:rsidR="004B1D0A" w:rsidRPr="004359C7" w:rsidRDefault="004B1D0A" w:rsidP="001E7729">
            <w:pPr>
              <w:rPr>
                <w:szCs w:val="22"/>
              </w:rPr>
            </w:pPr>
            <w:r w:rsidRPr="004359C7">
              <w:rPr>
                <w:szCs w:val="22"/>
              </w:rPr>
              <w:t>Appel depuis l’étranger: +33 1 57 63 23 23</w:t>
            </w:r>
          </w:p>
          <w:p w:rsidR="004B1D0A" w:rsidRPr="004359C7" w:rsidRDefault="004B1D0A" w:rsidP="001E7729">
            <w:pPr>
              <w:rPr>
                <w:szCs w:val="22"/>
              </w:rPr>
            </w:pPr>
          </w:p>
        </w:tc>
        <w:tc>
          <w:tcPr>
            <w:tcW w:w="4678" w:type="dxa"/>
          </w:tcPr>
          <w:p w:rsidR="004B1D0A" w:rsidRPr="00D61228" w:rsidRDefault="004B1D0A" w:rsidP="001E7729">
            <w:pPr>
              <w:rPr>
                <w:b/>
                <w:szCs w:val="22"/>
                <w:lang w:val="pt-BR"/>
              </w:rPr>
            </w:pPr>
            <w:r w:rsidRPr="00D61228">
              <w:rPr>
                <w:b/>
                <w:szCs w:val="22"/>
                <w:lang w:val="pt-BR"/>
              </w:rPr>
              <w:t>Portugal</w:t>
            </w:r>
          </w:p>
          <w:p w:rsidR="004B1D0A" w:rsidRPr="00D61228" w:rsidRDefault="004B1D0A" w:rsidP="001E7729">
            <w:pPr>
              <w:rPr>
                <w:szCs w:val="22"/>
                <w:lang w:val="pt-BR"/>
              </w:rPr>
            </w:pPr>
            <w:r>
              <w:rPr>
                <w:szCs w:val="22"/>
                <w:lang w:val="pt-BR"/>
              </w:rPr>
              <w:t>Sanofi</w:t>
            </w:r>
            <w:r w:rsidRPr="00D61228">
              <w:rPr>
                <w:szCs w:val="22"/>
                <w:lang w:val="pt-BR"/>
              </w:rPr>
              <w:t xml:space="preserve"> - Produtos Farmacêuticos, Lda</w:t>
            </w:r>
          </w:p>
          <w:p w:rsidR="004B1D0A" w:rsidRPr="00100BBB" w:rsidRDefault="004B1D0A" w:rsidP="001E7729">
            <w:pPr>
              <w:rPr>
                <w:szCs w:val="22"/>
                <w:lang w:val="pt-BR"/>
              </w:rPr>
            </w:pPr>
            <w:r w:rsidRPr="00100BBB">
              <w:rPr>
                <w:szCs w:val="22"/>
                <w:lang w:val="pt-BR"/>
              </w:rPr>
              <w:t>Tel: +351 21 35 89 400</w:t>
            </w:r>
          </w:p>
          <w:p w:rsidR="004B1D0A" w:rsidRPr="00100BBB" w:rsidRDefault="004B1D0A" w:rsidP="001E7729">
            <w:pPr>
              <w:rPr>
                <w:szCs w:val="22"/>
                <w:lang w:val="pt-BR"/>
              </w:rPr>
            </w:pPr>
          </w:p>
        </w:tc>
      </w:tr>
      <w:tr w:rsidR="004B1D0A" w:rsidRPr="003346F0">
        <w:trPr>
          <w:gridBefore w:val="1"/>
          <w:wBefore w:w="34" w:type="dxa"/>
          <w:cantSplit/>
        </w:trPr>
        <w:tc>
          <w:tcPr>
            <w:tcW w:w="4644" w:type="dxa"/>
          </w:tcPr>
          <w:p w:rsidR="006214B0" w:rsidRPr="00100BBB" w:rsidRDefault="006214B0" w:rsidP="001E7729">
            <w:pPr>
              <w:keepNext/>
              <w:rPr>
                <w:rFonts w:eastAsia="SimSun"/>
                <w:b/>
                <w:bCs/>
                <w:szCs w:val="22"/>
                <w:lang w:val="pt-BR" w:eastAsia="zh-CN"/>
              </w:rPr>
            </w:pPr>
            <w:r w:rsidRPr="00100BBB">
              <w:rPr>
                <w:rFonts w:eastAsia="SimSun"/>
                <w:b/>
                <w:bCs/>
                <w:szCs w:val="22"/>
                <w:lang w:val="pt-BR" w:eastAsia="zh-CN"/>
              </w:rPr>
              <w:t>Hrvatska</w:t>
            </w:r>
          </w:p>
          <w:p w:rsidR="006214B0" w:rsidRPr="00100BBB" w:rsidRDefault="006214B0" w:rsidP="001E7729">
            <w:pPr>
              <w:rPr>
                <w:rFonts w:eastAsia="SimSun"/>
                <w:szCs w:val="22"/>
                <w:lang w:val="pt-BR" w:eastAsia="zh-CN"/>
              </w:rPr>
            </w:pPr>
            <w:r w:rsidRPr="00100BBB">
              <w:rPr>
                <w:rFonts w:eastAsia="SimSun"/>
                <w:szCs w:val="22"/>
                <w:lang w:val="pt-BR" w:eastAsia="zh-CN"/>
              </w:rPr>
              <w:t>sanofi-aventis Croatia d.o.o.</w:t>
            </w:r>
          </w:p>
          <w:p w:rsidR="004B1D0A" w:rsidRPr="001F3C3C" w:rsidRDefault="006214B0" w:rsidP="001E7729">
            <w:pPr>
              <w:rPr>
                <w:szCs w:val="22"/>
                <w:lang w:val="fr-FR"/>
              </w:rPr>
            </w:pPr>
            <w:r w:rsidRPr="00A23182">
              <w:rPr>
                <w:rFonts w:eastAsia="SimSun"/>
                <w:szCs w:val="22"/>
                <w:lang w:val="fr-FR" w:eastAsia="zh-CN"/>
              </w:rPr>
              <w:t>Tel: +385 1 600 34 00</w:t>
            </w:r>
          </w:p>
        </w:tc>
        <w:tc>
          <w:tcPr>
            <w:tcW w:w="4678" w:type="dxa"/>
          </w:tcPr>
          <w:p w:rsidR="004B1D0A" w:rsidRPr="004359C7" w:rsidRDefault="004B1D0A" w:rsidP="001E7729">
            <w:pPr>
              <w:tabs>
                <w:tab w:val="left" w:pos="-720"/>
                <w:tab w:val="left" w:pos="4536"/>
              </w:tabs>
              <w:suppressAutoHyphens/>
              <w:rPr>
                <w:b/>
                <w:noProof/>
                <w:szCs w:val="22"/>
                <w:lang w:val="it-IT"/>
              </w:rPr>
            </w:pPr>
            <w:r w:rsidRPr="004359C7">
              <w:rPr>
                <w:b/>
                <w:noProof/>
                <w:szCs w:val="22"/>
                <w:lang w:val="it-IT"/>
              </w:rPr>
              <w:t>România</w:t>
            </w:r>
          </w:p>
          <w:p w:rsidR="004B1D0A" w:rsidRPr="004359C7" w:rsidRDefault="00F612CB" w:rsidP="001E7729">
            <w:pPr>
              <w:tabs>
                <w:tab w:val="left" w:pos="-720"/>
                <w:tab w:val="left" w:pos="4536"/>
              </w:tabs>
              <w:suppressAutoHyphens/>
              <w:rPr>
                <w:noProof/>
                <w:szCs w:val="22"/>
                <w:lang w:val="it-IT"/>
              </w:rPr>
            </w:pPr>
            <w:r>
              <w:rPr>
                <w:bCs/>
                <w:szCs w:val="22"/>
                <w:lang w:val="it-IT"/>
              </w:rPr>
              <w:t>S</w:t>
            </w:r>
            <w:r w:rsidR="004B1D0A" w:rsidRPr="004359C7">
              <w:rPr>
                <w:bCs/>
                <w:szCs w:val="22"/>
                <w:lang w:val="it-IT"/>
              </w:rPr>
              <w:t>anofi Rom</w:t>
            </w:r>
            <w:r>
              <w:rPr>
                <w:bCs/>
                <w:szCs w:val="22"/>
                <w:lang w:val="it-IT"/>
              </w:rPr>
              <w:t>a</w:t>
            </w:r>
            <w:r w:rsidR="004B1D0A" w:rsidRPr="004359C7">
              <w:rPr>
                <w:bCs/>
                <w:szCs w:val="22"/>
                <w:lang w:val="it-IT"/>
              </w:rPr>
              <w:t>nia SRL</w:t>
            </w:r>
          </w:p>
          <w:p w:rsidR="004B1D0A" w:rsidRPr="004359C7" w:rsidRDefault="004B1D0A" w:rsidP="001E7729">
            <w:pPr>
              <w:rPr>
                <w:szCs w:val="22"/>
                <w:lang w:val="it-IT"/>
              </w:rPr>
            </w:pPr>
            <w:r w:rsidRPr="004359C7">
              <w:rPr>
                <w:noProof/>
                <w:szCs w:val="22"/>
                <w:lang w:val="it-IT"/>
              </w:rPr>
              <w:t xml:space="preserve">Tel: +40 </w:t>
            </w:r>
            <w:r w:rsidRPr="004359C7">
              <w:rPr>
                <w:szCs w:val="22"/>
                <w:lang w:val="it-IT"/>
              </w:rPr>
              <w:t>(0) 21 317 31 36</w:t>
            </w:r>
          </w:p>
          <w:p w:rsidR="004B1D0A" w:rsidRPr="004359C7" w:rsidRDefault="004B1D0A" w:rsidP="001E7729">
            <w:pPr>
              <w:rPr>
                <w:szCs w:val="22"/>
                <w:lang w:val="it-IT"/>
              </w:rPr>
            </w:pPr>
          </w:p>
        </w:tc>
      </w:tr>
      <w:tr w:rsidR="004B1D0A" w:rsidRPr="008D2CB3">
        <w:trPr>
          <w:gridBefore w:val="1"/>
          <w:wBefore w:w="34" w:type="dxa"/>
          <w:cantSplit/>
        </w:trPr>
        <w:tc>
          <w:tcPr>
            <w:tcW w:w="4644" w:type="dxa"/>
          </w:tcPr>
          <w:p w:rsidR="004B1D0A" w:rsidRPr="00855BDB" w:rsidRDefault="004B1D0A" w:rsidP="001E7729">
            <w:pPr>
              <w:rPr>
                <w:b/>
                <w:szCs w:val="22"/>
                <w:lang w:val="fr-FR"/>
              </w:rPr>
            </w:pPr>
            <w:r w:rsidRPr="00855BDB">
              <w:rPr>
                <w:b/>
                <w:szCs w:val="22"/>
                <w:lang w:val="fr-FR"/>
              </w:rPr>
              <w:t>Ireland</w:t>
            </w:r>
          </w:p>
          <w:p w:rsidR="004B1D0A" w:rsidRPr="00855BDB" w:rsidRDefault="004B1D0A" w:rsidP="001E7729">
            <w:pPr>
              <w:rPr>
                <w:szCs w:val="22"/>
                <w:lang w:val="fr-FR"/>
              </w:rPr>
            </w:pPr>
            <w:r w:rsidRPr="00855BDB">
              <w:rPr>
                <w:szCs w:val="22"/>
                <w:lang w:val="fr-FR"/>
              </w:rPr>
              <w:t>sanofi-aventis Ireland Ltd.</w:t>
            </w:r>
            <w:r>
              <w:rPr>
                <w:szCs w:val="22"/>
                <w:lang w:val="fr-FR"/>
              </w:rPr>
              <w:t xml:space="preserve"> T/A SANOFI</w:t>
            </w:r>
          </w:p>
          <w:p w:rsidR="004B1D0A" w:rsidRPr="001F3C3C" w:rsidRDefault="004B1D0A" w:rsidP="001E7729">
            <w:pPr>
              <w:rPr>
                <w:szCs w:val="22"/>
                <w:lang w:val="fr-FR"/>
              </w:rPr>
            </w:pPr>
            <w:r w:rsidRPr="001F3C3C">
              <w:rPr>
                <w:szCs w:val="22"/>
                <w:lang w:val="fr-FR"/>
              </w:rPr>
              <w:t>Tel: +353 (0) 1 403 56 00</w:t>
            </w:r>
          </w:p>
          <w:p w:rsidR="004B1D0A" w:rsidRPr="001F3C3C" w:rsidRDefault="004B1D0A" w:rsidP="001E7729">
            <w:pPr>
              <w:rPr>
                <w:szCs w:val="22"/>
                <w:lang w:val="fr-FR"/>
              </w:rPr>
            </w:pPr>
          </w:p>
        </w:tc>
        <w:tc>
          <w:tcPr>
            <w:tcW w:w="4678" w:type="dxa"/>
          </w:tcPr>
          <w:p w:rsidR="004B1D0A" w:rsidRPr="004359C7" w:rsidRDefault="004B1D0A" w:rsidP="001E7729">
            <w:pPr>
              <w:rPr>
                <w:b/>
                <w:bCs/>
                <w:szCs w:val="22"/>
                <w:lang w:val="it-IT"/>
              </w:rPr>
            </w:pPr>
            <w:r w:rsidRPr="004359C7">
              <w:rPr>
                <w:b/>
                <w:bCs/>
                <w:szCs w:val="22"/>
                <w:lang w:val="it-IT"/>
              </w:rPr>
              <w:t>Slovenija</w:t>
            </w:r>
          </w:p>
          <w:p w:rsidR="004B1D0A" w:rsidRPr="004359C7" w:rsidRDefault="004B1D0A" w:rsidP="001E7729">
            <w:pPr>
              <w:rPr>
                <w:szCs w:val="22"/>
                <w:lang w:val="it-IT"/>
              </w:rPr>
            </w:pPr>
            <w:r w:rsidRPr="004359C7">
              <w:rPr>
                <w:szCs w:val="22"/>
                <w:lang w:val="it-IT"/>
              </w:rPr>
              <w:t>sanofi-aventis d.o.o.</w:t>
            </w:r>
          </w:p>
          <w:p w:rsidR="004B1D0A" w:rsidRPr="004359C7" w:rsidRDefault="004B1D0A" w:rsidP="001E7729">
            <w:pPr>
              <w:rPr>
                <w:szCs w:val="22"/>
                <w:lang w:val="it-IT"/>
              </w:rPr>
            </w:pPr>
            <w:r w:rsidRPr="004359C7">
              <w:rPr>
                <w:szCs w:val="22"/>
                <w:lang w:val="it-IT"/>
              </w:rPr>
              <w:t>Tel: +386 1 560 48 00</w:t>
            </w:r>
          </w:p>
          <w:p w:rsidR="004B1D0A" w:rsidRPr="004359C7" w:rsidRDefault="004B1D0A" w:rsidP="001E7729">
            <w:pPr>
              <w:rPr>
                <w:szCs w:val="22"/>
                <w:lang w:val="it-IT"/>
              </w:rPr>
            </w:pPr>
          </w:p>
        </w:tc>
      </w:tr>
      <w:tr w:rsidR="004B1D0A" w:rsidRPr="008D2CB3">
        <w:trPr>
          <w:gridBefore w:val="1"/>
          <w:wBefore w:w="34" w:type="dxa"/>
          <w:cantSplit/>
        </w:trPr>
        <w:tc>
          <w:tcPr>
            <w:tcW w:w="4644" w:type="dxa"/>
          </w:tcPr>
          <w:p w:rsidR="004B1D0A" w:rsidRPr="004359C7" w:rsidRDefault="004B1D0A" w:rsidP="001E7729">
            <w:pPr>
              <w:rPr>
                <w:b/>
                <w:bCs/>
                <w:szCs w:val="22"/>
              </w:rPr>
            </w:pPr>
            <w:r w:rsidRPr="004359C7">
              <w:rPr>
                <w:b/>
                <w:bCs/>
                <w:szCs w:val="22"/>
              </w:rPr>
              <w:t>Ísland</w:t>
            </w:r>
          </w:p>
          <w:p w:rsidR="004B1D0A" w:rsidRPr="004359C7" w:rsidRDefault="004B1D0A" w:rsidP="001E7729">
            <w:pPr>
              <w:rPr>
                <w:szCs w:val="22"/>
              </w:rPr>
            </w:pPr>
            <w:r w:rsidRPr="004359C7">
              <w:rPr>
                <w:szCs w:val="22"/>
              </w:rPr>
              <w:t>Vistor hf.</w:t>
            </w:r>
          </w:p>
          <w:p w:rsidR="004B1D0A" w:rsidRPr="004359C7" w:rsidRDefault="004B1D0A" w:rsidP="001E7729">
            <w:pPr>
              <w:rPr>
                <w:szCs w:val="22"/>
              </w:rPr>
            </w:pPr>
            <w:r w:rsidRPr="004359C7">
              <w:rPr>
                <w:noProof/>
                <w:szCs w:val="22"/>
              </w:rPr>
              <w:t>Sími</w:t>
            </w:r>
            <w:r w:rsidRPr="004359C7">
              <w:rPr>
                <w:szCs w:val="22"/>
              </w:rPr>
              <w:t>: +354 535 7000</w:t>
            </w:r>
          </w:p>
          <w:p w:rsidR="004B1D0A" w:rsidRPr="004359C7" w:rsidRDefault="004B1D0A" w:rsidP="001E7729">
            <w:pPr>
              <w:rPr>
                <w:szCs w:val="22"/>
              </w:rPr>
            </w:pPr>
          </w:p>
        </w:tc>
        <w:tc>
          <w:tcPr>
            <w:tcW w:w="4678" w:type="dxa"/>
          </w:tcPr>
          <w:p w:rsidR="005F32C9" w:rsidRPr="00100BBB" w:rsidRDefault="005F32C9" w:rsidP="005F32C9">
            <w:pPr>
              <w:rPr>
                <w:b/>
                <w:bCs/>
                <w:szCs w:val="22"/>
              </w:rPr>
            </w:pPr>
            <w:r w:rsidRPr="00100BBB">
              <w:rPr>
                <w:b/>
                <w:bCs/>
                <w:szCs w:val="22"/>
              </w:rPr>
              <w:t>Slovenská republika</w:t>
            </w:r>
          </w:p>
          <w:p w:rsidR="005F32C9" w:rsidRPr="00100BBB" w:rsidRDefault="005F32C9" w:rsidP="005F32C9">
            <w:pPr>
              <w:rPr>
                <w:szCs w:val="22"/>
              </w:rPr>
            </w:pPr>
            <w:r w:rsidRPr="00100BBB">
              <w:rPr>
                <w:szCs w:val="22"/>
              </w:rPr>
              <w:t>sanofi-aventis Slovakia s.r.o.</w:t>
            </w:r>
          </w:p>
          <w:p w:rsidR="005F32C9" w:rsidRPr="004359C7" w:rsidRDefault="005F32C9" w:rsidP="005F32C9">
            <w:pPr>
              <w:rPr>
                <w:szCs w:val="22"/>
              </w:rPr>
            </w:pPr>
            <w:r w:rsidRPr="004359C7">
              <w:rPr>
                <w:szCs w:val="22"/>
              </w:rPr>
              <w:t xml:space="preserve">Tel: +421 2 </w:t>
            </w:r>
            <w:r>
              <w:rPr>
                <w:szCs w:val="22"/>
              </w:rPr>
              <w:t>33 100 100</w:t>
            </w:r>
          </w:p>
          <w:p w:rsidR="004B1D0A" w:rsidRPr="004359C7" w:rsidRDefault="004B1D0A" w:rsidP="001E7729">
            <w:pPr>
              <w:rPr>
                <w:szCs w:val="22"/>
              </w:rPr>
            </w:pPr>
          </w:p>
        </w:tc>
      </w:tr>
      <w:tr w:rsidR="004B1D0A" w:rsidRPr="003346F0">
        <w:trPr>
          <w:gridBefore w:val="1"/>
          <w:wBefore w:w="34" w:type="dxa"/>
          <w:cantSplit/>
        </w:trPr>
        <w:tc>
          <w:tcPr>
            <w:tcW w:w="4644" w:type="dxa"/>
          </w:tcPr>
          <w:p w:rsidR="004B1D0A" w:rsidRPr="004359C7" w:rsidRDefault="004B1D0A" w:rsidP="001E7729">
            <w:pPr>
              <w:rPr>
                <w:b/>
                <w:bCs/>
                <w:szCs w:val="22"/>
                <w:lang w:val="it-IT"/>
              </w:rPr>
            </w:pPr>
            <w:r w:rsidRPr="004359C7">
              <w:rPr>
                <w:b/>
                <w:bCs/>
                <w:szCs w:val="22"/>
                <w:lang w:val="it-IT"/>
              </w:rPr>
              <w:t>Italia</w:t>
            </w:r>
          </w:p>
          <w:p w:rsidR="004B1D0A" w:rsidRPr="004359C7" w:rsidRDefault="00C4516D" w:rsidP="001E7729">
            <w:pPr>
              <w:rPr>
                <w:szCs w:val="22"/>
                <w:lang w:val="it-IT"/>
              </w:rPr>
            </w:pPr>
            <w:r>
              <w:rPr>
                <w:szCs w:val="22"/>
                <w:lang w:val="it-IT"/>
              </w:rPr>
              <w:t>S</w:t>
            </w:r>
            <w:r w:rsidRPr="004359C7">
              <w:rPr>
                <w:szCs w:val="22"/>
                <w:lang w:val="it-IT"/>
              </w:rPr>
              <w:t>anofi S.</w:t>
            </w:r>
            <w:r>
              <w:rPr>
                <w:szCs w:val="22"/>
                <w:lang w:val="it-IT"/>
              </w:rPr>
              <w:t>r</w:t>
            </w:r>
            <w:r w:rsidRPr="004359C7">
              <w:rPr>
                <w:szCs w:val="22"/>
                <w:lang w:val="it-IT"/>
              </w:rPr>
              <w:t>.</w:t>
            </w:r>
            <w:r>
              <w:rPr>
                <w:szCs w:val="22"/>
                <w:lang w:val="it-IT"/>
              </w:rPr>
              <w:t>l</w:t>
            </w:r>
            <w:r w:rsidRPr="004359C7">
              <w:rPr>
                <w:szCs w:val="22"/>
                <w:lang w:val="it-IT"/>
              </w:rPr>
              <w:t>.</w:t>
            </w:r>
          </w:p>
          <w:p w:rsidR="004B1D0A" w:rsidRPr="00A029CC" w:rsidRDefault="004B1D0A" w:rsidP="001E7729">
            <w:r w:rsidRPr="004359C7">
              <w:rPr>
                <w:szCs w:val="22"/>
                <w:lang w:val="it-IT"/>
              </w:rPr>
              <w:t>Tel</w:t>
            </w:r>
            <w:r>
              <w:rPr>
                <w:szCs w:val="22"/>
                <w:lang w:val="it-IT"/>
              </w:rPr>
              <w:t>:</w:t>
            </w:r>
            <w:r w:rsidR="00C42730">
              <w:rPr>
                <w:szCs w:val="22"/>
                <w:lang w:val="it-IT"/>
              </w:rPr>
              <w:t xml:space="preserve"> </w:t>
            </w:r>
            <w:r w:rsidR="00F612CB">
              <w:rPr>
                <w:szCs w:val="22"/>
                <w:lang w:val="it-IT"/>
              </w:rPr>
              <w:t>800</w:t>
            </w:r>
            <w:r w:rsidR="00C42730">
              <w:rPr>
                <w:szCs w:val="22"/>
                <w:lang w:val="it-IT"/>
              </w:rPr>
              <w:t xml:space="preserve"> </w:t>
            </w:r>
            <w:r w:rsidR="00F612CB">
              <w:rPr>
                <w:szCs w:val="22"/>
                <w:lang w:val="it-IT"/>
              </w:rPr>
              <w:t>536</w:t>
            </w:r>
            <w:r w:rsidR="00D96521">
              <w:rPr>
                <w:szCs w:val="22"/>
                <w:lang w:val="it-IT"/>
              </w:rPr>
              <w:t xml:space="preserve"> </w:t>
            </w:r>
            <w:r w:rsidR="00F612CB">
              <w:rPr>
                <w:szCs w:val="22"/>
                <w:lang w:val="it-IT"/>
              </w:rPr>
              <w:t>389</w:t>
            </w:r>
          </w:p>
          <w:p w:rsidR="004B1D0A" w:rsidRPr="004359C7" w:rsidRDefault="004B1D0A" w:rsidP="001E7729">
            <w:pPr>
              <w:rPr>
                <w:szCs w:val="22"/>
                <w:lang w:val="it-IT"/>
              </w:rPr>
            </w:pPr>
          </w:p>
        </w:tc>
        <w:tc>
          <w:tcPr>
            <w:tcW w:w="4678" w:type="dxa"/>
          </w:tcPr>
          <w:p w:rsidR="004B1D0A" w:rsidRPr="004359C7" w:rsidRDefault="004B1D0A" w:rsidP="001E7729">
            <w:pPr>
              <w:rPr>
                <w:b/>
                <w:bCs/>
                <w:szCs w:val="22"/>
              </w:rPr>
            </w:pPr>
            <w:r w:rsidRPr="004359C7">
              <w:rPr>
                <w:b/>
                <w:bCs/>
                <w:szCs w:val="22"/>
              </w:rPr>
              <w:t>Suomi/Finland</w:t>
            </w:r>
          </w:p>
          <w:p w:rsidR="004B1D0A" w:rsidRPr="004359C7" w:rsidRDefault="002C4757" w:rsidP="001E7729">
            <w:pPr>
              <w:rPr>
                <w:szCs w:val="22"/>
              </w:rPr>
            </w:pPr>
            <w:r>
              <w:rPr>
                <w:szCs w:val="22"/>
              </w:rPr>
              <w:t>S</w:t>
            </w:r>
            <w:r w:rsidR="004B1D0A" w:rsidRPr="004359C7">
              <w:rPr>
                <w:szCs w:val="22"/>
              </w:rPr>
              <w:t>anofi Oy</w:t>
            </w:r>
          </w:p>
          <w:p w:rsidR="004B1D0A" w:rsidRPr="004359C7" w:rsidRDefault="004B1D0A" w:rsidP="001E7729">
            <w:pPr>
              <w:rPr>
                <w:szCs w:val="22"/>
              </w:rPr>
            </w:pPr>
            <w:r w:rsidRPr="004359C7">
              <w:rPr>
                <w:szCs w:val="22"/>
              </w:rPr>
              <w:t>Puh/Tel: +358 (0) 201 200 300</w:t>
            </w:r>
          </w:p>
          <w:p w:rsidR="004B1D0A" w:rsidRPr="004359C7" w:rsidRDefault="004B1D0A" w:rsidP="001E7729">
            <w:pPr>
              <w:rPr>
                <w:szCs w:val="22"/>
              </w:rPr>
            </w:pPr>
          </w:p>
        </w:tc>
      </w:tr>
      <w:tr w:rsidR="004B1D0A" w:rsidRPr="008D2CB3">
        <w:trPr>
          <w:gridBefore w:val="1"/>
          <w:wBefore w:w="34" w:type="dxa"/>
          <w:cantSplit/>
        </w:trPr>
        <w:tc>
          <w:tcPr>
            <w:tcW w:w="4644" w:type="dxa"/>
          </w:tcPr>
          <w:p w:rsidR="004B1D0A" w:rsidRPr="00100BBB" w:rsidRDefault="004B1D0A" w:rsidP="001E7729">
            <w:pPr>
              <w:rPr>
                <w:b/>
                <w:szCs w:val="22"/>
              </w:rPr>
            </w:pPr>
            <w:r w:rsidRPr="004359C7">
              <w:rPr>
                <w:b/>
                <w:bCs/>
                <w:szCs w:val="22"/>
              </w:rPr>
              <w:t>Κύπρος</w:t>
            </w:r>
          </w:p>
          <w:p w:rsidR="004B1D0A" w:rsidRPr="00100BBB" w:rsidRDefault="004B1D0A" w:rsidP="001E7729">
            <w:pPr>
              <w:rPr>
                <w:szCs w:val="22"/>
              </w:rPr>
            </w:pPr>
            <w:r w:rsidRPr="00100BBB">
              <w:rPr>
                <w:szCs w:val="22"/>
              </w:rPr>
              <w:t>sanofi-aventis Cyprus Ltd.</w:t>
            </w:r>
          </w:p>
          <w:p w:rsidR="004B1D0A" w:rsidRPr="004359C7" w:rsidRDefault="004B1D0A" w:rsidP="001E7729">
            <w:pPr>
              <w:rPr>
                <w:szCs w:val="22"/>
              </w:rPr>
            </w:pPr>
            <w:r w:rsidRPr="004359C7">
              <w:rPr>
                <w:szCs w:val="22"/>
              </w:rPr>
              <w:t>Τηλ: +357 22 871600</w:t>
            </w:r>
          </w:p>
          <w:p w:rsidR="004B1D0A" w:rsidRPr="004359C7" w:rsidRDefault="004B1D0A" w:rsidP="001E7729">
            <w:pPr>
              <w:rPr>
                <w:szCs w:val="22"/>
              </w:rPr>
            </w:pPr>
          </w:p>
        </w:tc>
        <w:tc>
          <w:tcPr>
            <w:tcW w:w="4678" w:type="dxa"/>
          </w:tcPr>
          <w:p w:rsidR="004B1D0A" w:rsidRPr="004359C7" w:rsidRDefault="004B1D0A" w:rsidP="001E7729">
            <w:pPr>
              <w:rPr>
                <w:b/>
                <w:bCs/>
                <w:szCs w:val="22"/>
              </w:rPr>
            </w:pPr>
            <w:r w:rsidRPr="004359C7">
              <w:rPr>
                <w:b/>
                <w:bCs/>
                <w:szCs w:val="22"/>
              </w:rPr>
              <w:t>Sverige</w:t>
            </w:r>
          </w:p>
          <w:p w:rsidR="004B1D0A" w:rsidRPr="004359C7" w:rsidRDefault="002C4757" w:rsidP="001E7729">
            <w:pPr>
              <w:rPr>
                <w:szCs w:val="22"/>
              </w:rPr>
            </w:pPr>
            <w:r>
              <w:rPr>
                <w:szCs w:val="22"/>
              </w:rPr>
              <w:t>S</w:t>
            </w:r>
            <w:r w:rsidR="004B1D0A" w:rsidRPr="004359C7">
              <w:rPr>
                <w:szCs w:val="22"/>
              </w:rPr>
              <w:t>anofi AB</w:t>
            </w:r>
          </w:p>
          <w:p w:rsidR="004B1D0A" w:rsidRPr="004359C7" w:rsidRDefault="004B1D0A" w:rsidP="001E7729">
            <w:pPr>
              <w:rPr>
                <w:szCs w:val="22"/>
              </w:rPr>
            </w:pPr>
            <w:r w:rsidRPr="004359C7">
              <w:rPr>
                <w:szCs w:val="22"/>
              </w:rPr>
              <w:t>Tel: +46 (0)8 634 50 00</w:t>
            </w:r>
          </w:p>
          <w:p w:rsidR="004B1D0A" w:rsidRPr="004359C7" w:rsidRDefault="004B1D0A" w:rsidP="001E7729">
            <w:pPr>
              <w:rPr>
                <w:szCs w:val="22"/>
              </w:rPr>
            </w:pPr>
          </w:p>
        </w:tc>
      </w:tr>
      <w:tr w:rsidR="004B1D0A" w:rsidRPr="008D2CB3">
        <w:trPr>
          <w:gridBefore w:val="1"/>
          <w:wBefore w:w="34" w:type="dxa"/>
          <w:cantSplit/>
        </w:trPr>
        <w:tc>
          <w:tcPr>
            <w:tcW w:w="4644" w:type="dxa"/>
          </w:tcPr>
          <w:p w:rsidR="004B1D0A" w:rsidRPr="004359C7" w:rsidRDefault="004B1D0A" w:rsidP="001E7729">
            <w:pPr>
              <w:rPr>
                <w:b/>
                <w:bCs/>
                <w:szCs w:val="22"/>
                <w:lang w:val="it-IT"/>
              </w:rPr>
            </w:pPr>
            <w:r w:rsidRPr="004359C7">
              <w:rPr>
                <w:b/>
                <w:bCs/>
                <w:szCs w:val="22"/>
                <w:lang w:val="it-IT"/>
              </w:rPr>
              <w:t>Latvija</w:t>
            </w:r>
          </w:p>
          <w:p w:rsidR="004B1D0A" w:rsidRPr="004359C7" w:rsidRDefault="004B1D0A" w:rsidP="001E7729">
            <w:pPr>
              <w:rPr>
                <w:szCs w:val="22"/>
                <w:lang w:val="it-IT"/>
              </w:rPr>
            </w:pPr>
            <w:r w:rsidRPr="004359C7">
              <w:rPr>
                <w:szCs w:val="22"/>
                <w:lang w:val="it-IT"/>
              </w:rPr>
              <w:t>sanofi-aventis Latvia SIA</w:t>
            </w:r>
          </w:p>
          <w:p w:rsidR="004B1D0A" w:rsidRPr="004359C7" w:rsidRDefault="004B1D0A" w:rsidP="001E7729">
            <w:pPr>
              <w:rPr>
                <w:szCs w:val="22"/>
                <w:lang w:val="it-IT"/>
              </w:rPr>
            </w:pPr>
            <w:r w:rsidRPr="004359C7">
              <w:rPr>
                <w:szCs w:val="22"/>
                <w:lang w:val="it-IT"/>
              </w:rPr>
              <w:t>Tel: +371 67 33 24 51</w:t>
            </w:r>
          </w:p>
          <w:p w:rsidR="004B1D0A" w:rsidRPr="004359C7" w:rsidRDefault="004B1D0A" w:rsidP="001E7729">
            <w:pPr>
              <w:rPr>
                <w:szCs w:val="22"/>
                <w:lang w:val="it-IT"/>
              </w:rPr>
            </w:pPr>
          </w:p>
        </w:tc>
        <w:tc>
          <w:tcPr>
            <w:tcW w:w="4678" w:type="dxa"/>
          </w:tcPr>
          <w:p w:rsidR="004B1D0A" w:rsidRPr="004359C7" w:rsidRDefault="004B1D0A" w:rsidP="001E7729">
            <w:pPr>
              <w:rPr>
                <w:b/>
                <w:bCs/>
                <w:szCs w:val="22"/>
              </w:rPr>
            </w:pPr>
            <w:r w:rsidRPr="004359C7">
              <w:rPr>
                <w:b/>
                <w:bCs/>
                <w:szCs w:val="22"/>
              </w:rPr>
              <w:t>United Kingdom</w:t>
            </w:r>
          </w:p>
          <w:p w:rsidR="004B1D0A" w:rsidRPr="004359C7" w:rsidRDefault="004B1D0A" w:rsidP="001E7729">
            <w:pPr>
              <w:rPr>
                <w:szCs w:val="22"/>
              </w:rPr>
            </w:pPr>
            <w:r>
              <w:rPr>
                <w:szCs w:val="22"/>
              </w:rPr>
              <w:t>Sanofi</w:t>
            </w:r>
          </w:p>
          <w:p w:rsidR="004B1D0A" w:rsidRPr="004359C7" w:rsidRDefault="004B1D0A" w:rsidP="001E7729">
            <w:pPr>
              <w:rPr>
                <w:szCs w:val="22"/>
              </w:rPr>
            </w:pPr>
            <w:r w:rsidRPr="004359C7">
              <w:rPr>
                <w:szCs w:val="22"/>
              </w:rPr>
              <w:t xml:space="preserve">Tel: +44 (0) </w:t>
            </w:r>
            <w:r w:rsidR="002C4757" w:rsidRPr="009E6D0B">
              <w:rPr>
                <w:szCs w:val="22"/>
              </w:rPr>
              <w:t>845 372 7101</w:t>
            </w:r>
          </w:p>
          <w:p w:rsidR="004B1D0A" w:rsidRPr="004359C7" w:rsidRDefault="004B1D0A" w:rsidP="0087497A">
            <w:pPr>
              <w:rPr>
                <w:szCs w:val="22"/>
              </w:rPr>
            </w:pPr>
          </w:p>
        </w:tc>
      </w:tr>
    </w:tbl>
    <w:p w:rsidR="0017143E" w:rsidRPr="008D2CB3" w:rsidRDefault="0017143E" w:rsidP="001E7729">
      <w:pPr>
        <w:rPr>
          <w:szCs w:val="22"/>
          <w:lang w:val="fr-FR"/>
        </w:rPr>
      </w:pPr>
    </w:p>
    <w:p w:rsidR="0017143E" w:rsidRPr="00123EBC" w:rsidRDefault="0017143E" w:rsidP="001E7729">
      <w:pPr>
        <w:rPr>
          <w:b/>
          <w:bCs/>
          <w:szCs w:val="22"/>
          <w:lang w:val="fr-FR"/>
        </w:rPr>
      </w:pPr>
      <w:r w:rsidRPr="00123EBC">
        <w:rPr>
          <w:b/>
          <w:bCs/>
          <w:szCs w:val="22"/>
          <w:lang w:val="fr-FR"/>
        </w:rPr>
        <w:t xml:space="preserve">A betegtájékoztató </w:t>
      </w:r>
      <w:r w:rsidR="00746917" w:rsidRPr="00123EBC">
        <w:rPr>
          <w:b/>
          <w:bCs/>
          <w:szCs w:val="22"/>
          <w:lang w:val="fr-FR"/>
        </w:rPr>
        <w:t>legutóbbi felújításának</w:t>
      </w:r>
      <w:r w:rsidRPr="00123EBC">
        <w:rPr>
          <w:b/>
          <w:bCs/>
          <w:szCs w:val="22"/>
          <w:lang w:val="fr-FR"/>
        </w:rPr>
        <w:t xml:space="preserve"> dátuma</w:t>
      </w:r>
      <w:r w:rsidR="00746917" w:rsidRPr="00123EBC">
        <w:rPr>
          <w:b/>
          <w:bCs/>
          <w:szCs w:val="22"/>
          <w:lang w:val="fr-FR"/>
        </w:rPr>
        <w:t>: &lt; ÉÉÉÉ. hónap</w:t>
      </w:r>
      <w:r w:rsidR="00746917" w:rsidRPr="00123EBC" w:rsidDel="000F2F3E">
        <w:rPr>
          <w:b/>
          <w:bCs/>
          <w:szCs w:val="22"/>
          <w:lang w:val="fr-FR"/>
        </w:rPr>
        <w:t xml:space="preserve"> </w:t>
      </w:r>
      <w:r w:rsidR="00746917" w:rsidRPr="00123EBC">
        <w:rPr>
          <w:b/>
          <w:bCs/>
          <w:szCs w:val="22"/>
          <w:lang w:val="fr-FR"/>
        </w:rPr>
        <w:t>&gt;</w:t>
      </w:r>
    </w:p>
    <w:p w:rsidR="0017143E" w:rsidRPr="008D2CB3" w:rsidRDefault="0017143E" w:rsidP="001E7729"/>
    <w:p w:rsidR="0017143E" w:rsidRPr="008D2CB3" w:rsidRDefault="0017143E" w:rsidP="001E7729">
      <w:pPr>
        <w:rPr>
          <w:b/>
          <w:noProof/>
          <w:szCs w:val="22"/>
        </w:rPr>
      </w:pPr>
      <w:r w:rsidRPr="008D2CB3">
        <w:rPr>
          <w:noProof/>
          <w:szCs w:val="22"/>
        </w:rPr>
        <w:t>A gyógyszerről részletes információ az Európai Gyógyszerügynökség internetes honlapján (</w:t>
      </w:r>
      <w:hyperlink r:id="rId16" w:history="1">
        <w:r w:rsidR="00E22C38" w:rsidRPr="00312EBE">
          <w:rPr>
            <w:rStyle w:val="Hyperlink"/>
            <w:bCs/>
            <w:szCs w:val="22"/>
          </w:rPr>
          <w:t>http://www.ema.europa.eu</w:t>
        </w:r>
      </w:hyperlink>
      <w:r w:rsidRPr="008D2CB3">
        <w:rPr>
          <w:iCs/>
          <w:noProof/>
          <w:szCs w:val="22"/>
        </w:rPr>
        <w:t>/) található.</w:t>
      </w:r>
    </w:p>
    <w:p w:rsidR="00122217" w:rsidRPr="008D2CB3" w:rsidRDefault="00122217" w:rsidP="001E7729"/>
    <w:sectPr w:rsidR="00122217" w:rsidRPr="008D2CB3">
      <w:headerReference w:type="default" r:id="rId17"/>
      <w:footerReference w:type="even" r:id="rId18"/>
      <w:footerReference w:type="default" r:id="rId19"/>
      <w:footerReference w:type="first" r:id="rId20"/>
      <w:pgSz w:w="11907" w:h="16840" w:code="9"/>
      <w:pgMar w:top="1134" w:right="1418" w:bottom="1134" w:left="1418" w:header="737" w:footer="737" w:gutter="0"/>
      <w:paperSrc w:first="15" w:other="15"/>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DB7" w:rsidRDefault="00615DB7">
      <w:r>
        <w:separator/>
      </w:r>
    </w:p>
  </w:endnote>
  <w:endnote w:type="continuationSeparator" w:id="0">
    <w:p w:rsidR="00615DB7" w:rsidRDefault="00615DB7">
      <w:r>
        <w:continuationSeparator/>
      </w:r>
    </w:p>
  </w:endnote>
  <w:endnote w:type="continuationNotice" w:id="1">
    <w:p w:rsidR="00615DB7" w:rsidRDefault="00615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panose1 w:val="00000000000000000000"/>
    <w:charset w:val="00"/>
    <w:family w:val="roman"/>
    <w:notTrueType/>
    <w:pitch w:val="variable"/>
    <w:sig w:usb0="00000003" w:usb1="00000000" w:usb2="00000000" w:usb3="00000000" w:csb0="00000001"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ymbolMT">
    <w:altName w:val="MS Mincho"/>
    <w:panose1 w:val="00000000000000000000"/>
    <w:charset w:val="80"/>
    <w:family w:val="auto"/>
    <w:notTrueType/>
    <w:pitch w:val="default"/>
    <w:sig w:usb0="00000000" w:usb1="08070000" w:usb2="00000010" w:usb3="00000000" w:csb0="00020000"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F32" w:rsidRDefault="00890F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90F32" w:rsidRDefault="00890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F32" w:rsidRDefault="00890F32">
    <w:pPr>
      <w:pStyle w:val="Footer"/>
      <w:framePr w:wrap="around" w:vAnchor="text" w:hAnchor="margin" w:xAlign="center" w:y="1"/>
      <w:rPr>
        <w:rStyle w:val="PageNumber"/>
        <w:rFonts w:ascii="Arial" w:hAnsi="Arial"/>
        <w:sz w:val="16"/>
      </w:rPr>
    </w:pPr>
    <w:r>
      <w:rPr>
        <w:rStyle w:val="PageNumber"/>
        <w:rFonts w:ascii="Arial" w:hAnsi="Arial"/>
        <w:sz w:val="16"/>
      </w:rPr>
      <w:fldChar w:fldCharType="begin"/>
    </w:r>
    <w:r>
      <w:rPr>
        <w:rStyle w:val="PageNumber"/>
        <w:rFonts w:ascii="Arial" w:hAnsi="Arial"/>
        <w:sz w:val="16"/>
      </w:rPr>
      <w:instrText xml:space="preserve">PAGE  </w:instrText>
    </w:r>
    <w:r>
      <w:rPr>
        <w:rStyle w:val="PageNumber"/>
        <w:rFonts w:ascii="Arial" w:hAnsi="Arial"/>
        <w:sz w:val="16"/>
      </w:rPr>
      <w:fldChar w:fldCharType="separate"/>
    </w:r>
    <w:r w:rsidR="00D16754">
      <w:rPr>
        <w:rStyle w:val="PageNumber"/>
        <w:rFonts w:ascii="Arial" w:hAnsi="Arial"/>
        <w:noProof/>
        <w:sz w:val="16"/>
      </w:rPr>
      <w:t>20</w:t>
    </w:r>
    <w:r>
      <w:rPr>
        <w:rStyle w:val="PageNumber"/>
        <w:rFonts w:ascii="Arial" w:hAnsi="Arial"/>
        <w:sz w:val="16"/>
      </w:rPr>
      <w:fldChar w:fldCharType="end"/>
    </w:r>
  </w:p>
  <w:p w:rsidR="00890F32" w:rsidRDefault="00890F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DB7" w:rsidRDefault="00615DB7">
      <w:r>
        <w:separator/>
      </w:r>
    </w:p>
  </w:footnote>
  <w:footnote w:type="continuationSeparator" w:id="0">
    <w:p w:rsidR="00615DB7" w:rsidRDefault="00615DB7">
      <w:r>
        <w:continuationSeparator/>
      </w:r>
    </w:p>
  </w:footnote>
  <w:footnote w:type="continuationNotice" w:id="1">
    <w:p w:rsidR="00615DB7" w:rsidRDefault="00615DB7"/>
  </w:footnote>
  <w:footnote w:id="2">
    <w:p w:rsidR="00965160" w:rsidRPr="004C21C5" w:rsidRDefault="00965160" w:rsidP="00965160">
      <w:pPr>
        <w:pStyle w:val="FootnoteText"/>
        <w:rPr>
          <w:lang w:val="en-US"/>
        </w:rPr>
      </w:pPr>
      <w:r>
        <w:rPr>
          <w:rStyle w:val="FootnoteReference"/>
        </w:rPr>
        <w:footnoteRef/>
      </w:r>
      <w:r>
        <w:t xml:space="preserve"> É</w:t>
      </w:r>
      <w:r w:rsidRPr="00DE56D7">
        <w:rPr>
          <w:color w:val="4D5156"/>
          <w:shd w:val="clear" w:color="auto" w:fill="FFFFFF"/>
        </w:rPr>
        <w:t>letkor, vérnyomás, klinikai jellemzők, időtartam és cukorbetegség</w:t>
      </w:r>
      <w:r>
        <w:rPr>
          <w:color w:val="4D5156"/>
          <w:shd w:val="clear" w:color="auto" w:fill="FFFFFF"/>
        </w:rPr>
        <w:t xml:space="preserve"> diagnózisa.</w:t>
      </w:r>
    </w:p>
  </w:footnote>
  <w:footnote w:id="3">
    <w:p w:rsidR="00965160" w:rsidRDefault="00965160" w:rsidP="00965160">
      <w:pPr>
        <w:pStyle w:val="FootnoteText"/>
        <w:rPr>
          <w:lang w:val="en-US"/>
        </w:rPr>
      </w:pPr>
      <w:r>
        <w:rPr>
          <w:rStyle w:val="FootnoteReference"/>
        </w:rPr>
        <w:footnoteRef/>
      </w:r>
      <w:r>
        <w:t xml:space="preserve"> </w:t>
      </w:r>
      <w:r>
        <w:rPr>
          <w:lang w:val="en-GB"/>
        </w:rPr>
        <w:t>National Institutes of Health Stroke Scale</w:t>
      </w:r>
      <w:r>
        <w:rPr>
          <w:sz w:val="22"/>
          <w:szCs w:val="22"/>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1A3E0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7C29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1586F2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25CD57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207F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D4D87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249F4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F04A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0265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50978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1"/>
    <w:multiLevelType w:val="multilevel"/>
    <w:tmpl w:val="00000001"/>
    <w:name w:val="WW8Num1"/>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2" w15:restartNumberingAfterBreak="0">
    <w:nsid w:val="00000002"/>
    <w:multiLevelType w:val="multilevel"/>
    <w:tmpl w:val="00000002"/>
    <w:name w:val="WW8Num2"/>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3" w15:restartNumberingAfterBreak="0">
    <w:nsid w:val="00000003"/>
    <w:multiLevelType w:val="multilevel"/>
    <w:tmpl w:val="00000003"/>
    <w:name w:val="WW8Num3"/>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4" w15:restartNumberingAfterBreak="0">
    <w:nsid w:val="00000004"/>
    <w:multiLevelType w:val="multilevel"/>
    <w:tmpl w:val="00000004"/>
    <w:name w:val="WW8Num4"/>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5" w15:restartNumberingAfterBreak="0">
    <w:nsid w:val="00000005"/>
    <w:multiLevelType w:val="multilevel"/>
    <w:tmpl w:val="00000005"/>
    <w:name w:val="WW8Num5"/>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6" w15:restartNumberingAfterBreak="0">
    <w:nsid w:val="00000006"/>
    <w:multiLevelType w:val="multilevel"/>
    <w:tmpl w:val="00000006"/>
    <w:name w:val="WW8Num6"/>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7" w15:restartNumberingAfterBreak="0">
    <w:nsid w:val="00000007"/>
    <w:multiLevelType w:val="multilevel"/>
    <w:tmpl w:val="00000007"/>
    <w:name w:val="WW8Num7"/>
    <w:lvl w:ilvl="0">
      <w:numFmt w:val="bullet"/>
      <w:lvlText w:val="-"/>
      <w:lvlJc w:val="left"/>
      <w:pPr>
        <w:tabs>
          <w:tab w:val="num" w:pos="360"/>
        </w:tabs>
      </w:pPr>
      <w:rPr>
        <w:rFonts w:ascii="Thorndale" w:hAnsi="Thorndale" w:cs="Times New Roman"/>
      </w:rPr>
    </w:lvl>
    <w:lvl w:ilvl="1">
      <w:start w:val="1"/>
      <w:numFmt w:val="decimal"/>
      <w:lvlText w:val="%2."/>
      <w:lvlJc w:val="left"/>
      <w:pPr>
        <w:tabs>
          <w:tab w:val="num" w:pos="0"/>
        </w:tabs>
      </w:pPr>
    </w:lvl>
    <w:lvl w:ilvl="2">
      <w:start w:val="1"/>
      <w:numFmt w:val="decimal"/>
      <w:lvlText w:val="%3."/>
      <w:lvlJc w:val="left"/>
      <w:pPr>
        <w:tabs>
          <w:tab w:val="num" w:pos="0"/>
        </w:tabs>
      </w:pPr>
    </w:lvl>
    <w:lvl w:ilvl="3">
      <w:start w:val="1"/>
      <w:numFmt w:val="decimal"/>
      <w:lvlText w:val="%4."/>
      <w:lvlJc w:val="left"/>
      <w:pPr>
        <w:tabs>
          <w:tab w:val="num" w:pos="0"/>
        </w:tabs>
      </w:pPr>
    </w:lvl>
    <w:lvl w:ilvl="4">
      <w:start w:val="1"/>
      <w:numFmt w:val="decimal"/>
      <w:lvlText w:val="%5."/>
      <w:lvlJc w:val="left"/>
      <w:pPr>
        <w:tabs>
          <w:tab w:val="num" w:pos="0"/>
        </w:tabs>
      </w:pPr>
    </w:lvl>
    <w:lvl w:ilvl="5">
      <w:start w:val="1"/>
      <w:numFmt w:val="decimal"/>
      <w:lvlText w:val="%6."/>
      <w:lvlJc w:val="left"/>
      <w:pPr>
        <w:tabs>
          <w:tab w:val="num" w:pos="0"/>
        </w:tabs>
      </w:pPr>
    </w:lvl>
    <w:lvl w:ilvl="6">
      <w:start w:val="1"/>
      <w:numFmt w:val="decimal"/>
      <w:lvlText w:val="%7."/>
      <w:lvlJc w:val="left"/>
      <w:pPr>
        <w:tabs>
          <w:tab w:val="num" w:pos="0"/>
        </w:tabs>
      </w:pPr>
    </w:lvl>
    <w:lvl w:ilvl="7">
      <w:start w:val="1"/>
      <w:numFmt w:val="decimal"/>
      <w:lvlText w:val="%8."/>
      <w:lvlJc w:val="left"/>
      <w:pPr>
        <w:tabs>
          <w:tab w:val="num" w:pos="0"/>
        </w:tabs>
      </w:pPr>
    </w:lvl>
    <w:lvl w:ilvl="8">
      <w:start w:val="1"/>
      <w:numFmt w:val="decimal"/>
      <w:lvlText w:val="%9."/>
      <w:lvlJc w:val="left"/>
      <w:pPr>
        <w:tabs>
          <w:tab w:val="num" w:pos="0"/>
        </w:tabs>
      </w:pPr>
    </w:lvl>
  </w:abstractNum>
  <w:abstractNum w:abstractNumId="18" w15:restartNumberingAfterBreak="0">
    <w:nsid w:val="00000008"/>
    <w:multiLevelType w:val="multilevel"/>
    <w:tmpl w:val="00000008"/>
    <w:name w:val="WW8Num8"/>
    <w:lvl w:ilvl="0">
      <w:numFmt w:val="bullet"/>
      <w:lvlText w:val="-"/>
      <w:lvlJc w:val="left"/>
      <w:pPr>
        <w:tabs>
          <w:tab w:val="num" w:pos="360"/>
        </w:tabs>
      </w:pPr>
      <w:rPr>
        <w:rFonts w:ascii="Thorndale" w:hAnsi="Thorndale" w:cs="Times New Roman"/>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19" w15:restartNumberingAfterBreak="0">
    <w:nsid w:val="00000009"/>
    <w:multiLevelType w:val="multilevel"/>
    <w:tmpl w:val="00000009"/>
    <w:name w:val="WW8Num9"/>
    <w:lvl w:ilvl="0">
      <w:numFmt w:val="bullet"/>
      <w:lvlText w:val="-"/>
      <w:lvlJc w:val="left"/>
      <w:pPr>
        <w:tabs>
          <w:tab w:val="num" w:pos="360"/>
        </w:tabs>
      </w:pPr>
      <w:rPr>
        <w:rFonts w:ascii="Thorndale" w:hAnsi="Thorndale" w:cs="Times New Roman"/>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20" w15:restartNumberingAfterBreak="0">
    <w:nsid w:val="028015FE"/>
    <w:multiLevelType w:val="hybridMultilevel"/>
    <w:tmpl w:val="D30A9FE4"/>
    <w:lvl w:ilvl="0" w:tplc="F4F60A98">
      <w:numFmt w:val="bullet"/>
      <w:lvlText w:val="-"/>
      <w:lvlJc w:val="left"/>
      <w:pPr>
        <w:ind w:left="643" w:hanging="360"/>
      </w:pPr>
      <w:rPr>
        <w:rFonts w:ascii="Times New Roman" w:hAnsi="Times New Roman" w:hint="default"/>
      </w:rPr>
    </w:lvl>
    <w:lvl w:ilvl="1" w:tplc="040E0003" w:tentative="1">
      <w:start w:val="1"/>
      <w:numFmt w:val="bullet"/>
      <w:lvlText w:val="o"/>
      <w:lvlJc w:val="left"/>
      <w:pPr>
        <w:ind w:left="1363" w:hanging="360"/>
      </w:pPr>
      <w:rPr>
        <w:rFonts w:ascii="Courier New" w:hAnsi="Courier New" w:cs="Courier New" w:hint="default"/>
      </w:rPr>
    </w:lvl>
    <w:lvl w:ilvl="2" w:tplc="040E0005" w:tentative="1">
      <w:start w:val="1"/>
      <w:numFmt w:val="bullet"/>
      <w:lvlText w:val=""/>
      <w:lvlJc w:val="left"/>
      <w:pPr>
        <w:ind w:left="2083" w:hanging="360"/>
      </w:pPr>
      <w:rPr>
        <w:rFonts w:ascii="Wingdings" w:hAnsi="Wingdings" w:hint="default"/>
      </w:rPr>
    </w:lvl>
    <w:lvl w:ilvl="3" w:tplc="040E0001" w:tentative="1">
      <w:start w:val="1"/>
      <w:numFmt w:val="bullet"/>
      <w:lvlText w:val=""/>
      <w:lvlJc w:val="left"/>
      <w:pPr>
        <w:ind w:left="2803" w:hanging="360"/>
      </w:pPr>
      <w:rPr>
        <w:rFonts w:ascii="Symbol" w:hAnsi="Symbol" w:hint="default"/>
      </w:rPr>
    </w:lvl>
    <w:lvl w:ilvl="4" w:tplc="040E0003" w:tentative="1">
      <w:start w:val="1"/>
      <w:numFmt w:val="bullet"/>
      <w:lvlText w:val="o"/>
      <w:lvlJc w:val="left"/>
      <w:pPr>
        <w:ind w:left="3523" w:hanging="360"/>
      </w:pPr>
      <w:rPr>
        <w:rFonts w:ascii="Courier New" w:hAnsi="Courier New" w:cs="Courier New" w:hint="default"/>
      </w:rPr>
    </w:lvl>
    <w:lvl w:ilvl="5" w:tplc="040E0005" w:tentative="1">
      <w:start w:val="1"/>
      <w:numFmt w:val="bullet"/>
      <w:lvlText w:val=""/>
      <w:lvlJc w:val="left"/>
      <w:pPr>
        <w:ind w:left="4243" w:hanging="360"/>
      </w:pPr>
      <w:rPr>
        <w:rFonts w:ascii="Wingdings" w:hAnsi="Wingdings" w:hint="default"/>
      </w:rPr>
    </w:lvl>
    <w:lvl w:ilvl="6" w:tplc="040E0001" w:tentative="1">
      <w:start w:val="1"/>
      <w:numFmt w:val="bullet"/>
      <w:lvlText w:val=""/>
      <w:lvlJc w:val="left"/>
      <w:pPr>
        <w:ind w:left="4963" w:hanging="360"/>
      </w:pPr>
      <w:rPr>
        <w:rFonts w:ascii="Symbol" w:hAnsi="Symbol" w:hint="default"/>
      </w:rPr>
    </w:lvl>
    <w:lvl w:ilvl="7" w:tplc="040E0003" w:tentative="1">
      <w:start w:val="1"/>
      <w:numFmt w:val="bullet"/>
      <w:lvlText w:val="o"/>
      <w:lvlJc w:val="left"/>
      <w:pPr>
        <w:ind w:left="5683" w:hanging="360"/>
      </w:pPr>
      <w:rPr>
        <w:rFonts w:ascii="Courier New" w:hAnsi="Courier New" w:cs="Courier New" w:hint="default"/>
      </w:rPr>
    </w:lvl>
    <w:lvl w:ilvl="8" w:tplc="040E0005" w:tentative="1">
      <w:start w:val="1"/>
      <w:numFmt w:val="bullet"/>
      <w:lvlText w:val=""/>
      <w:lvlJc w:val="left"/>
      <w:pPr>
        <w:ind w:left="6403" w:hanging="360"/>
      </w:pPr>
      <w:rPr>
        <w:rFonts w:ascii="Wingdings" w:hAnsi="Wingdings" w:hint="default"/>
      </w:rPr>
    </w:lvl>
  </w:abstractNum>
  <w:abstractNum w:abstractNumId="21" w15:restartNumberingAfterBreak="0">
    <w:nsid w:val="08764E4C"/>
    <w:multiLevelType w:val="multilevel"/>
    <w:tmpl w:val="058C4978"/>
    <w:lvl w:ilvl="0">
      <w:start w:val="1"/>
      <w:numFmt w:val="bullet"/>
      <w:lvlText w:val="-"/>
      <w:lvlJc w:val="left"/>
      <w:pPr>
        <w:tabs>
          <w:tab w:val="num" w:pos="284"/>
        </w:tabs>
        <w:ind w:left="284" w:hanging="284"/>
      </w:pPr>
      <w:rPr>
        <w:rFonts w:ascii="Dotum" w:eastAsia="Dotum" w:hAnsi="Dotum" w:cs="Dotum" w:hint="eastAsia"/>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22" w15:restartNumberingAfterBreak="0">
    <w:nsid w:val="09E07AE9"/>
    <w:multiLevelType w:val="hybridMultilevel"/>
    <w:tmpl w:val="F0601600"/>
    <w:lvl w:ilvl="0" w:tplc="87BA6336">
      <w:start w:val="1"/>
      <w:numFmt w:val="decimal"/>
      <w:lvlText w:val="%1."/>
      <w:lvlJc w:val="left"/>
      <w:pPr>
        <w:tabs>
          <w:tab w:val="num" w:pos="567"/>
        </w:tabs>
        <w:ind w:left="567" w:hanging="567"/>
      </w:pPr>
      <w:rPr>
        <w:rFonts w:hint="default"/>
        <w:b w:val="0"/>
        <w:i w:val="0"/>
      </w:rPr>
    </w:lvl>
    <w:lvl w:ilvl="1" w:tplc="411C44FA">
      <w:start w:val="1"/>
      <w:numFmt w:val="decimal"/>
      <w:lvlText w:val="%2."/>
      <w:lvlJc w:val="left"/>
      <w:pPr>
        <w:tabs>
          <w:tab w:val="num" w:pos="567"/>
        </w:tabs>
        <w:ind w:left="567" w:hanging="567"/>
      </w:pPr>
      <w:rPr>
        <w:rFonts w:hint="default"/>
        <w:b w:val="0"/>
        <w:i w:val="0"/>
      </w:r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3" w15:restartNumberingAfterBreak="0">
    <w:nsid w:val="0C827CDE"/>
    <w:multiLevelType w:val="multilevel"/>
    <w:tmpl w:val="39A6DC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24" w15:restartNumberingAfterBreak="0">
    <w:nsid w:val="0D5E0C7B"/>
    <w:multiLevelType w:val="multilevel"/>
    <w:tmpl w:val="12F80A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25" w15:restartNumberingAfterBreak="0">
    <w:nsid w:val="0D786E2B"/>
    <w:multiLevelType w:val="hybridMultilevel"/>
    <w:tmpl w:val="99502088"/>
    <w:lvl w:ilvl="0" w:tplc="F4F60A98">
      <w:numFmt w:val="bullet"/>
      <w:lvlText w:val="-"/>
      <w:lvlJc w:val="left"/>
      <w:pPr>
        <w:tabs>
          <w:tab w:val="num" w:pos="927"/>
        </w:tabs>
        <w:ind w:left="927" w:hanging="360"/>
      </w:pPr>
      <w:rPr>
        <w:rFonts w:ascii="Times New Roman" w:hAnsi="Times New Roman" w:hint="default"/>
      </w:rPr>
    </w:lvl>
    <w:lvl w:ilvl="1" w:tplc="00000003">
      <w:numFmt w:val="bullet"/>
      <w:lvlText w:val="–"/>
      <w:lvlJc w:val="left"/>
      <w:pPr>
        <w:tabs>
          <w:tab w:val="num" w:pos="2610"/>
        </w:tabs>
      </w:pPr>
      <w:rPr>
        <w:rFonts w:ascii="Copperplate Gothic Light" w:hAnsi="Copperplate Gothic Light" w:hint="default"/>
      </w:rPr>
    </w:lvl>
    <w:lvl w:ilvl="2" w:tplc="040E0005">
      <w:start w:val="1"/>
      <w:numFmt w:val="bullet"/>
      <w:lvlText w:val=""/>
      <w:lvlJc w:val="left"/>
      <w:pPr>
        <w:tabs>
          <w:tab w:val="num" w:pos="2727"/>
        </w:tabs>
        <w:ind w:left="2727" w:hanging="360"/>
      </w:pPr>
      <w:rPr>
        <w:rFonts w:ascii="Wingdings" w:hAnsi="Wingdings" w:hint="default"/>
      </w:rPr>
    </w:lvl>
    <w:lvl w:ilvl="3" w:tplc="040E0001" w:tentative="1">
      <w:start w:val="1"/>
      <w:numFmt w:val="bullet"/>
      <w:lvlText w:val=""/>
      <w:lvlJc w:val="left"/>
      <w:pPr>
        <w:tabs>
          <w:tab w:val="num" w:pos="3447"/>
        </w:tabs>
        <w:ind w:left="3447" w:hanging="360"/>
      </w:pPr>
      <w:rPr>
        <w:rFonts w:ascii="Symbol" w:hAnsi="Symbol" w:hint="default"/>
      </w:rPr>
    </w:lvl>
    <w:lvl w:ilvl="4" w:tplc="040E0003" w:tentative="1">
      <w:start w:val="1"/>
      <w:numFmt w:val="bullet"/>
      <w:lvlText w:val="o"/>
      <w:lvlJc w:val="left"/>
      <w:pPr>
        <w:tabs>
          <w:tab w:val="num" w:pos="4167"/>
        </w:tabs>
        <w:ind w:left="4167" w:hanging="360"/>
      </w:pPr>
      <w:rPr>
        <w:rFonts w:ascii="Courier New" w:hAnsi="Courier New" w:cs="Courier New" w:hint="default"/>
      </w:rPr>
    </w:lvl>
    <w:lvl w:ilvl="5" w:tplc="040E0005" w:tentative="1">
      <w:start w:val="1"/>
      <w:numFmt w:val="bullet"/>
      <w:lvlText w:val=""/>
      <w:lvlJc w:val="left"/>
      <w:pPr>
        <w:tabs>
          <w:tab w:val="num" w:pos="4887"/>
        </w:tabs>
        <w:ind w:left="4887" w:hanging="360"/>
      </w:pPr>
      <w:rPr>
        <w:rFonts w:ascii="Wingdings" w:hAnsi="Wingdings" w:hint="default"/>
      </w:rPr>
    </w:lvl>
    <w:lvl w:ilvl="6" w:tplc="040E0001" w:tentative="1">
      <w:start w:val="1"/>
      <w:numFmt w:val="bullet"/>
      <w:lvlText w:val=""/>
      <w:lvlJc w:val="left"/>
      <w:pPr>
        <w:tabs>
          <w:tab w:val="num" w:pos="5607"/>
        </w:tabs>
        <w:ind w:left="5607" w:hanging="360"/>
      </w:pPr>
      <w:rPr>
        <w:rFonts w:ascii="Symbol" w:hAnsi="Symbol" w:hint="default"/>
      </w:rPr>
    </w:lvl>
    <w:lvl w:ilvl="7" w:tplc="040E0003" w:tentative="1">
      <w:start w:val="1"/>
      <w:numFmt w:val="bullet"/>
      <w:lvlText w:val="o"/>
      <w:lvlJc w:val="left"/>
      <w:pPr>
        <w:tabs>
          <w:tab w:val="num" w:pos="6327"/>
        </w:tabs>
        <w:ind w:left="6327" w:hanging="360"/>
      </w:pPr>
      <w:rPr>
        <w:rFonts w:ascii="Courier New" w:hAnsi="Courier New" w:cs="Courier New" w:hint="default"/>
      </w:rPr>
    </w:lvl>
    <w:lvl w:ilvl="8" w:tplc="040E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0DF10A45"/>
    <w:multiLevelType w:val="hybridMultilevel"/>
    <w:tmpl w:val="3300CD3A"/>
    <w:lvl w:ilvl="0" w:tplc="864A5AF2">
      <w:numFmt w:val="bullet"/>
      <w:lvlText w:val="-"/>
      <w:lvlJc w:val="left"/>
      <w:pPr>
        <w:tabs>
          <w:tab w:val="num" w:pos="720"/>
        </w:tabs>
        <w:ind w:left="720" w:hanging="363"/>
      </w:pPr>
      <w:rPr>
        <w:rFonts w:ascii="Times New Roman" w:hAnsi="Times New Roman" w:cs="Times New Roman" w:hint="default"/>
      </w:rPr>
    </w:lvl>
    <w:lvl w:ilvl="1" w:tplc="50D45F50"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13E3246A"/>
    <w:multiLevelType w:val="multilevel"/>
    <w:tmpl w:val="F5A8D6CA"/>
    <w:lvl w:ilvl="0">
      <w:start w:val="4"/>
      <w:numFmt w:val="decimal"/>
      <w:lvlText w:val="%1"/>
      <w:lvlJc w:val="left"/>
      <w:pPr>
        <w:tabs>
          <w:tab w:val="num" w:pos="708"/>
        </w:tabs>
        <w:ind w:left="708" w:hanging="708"/>
      </w:pPr>
      <w:rPr>
        <w:rFonts w:hint="default"/>
      </w:rPr>
    </w:lvl>
    <w:lvl w:ilvl="1">
      <w:start w:val="1"/>
      <w:numFmt w:val="decimal"/>
      <w:lvlText w:val="%1.%2"/>
      <w:lvlJc w:val="left"/>
      <w:pPr>
        <w:tabs>
          <w:tab w:val="num" w:pos="850"/>
        </w:tabs>
        <w:ind w:left="850" w:hanging="70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15AD32A8"/>
    <w:multiLevelType w:val="hybridMultilevel"/>
    <w:tmpl w:val="0344878A"/>
    <w:lvl w:ilvl="0" w:tplc="F4F60A98">
      <w:numFmt w:val="bullet"/>
      <w:lvlText w:val="-"/>
      <w:lvlJc w:val="left"/>
      <w:pPr>
        <w:ind w:left="1287" w:hanging="360"/>
      </w:pPr>
      <w:rPr>
        <w:rFonts w:ascii="Times New Roman" w:hAnsi="Times New Roman"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9" w15:restartNumberingAfterBreak="0">
    <w:nsid w:val="17374566"/>
    <w:multiLevelType w:val="multilevel"/>
    <w:tmpl w:val="2C0AE04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30" w15:restartNumberingAfterBreak="0">
    <w:nsid w:val="1AD35219"/>
    <w:multiLevelType w:val="hybridMultilevel"/>
    <w:tmpl w:val="F8B4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FF355E"/>
    <w:multiLevelType w:val="multilevel"/>
    <w:tmpl w:val="00000009"/>
    <w:lvl w:ilvl="0">
      <w:numFmt w:val="bullet"/>
      <w:lvlText w:val="-"/>
      <w:lvlJc w:val="left"/>
      <w:pPr>
        <w:tabs>
          <w:tab w:val="num" w:pos="360"/>
        </w:tabs>
      </w:pPr>
      <w:rPr>
        <w:rFonts w:ascii="Thorndale" w:hAnsi="Thorndale" w:cs="Times New Roman"/>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32" w15:restartNumberingAfterBreak="0">
    <w:nsid w:val="1D143D54"/>
    <w:multiLevelType w:val="hybridMultilevel"/>
    <w:tmpl w:val="09BE3B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1EE909FD"/>
    <w:multiLevelType w:val="hybridMultilevel"/>
    <w:tmpl w:val="D0AE3B4E"/>
    <w:lvl w:ilvl="0" w:tplc="F4F60A98">
      <w:numFmt w:val="bullet"/>
      <w:lvlText w:val="-"/>
      <w:lvlJc w:val="left"/>
      <w:pPr>
        <w:tabs>
          <w:tab w:val="num" w:pos="284"/>
        </w:tabs>
        <w:ind w:left="284" w:hanging="284"/>
      </w:pPr>
      <w:rPr>
        <w:rFonts w:ascii="Times New Roman" w:hAnsi="Times New Roman" w:hint="default"/>
        <w:sz w:val="16"/>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1FCC0BCF"/>
    <w:multiLevelType w:val="multilevel"/>
    <w:tmpl w:val="6C22E018"/>
    <w:lvl w:ilvl="0">
      <w:start w:val="5"/>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1FEF5E53"/>
    <w:multiLevelType w:val="hybridMultilevel"/>
    <w:tmpl w:val="A14EBC4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20661EDD"/>
    <w:multiLevelType w:val="hybridMultilevel"/>
    <w:tmpl w:val="5B6A7FB4"/>
    <w:lvl w:ilvl="0" w:tplc="1402ED68">
      <w:start w:val="1"/>
      <w:numFmt w:val="bullet"/>
      <w:lvlText w:val=""/>
      <w:lvlJc w:val="left"/>
      <w:pPr>
        <w:tabs>
          <w:tab w:val="num" w:pos="750"/>
        </w:tabs>
        <w:ind w:left="750" w:hanging="360"/>
      </w:pPr>
      <w:rPr>
        <w:rFonts w:ascii="Symbol" w:hAnsi="Symbol" w:hint="default"/>
        <w:color w:val="auto"/>
        <w:sz w:val="18"/>
        <w:szCs w:val="18"/>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1097C7F"/>
    <w:multiLevelType w:val="hybridMultilevel"/>
    <w:tmpl w:val="F2A09374"/>
    <w:lvl w:ilvl="0" w:tplc="F4F60A98">
      <w:numFmt w:val="bullet"/>
      <w:lvlText w:val="-"/>
      <w:lvlJc w:val="left"/>
      <w:pPr>
        <w:ind w:left="927" w:hanging="360"/>
      </w:pPr>
      <w:rPr>
        <w:rFonts w:ascii="Times New Roman" w:hAnsi="Times New Roman"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38" w15:restartNumberingAfterBreak="0">
    <w:nsid w:val="275B0983"/>
    <w:multiLevelType w:val="hybridMultilevel"/>
    <w:tmpl w:val="396A0836"/>
    <w:lvl w:ilvl="0" w:tplc="3E98AD0C">
      <w:start w:val="16"/>
      <w:numFmt w:val="bullet"/>
      <w:lvlText w:val="-"/>
      <w:lvlJc w:val="left"/>
      <w:pPr>
        <w:tabs>
          <w:tab w:val="num" w:pos="750"/>
        </w:tabs>
        <w:ind w:left="750" w:hanging="360"/>
      </w:pPr>
      <w:rPr>
        <w:rFonts w:ascii="Verdana" w:eastAsia="SymbolMT" w:hAnsi="Verdana" w:cs="SymbolMT" w:hint="default"/>
        <w:color w:val="auto"/>
        <w:sz w:val="18"/>
        <w:szCs w:val="18"/>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8D52694"/>
    <w:multiLevelType w:val="multilevel"/>
    <w:tmpl w:val="61B01CFA"/>
    <w:lvl w:ilvl="0">
      <w:start w:val="4"/>
      <w:numFmt w:val="decimal"/>
      <w:lvlText w:val="%1"/>
      <w:lvlJc w:val="left"/>
      <w:pPr>
        <w:tabs>
          <w:tab w:val="num" w:pos="705"/>
        </w:tabs>
        <w:ind w:left="705" w:hanging="705"/>
      </w:pPr>
      <w:rPr>
        <w:rFonts w:hint="default"/>
      </w:rPr>
    </w:lvl>
    <w:lvl w:ilvl="1">
      <w:start w:val="5"/>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15:restartNumberingAfterBreak="0">
    <w:nsid w:val="2B9D609F"/>
    <w:multiLevelType w:val="hybridMultilevel"/>
    <w:tmpl w:val="F3FCB0A4"/>
    <w:lvl w:ilvl="0" w:tplc="F4F60A98">
      <w:numFmt w:val="bullet"/>
      <w:lvlText w:val="-"/>
      <w:lvlJc w:val="left"/>
      <w:pPr>
        <w:ind w:left="927" w:hanging="360"/>
      </w:pPr>
      <w:rPr>
        <w:rFonts w:ascii="Times New Roman" w:hAnsi="Times New Roman"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41" w15:restartNumberingAfterBreak="0">
    <w:nsid w:val="330211F0"/>
    <w:multiLevelType w:val="hybridMultilevel"/>
    <w:tmpl w:val="C254BBCE"/>
    <w:lvl w:ilvl="0" w:tplc="F4F60A98">
      <w:numFmt w:val="bullet"/>
      <w:lvlText w:val="-"/>
      <w:lvlJc w:val="left"/>
      <w:pPr>
        <w:ind w:left="720" w:hanging="360"/>
      </w:pPr>
      <w:rPr>
        <w:rFonts w:ascii="Times New Roman" w:hAnsi="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33A03EB1"/>
    <w:multiLevelType w:val="multilevel"/>
    <w:tmpl w:val="25F22574"/>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3E76755E"/>
    <w:multiLevelType w:val="hybridMultilevel"/>
    <w:tmpl w:val="8866250C"/>
    <w:lvl w:ilvl="0" w:tplc="A3E28C58">
      <w:start w:val="7"/>
      <w:numFmt w:val="decimal"/>
      <w:lvlText w:val="%1."/>
      <w:lvlJc w:val="left"/>
      <w:pPr>
        <w:tabs>
          <w:tab w:val="num" w:pos="1065"/>
        </w:tabs>
        <w:ind w:left="1065" w:hanging="705"/>
      </w:pPr>
      <w:rPr>
        <w:rFonts w:hint="default"/>
      </w:rPr>
    </w:lvl>
    <w:lvl w:ilvl="1" w:tplc="040E0019">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4" w15:restartNumberingAfterBreak="0">
    <w:nsid w:val="3EA21079"/>
    <w:multiLevelType w:val="hybridMultilevel"/>
    <w:tmpl w:val="3EF0FDB0"/>
    <w:lvl w:ilvl="0" w:tplc="2D4E646E">
      <w:start w:val="2"/>
      <w:numFmt w:val="bullet"/>
      <w:lvlText w:val="-"/>
      <w:lvlJc w:val="left"/>
      <w:pPr>
        <w:tabs>
          <w:tab w:val="num" w:pos="1211"/>
        </w:tabs>
        <w:ind w:left="1211" w:hanging="360"/>
      </w:pPr>
      <w:rPr>
        <w:rFonts w:ascii="Baskerville Old Face" w:hAnsi="Baskerville Old Face"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F1555D1"/>
    <w:multiLevelType w:val="hybridMultilevel"/>
    <w:tmpl w:val="1BF015E8"/>
    <w:lvl w:ilvl="0" w:tplc="2D4E646E">
      <w:start w:val="2"/>
      <w:numFmt w:val="bullet"/>
      <w:lvlText w:val="-"/>
      <w:lvlJc w:val="left"/>
      <w:pPr>
        <w:tabs>
          <w:tab w:val="num" w:pos="1211"/>
        </w:tabs>
        <w:ind w:left="1211" w:hanging="360"/>
      </w:pPr>
      <w:rPr>
        <w:rFonts w:ascii="Baskerville Old Face" w:hAnsi="Baskerville Old Face"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FCE1091"/>
    <w:multiLevelType w:val="hybridMultilevel"/>
    <w:tmpl w:val="6FF6BCA8"/>
    <w:lvl w:ilvl="0" w:tplc="040E0003">
      <w:start w:val="1"/>
      <w:numFmt w:val="bullet"/>
      <w:lvlText w:val="o"/>
      <w:lvlJc w:val="left"/>
      <w:pPr>
        <w:tabs>
          <w:tab w:val="num" w:pos="284"/>
        </w:tabs>
        <w:ind w:left="284" w:hanging="284"/>
      </w:pPr>
      <w:rPr>
        <w:rFonts w:ascii="Courier New" w:hAnsi="Courier New" w:cs="Courier New" w:hint="default"/>
        <w:sz w:val="16"/>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0E01F42"/>
    <w:multiLevelType w:val="hybridMultilevel"/>
    <w:tmpl w:val="76589998"/>
    <w:lvl w:ilvl="0" w:tplc="2FB6A770">
      <w:start w:val="1"/>
      <w:numFmt w:val="bullet"/>
      <w:lvlText w:val=""/>
      <w:lvlJc w:val="left"/>
      <w:pPr>
        <w:tabs>
          <w:tab w:val="num" w:pos="510"/>
        </w:tabs>
        <w:ind w:left="454" w:hanging="454"/>
      </w:pPr>
      <w:rPr>
        <w:rFonts w:ascii="Symbol" w:hAnsi="Symbol" w:hint="default"/>
        <w:b w:val="0"/>
        <w:i w:val="0"/>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2C379E1"/>
    <w:multiLevelType w:val="hybridMultilevel"/>
    <w:tmpl w:val="91B41AA8"/>
    <w:lvl w:ilvl="0" w:tplc="040E0001">
      <w:start w:val="1"/>
      <w:numFmt w:val="bullet"/>
      <w:lvlText w:val=""/>
      <w:lvlJc w:val="left"/>
      <w:pPr>
        <w:tabs>
          <w:tab w:val="num" w:pos="720"/>
        </w:tabs>
        <w:ind w:left="720" w:hanging="360"/>
      </w:pPr>
      <w:rPr>
        <w:rFonts w:ascii="Symbol" w:hAnsi="Symbol" w:hint="default"/>
      </w:rPr>
    </w:lvl>
    <w:lvl w:ilvl="1" w:tplc="0A98BE08">
      <w:start w:val="1"/>
      <w:numFmt w:val="bullet"/>
      <w:lvlText w:val="-"/>
      <w:lvlJc w:val="left"/>
      <w:pPr>
        <w:tabs>
          <w:tab w:val="num" w:pos="284"/>
        </w:tabs>
        <w:ind w:left="284" w:hanging="284"/>
      </w:pPr>
      <w:rPr>
        <w:rFonts w:hint="default"/>
        <w:sz w:val="16"/>
      </w:rPr>
    </w:lvl>
    <w:lvl w:ilvl="2" w:tplc="80B899C2">
      <w:start w:val="1"/>
      <w:numFmt w:val="bullet"/>
      <w:lvlText w:val="-"/>
      <w:lvlJc w:val="left"/>
      <w:pPr>
        <w:tabs>
          <w:tab w:val="num" w:pos="2084"/>
        </w:tabs>
        <w:ind w:left="2084" w:hanging="284"/>
      </w:pPr>
      <w:rPr>
        <w:rFonts w:ascii="Dotum" w:eastAsia="Dotum" w:hAnsi="Dotum" w:cs="Dotum" w:hint="eastAsia"/>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32F119E"/>
    <w:multiLevelType w:val="hybridMultilevel"/>
    <w:tmpl w:val="72A24448"/>
    <w:lvl w:ilvl="0" w:tplc="FED6E178">
      <w:start w:val="2"/>
      <w:numFmt w:val="decimal"/>
      <w:lvlText w:val="%1."/>
      <w:lvlJc w:val="left"/>
      <w:pPr>
        <w:tabs>
          <w:tab w:val="num" w:pos="1065"/>
        </w:tabs>
        <w:ind w:left="1065" w:hanging="705"/>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50" w15:restartNumberingAfterBreak="0">
    <w:nsid w:val="4332286F"/>
    <w:multiLevelType w:val="multilevel"/>
    <w:tmpl w:val="C9903328"/>
    <w:lvl w:ilvl="0">
      <w:start w:val="4"/>
      <w:numFmt w:val="decimal"/>
      <w:lvlText w:val="%1"/>
      <w:lvlJc w:val="left"/>
      <w:pPr>
        <w:tabs>
          <w:tab w:val="num" w:pos="705"/>
        </w:tabs>
        <w:ind w:left="705" w:hanging="705"/>
      </w:pPr>
      <w:rPr>
        <w:rFonts w:hint="default"/>
      </w:rPr>
    </w:lvl>
    <w:lvl w:ilvl="1">
      <w:start w:val="9"/>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1" w15:restartNumberingAfterBreak="0">
    <w:nsid w:val="436B25E0"/>
    <w:multiLevelType w:val="hybridMultilevel"/>
    <w:tmpl w:val="675CB2CA"/>
    <w:lvl w:ilvl="0" w:tplc="F4F60A98">
      <w:numFmt w:val="bullet"/>
      <w:lvlText w:val="-"/>
      <w:lvlJc w:val="left"/>
      <w:pPr>
        <w:ind w:left="927" w:hanging="360"/>
      </w:pPr>
      <w:rPr>
        <w:rFonts w:ascii="Times New Roman" w:hAnsi="Times New Roman"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52" w15:restartNumberingAfterBreak="0">
    <w:nsid w:val="44A52D3A"/>
    <w:multiLevelType w:val="singleLevel"/>
    <w:tmpl w:val="6BC04480"/>
    <w:lvl w:ilvl="0">
      <w:start w:val="8"/>
      <w:numFmt w:val="decimal"/>
      <w:lvlText w:val="%1."/>
      <w:lvlJc w:val="left"/>
      <w:pPr>
        <w:tabs>
          <w:tab w:val="num" w:pos="708"/>
        </w:tabs>
        <w:ind w:left="708" w:hanging="708"/>
      </w:pPr>
      <w:rPr>
        <w:rFonts w:hint="default"/>
      </w:rPr>
    </w:lvl>
  </w:abstractNum>
  <w:abstractNum w:abstractNumId="53" w15:restartNumberingAfterBreak="0">
    <w:nsid w:val="48605F68"/>
    <w:multiLevelType w:val="hybridMultilevel"/>
    <w:tmpl w:val="B54EDEAE"/>
    <w:lvl w:ilvl="0" w:tplc="F4F60A98">
      <w:numFmt w:val="bullet"/>
      <w:lvlText w:val="-"/>
      <w:lvlJc w:val="left"/>
      <w:pPr>
        <w:ind w:left="643" w:hanging="360"/>
      </w:pPr>
      <w:rPr>
        <w:rFonts w:ascii="Times New Roman" w:hAnsi="Times New Roman" w:hint="default"/>
      </w:rPr>
    </w:lvl>
    <w:lvl w:ilvl="1" w:tplc="040E0003" w:tentative="1">
      <w:start w:val="1"/>
      <w:numFmt w:val="bullet"/>
      <w:lvlText w:val="o"/>
      <w:lvlJc w:val="left"/>
      <w:pPr>
        <w:ind w:left="1363" w:hanging="360"/>
      </w:pPr>
      <w:rPr>
        <w:rFonts w:ascii="Courier New" w:hAnsi="Courier New" w:cs="Courier New" w:hint="default"/>
      </w:rPr>
    </w:lvl>
    <w:lvl w:ilvl="2" w:tplc="040E0005" w:tentative="1">
      <w:start w:val="1"/>
      <w:numFmt w:val="bullet"/>
      <w:lvlText w:val=""/>
      <w:lvlJc w:val="left"/>
      <w:pPr>
        <w:ind w:left="2083" w:hanging="360"/>
      </w:pPr>
      <w:rPr>
        <w:rFonts w:ascii="Wingdings" w:hAnsi="Wingdings" w:hint="default"/>
      </w:rPr>
    </w:lvl>
    <w:lvl w:ilvl="3" w:tplc="040E0001" w:tentative="1">
      <w:start w:val="1"/>
      <w:numFmt w:val="bullet"/>
      <w:lvlText w:val=""/>
      <w:lvlJc w:val="left"/>
      <w:pPr>
        <w:ind w:left="2803" w:hanging="360"/>
      </w:pPr>
      <w:rPr>
        <w:rFonts w:ascii="Symbol" w:hAnsi="Symbol" w:hint="default"/>
      </w:rPr>
    </w:lvl>
    <w:lvl w:ilvl="4" w:tplc="040E0003" w:tentative="1">
      <w:start w:val="1"/>
      <w:numFmt w:val="bullet"/>
      <w:lvlText w:val="o"/>
      <w:lvlJc w:val="left"/>
      <w:pPr>
        <w:ind w:left="3523" w:hanging="360"/>
      </w:pPr>
      <w:rPr>
        <w:rFonts w:ascii="Courier New" w:hAnsi="Courier New" w:cs="Courier New" w:hint="default"/>
      </w:rPr>
    </w:lvl>
    <w:lvl w:ilvl="5" w:tplc="040E0005" w:tentative="1">
      <w:start w:val="1"/>
      <w:numFmt w:val="bullet"/>
      <w:lvlText w:val=""/>
      <w:lvlJc w:val="left"/>
      <w:pPr>
        <w:ind w:left="4243" w:hanging="360"/>
      </w:pPr>
      <w:rPr>
        <w:rFonts w:ascii="Wingdings" w:hAnsi="Wingdings" w:hint="default"/>
      </w:rPr>
    </w:lvl>
    <w:lvl w:ilvl="6" w:tplc="040E0001" w:tentative="1">
      <w:start w:val="1"/>
      <w:numFmt w:val="bullet"/>
      <w:lvlText w:val=""/>
      <w:lvlJc w:val="left"/>
      <w:pPr>
        <w:ind w:left="4963" w:hanging="360"/>
      </w:pPr>
      <w:rPr>
        <w:rFonts w:ascii="Symbol" w:hAnsi="Symbol" w:hint="default"/>
      </w:rPr>
    </w:lvl>
    <w:lvl w:ilvl="7" w:tplc="040E0003" w:tentative="1">
      <w:start w:val="1"/>
      <w:numFmt w:val="bullet"/>
      <w:lvlText w:val="o"/>
      <w:lvlJc w:val="left"/>
      <w:pPr>
        <w:ind w:left="5683" w:hanging="360"/>
      </w:pPr>
      <w:rPr>
        <w:rFonts w:ascii="Courier New" w:hAnsi="Courier New" w:cs="Courier New" w:hint="default"/>
      </w:rPr>
    </w:lvl>
    <w:lvl w:ilvl="8" w:tplc="040E0005" w:tentative="1">
      <w:start w:val="1"/>
      <w:numFmt w:val="bullet"/>
      <w:lvlText w:val=""/>
      <w:lvlJc w:val="left"/>
      <w:pPr>
        <w:ind w:left="6403" w:hanging="360"/>
      </w:pPr>
      <w:rPr>
        <w:rFonts w:ascii="Wingdings" w:hAnsi="Wingdings" w:hint="default"/>
      </w:rPr>
    </w:lvl>
  </w:abstractNum>
  <w:abstractNum w:abstractNumId="54" w15:restartNumberingAfterBreak="0">
    <w:nsid w:val="491E41ED"/>
    <w:multiLevelType w:val="hybridMultilevel"/>
    <w:tmpl w:val="B942B5D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5" w15:restartNumberingAfterBreak="0">
    <w:nsid w:val="4D044632"/>
    <w:multiLevelType w:val="hybridMultilevel"/>
    <w:tmpl w:val="68E0E0EE"/>
    <w:lvl w:ilvl="0" w:tplc="80B899C2">
      <w:start w:val="1"/>
      <w:numFmt w:val="bullet"/>
      <w:lvlText w:val="-"/>
      <w:lvlJc w:val="left"/>
      <w:pPr>
        <w:tabs>
          <w:tab w:val="num" w:pos="284"/>
        </w:tabs>
        <w:ind w:left="284" w:hanging="284"/>
      </w:pPr>
      <w:rPr>
        <w:rFonts w:ascii="Dotum" w:eastAsia="Dotum" w:hAnsi="Dotum" w:cs="Dotum" w:hint="eastAsia"/>
      </w:rPr>
    </w:lvl>
    <w:lvl w:ilvl="1" w:tplc="04070007">
      <w:start w:val="1"/>
      <w:numFmt w:val="bullet"/>
      <w:lvlText w:val="-"/>
      <w:lvlJc w:val="left"/>
      <w:pPr>
        <w:tabs>
          <w:tab w:val="num" w:pos="1440"/>
        </w:tabs>
        <w:ind w:left="1440" w:hanging="360"/>
      </w:pPr>
      <w:rPr>
        <w:sz w:val="16"/>
      </w:rPr>
    </w:lvl>
    <w:lvl w:ilvl="2" w:tplc="040E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0BA33F2"/>
    <w:multiLevelType w:val="multilevel"/>
    <w:tmpl w:val="F5A8D6CA"/>
    <w:lvl w:ilvl="0">
      <w:start w:val="4"/>
      <w:numFmt w:val="decimal"/>
      <w:lvlText w:val="%1"/>
      <w:lvlJc w:val="left"/>
      <w:pPr>
        <w:tabs>
          <w:tab w:val="num" w:pos="708"/>
        </w:tabs>
        <w:ind w:left="708" w:hanging="708"/>
      </w:pPr>
      <w:rPr>
        <w:rFonts w:hint="default"/>
      </w:rPr>
    </w:lvl>
    <w:lvl w:ilvl="1">
      <w:start w:val="1"/>
      <w:numFmt w:val="decimal"/>
      <w:lvlText w:val="%1.%2"/>
      <w:lvlJc w:val="left"/>
      <w:pPr>
        <w:tabs>
          <w:tab w:val="num" w:pos="850"/>
        </w:tabs>
        <w:ind w:left="850" w:hanging="70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7" w15:restartNumberingAfterBreak="0">
    <w:nsid w:val="51E75D7A"/>
    <w:multiLevelType w:val="hybridMultilevel"/>
    <w:tmpl w:val="A0F21462"/>
    <w:lvl w:ilvl="0" w:tplc="F4F60A98">
      <w:numFmt w:val="bullet"/>
      <w:lvlText w:val="-"/>
      <w:lvlJc w:val="left"/>
      <w:pPr>
        <w:tabs>
          <w:tab w:val="num" w:pos="927"/>
        </w:tabs>
        <w:ind w:left="927" w:hanging="360"/>
      </w:pPr>
      <w:rPr>
        <w:rFonts w:ascii="Times New Roman" w:hAnsi="Times New Roman" w:hint="default"/>
      </w:rPr>
    </w:lvl>
    <w:lvl w:ilvl="1" w:tplc="040E0003" w:tentative="1">
      <w:start w:val="1"/>
      <w:numFmt w:val="bullet"/>
      <w:lvlText w:val="o"/>
      <w:lvlJc w:val="left"/>
      <w:pPr>
        <w:tabs>
          <w:tab w:val="num" w:pos="2007"/>
        </w:tabs>
        <w:ind w:left="2007" w:hanging="360"/>
      </w:pPr>
      <w:rPr>
        <w:rFonts w:ascii="Courier New" w:hAnsi="Courier New" w:cs="Courier New" w:hint="default"/>
      </w:rPr>
    </w:lvl>
    <w:lvl w:ilvl="2" w:tplc="040E0005" w:tentative="1">
      <w:start w:val="1"/>
      <w:numFmt w:val="bullet"/>
      <w:lvlText w:val=""/>
      <w:lvlJc w:val="left"/>
      <w:pPr>
        <w:tabs>
          <w:tab w:val="num" w:pos="2727"/>
        </w:tabs>
        <w:ind w:left="2727" w:hanging="360"/>
      </w:pPr>
      <w:rPr>
        <w:rFonts w:ascii="Wingdings" w:hAnsi="Wingdings" w:hint="default"/>
      </w:rPr>
    </w:lvl>
    <w:lvl w:ilvl="3" w:tplc="040E0001" w:tentative="1">
      <w:start w:val="1"/>
      <w:numFmt w:val="bullet"/>
      <w:lvlText w:val=""/>
      <w:lvlJc w:val="left"/>
      <w:pPr>
        <w:tabs>
          <w:tab w:val="num" w:pos="3447"/>
        </w:tabs>
        <w:ind w:left="3447" w:hanging="360"/>
      </w:pPr>
      <w:rPr>
        <w:rFonts w:ascii="Symbol" w:hAnsi="Symbol" w:hint="default"/>
      </w:rPr>
    </w:lvl>
    <w:lvl w:ilvl="4" w:tplc="040E0003" w:tentative="1">
      <w:start w:val="1"/>
      <w:numFmt w:val="bullet"/>
      <w:lvlText w:val="o"/>
      <w:lvlJc w:val="left"/>
      <w:pPr>
        <w:tabs>
          <w:tab w:val="num" w:pos="4167"/>
        </w:tabs>
        <w:ind w:left="4167" w:hanging="360"/>
      </w:pPr>
      <w:rPr>
        <w:rFonts w:ascii="Courier New" w:hAnsi="Courier New" w:cs="Courier New" w:hint="default"/>
      </w:rPr>
    </w:lvl>
    <w:lvl w:ilvl="5" w:tplc="040E0005" w:tentative="1">
      <w:start w:val="1"/>
      <w:numFmt w:val="bullet"/>
      <w:lvlText w:val=""/>
      <w:lvlJc w:val="left"/>
      <w:pPr>
        <w:tabs>
          <w:tab w:val="num" w:pos="4887"/>
        </w:tabs>
        <w:ind w:left="4887" w:hanging="360"/>
      </w:pPr>
      <w:rPr>
        <w:rFonts w:ascii="Wingdings" w:hAnsi="Wingdings" w:hint="default"/>
      </w:rPr>
    </w:lvl>
    <w:lvl w:ilvl="6" w:tplc="040E0001" w:tentative="1">
      <w:start w:val="1"/>
      <w:numFmt w:val="bullet"/>
      <w:lvlText w:val=""/>
      <w:lvlJc w:val="left"/>
      <w:pPr>
        <w:tabs>
          <w:tab w:val="num" w:pos="5607"/>
        </w:tabs>
        <w:ind w:left="5607" w:hanging="360"/>
      </w:pPr>
      <w:rPr>
        <w:rFonts w:ascii="Symbol" w:hAnsi="Symbol" w:hint="default"/>
      </w:rPr>
    </w:lvl>
    <w:lvl w:ilvl="7" w:tplc="040E0003" w:tentative="1">
      <w:start w:val="1"/>
      <w:numFmt w:val="bullet"/>
      <w:lvlText w:val="o"/>
      <w:lvlJc w:val="left"/>
      <w:pPr>
        <w:tabs>
          <w:tab w:val="num" w:pos="6327"/>
        </w:tabs>
        <w:ind w:left="6327" w:hanging="360"/>
      </w:pPr>
      <w:rPr>
        <w:rFonts w:ascii="Courier New" w:hAnsi="Courier New" w:cs="Courier New" w:hint="default"/>
      </w:rPr>
    </w:lvl>
    <w:lvl w:ilvl="8" w:tplc="040E0005" w:tentative="1">
      <w:start w:val="1"/>
      <w:numFmt w:val="bullet"/>
      <w:lvlText w:val=""/>
      <w:lvlJc w:val="left"/>
      <w:pPr>
        <w:tabs>
          <w:tab w:val="num" w:pos="7047"/>
        </w:tabs>
        <w:ind w:left="7047" w:hanging="360"/>
      </w:pPr>
      <w:rPr>
        <w:rFonts w:ascii="Wingdings" w:hAnsi="Wingdings" w:hint="default"/>
      </w:rPr>
    </w:lvl>
  </w:abstractNum>
  <w:abstractNum w:abstractNumId="58" w15:restartNumberingAfterBreak="0">
    <w:nsid w:val="57505692"/>
    <w:multiLevelType w:val="hybridMultilevel"/>
    <w:tmpl w:val="B212EBEE"/>
    <w:lvl w:ilvl="0" w:tplc="CA802D28">
      <w:start w:val="1"/>
      <w:numFmt w:val="bullet"/>
      <w:pStyle w:val="ListBullet2"/>
      <w:lvlText w:val="-"/>
      <w:lvlJc w:val="left"/>
      <w:pPr>
        <w:tabs>
          <w:tab w:val="num" w:pos="284"/>
        </w:tabs>
        <w:ind w:left="284" w:hanging="284"/>
      </w:pPr>
      <w:rPr>
        <w:rFonts w:ascii="Dotum" w:eastAsia="Dotum" w:hAnsi="Dotum" w:cs="Dotum" w:hint="eastAsia"/>
        <w:sz w:val="16"/>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98A41F2"/>
    <w:multiLevelType w:val="hybridMultilevel"/>
    <w:tmpl w:val="49467594"/>
    <w:lvl w:ilvl="0" w:tplc="040E0003">
      <w:start w:val="1"/>
      <w:numFmt w:val="bullet"/>
      <w:lvlText w:val="o"/>
      <w:lvlJc w:val="left"/>
      <w:pPr>
        <w:tabs>
          <w:tab w:val="num" w:pos="284"/>
        </w:tabs>
        <w:ind w:left="284" w:hanging="284"/>
      </w:pPr>
      <w:rPr>
        <w:rFonts w:ascii="Courier New" w:hAnsi="Courier New" w:cs="Courier New" w:hint="default"/>
        <w:sz w:val="16"/>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C394C33"/>
    <w:multiLevelType w:val="hybridMultilevel"/>
    <w:tmpl w:val="C65C600C"/>
    <w:lvl w:ilvl="0" w:tplc="9918B788">
      <w:start w:val="1"/>
      <w:numFmt w:val="bullet"/>
      <w:lvlText w:val=""/>
      <w:lvlJc w:val="left"/>
      <w:pPr>
        <w:tabs>
          <w:tab w:val="num" w:pos="1287"/>
        </w:tabs>
        <w:ind w:left="1287" w:hanging="360"/>
      </w:pPr>
      <w:rPr>
        <w:rFonts w:ascii="Symbol" w:hAnsi="Symbol" w:hint="default"/>
      </w:rPr>
    </w:lvl>
    <w:lvl w:ilvl="1" w:tplc="1402ED68">
      <w:start w:val="1"/>
      <w:numFmt w:val="bullet"/>
      <w:lvlText w:val=""/>
      <w:lvlJc w:val="left"/>
      <w:pPr>
        <w:tabs>
          <w:tab w:val="num" w:pos="2007"/>
        </w:tabs>
        <w:ind w:left="2007" w:hanging="360"/>
      </w:pPr>
      <w:rPr>
        <w:rFonts w:ascii="Symbol" w:hAnsi="Symbol" w:hint="default"/>
        <w:color w:val="auto"/>
        <w:sz w:val="18"/>
        <w:szCs w:val="18"/>
      </w:rPr>
    </w:lvl>
    <w:lvl w:ilvl="2" w:tplc="040E0001"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1" w15:restartNumberingAfterBreak="0">
    <w:nsid w:val="5F1C0662"/>
    <w:multiLevelType w:val="multilevel"/>
    <w:tmpl w:val="270AF24C"/>
    <w:lvl w:ilvl="0">
      <w:start w:val="1"/>
      <w:numFmt w:val="bullet"/>
      <w:lvlText w:val="-"/>
      <w:lvlJc w:val="left"/>
      <w:pPr>
        <w:tabs>
          <w:tab w:val="num" w:pos="851"/>
        </w:tabs>
        <w:ind w:left="851" w:hanging="284"/>
      </w:pPr>
      <w:rPr>
        <w:rFonts w:ascii="Dotum" w:eastAsia="Dotum" w:hAnsi="Dotum" w:cs="Dotum" w:hint="eastAsia"/>
      </w:rPr>
    </w:lvl>
    <w:lvl w:ilvl="1">
      <w:start w:val="1"/>
      <w:numFmt w:val="bullet"/>
      <w:lvlText w:val="–"/>
      <w:lvlJc w:val="left"/>
      <w:pPr>
        <w:tabs>
          <w:tab w:val="num" w:pos="0"/>
        </w:tabs>
      </w:pPr>
      <w:rPr>
        <w:rFonts w:ascii="StarSymbol" w:hAnsi="StarSymbol"/>
        <w:sz w:val="18"/>
      </w:rPr>
    </w:lvl>
    <w:lvl w:ilvl="2">
      <w:start w:val="1"/>
      <w:numFmt w:val="bullet"/>
      <w:lvlText w:val="–"/>
      <w:lvlJc w:val="left"/>
      <w:pPr>
        <w:tabs>
          <w:tab w:val="num" w:pos="0"/>
        </w:tabs>
      </w:pPr>
      <w:rPr>
        <w:rFonts w:ascii="StarSymbol" w:hAnsi="StarSymbol"/>
        <w:sz w:val="18"/>
      </w:rPr>
    </w:lvl>
    <w:lvl w:ilvl="3">
      <w:start w:val="1"/>
      <w:numFmt w:val="bullet"/>
      <w:lvlText w:val="–"/>
      <w:lvlJc w:val="left"/>
      <w:pPr>
        <w:tabs>
          <w:tab w:val="num" w:pos="0"/>
        </w:tabs>
      </w:pPr>
      <w:rPr>
        <w:rFonts w:ascii="StarSymbol" w:hAnsi="StarSymbol"/>
        <w:sz w:val="18"/>
      </w:rPr>
    </w:lvl>
    <w:lvl w:ilvl="4">
      <w:start w:val="1"/>
      <w:numFmt w:val="bullet"/>
      <w:lvlText w:val="–"/>
      <w:lvlJc w:val="left"/>
      <w:pPr>
        <w:tabs>
          <w:tab w:val="num" w:pos="0"/>
        </w:tabs>
      </w:pPr>
      <w:rPr>
        <w:rFonts w:ascii="StarSymbol" w:hAnsi="StarSymbol"/>
        <w:sz w:val="18"/>
      </w:rPr>
    </w:lvl>
    <w:lvl w:ilvl="5">
      <w:start w:val="1"/>
      <w:numFmt w:val="bullet"/>
      <w:lvlText w:val="–"/>
      <w:lvlJc w:val="left"/>
      <w:pPr>
        <w:tabs>
          <w:tab w:val="num" w:pos="0"/>
        </w:tabs>
      </w:pPr>
      <w:rPr>
        <w:rFonts w:ascii="StarSymbol" w:hAnsi="StarSymbol"/>
        <w:sz w:val="18"/>
      </w:rPr>
    </w:lvl>
    <w:lvl w:ilvl="6">
      <w:start w:val="1"/>
      <w:numFmt w:val="bullet"/>
      <w:lvlText w:val="–"/>
      <w:lvlJc w:val="left"/>
      <w:pPr>
        <w:tabs>
          <w:tab w:val="num" w:pos="0"/>
        </w:tabs>
      </w:pPr>
      <w:rPr>
        <w:rFonts w:ascii="StarSymbol" w:hAnsi="StarSymbol"/>
        <w:sz w:val="18"/>
      </w:rPr>
    </w:lvl>
    <w:lvl w:ilvl="7">
      <w:start w:val="1"/>
      <w:numFmt w:val="bullet"/>
      <w:lvlText w:val="–"/>
      <w:lvlJc w:val="left"/>
      <w:pPr>
        <w:tabs>
          <w:tab w:val="num" w:pos="0"/>
        </w:tabs>
      </w:pPr>
      <w:rPr>
        <w:rFonts w:ascii="StarSymbol" w:hAnsi="StarSymbol"/>
        <w:sz w:val="18"/>
      </w:rPr>
    </w:lvl>
    <w:lvl w:ilvl="8">
      <w:start w:val="1"/>
      <w:numFmt w:val="bullet"/>
      <w:lvlText w:val="–"/>
      <w:lvlJc w:val="left"/>
      <w:pPr>
        <w:tabs>
          <w:tab w:val="num" w:pos="0"/>
        </w:tabs>
      </w:pPr>
      <w:rPr>
        <w:rFonts w:ascii="StarSymbol" w:hAnsi="StarSymbol"/>
        <w:sz w:val="18"/>
      </w:rPr>
    </w:lvl>
  </w:abstractNum>
  <w:abstractNum w:abstractNumId="62" w15:restartNumberingAfterBreak="0">
    <w:nsid w:val="61F13069"/>
    <w:multiLevelType w:val="hybridMultilevel"/>
    <w:tmpl w:val="C200F0B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9A773C3"/>
    <w:multiLevelType w:val="multilevel"/>
    <w:tmpl w:val="8A9E5266"/>
    <w:lvl w:ilvl="0">
      <w:start w:val="6"/>
      <w:numFmt w:val="decimal"/>
      <w:lvlText w:val="%1"/>
      <w:lvlJc w:val="left"/>
      <w:pPr>
        <w:tabs>
          <w:tab w:val="num" w:pos="765"/>
        </w:tabs>
        <w:ind w:left="765" w:hanging="765"/>
      </w:pPr>
      <w:rPr>
        <w:rFonts w:hint="default"/>
      </w:rPr>
    </w:lvl>
    <w:lvl w:ilvl="1">
      <w:start w:val="2"/>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765"/>
        </w:tabs>
        <w:ind w:left="765" w:hanging="76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4" w15:restartNumberingAfterBreak="0">
    <w:nsid w:val="6A9B1CED"/>
    <w:multiLevelType w:val="hybridMultilevel"/>
    <w:tmpl w:val="B56A3C5C"/>
    <w:lvl w:ilvl="0" w:tplc="040E0003">
      <w:start w:val="1"/>
      <w:numFmt w:val="bullet"/>
      <w:lvlText w:val="o"/>
      <w:lvlJc w:val="left"/>
      <w:pPr>
        <w:tabs>
          <w:tab w:val="num" w:pos="284"/>
        </w:tabs>
        <w:ind w:left="284" w:hanging="284"/>
      </w:pPr>
      <w:rPr>
        <w:rFonts w:ascii="Courier New" w:hAnsi="Courier New" w:cs="Courier New" w:hint="default"/>
        <w:sz w:val="16"/>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04B31B4"/>
    <w:multiLevelType w:val="hybridMultilevel"/>
    <w:tmpl w:val="E4449F7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CD72232"/>
    <w:multiLevelType w:val="hybridMultilevel"/>
    <w:tmpl w:val="383A5B42"/>
    <w:lvl w:ilvl="0" w:tplc="3E98AD0C">
      <w:start w:val="16"/>
      <w:numFmt w:val="bullet"/>
      <w:lvlText w:val="-"/>
      <w:lvlJc w:val="left"/>
      <w:pPr>
        <w:tabs>
          <w:tab w:val="num" w:pos="750"/>
        </w:tabs>
        <w:ind w:left="750" w:hanging="360"/>
      </w:pPr>
      <w:rPr>
        <w:rFonts w:ascii="Verdana" w:eastAsia="SymbolMT" w:hAnsi="Verdana" w:cs="SymbolMT" w:hint="default"/>
        <w:color w:val="auto"/>
        <w:sz w:val="18"/>
        <w:szCs w:val="18"/>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52"/>
  </w:num>
  <w:num w:numId="4">
    <w:abstractNumId w:val="56"/>
  </w:num>
  <w:num w:numId="5">
    <w:abstractNumId w:val="62"/>
  </w:num>
  <w:num w:numId="6">
    <w:abstractNumId w:val="34"/>
  </w:num>
  <w:num w:numId="7">
    <w:abstractNumId w:val="47"/>
  </w:num>
  <w:num w:numId="8">
    <w:abstractNumId w:val="39"/>
  </w:num>
  <w:num w:numId="9">
    <w:abstractNumId w:val="50"/>
  </w:num>
  <w:num w:numId="10">
    <w:abstractNumId w:val="49"/>
  </w:num>
  <w:num w:numId="11">
    <w:abstractNumId w:val="63"/>
  </w:num>
  <w:num w:numId="12">
    <w:abstractNumId w:val="43"/>
  </w:num>
  <w:num w:numId="13">
    <w:abstractNumId w:val="11"/>
  </w:num>
  <w:num w:numId="14">
    <w:abstractNumId w:val="13"/>
  </w:num>
  <w:num w:numId="15">
    <w:abstractNumId w:val="14"/>
  </w:num>
  <w:num w:numId="16">
    <w:abstractNumId w:val="17"/>
  </w:num>
  <w:num w:numId="17">
    <w:abstractNumId w:val="31"/>
  </w:num>
  <w:num w:numId="1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9">
    <w:abstractNumId w:val="48"/>
  </w:num>
  <w:num w:numId="20">
    <w:abstractNumId w:val="24"/>
  </w:num>
  <w:num w:numId="21">
    <w:abstractNumId w:val="29"/>
  </w:num>
  <w:num w:numId="22">
    <w:abstractNumId w:val="23"/>
  </w:num>
  <w:num w:numId="23">
    <w:abstractNumId w:val="57"/>
  </w:num>
  <w:num w:numId="24">
    <w:abstractNumId w:val="25"/>
  </w:num>
  <w:num w:numId="25">
    <w:abstractNumId w:val="9"/>
  </w:num>
  <w:num w:numId="26">
    <w:abstractNumId w:val="27"/>
  </w:num>
  <w:num w:numId="27">
    <w:abstractNumId w:val="22"/>
  </w:num>
  <w:num w:numId="28">
    <w:abstractNumId w:val="8"/>
  </w:num>
  <w:num w:numId="29">
    <w:abstractNumId w:val="3"/>
  </w:num>
  <w:num w:numId="30">
    <w:abstractNumId w:val="2"/>
  </w:num>
  <w:num w:numId="31">
    <w:abstractNumId w:val="1"/>
  </w:num>
  <w:num w:numId="32">
    <w:abstractNumId w:val="0"/>
  </w:num>
  <w:num w:numId="33">
    <w:abstractNumId w:val="6"/>
  </w:num>
  <w:num w:numId="34">
    <w:abstractNumId w:val="5"/>
  </w:num>
  <w:num w:numId="35">
    <w:abstractNumId w:val="4"/>
  </w:num>
  <w:num w:numId="36">
    <w:abstractNumId w:val="58"/>
  </w:num>
  <w:num w:numId="37">
    <w:abstractNumId w:val="55"/>
  </w:num>
  <w:num w:numId="38">
    <w:abstractNumId w:val="61"/>
  </w:num>
  <w:num w:numId="39">
    <w:abstractNumId w:val="21"/>
  </w:num>
  <w:num w:numId="40">
    <w:abstractNumId w:val="44"/>
  </w:num>
  <w:num w:numId="41">
    <w:abstractNumId w:val="65"/>
  </w:num>
  <w:num w:numId="42">
    <w:abstractNumId w:val="60"/>
  </w:num>
  <w:num w:numId="43">
    <w:abstractNumId w:val="36"/>
  </w:num>
  <w:num w:numId="44">
    <w:abstractNumId w:val="45"/>
  </w:num>
  <w:num w:numId="45">
    <w:abstractNumId w:val="26"/>
  </w:num>
  <w:num w:numId="46">
    <w:abstractNumId w:val="30"/>
  </w:num>
  <w:num w:numId="47">
    <w:abstractNumId w:val="33"/>
  </w:num>
  <w:num w:numId="48">
    <w:abstractNumId w:val="7"/>
  </w:num>
  <w:num w:numId="49">
    <w:abstractNumId w:val="41"/>
  </w:num>
  <w:num w:numId="50">
    <w:abstractNumId w:val="53"/>
  </w:num>
  <w:num w:numId="51">
    <w:abstractNumId w:val="20"/>
  </w:num>
  <w:num w:numId="52">
    <w:abstractNumId w:val="37"/>
  </w:num>
  <w:num w:numId="53">
    <w:abstractNumId w:val="51"/>
  </w:num>
  <w:num w:numId="54">
    <w:abstractNumId w:val="40"/>
  </w:num>
  <w:num w:numId="55">
    <w:abstractNumId w:val="64"/>
  </w:num>
  <w:num w:numId="56">
    <w:abstractNumId w:val="59"/>
  </w:num>
  <w:num w:numId="57">
    <w:abstractNumId w:val="54"/>
  </w:num>
  <w:num w:numId="58">
    <w:abstractNumId w:val="46"/>
  </w:num>
  <w:num w:numId="59">
    <w:abstractNumId w:val="66"/>
  </w:num>
  <w:num w:numId="60">
    <w:abstractNumId w:val="38"/>
  </w:num>
  <w:num w:numId="61">
    <w:abstractNumId w:val="28"/>
  </w:num>
  <w:num w:numId="62">
    <w:abstractNumId w:val="32"/>
  </w:num>
  <w:num w:numId="63">
    <w:abstractNumId w:val="3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1EFB"/>
    <w:rsid w:val="0000443F"/>
    <w:rsid w:val="00005FD9"/>
    <w:rsid w:val="0001173A"/>
    <w:rsid w:val="000129A8"/>
    <w:rsid w:val="000165C8"/>
    <w:rsid w:val="00021E6B"/>
    <w:rsid w:val="00022E40"/>
    <w:rsid w:val="000277DB"/>
    <w:rsid w:val="0003200F"/>
    <w:rsid w:val="00033514"/>
    <w:rsid w:val="000346EF"/>
    <w:rsid w:val="00034BEC"/>
    <w:rsid w:val="000355CA"/>
    <w:rsid w:val="00037209"/>
    <w:rsid w:val="00041AC3"/>
    <w:rsid w:val="00042E00"/>
    <w:rsid w:val="000508A9"/>
    <w:rsid w:val="00052912"/>
    <w:rsid w:val="00053B56"/>
    <w:rsid w:val="00053CFD"/>
    <w:rsid w:val="00056478"/>
    <w:rsid w:val="000564C4"/>
    <w:rsid w:val="00056D51"/>
    <w:rsid w:val="0005703C"/>
    <w:rsid w:val="000628DA"/>
    <w:rsid w:val="000629F7"/>
    <w:rsid w:val="00063C0D"/>
    <w:rsid w:val="00070E7D"/>
    <w:rsid w:val="000740C7"/>
    <w:rsid w:val="00076908"/>
    <w:rsid w:val="00076ED2"/>
    <w:rsid w:val="00080FE0"/>
    <w:rsid w:val="0008204A"/>
    <w:rsid w:val="000825E7"/>
    <w:rsid w:val="000843E0"/>
    <w:rsid w:val="0008447C"/>
    <w:rsid w:val="00084CC9"/>
    <w:rsid w:val="000865E9"/>
    <w:rsid w:val="00086CE3"/>
    <w:rsid w:val="00087DA9"/>
    <w:rsid w:val="00090674"/>
    <w:rsid w:val="000920D5"/>
    <w:rsid w:val="00092EE8"/>
    <w:rsid w:val="000937A4"/>
    <w:rsid w:val="00096C1B"/>
    <w:rsid w:val="000A2A9D"/>
    <w:rsid w:val="000A4539"/>
    <w:rsid w:val="000B261F"/>
    <w:rsid w:val="000B2670"/>
    <w:rsid w:val="000B6629"/>
    <w:rsid w:val="000B6BAB"/>
    <w:rsid w:val="000B7BFD"/>
    <w:rsid w:val="000C0C89"/>
    <w:rsid w:val="000C5898"/>
    <w:rsid w:val="000C656F"/>
    <w:rsid w:val="000D5117"/>
    <w:rsid w:val="000D77E0"/>
    <w:rsid w:val="000E711B"/>
    <w:rsid w:val="000F0C16"/>
    <w:rsid w:val="000F2860"/>
    <w:rsid w:val="000F29FD"/>
    <w:rsid w:val="000F4EF7"/>
    <w:rsid w:val="000F5ECD"/>
    <w:rsid w:val="000F6373"/>
    <w:rsid w:val="00101012"/>
    <w:rsid w:val="00105616"/>
    <w:rsid w:val="00105E88"/>
    <w:rsid w:val="00111D6B"/>
    <w:rsid w:val="00112C38"/>
    <w:rsid w:val="00112F39"/>
    <w:rsid w:val="0011305D"/>
    <w:rsid w:val="00114637"/>
    <w:rsid w:val="00114865"/>
    <w:rsid w:val="001211A6"/>
    <w:rsid w:val="0012172A"/>
    <w:rsid w:val="00121D06"/>
    <w:rsid w:val="00122217"/>
    <w:rsid w:val="00122936"/>
    <w:rsid w:val="00122B20"/>
    <w:rsid w:val="00123513"/>
    <w:rsid w:val="00123AC6"/>
    <w:rsid w:val="00123EBC"/>
    <w:rsid w:val="00125C3E"/>
    <w:rsid w:val="00126281"/>
    <w:rsid w:val="00126D4D"/>
    <w:rsid w:val="00130AD7"/>
    <w:rsid w:val="001329BB"/>
    <w:rsid w:val="00134449"/>
    <w:rsid w:val="001377F0"/>
    <w:rsid w:val="00137BF7"/>
    <w:rsid w:val="00137DF3"/>
    <w:rsid w:val="0014064D"/>
    <w:rsid w:val="00142827"/>
    <w:rsid w:val="001442A2"/>
    <w:rsid w:val="00152290"/>
    <w:rsid w:val="00154586"/>
    <w:rsid w:val="001605B7"/>
    <w:rsid w:val="00162A70"/>
    <w:rsid w:val="00163084"/>
    <w:rsid w:val="0017143E"/>
    <w:rsid w:val="00171A9D"/>
    <w:rsid w:val="00173908"/>
    <w:rsid w:val="0017506A"/>
    <w:rsid w:val="001759CB"/>
    <w:rsid w:val="0017732D"/>
    <w:rsid w:val="00177B13"/>
    <w:rsid w:val="0018116B"/>
    <w:rsid w:val="001815E0"/>
    <w:rsid w:val="001819B1"/>
    <w:rsid w:val="0018209A"/>
    <w:rsid w:val="001970B3"/>
    <w:rsid w:val="001A1399"/>
    <w:rsid w:val="001A22B6"/>
    <w:rsid w:val="001A2E6A"/>
    <w:rsid w:val="001A355D"/>
    <w:rsid w:val="001B1926"/>
    <w:rsid w:val="001B2214"/>
    <w:rsid w:val="001B3544"/>
    <w:rsid w:val="001B38EF"/>
    <w:rsid w:val="001B3F2C"/>
    <w:rsid w:val="001B6B7C"/>
    <w:rsid w:val="001B71FE"/>
    <w:rsid w:val="001C1F4C"/>
    <w:rsid w:val="001C4DE1"/>
    <w:rsid w:val="001C766C"/>
    <w:rsid w:val="001D128B"/>
    <w:rsid w:val="001D31D1"/>
    <w:rsid w:val="001D6372"/>
    <w:rsid w:val="001E0D9B"/>
    <w:rsid w:val="001E1EB2"/>
    <w:rsid w:val="001E4B8E"/>
    <w:rsid w:val="001E4E5C"/>
    <w:rsid w:val="001E7729"/>
    <w:rsid w:val="001F10A4"/>
    <w:rsid w:val="001F3F8A"/>
    <w:rsid w:val="001F5152"/>
    <w:rsid w:val="001F5F88"/>
    <w:rsid w:val="001F6E41"/>
    <w:rsid w:val="00200FDF"/>
    <w:rsid w:val="002016D2"/>
    <w:rsid w:val="00201E89"/>
    <w:rsid w:val="00201EE1"/>
    <w:rsid w:val="002043B7"/>
    <w:rsid w:val="0021031D"/>
    <w:rsid w:val="00212D44"/>
    <w:rsid w:val="002141D6"/>
    <w:rsid w:val="002148EB"/>
    <w:rsid w:val="00217EF1"/>
    <w:rsid w:val="00223069"/>
    <w:rsid w:val="00230B37"/>
    <w:rsid w:val="00233D8B"/>
    <w:rsid w:val="00235088"/>
    <w:rsid w:val="00235DAD"/>
    <w:rsid w:val="00235EBF"/>
    <w:rsid w:val="00235F33"/>
    <w:rsid w:val="00237489"/>
    <w:rsid w:val="00240BB5"/>
    <w:rsid w:val="0025079B"/>
    <w:rsid w:val="0025226C"/>
    <w:rsid w:val="002542BF"/>
    <w:rsid w:val="00256423"/>
    <w:rsid w:val="00257877"/>
    <w:rsid w:val="002621C1"/>
    <w:rsid w:val="002662B5"/>
    <w:rsid w:val="002714AA"/>
    <w:rsid w:val="00273324"/>
    <w:rsid w:val="0027352C"/>
    <w:rsid w:val="0027361D"/>
    <w:rsid w:val="0027538E"/>
    <w:rsid w:val="002760EA"/>
    <w:rsid w:val="00276C23"/>
    <w:rsid w:val="002809AF"/>
    <w:rsid w:val="00281196"/>
    <w:rsid w:val="00281AEB"/>
    <w:rsid w:val="00282460"/>
    <w:rsid w:val="00283A77"/>
    <w:rsid w:val="002844B0"/>
    <w:rsid w:val="002845F8"/>
    <w:rsid w:val="00285CF8"/>
    <w:rsid w:val="00290579"/>
    <w:rsid w:val="0029279C"/>
    <w:rsid w:val="00293CC8"/>
    <w:rsid w:val="0029519D"/>
    <w:rsid w:val="00297428"/>
    <w:rsid w:val="002974C3"/>
    <w:rsid w:val="002976BD"/>
    <w:rsid w:val="002A2C88"/>
    <w:rsid w:val="002A3475"/>
    <w:rsid w:val="002A5904"/>
    <w:rsid w:val="002A64DE"/>
    <w:rsid w:val="002B0C14"/>
    <w:rsid w:val="002B3D8B"/>
    <w:rsid w:val="002B4B00"/>
    <w:rsid w:val="002C0C2F"/>
    <w:rsid w:val="002C0FE6"/>
    <w:rsid w:val="002C1B06"/>
    <w:rsid w:val="002C4757"/>
    <w:rsid w:val="002C5081"/>
    <w:rsid w:val="002C6187"/>
    <w:rsid w:val="002C63A9"/>
    <w:rsid w:val="002D2A1D"/>
    <w:rsid w:val="002E2EEE"/>
    <w:rsid w:val="002E7220"/>
    <w:rsid w:val="002F3287"/>
    <w:rsid w:val="002F5D5A"/>
    <w:rsid w:val="002F5F0C"/>
    <w:rsid w:val="002F65E6"/>
    <w:rsid w:val="002F7414"/>
    <w:rsid w:val="002F7458"/>
    <w:rsid w:val="003003A3"/>
    <w:rsid w:val="00300E02"/>
    <w:rsid w:val="003039C1"/>
    <w:rsid w:val="00313995"/>
    <w:rsid w:val="00314B3F"/>
    <w:rsid w:val="003161C2"/>
    <w:rsid w:val="00317468"/>
    <w:rsid w:val="00320629"/>
    <w:rsid w:val="003210FB"/>
    <w:rsid w:val="003220C4"/>
    <w:rsid w:val="003257CF"/>
    <w:rsid w:val="003346F0"/>
    <w:rsid w:val="00334BCE"/>
    <w:rsid w:val="0033523C"/>
    <w:rsid w:val="00336D71"/>
    <w:rsid w:val="00342F80"/>
    <w:rsid w:val="00350C09"/>
    <w:rsid w:val="0035201F"/>
    <w:rsid w:val="003650DD"/>
    <w:rsid w:val="0036677E"/>
    <w:rsid w:val="00371C16"/>
    <w:rsid w:val="0037498F"/>
    <w:rsid w:val="0037522B"/>
    <w:rsid w:val="00377C60"/>
    <w:rsid w:val="003807C3"/>
    <w:rsid w:val="00381E57"/>
    <w:rsid w:val="00383933"/>
    <w:rsid w:val="003851AF"/>
    <w:rsid w:val="00387D06"/>
    <w:rsid w:val="00392A34"/>
    <w:rsid w:val="003974B2"/>
    <w:rsid w:val="003978EA"/>
    <w:rsid w:val="00397DBF"/>
    <w:rsid w:val="003A0149"/>
    <w:rsid w:val="003A1CCA"/>
    <w:rsid w:val="003A4AE8"/>
    <w:rsid w:val="003A5E34"/>
    <w:rsid w:val="003B0226"/>
    <w:rsid w:val="003B695C"/>
    <w:rsid w:val="003C2E72"/>
    <w:rsid w:val="003C4DA0"/>
    <w:rsid w:val="003C637B"/>
    <w:rsid w:val="003C7C9A"/>
    <w:rsid w:val="003D444F"/>
    <w:rsid w:val="003E2CD4"/>
    <w:rsid w:val="003E5046"/>
    <w:rsid w:val="003E5FF7"/>
    <w:rsid w:val="003E7252"/>
    <w:rsid w:val="003E757F"/>
    <w:rsid w:val="003E78D4"/>
    <w:rsid w:val="003F16F0"/>
    <w:rsid w:val="003F23CF"/>
    <w:rsid w:val="003F3614"/>
    <w:rsid w:val="003F7B0D"/>
    <w:rsid w:val="004036FC"/>
    <w:rsid w:val="004063DC"/>
    <w:rsid w:val="00410220"/>
    <w:rsid w:val="00411CA0"/>
    <w:rsid w:val="00411E5E"/>
    <w:rsid w:val="00413E99"/>
    <w:rsid w:val="00417978"/>
    <w:rsid w:val="00420A74"/>
    <w:rsid w:val="00422A23"/>
    <w:rsid w:val="0042311E"/>
    <w:rsid w:val="00423902"/>
    <w:rsid w:val="00425361"/>
    <w:rsid w:val="00431170"/>
    <w:rsid w:val="004327CF"/>
    <w:rsid w:val="00435FE9"/>
    <w:rsid w:val="00440A96"/>
    <w:rsid w:val="00441685"/>
    <w:rsid w:val="004417C5"/>
    <w:rsid w:val="00442454"/>
    <w:rsid w:val="00443271"/>
    <w:rsid w:val="00444639"/>
    <w:rsid w:val="00444925"/>
    <w:rsid w:val="0044631C"/>
    <w:rsid w:val="004518B3"/>
    <w:rsid w:val="0046065A"/>
    <w:rsid w:val="00461A4C"/>
    <w:rsid w:val="0046210A"/>
    <w:rsid w:val="00462F34"/>
    <w:rsid w:val="004661C0"/>
    <w:rsid w:val="00470973"/>
    <w:rsid w:val="00471FD8"/>
    <w:rsid w:val="00476F26"/>
    <w:rsid w:val="00480BF4"/>
    <w:rsid w:val="004819E7"/>
    <w:rsid w:val="00482B10"/>
    <w:rsid w:val="0048548C"/>
    <w:rsid w:val="004901CB"/>
    <w:rsid w:val="00490C77"/>
    <w:rsid w:val="00492884"/>
    <w:rsid w:val="00492C5E"/>
    <w:rsid w:val="004940B9"/>
    <w:rsid w:val="00494473"/>
    <w:rsid w:val="004A02BC"/>
    <w:rsid w:val="004A120D"/>
    <w:rsid w:val="004A5758"/>
    <w:rsid w:val="004B1D0A"/>
    <w:rsid w:val="004B5133"/>
    <w:rsid w:val="004C72A8"/>
    <w:rsid w:val="004D17BC"/>
    <w:rsid w:val="004D1E82"/>
    <w:rsid w:val="004D49E0"/>
    <w:rsid w:val="004D6D06"/>
    <w:rsid w:val="004D77EB"/>
    <w:rsid w:val="004E0867"/>
    <w:rsid w:val="004E5439"/>
    <w:rsid w:val="004E7EC4"/>
    <w:rsid w:val="004F49D9"/>
    <w:rsid w:val="004F49E2"/>
    <w:rsid w:val="004F4B32"/>
    <w:rsid w:val="005016AE"/>
    <w:rsid w:val="00501E83"/>
    <w:rsid w:val="00501FBD"/>
    <w:rsid w:val="00502D4D"/>
    <w:rsid w:val="005107BA"/>
    <w:rsid w:val="0051137C"/>
    <w:rsid w:val="0051191B"/>
    <w:rsid w:val="0051286B"/>
    <w:rsid w:val="00513045"/>
    <w:rsid w:val="00513358"/>
    <w:rsid w:val="00514773"/>
    <w:rsid w:val="00516B1A"/>
    <w:rsid w:val="005176BA"/>
    <w:rsid w:val="0052217A"/>
    <w:rsid w:val="00524261"/>
    <w:rsid w:val="00524516"/>
    <w:rsid w:val="00530AFF"/>
    <w:rsid w:val="00530E23"/>
    <w:rsid w:val="00533E88"/>
    <w:rsid w:val="00534C65"/>
    <w:rsid w:val="005378D0"/>
    <w:rsid w:val="00541C09"/>
    <w:rsid w:val="00542BFB"/>
    <w:rsid w:val="00543D5B"/>
    <w:rsid w:val="00546A73"/>
    <w:rsid w:val="00547C91"/>
    <w:rsid w:val="00550976"/>
    <w:rsid w:val="00550B96"/>
    <w:rsid w:val="0055350E"/>
    <w:rsid w:val="00553904"/>
    <w:rsid w:val="00553C43"/>
    <w:rsid w:val="005555F6"/>
    <w:rsid w:val="005725B7"/>
    <w:rsid w:val="00574607"/>
    <w:rsid w:val="00583604"/>
    <w:rsid w:val="00586227"/>
    <w:rsid w:val="00592ECB"/>
    <w:rsid w:val="00594D18"/>
    <w:rsid w:val="00594D91"/>
    <w:rsid w:val="0059740B"/>
    <w:rsid w:val="005A1049"/>
    <w:rsid w:val="005A1E62"/>
    <w:rsid w:val="005A2198"/>
    <w:rsid w:val="005A42FB"/>
    <w:rsid w:val="005A4E8A"/>
    <w:rsid w:val="005A5EB7"/>
    <w:rsid w:val="005A651A"/>
    <w:rsid w:val="005B3215"/>
    <w:rsid w:val="005B32A7"/>
    <w:rsid w:val="005B5AD5"/>
    <w:rsid w:val="005C2740"/>
    <w:rsid w:val="005C2B53"/>
    <w:rsid w:val="005C2DD5"/>
    <w:rsid w:val="005C3167"/>
    <w:rsid w:val="005C33C6"/>
    <w:rsid w:val="005D3809"/>
    <w:rsid w:val="005D4520"/>
    <w:rsid w:val="005D53DB"/>
    <w:rsid w:val="005D6BC2"/>
    <w:rsid w:val="005E14B0"/>
    <w:rsid w:val="005E2BDC"/>
    <w:rsid w:val="005E3DA5"/>
    <w:rsid w:val="005F32C9"/>
    <w:rsid w:val="005F3B4E"/>
    <w:rsid w:val="005F56DC"/>
    <w:rsid w:val="005F7134"/>
    <w:rsid w:val="005F729B"/>
    <w:rsid w:val="00604AAB"/>
    <w:rsid w:val="00610D27"/>
    <w:rsid w:val="0061139B"/>
    <w:rsid w:val="006129AE"/>
    <w:rsid w:val="00612C4A"/>
    <w:rsid w:val="00613BDC"/>
    <w:rsid w:val="00615DB7"/>
    <w:rsid w:val="00615FE2"/>
    <w:rsid w:val="006214B0"/>
    <w:rsid w:val="0063351E"/>
    <w:rsid w:val="00633FDD"/>
    <w:rsid w:val="006359FC"/>
    <w:rsid w:val="006408CC"/>
    <w:rsid w:val="00640D00"/>
    <w:rsid w:val="006435BC"/>
    <w:rsid w:val="00643D3D"/>
    <w:rsid w:val="0065615E"/>
    <w:rsid w:val="00657667"/>
    <w:rsid w:val="00662BD2"/>
    <w:rsid w:val="006653FC"/>
    <w:rsid w:val="00665962"/>
    <w:rsid w:val="00667CB1"/>
    <w:rsid w:val="00670692"/>
    <w:rsid w:val="00672311"/>
    <w:rsid w:val="00675517"/>
    <w:rsid w:val="0067697F"/>
    <w:rsid w:val="00676B12"/>
    <w:rsid w:val="00683721"/>
    <w:rsid w:val="006839AB"/>
    <w:rsid w:val="0068442B"/>
    <w:rsid w:val="00684FA7"/>
    <w:rsid w:val="0068734E"/>
    <w:rsid w:val="006874B5"/>
    <w:rsid w:val="006874F1"/>
    <w:rsid w:val="00690135"/>
    <w:rsid w:val="0069535C"/>
    <w:rsid w:val="0069730A"/>
    <w:rsid w:val="006A06F4"/>
    <w:rsid w:val="006A0AEB"/>
    <w:rsid w:val="006A51DB"/>
    <w:rsid w:val="006A72C5"/>
    <w:rsid w:val="006A7921"/>
    <w:rsid w:val="006B191F"/>
    <w:rsid w:val="006B4B12"/>
    <w:rsid w:val="006B54D4"/>
    <w:rsid w:val="006B6174"/>
    <w:rsid w:val="006B73DC"/>
    <w:rsid w:val="006C12F1"/>
    <w:rsid w:val="006C167F"/>
    <w:rsid w:val="006C1870"/>
    <w:rsid w:val="006C3E71"/>
    <w:rsid w:val="006C493D"/>
    <w:rsid w:val="006C511C"/>
    <w:rsid w:val="006C546C"/>
    <w:rsid w:val="006C7793"/>
    <w:rsid w:val="006D0222"/>
    <w:rsid w:val="006D0B69"/>
    <w:rsid w:val="006D3E5D"/>
    <w:rsid w:val="006E08E7"/>
    <w:rsid w:val="006E0E97"/>
    <w:rsid w:val="006E1AB4"/>
    <w:rsid w:val="006F34F2"/>
    <w:rsid w:val="006F3947"/>
    <w:rsid w:val="006F5830"/>
    <w:rsid w:val="00704E5F"/>
    <w:rsid w:val="00705F72"/>
    <w:rsid w:val="00713890"/>
    <w:rsid w:val="00714893"/>
    <w:rsid w:val="00715FAD"/>
    <w:rsid w:val="00716247"/>
    <w:rsid w:val="00726E37"/>
    <w:rsid w:val="007356DC"/>
    <w:rsid w:val="00736266"/>
    <w:rsid w:val="00736A1C"/>
    <w:rsid w:val="007376EC"/>
    <w:rsid w:val="00737C9B"/>
    <w:rsid w:val="00743C3E"/>
    <w:rsid w:val="00743C4D"/>
    <w:rsid w:val="0074518E"/>
    <w:rsid w:val="00746917"/>
    <w:rsid w:val="00746E87"/>
    <w:rsid w:val="007505A9"/>
    <w:rsid w:val="00750DB1"/>
    <w:rsid w:val="0075140C"/>
    <w:rsid w:val="00752C87"/>
    <w:rsid w:val="007531E9"/>
    <w:rsid w:val="00753914"/>
    <w:rsid w:val="0075629D"/>
    <w:rsid w:val="0075780A"/>
    <w:rsid w:val="007617E6"/>
    <w:rsid w:val="007627CB"/>
    <w:rsid w:val="00764544"/>
    <w:rsid w:val="007664AF"/>
    <w:rsid w:val="00767533"/>
    <w:rsid w:val="00767D08"/>
    <w:rsid w:val="00767F56"/>
    <w:rsid w:val="00771ACA"/>
    <w:rsid w:val="00776C09"/>
    <w:rsid w:val="00781247"/>
    <w:rsid w:val="0078310A"/>
    <w:rsid w:val="00787B49"/>
    <w:rsid w:val="00792915"/>
    <w:rsid w:val="007929B2"/>
    <w:rsid w:val="00793186"/>
    <w:rsid w:val="0079330B"/>
    <w:rsid w:val="007955CB"/>
    <w:rsid w:val="0079584D"/>
    <w:rsid w:val="00795A8F"/>
    <w:rsid w:val="0079664F"/>
    <w:rsid w:val="007A20F0"/>
    <w:rsid w:val="007A518D"/>
    <w:rsid w:val="007A6066"/>
    <w:rsid w:val="007B2375"/>
    <w:rsid w:val="007B296F"/>
    <w:rsid w:val="007B69D7"/>
    <w:rsid w:val="007C1954"/>
    <w:rsid w:val="007C2C3D"/>
    <w:rsid w:val="007C76CB"/>
    <w:rsid w:val="007C7BD8"/>
    <w:rsid w:val="007D1197"/>
    <w:rsid w:val="007D7D75"/>
    <w:rsid w:val="007E0996"/>
    <w:rsid w:val="007E4A21"/>
    <w:rsid w:val="007E67D5"/>
    <w:rsid w:val="007F2389"/>
    <w:rsid w:val="007F427B"/>
    <w:rsid w:val="007F5A24"/>
    <w:rsid w:val="007F64D8"/>
    <w:rsid w:val="0080176B"/>
    <w:rsid w:val="008041D1"/>
    <w:rsid w:val="00805332"/>
    <w:rsid w:val="00805774"/>
    <w:rsid w:val="00807887"/>
    <w:rsid w:val="008079F8"/>
    <w:rsid w:val="0081020C"/>
    <w:rsid w:val="008120A4"/>
    <w:rsid w:val="00812369"/>
    <w:rsid w:val="00817152"/>
    <w:rsid w:val="00821D3E"/>
    <w:rsid w:val="008232BA"/>
    <w:rsid w:val="008250AD"/>
    <w:rsid w:val="00827375"/>
    <w:rsid w:val="0083448A"/>
    <w:rsid w:val="00841B4F"/>
    <w:rsid w:val="008422D5"/>
    <w:rsid w:val="008465B6"/>
    <w:rsid w:val="0084742B"/>
    <w:rsid w:val="00847C99"/>
    <w:rsid w:val="0085137D"/>
    <w:rsid w:val="00851956"/>
    <w:rsid w:val="00852D2E"/>
    <w:rsid w:val="008624C5"/>
    <w:rsid w:val="00862B5B"/>
    <w:rsid w:val="0086703C"/>
    <w:rsid w:val="008703FE"/>
    <w:rsid w:val="0087456E"/>
    <w:rsid w:val="0087497A"/>
    <w:rsid w:val="00877E59"/>
    <w:rsid w:val="00883EAB"/>
    <w:rsid w:val="008842D7"/>
    <w:rsid w:val="00885440"/>
    <w:rsid w:val="00886198"/>
    <w:rsid w:val="008871DD"/>
    <w:rsid w:val="00887B4F"/>
    <w:rsid w:val="00890D9B"/>
    <w:rsid w:val="00890F32"/>
    <w:rsid w:val="008933DC"/>
    <w:rsid w:val="00895429"/>
    <w:rsid w:val="00897676"/>
    <w:rsid w:val="008A0751"/>
    <w:rsid w:val="008A0CBE"/>
    <w:rsid w:val="008A3437"/>
    <w:rsid w:val="008A4DD6"/>
    <w:rsid w:val="008A6905"/>
    <w:rsid w:val="008A78EC"/>
    <w:rsid w:val="008B33F6"/>
    <w:rsid w:val="008B534C"/>
    <w:rsid w:val="008B5444"/>
    <w:rsid w:val="008B72CD"/>
    <w:rsid w:val="008C52B7"/>
    <w:rsid w:val="008C67CA"/>
    <w:rsid w:val="008D2CB3"/>
    <w:rsid w:val="008D35D5"/>
    <w:rsid w:val="008D361A"/>
    <w:rsid w:val="008D526C"/>
    <w:rsid w:val="008E072D"/>
    <w:rsid w:val="008E4666"/>
    <w:rsid w:val="008E6EA4"/>
    <w:rsid w:val="008E75E1"/>
    <w:rsid w:val="008F3483"/>
    <w:rsid w:val="008F3882"/>
    <w:rsid w:val="008F511A"/>
    <w:rsid w:val="008F6643"/>
    <w:rsid w:val="008F70CF"/>
    <w:rsid w:val="00900D5D"/>
    <w:rsid w:val="00906F75"/>
    <w:rsid w:val="009135E0"/>
    <w:rsid w:val="00923BCF"/>
    <w:rsid w:val="00925C1A"/>
    <w:rsid w:val="009275EF"/>
    <w:rsid w:val="00930A16"/>
    <w:rsid w:val="00932061"/>
    <w:rsid w:val="00933DF0"/>
    <w:rsid w:val="009340D6"/>
    <w:rsid w:val="0093598E"/>
    <w:rsid w:val="009364FC"/>
    <w:rsid w:val="00943264"/>
    <w:rsid w:val="00943C9D"/>
    <w:rsid w:val="00944C29"/>
    <w:rsid w:val="00944DBF"/>
    <w:rsid w:val="00947225"/>
    <w:rsid w:val="00947C46"/>
    <w:rsid w:val="00951C97"/>
    <w:rsid w:val="0095451F"/>
    <w:rsid w:val="009546C5"/>
    <w:rsid w:val="00955FA2"/>
    <w:rsid w:val="00964DBC"/>
    <w:rsid w:val="00965160"/>
    <w:rsid w:val="00967C2F"/>
    <w:rsid w:val="00971C45"/>
    <w:rsid w:val="00974437"/>
    <w:rsid w:val="00975C01"/>
    <w:rsid w:val="00977BFB"/>
    <w:rsid w:val="00980E3C"/>
    <w:rsid w:val="00982080"/>
    <w:rsid w:val="00984764"/>
    <w:rsid w:val="009909A0"/>
    <w:rsid w:val="009920EF"/>
    <w:rsid w:val="00995FE9"/>
    <w:rsid w:val="00996526"/>
    <w:rsid w:val="009A724E"/>
    <w:rsid w:val="009A7A75"/>
    <w:rsid w:val="009B04BE"/>
    <w:rsid w:val="009B10E4"/>
    <w:rsid w:val="009B3B4B"/>
    <w:rsid w:val="009B3BC7"/>
    <w:rsid w:val="009C1408"/>
    <w:rsid w:val="009D1FE6"/>
    <w:rsid w:val="009D2D8C"/>
    <w:rsid w:val="009D5360"/>
    <w:rsid w:val="009D6BD2"/>
    <w:rsid w:val="009D7FC0"/>
    <w:rsid w:val="009E6303"/>
    <w:rsid w:val="009E6FEF"/>
    <w:rsid w:val="009F0883"/>
    <w:rsid w:val="009F09AA"/>
    <w:rsid w:val="009F2131"/>
    <w:rsid w:val="009F24E1"/>
    <w:rsid w:val="009F5DBE"/>
    <w:rsid w:val="00A029CC"/>
    <w:rsid w:val="00A07CF4"/>
    <w:rsid w:val="00A1243E"/>
    <w:rsid w:val="00A1727F"/>
    <w:rsid w:val="00A20731"/>
    <w:rsid w:val="00A21996"/>
    <w:rsid w:val="00A2452D"/>
    <w:rsid w:val="00A26B54"/>
    <w:rsid w:val="00A26E92"/>
    <w:rsid w:val="00A27C7B"/>
    <w:rsid w:val="00A309C4"/>
    <w:rsid w:val="00A3214D"/>
    <w:rsid w:val="00A34B5C"/>
    <w:rsid w:val="00A355CF"/>
    <w:rsid w:val="00A36A59"/>
    <w:rsid w:val="00A40D6B"/>
    <w:rsid w:val="00A419CA"/>
    <w:rsid w:val="00A42947"/>
    <w:rsid w:val="00A4319D"/>
    <w:rsid w:val="00A456BE"/>
    <w:rsid w:val="00A50526"/>
    <w:rsid w:val="00A50851"/>
    <w:rsid w:val="00A50B6E"/>
    <w:rsid w:val="00A53280"/>
    <w:rsid w:val="00A535F2"/>
    <w:rsid w:val="00A55BB5"/>
    <w:rsid w:val="00A56CF0"/>
    <w:rsid w:val="00A62103"/>
    <w:rsid w:val="00A62AD9"/>
    <w:rsid w:val="00A62B22"/>
    <w:rsid w:val="00A62D5D"/>
    <w:rsid w:val="00A62E31"/>
    <w:rsid w:val="00A63175"/>
    <w:rsid w:val="00A6513A"/>
    <w:rsid w:val="00A714D2"/>
    <w:rsid w:val="00A74FE4"/>
    <w:rsid w:val="00A76CB9"/>
    <w:rsid w:val="00A90450"/>
    <w:rsid w:val="00A94124"/>
    <w:rsid w:val="00A96714"/>
    <w:rsid w:val="00AA1298"/>
    <w:rsid w:val="00AB3832"/>
    <w:rsid w:val="00AB3FB1"/>
    <w:rsid w:val="00AB4B1D"/>
    <w:rsid w:val="00AB64B9"/>
    <w:rsid w:val="00AB7FB6"/>
    <w:rsid w:val="00AC2F96"/>
    <w:rsid w:val="00AC4863"/>
    <w:rsid w:val="00AD0271"/>
    <w:rsid w:val="00AD40D2"/>
    <w:rsid w:val="00AD7640"/>
    <w:rsid w:val="00AE563F"/>
    <w:rsid w:val="00AE7B20"/>
    <w:rsid w:val="00AF2DAA"/>
    <w:rsid w:val="00AF7925"/>
    <w:rsid w:val="00B017FD"/>
    <w:rsid w:val="00B0261A"/>
    <w:rsid w:val="00B036A1"/>
    <w:rsid w:val="00B04F7E"/>
    <w:rsid w:val="00B0654A"/>
    <w:rsid w:val="00B07EE1"/>
    <w:rsid w:val="00B10F9E"/>
    <w:rsid w:val="00B11C83"/>
    <w:rsid w:val="00B150B2"/>
    <w:rsid w:val="00B1592A"/>
    <w:rsid w:val="00B17601"/>
    <w:rsid w:val="00B24B25"/>
    <w:rsid w:val="00B30437"/>
    <w:rsid w:val="00B32175"/>
    <w:rsid w:val="00B353AF"/>
    <w:rsid w:val="00B37E48"/>
    <w:rsid w:val="00B43376"/>
    <w:rsid w:val="00B47C14"/>
    <w:rsid w:val="00B51A62"/>
    <w:rsid w:val="00B521C8"/>
    <w:rsid w:val="00B52785"/>
    <w:rsid w:val="00B5593D"/>
    <w:rsid w:val="00B55EB3"/>
    <w:rsid w:val="00B56D86"/>
    <w:rsid w:val="00B61A84"/>
    <w:rsid w:val="00B6390D"/>
    <w:rsid w:val="00B6717C"/>
    <w:rsid w:val="00B701F9"/>
    <w:rsid w:val="00B8438C"/>
    <w:rsid w:val="00B8693F"/>
    <w:rsid w:val="00B8744A"/>
    <w:rsid w:val="00B91476"/>
    <w:rsid w:val="00B92DCE"/>
    <w:rsid w:val="00B93F79"/>
    <w:rsid w:val="00B95730"/>
    <w:rsid w:val="00B96766"/>
    <w:rsid w:val="00B96BC9"/>
    <w:rsid w:val="00BA02AB"/>
    <w:rsid w:val="00BA31C8"/>
    <w:rsid w:val="00BA65F2"/>
    <w:rsid w:val="00BB0B64"/>
    <w:rsid w:val="00BB2C97"/>
    <w:rsid w:val="00BB4B31"/>
    <w:rsid w:val="00BC053E"/>
    <w:rsid w:val="00BC3B45"/>
    <w:rsid w:val="00BD2284"/>
    <w:rsid w:val="00BE1C17"/>
    <w:rsid w:val="00BE3CC2"/>
    <w:rsid w:val="00BE5629"/>
    <w:rsid w:val="00BE6845"/>
    <w:rsid w:val="00BF47D3"/>
    <w:rsid w:val="00C01DC5"/>
    <w:rsid w:val="00C149DB"/>
    <w:rsid w:val="00C206AF"/>
    <w:rsid w:val="00C21EB5"/>
    <w:rsid w:val="00C235FB"/>
    <w:rsid w:val="00C2413A"/>
    <w:rsid w:val="00C257AE"/>
    <w:rsid w:val="00C31F2D"/>
    <w:rsid w:val="00C3344D"/>
    <w:rsid w:val="00C33DDE"/>
    <w:rsid w:val="00C3531C"/>
    <w:rsid w:val="00C371AD"/>
    <w:rsid w:val="00C4033D"/>
    <w:rsid w:val="00C41529"/>
    <w:rsid w:val="00C42730"/>
    <w:rsid w:val="00C43CAC"/>
    <w:rsid w:val="00C443E3"/>
    <w:rsid w:val="00C44BD0"/>
    <w:rsid w:val="00C4516D"/>
    <w:rsid w:val="00C46015"/>
    <w:rsid w:val="00C47069"/>
    <w:rsid w:val="00C51194"/>
    <w:rsid w:val="00C51A1B"/>
    <w:rsid w:val="00C529C1"/>
    <w:rsid w:val="00C55216"/>
    <w:rsid w:val="00C6097F"/>
    <w:rsid w:val="00C64372"/>
    <w:rsid w:val="00C712A0"/>
    <w:rsid w:val="00C73669"/>
    <w:rsid w:val="00C83DB2"/>
    <w:rsid w:val="00C846B8"/>
    <w:rsid w:val="00C85EE8"/>
    <w:rsid w:val="00C90A20"/>
    <w:rsid w:val="00C91644"/>
    <w:rsid w:val="00C9192E"/>
    <w:rsid w:val="00C93139"/>
    <w:rsid w:val="00C94EAB"/>
    <w:rsid w:val="00C9741A"/>
    <w:rsid w:val="00CA0F29"/>
    <w:rsid w:val="00CA34DB"/>
    <w:rsid w:val="00CA3582"/>
    <w:rsid w:val="00CA35A4"/>
    <w:rsid w:val="00CB0FB9"/>
    <w:rsid w:val="00CB1839"/>
    <w:rsid w:val="00CB33A6"/>
    <w:rsid w:val="00CB7619"/>
    <w:rsid w:val="00CC3BAD"/>
    <w:rsid w:val="00CC4471"/>
    <w:rsid w:val="00CC4EAB"/>
    <w:rsid w:val="00CC5884"/>
    <w:rsid w:val="00CD01C6"/>
    <w:rsid w:val="00CD0D3C"/>
    <w:rsid w:val="00CD0F67"/>
    <w:rsid w:val="00CD3027"/>
    <w:rsid w:val="00CD35F8"/>
    <w:rsid w:val="00CD3F98"/>
    <w:rsid w:val="00CD473F"/>
    <w:rsid w:val="00CD4FC6"/>
    <w:rsid w:val="00CE05BE"/>
    <w:rsid w:val="00CE128C"/>
    <w:rsid w:val="00CE1340"/>
    <w:rsid w:val="00CE3029"/>
    <w:rsid w:val="00CE77A5"/>
    <w:rsid w:val="00CF0AEC"/>
    <w:rsid w:val="00CF0F67"/>
    <w:rsid w:val="00CF4BB2"/>
    <w:rsid w:val="00CF7313"/>
    <w:rsid w:val="00D0177E"/>
    <w:rsid w:val="00D034A0"/>
    <w:rsid w:val="00D04D24"/>
    <w:rsid w:val="00D05D84"/>
    <w:rsid w:val="00D10D0E"/>
    <w:rsid w:val="00D118B2"/>
    <w:rsid w:val="00D11CB8"/>
    <w:rsid w:val="00D150CF"/>
    <w:rsid w:val="00D1515B"/>
    <w:rsid w:val="00D16754"/>
    <w:rsid w:val="00D2151A"/>
    <w:rsid w:val="00D22C8F"/>
    <w:rsid w:val="00D239A0"/>
    <w:rsid w:val="00D3018B"/>
    <w:rsid w:val="00D35361"/>
    <w:rsid w:val="00D353A1"/>
    <w:rsid w:val="00D36E68"/>
    <w:rsid w:val="00D41033"/>
    <w:rsid w:val="00D4648E"/>
    <w:rsid w:val="00D475E8"/>
    <w:rsid w:val="00D52B5E"/>
    <w:rsid w:val="00D54156"/>
    <w:rsid w:val="00D55762"/>
    <w:rsid w:val="00D6006D"/>
    <w:rsid w:val="00D62D7E"/>
    <w:rsid w:val="00D6444A"/>
    <w:rsid w:val="00D66624"/>
    <w:rsid w:val="00D67433"/>
    <w:rsid w:val="00D75CDF"/>
    <w:rsid w:val="00D76C4E"/>
    <w:rsid w:val="00D816E2"/>
    <w:rsid w:val="00D829DF"/>
    <w:rsid w:val="00D82B26"/>
    <w:rsid w:val="00D83679"/>
    <w:rsid w:val="00D83BF4"/>
    <w:rsid w:val="00D93742"/>
    <w:rsid w:val="00D964C1"/>
    <w:rsid w:val="00D96521"/>
    <w:rsid w:val="00D967B0"/>
    <w:rsid w:val="00D97349"/>
    <w:rsid w:val="00DA344D"/>
    <w:rsid w:val="00DA3CD7"/>
    <w:rsid w:val="00DA4676"/>
    <w:rsid w:val="00DA715C"/>
    <w:rsid w:val="00DA723E"/>
    <w:rsid w:val="00DB226C"/>
    <w:rsid w:val="00DB36E9"/>
    <w:rsid w:val="00DB459F"/>
    <w:rsid w:val="00DB66EA"/>
    <w:rsid w:val="00DC0A68"/>
    <w:rsid w:val="00DC176E"/>
    <w:rsid w:val="00DD2FCB"/>
    <w:rsid w:val="00DD3639"/>
    <w:rsid w:val="00DD47E1"/>
    <w:rsid w:val="00DD6BB0"/>
    <w:rsid w:val="00DD7E06"/>
    <w:rsid w:val="00DE43D5"/>
    <w:rsid w:val="00DE56D7"/>
    <w:rsid w:val="00DE65C1"/>
    <w:rsid w:val="00DF24AA"/>
    <w:rsid w:val="00DF2628"/>
    <w:rsid w:val="00E01D5E"/>
    <w:rsid w:val="00E02084"/>
    <w:rsid w:val="00E10136"/>
    <w:rsid w:val="00E1030B"/>
    <w:rsid w:val="00E12E4A"/>
    <w:rsid w:val="00E13CB8"/>
    <w:rsid w:val="00E13CFD"/>
    <w:rsid w:val="00E1419A"/>
    <w:rsid w:val="00E14AE6"/>
    <w:rsid w:val="00E150C4"/>
    <w:rsid w:val="00E22063"/>
    <w:rsid w:val="00E22580"/>
    <w:rsid w:val="00E22C38"/>
    <w:rsid w:val="00E2414E"/>
    <w:rsid w:val="00E243C6"/>
    <w:rsid w:val="00E243D2"/>
    <w:rsid w:val="00E3073D"/>
    <w:rsid w:val="00E30ABD"/>
    <w:rsid w:val="00E425DB"/>
    <w:rsid w:val="00E531AA"/>
    <w:rsid w:val="00E554E2"/>
    <w:rsid w:val="00E559DF"/>
    <w:rsid w:val="00E56C6D"/>
    <w:rsid w:val="00E601BC"/>
    <w:rsid w:val="00E65EEE"/>
    <w:rsid w:val="00E70583"/>
    <w:rsid w:val="00E749A0"/>
    <w:rsid w:val="00E7573D"/>
    <w:rsid w:val="00E77674"/>
    <w:rsid w:val="00E80DBF"/>
    <w:rsid w:val="00E84AA5"/>
    <w:rsid w:val="00E85861"/>
    <w:rsid w:val="00E927B3"/>
    <w:rsid w:val="00E950FB"/>
    <w:rsid w:val="00EA57E8"/>
    <w:rsid w:val="00EA628B"/>
    <w:rsid w:val="00EB0025"/>
    <w:rsid w:val="00EB12B8"/>
    <w:rsid w:val="00EB2ADF"/>
    <w:rsid w:val="00EB346F"/>
    <w:rsid w:val="00EB4100"/>
    <w:rsid w:val="00EB4553"/>
    <w:rsid w:val="00EC48E9"/>
    <w:rsid w:val="00EC5BE5"/>
    <w:rsid w:val="00ED10B1"/>
    <w:rsid w:val="00ED242F"/>
    <w:rsid w:val="00ED2E71"/>
    <w:rsid w:val="00ED3FF5"/>
    <w:rsid w:val="00ED404C"/>
    <w:rsid w:val="00ED6D59"/>
    <w:rsid w:val="00EE08CB"/>
    <w:rsid w:val="00EE2D39"/>
    <w:rsid w:val="00EE4162"/>
    <w:rsid w:val="00EE50AF"/>
    <w:rsid w:val="00EE7879"/>
    <w:rsid w:val="00EF0C8F"/>
    <w:rsid w:val="00EF41F8"/>
    <w:rsid w:val="00EF486F"/>
    <w:rsid w:val="00EF7580"/>
    <w:rsid w:val="00F00858"/>
    <w:rsid w:val="00F0494A"/>
    <w:rsid w:val="00F15807"/>
    <w:rsid w:val="00F16C54"/>
    <w:rsid w:val="00F23967"/>
    <w:rsid w:val="00F27D1C"/>
    <w:rsid w:val="00F310CD"/>
    <w:rsid w:val="00F35AB8"/>
    <w:rsid w:val="00F37C5E"/>
    <w:rsid w:val="00F37C71"/>
    <w:rsid w:val="00F40766"/>
    <w:rsid w:val="00F408DC"/>
    <w:rsid w:val="00F42F7B"/>
    <w:rsid w:val="00F43037"/>
    <w:rsid w:val="00F46615"/>
    <w:rsid w:val="00F51942"/>
    <w:rsid w:val="00F52704"/>
    <w:rsid w:val="00F55E51"/>
    <w:rsid w:val="00F6022D"/>
    <w:rsid w:val="00F6049A"/>
    <w:rsid w:val="00F612CB"/>
    <w:rsid w:val="00F61D58"/>
    <w:rsid w:val="00F62886"/>
    <w:rsid w:val="00F6665F"/>
    <w:rsid w:val="00F66C69"/>
    <w:rsid w:val="00F67291"/>
    <w:rsid w:val="00F70DBF"/>
    <w:rsid w:val="00F859F5"/>
    <w:rsid w:val="00F86A77"/>
    <w:rsid w:val="00F879B7"/>
    <w:rsid w:val="00F91B27"/>
    <w:rsid w:val="00FA0D94"/>
    <w:rsid w:val="00FA2675"/>
    <w:rsid w:val="00FA5C66"/>
    <w:rsid w:val="00FA6CA4"/>
    <w:rsid w:val="00FB1F77"/>
    <w:rsid w:val="00FB65CC"/>
    <w:rsid w:val="00FC1EFB"/>
    <w:rsid w:val="00FC548B"/>
    <w:rsid w:val="00FC76D8"/>
    <w:rsid w:val="00FD0BF0"/>
    <w:rsid w:val="00FD2C2B"/>
    <w:rsid w:val="00FD41CB"/>
    <w:rsid w:val="00FD7E72"/>
    <w:rsid w:val="00FE4466"/>
    <w:rsid w:val="00FE5F45"/>
    <w:rsid w:val="00FE7B46"/>
    <w:rsid w:val="00FE7EA1"/>
    <w:rsid w:val="00FF282A"/>
    <w:rsid w:val="00FF2BAB"/>
    <w:rsid w:val="00FF43E1"/>
    <w:rsid w:val="00FF4ACF"/>
    <w:rsid w:val="00FF56C9"/>
    <w:rsid w:val="00FF7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4AEDDB50-AA16-4DEE-AFBB-13B162EF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val="hu-HU" w:eastAsia="en-US"/>
    </w:rPr>
  </w:style>
  <w:style w:type="paragraph" w:styleId="Heading1">
    <w:name w:val="heading 1"/>
    <w:basedOn w:val="Normal"/>
    <w:next w:val="Normal"/>
    <w:qFormat/>
    <w:pPr>
      <w:keepNext/>
      <w:jc w:val="right"/>
      <w:outlineLvl w:val="0"/>
    </w:pPr>
    <w:rPr>
      <w:b/>
      <w:sz w:val="24"/>
    </w:rPr>
  </w:style>
  <w:style w:type="paragraph" w:styleId="Heading2">
    <w:name w:val="heading 2"/>
    <w:basedOn w:val="Normal"/>
    <w:next w:val="Normal"/>
    <w:qFormat/>
    <w:pPr>
      <w:keepNext/>
      <w:numPr>
        <w:ilvl w:val="1"/>
        <w:numId w:val="1"/>
      </w:numPr>
      <w:jc w:val="both"/>
      <w:outlineLvl w:val="1"/>
    </w:pPr>
    <w:rPr>
      <w:b/>
      <w:noProof/>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both"/>
      <w:outlineLvl w:val="3"/>
    </w:pPr>
    <w:rPr>
      <w:b/>
      <w:bCs/>
    </w:rPr>
  </w:style>
  <w:style w:type="paragraph" w:styleId="Heading5">
    <w:name w:val="heading 5"/>
    <w:basedOn w:val="Normal"/>
    <w:next w:val="Normal"/>
    <w:qFormat/>
    <w:pPr>
      <w:keepNext/>
      <w:jc w:val="both"/>
      <w:outlineLvl w:val="4"/>
    </w:pPr>
    <w:rPr>
      <w:b/>
      <w:sz w:val="24"/>
    </w:rPr>
  </w:style>
  <w:style w:type="paragraph" w:styleId="Heading6">
    <w:name w:val="heading 6"/>
    <w:basedOn w:val="Normal"/>
    <w:next w:val="Normal"/>
    <w:qFormat/>
    <w:pPr>
      <w:keepNext/>
      <w:jc w:val="both"/>
      <w:outlineLvl w:val="5"/>
    </w:pPr>
    <w:rPr>
      <w:b/>
      <w:szCs w:val="22"/>
    </w:rPr>
  </w:style>
  <w:style w:type="paragraph" w:styleId="Heading7">
    <w:name w:val="heading 7"/>
    <w:basedOn w:val="Normal"/>
    <w:next w:val="Normal"/>
    <w:qFormat/>
    <w:pPr>
      <w:keepNext/>
      <w:spacing w:line="260" w:lineRule="atLeast"/>
      <w:ind w:right="-2"/>
      <w:outlineLvl w:val="6"/>
    </w:pPr>
    <w:rPr>
      <w:b/>
    </w:rPr>
  </w:style>
  <w:style w:type="paragraph" w:styleId="Heading8">
    <w:name w:val="heading 8"/>
    <w:basedOn w:val="Normal"/>
    <w:next w:val="Normal"/>
    <w:link w:val="Heading8Char"/>
    <w:qFormat/>
    <w:pPr>
      <w:keepNext/>
      <w:spacing w:line="260" w:lineRule="atLeast"/>
      <w:jc w:val="center"/>
      <w:outlineLvl w:val="7"/>
    </w:pPr>
    <w:rPr>
      <w:b/>
      <w:szCs w:val="22"/>
    </w:rPr>
  </w:style>
  <w:style w:type="paragraph" w:styleId="Heading9">
    <w:name w:val="heading 9"/>
    <w:basedOn w:val="Normal"/>
    <w:next w:val="Normal"/>
    <w:qFormat/>
    <w:rsid w:val="00C3531C"/>
    <w:p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b/>
      <w:bCs/>
    </w:rPr>
  </w:style>
  <w:style w:type="character" w:styleId="PageNumber">
    <w:name w:val="page number"/>
    <w:basedOn w:val="DefaultParagraphFont"/>
  </w:style>
  <w:style w:type="paragraph" w:styleId="Header">
    <w:name w:val="header"/>
    <w:basedOn w:val="Normal"/>
    <w:pPr>
      <w:tabs>
        <w:tab w:val="center" w:pos="4819"/>
        <w:tab w:val="right" w:pos="9071"/>
      </w:tabs>
    </w:pPr>
  </w:style>
  <w:style w:type="paragraph" w:styleId="Footer">
    <w:name w:val="footer"/>
    <w:basedOn w:val="Normal"/>
    <w:pPr>
      <w:tabs>
        <w:tab w:val="center" w:pos="4153"/>
        <w:tab w:val="right" w:pos="8306"/>
      </w:tabs>
    </w:pPr>
  </w:style>
  <w:style w:type="character" w:styleId="CommentReference">
    <w:name w:val="annotation reference"/>
    <w:semiHidden/>
    <w:rPr>
      <w:sz w:val="16"/>
      <w:szCs w:val="16"/>
    </w:rPr>
  </w:style>
  <w:style w:type="paragraph" w:styleId="CommentText">
    <w:name w:val="annotation text"/>
    <w:basedOn w:val="Normal"/>
    <w:semiHidden/>
  </w:style>
  <w:style w:type="character" w:styleId="Hyperlink">
    <w:name w:val="Hyperlink"/>
    <w:aliases w:val="Footer Char1 Char Char,Footer Char2 Char Char1 Char,Footer Char1 Char Char Char Char1,Footer Char2 Char Char1 Char Char Char,Footer Char1 Char Char Char Char1 Char Char,Footer Char1 Char Char Char Char1 Char Char Char Char Char"/>
    <w:rPr>
      <w:color w:val="0000FF"/>
      <w:u w:val="single"/>
    </w:rPr>
  </w:style>
  <w:style w:type="paragraph" w:styleId="BlockText">
    <w:name w:val="Block Text"/>
    <w:basedOn w:val="Normal"/>
    <w:rsid w:val="00FE5F45"/>
    <w:pPr>
      <w:widowControl w:val="0"/>
      <w:tabs>
        <w:tab w:val="left" w:pos="567"/>
        <w:tab w:val="left" w:pos="2400"/>
        <w:tab w:val="left" w:pos="7280"/>
      </w:tabs>
      <w:ind w:left="426" w:right="-29"/>
    </w:pPr>
    <w:rPr>
      <w:lang w:val="en-US"/>
    </w:rPr>
  </w:style>
  <w:style w:type="paragraph" w:styleId="BodyText3">
    <w:name w:val="Body Text 3"/>
    <w:basedOn w:val="Normal"/>
    <w:rsid w:val="00FE5F45"/>
    <w:pPr>
      <w:tabs>
        <w:tab w:val="left" w:pos="567"/>
      </w:tabs>
      <w:spacing w:line="260" w:lineRule="exact"/>
      <w:jc w:val="both"/>
    </w:pPr>
    <w:rPr>
      <w:b/>
      <w:i/>
      <w:lang w:val="en-GB"/>
    </w:rPr>
  </w:style>
  <w:style w:type="paragraph" w:styleId="BodyText2">
    <w:name w:val="Body Text 2"/>
    <w:basedOn w:val="Normal"/>
    <w:rsid w:val="00FE5F45"/>
    <w:pPr>
      <w:tabs>
        <w:tab w:val="left" w:pos="567"/>
        <w:tab w:val="left" w:pos="4536"/>
      </w:tabs>
      <w:spacing w:line="260" w:lineRule="exact"/>
      <w:jc w:val="both"/>
    </w:pPr>
    <w:rPr>
      <w:b/>
      <w:lang w:val="en-GB"/>
    </w:rPr>
  </w:style>
  <w:style w:type="paragraph" w:customStyle="1" w:styleId="Retrait">
    <w:name w:val="Retrait"/>
    <w:basedOn w:val="Normal"/>
    <w:next w:val="Normal"/>
    <w:rsid w:val="00FE5F45"/>
    <w:pPr>
      <w:numPr>
        <w:numId w:val="5"/>
      </w:numPr>
      <w:tabs>
        <w:tab w:val="right" w:pos="8789"/>
      </w:tabs>
      <w:spacing w:before="120" w:after="120"/>
      <w:jc w:val="both"/>
    </w:pPr>
    <w:rPr>
      <w:snapToGrid w:val="0"/>
      <w:sz w:val="24"/>
      <w:lang w:val="en-US" w:eastAsia="fr-FR"/>
    </w:rPr>
  </w:style>
  <w:style w:type="paragraph" w:styleId="BodyTextIndent2">
    <w:name w:val="Body Text Indent 2"/>
    <w:basedOn w:val="Normal"/>
    <w:rsid w:val="00FE5F45"/>
    <w:pPr>
      <w:tabs>
        <w:tab w:val="left" w:pos="567"/>
      </w:tabs>
      <w:spacing w:line="260" w:lineRule="exact"/>
      <w:ind w:left="567" w:hanging="567"/>
      <w:jc w:val="both"/>
    </w:pPr>
    <w:rPr>
      <w:b/>
      <w:lang w:val="en-GB"/>
    </w:rPr>
  </w:style>
  <w:style w:type="paragraph" w:customStyle="1" w:styleId="EMEAEnTableLeft">
    <w:name w:val="EMEA En Table Left"/>
    <w:basedOn w:val="Normal"/>
    <w:rsid w:val="00FE5F45"/>
    <w:pPr>
      <w:keepNext/>
      <w:keepLines/>
      <w:widowControl w:val="0"/>
    </w:pPr>
    <w:rPr>
      <w:sz w:val="20"/>
      <w:lang w:val="fr-FR"/>
    </w:rPr>
  </w:style>
  <w:style w:type="paragraph" w:styleId="ListBullet2">
    <w:name w:val="List Bullet 2"/>
    <w:basedOn w:val="Normal"/>
    <w:rsid w:val="00716247"/>
    <w:pPr>
      <w:numPr>
        <w:numId w:val="48"/>
      </w:numPr>
      <w:contextualSpacing/>
    </w:pPr>
  </w:style>
  <w:style w:type="paragraph" w:styleId="BodyTextIndent">
    <w:name w:val="Body Text Indent"/>
    <w:basedOn w:val="Normal"/>
    <w:rsid w:val="00FE5F45"/>
    <w:pPr>
      <w:ind w:left="540" w:hanging="540"/>
    </w:pPr>
    <w:rPr>
      <w:szCs w:val="24"/>
      <w:lang w:val="en-US"/>
    </w:rPr>
  </w:style>
  <w:style w:type="paragraph" w:customStyle="1" w:styleId="EMEATableLeft">
    <w:name w:val="EMEA Table Left"/>
    <w:basedOn w:val="Normal"/>
    <w:rsid w:val="00FE5F45"/>
    <w:pPr>
      <w:keepNext/>
      <w:keepLines/>
    </w:pPr>
    <w:rPr>
      <w:lang w:val="en-GB"/>
    </w:rPr>
  </w:style>
  <w:style w:type="paragraph" w:customStyle="1" w:styleId="EMEAElTableLeft">
    <w:name w:val="EMEA El Table Left"/>
    <w:basedOn w:val="EMEAEnTableLeft"/>
    <w:rsid w:val="00FE5F45"/>
    <w:pPr>
      <w:widowControl/>
    </w:pPr>
  </w:style>
  <w:style w:type="paragraph" w:styleId="BodyTextIndent3">
    <w:name w:val="Body Text Indent 3"/>
    <w:basedOn w:val="Normal"/>
    <w:rsid w:val="00FE5F45"/>
    <w:pPr>
      <w:keepLines/>
      <w:autoSpaceDE w:val="0"/>
      <w:autoSpaceDN w:val="0"/>
      <w:adjustRightInd w:val="0"/>
      <w:spacing w:line="240" w:lineRule="atLeast"/>
      <w:ind w:left="1287"/>
    </w:pPr>
    <w:rPr>
      <w:rFonts w:ascii="Helv" w:hAnsi="Helv"/>
      <w:color w:val="000000"/>
      <w:sz w:val="20"/>
      <w:lang w:val="en-US"/>
    </w:rPr>
  </w:style>
  <w:style w:type="paragraph" w:styleId="ListBullet">
    <w:name w:val="List Bullet"/>
    <w:basedOn w:val="Normal"/>
    <w:autoRedefine/>
    <w:rsid w:val="00FE5F45"/>
    <w:pPr>
      <w:numPr>
        <w:numId w:val="25"/>
      </w:numPr>
    </w:pPr>
    <w:rPr>
      <w:sz w:val="24"/>
      <w:szCs w:val="24"/>
      <w:lang w:val="en-US"/>
    </w:rPr>
  </w:style>
  <w:style w:type="character" w:styleId="Emphasis">
    <w:name w:val="Emphasis"/>
    <w:qFormat/>
    <w:rsid w:val="00FE5F45"/>
    <w:rPr>
      <w:i/>
      <w:iCs/>
    </w:rPr>
  </w:style>
  <w:style w:type="paragraph" w:styleId="CommentSubject">
    <w:name w:val="annotation subject"/>
    <w:basedOn w:val="CommentText"/>
    <w:next w:val="CommentText"/>
    <w:semiHidden/>
    <w:rsid w:val="004819E7"/>
    <w:rPr>
      <w:b/>
      <w:bCs/>
      <w:sz w:val="20"/>
    </w:rPr>
  </w:style>
  <w:style w:type="paragraph" w:styleId="BalloonText">
    <w:name w:val="Balloon Text"/>
    <w:basedOn w:val="Normal"/>
    <w:semiHidden/>
    <w:rsid w:val="004819E7"/>
    <w:rPr>
      <w:rFonts w:ascii="Tahoma" w:hAnsi="Tahoma" w:cs="Tahoma"/>
      <w:sz w:val="16"/>
      <w:szCs w:val="16"/>
    </w:rPr>
  </w:style>
  <w:style w:type="table" w:styleId="TableGrid">
    <w:name w:val="Table Grid"/>
    <w:basedOn w:val="TableNormal"/>
    <w:rsid w:val="00233D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rsid w:val="00480BF4"/>
    <w:rPr>
      <w:lang w:val="en-GB"/>
    </w:rPr>
  </w:style>
  <w:style w:type="paragraph" w:customStyle="1" w:styleId="EMEA1">
    <w:name w:val="EMEA 1"/>
    <w:basedOn w:val="Heading8"/>
    <w:link w:val="EMEA1Char"/>
    <w:rsid w:val="00C3531C"/>
    <w:pPr>
      <w:spacing w:line="240" w:lineRule="auto"/>
    </w:pPr>
    <w:rPr>
      <w:bCs/>
      <w:szCs w:val="20"/>
    </w:rPr>
  </w:style>
  <w:style w:type="paragraph" w:customStyle="1" w:styleId="EMEA2">
    <w:name w:val="EMEA 2"/>
    <w:basedOn w:val="Normal"/>
    <w:link w:val="EMEA2Char"/>
    <w:rsid w:val="00C3531C"/>
    <w:pPr>
      <w:ind w:left="567" w:hanging="567"/>
    </w:pPr>
    <w:rPr>
      <w:b/>
    </w:rPr>
  </w:style>
  <w:style w:type="paragraph" w:styleId="EnvelopeAddress">
    <w:name w:val="envelope address"/>
    <w:basedOn w:val="Normal"/>
    <w:rsid w:val="00C3531C"/>
    <w:pPr>
      <w:framePr w:w="7938" w:h="1985" w:hRule="exact" w:hSpace="141" w:wrap="auto" w:hAnchor="page" w:xAlign="center" w:yAlign="bottom"/>
      <w:ind w:left="2835"/>
    </w:pPr>
    <w:rPr>
      <w:rFonts w:ascii="Arial" w:hAnsi="Arial" w:cs="Arial"/>
      <w:sz w:val="24"/>
      <w:szCs w:val="24"/>
    </w:rPr>
  </w:style>
  <w:style w:type="paragraph" w:styleId="EnvelopeReturn">
    <w:name w:val="envelope return"/>
    <w:basedOn w:val="Normal"/>
    <w:rsid w:val="00C3531C"/>
    <w:rPr>
      <w:rFonts w:ascii="Arial" w:hAnsi="Arial" w:cs="Arial"/>
      <w:sz w:val="20"/>
    </w:rPr>
  </w:style>
  <w:style w:type="paragraph" w:styleId="HTMLAddress">
    <w:name w:val="HTML Address"/>
    <w:basedOn w:val="Normal"/>
    <w:rsid w:val="00C3531C"/>
    <w:rPr>
      <w:i/>
      <w:iCs/>
    </w:rPr>
  </w:style>
  <w:style w:type="paragraph" w:styleId="MessageHeader">
    <w:name w:val="Message Header"/>
    <w:basedOn w:val="Normal"/>
    <w:rsid w:val="00C3531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DocumentMap">
    <w:name w:val="Document Map"/>
    <w:basedOn w:val="Normal"/>
    <w:semiHidden/>
    <w:rsid w:val="00C3531C"/>
    <w:pPr>
      <w:shd w:val="clear" w:color="auto" w:fill="000080"/>
    </w:pPr>
    <w:rPr>
      <w:rFonts w:ascii="Tahoma" w:hAnsi="Tahoma" w:cs="Tahoma"/>
      <w:sz w:val="20"/>
    </w:rPr>
  </w:style>
  <w:style w:type="paragraph" w:styleId="Closing">
    <w:name w:val="Closing"/>
    <w:basedOn w:val="Normal"/>
    <w:rsid w:val="00C3531C"/>
    <w:pPr>
      <w:ind w:left="4252"/>
    </w:pPr>
  </w:style>
  <w:style w:type="paragraph" w:styleId="Index1">
    <w:name w:val="index 1"/>
    <w:basedOn w:val="Normal"/>
    <w:next w:val="Normal"/>
    <w:autoRedefine/>
    <w:semiHidden/>
    <w:rsid w:val="00C3531C"/>
    <w:pPr>
      <w:ind w:left="220" w:hanging="220"/>
    </w:pPr>
  </w:style>
  <w:style w:type="paragraph" w:styleId="Index2">
    <w:name w:val="index 2"/>
    <w:basedOn w:val="Normal"/>
    <w:next w:val="Normal"/>
    <w:autoRedefine/>
    <w:semiHidden/>
    <w:rsid w:val="00C3531C"/>
    <w:pPr>
      <w:ind w:left="440" w:hanging="220"/>
    </w:pPr>
  </w:style>
  <w:style w:type="paragraph" w:styleId="Index3">
    <w:name w:val="index 3"/>
    <w:basedOn w:val="Normal"/>
    <w:next w:val="Normal"/>
    <w:autoRedefine/>
    <w:semiHidden/>
    <w:rsid w:val="00C3531C"/>
    <w:pPr>
      <w:ind w:left="660" w:hanging="220"/>
    </w:pPr>
  </w:style>
  <w:style w:type="paragraph" w:styleId="Index4">
    <w:name w:val="index 4"/>
    <w:basedOn w:val="Normal"/>
    <w:next w:val="Normal"/>
    <w:autoRedefine/>
    <w:semiHidden/>
    <w:rsid w:val="00C3531C"/>
    <w:pPr>
      <w:ind w:left="880" w:hanging="220"/>
    </w:pPr>
  </w:style>
  <w:style w:type="paragraph" w:styleId="Index5">
    <w:name w:val="index 5"/>
    <w:basedOn w:val="Normal"/>
    <w:next w:val="Normal"/>
    <w:autoRedefine/>
    <w:semiHidden/>
    <w:rsid w:val="00C3531C"/>
    <w:pPr>
      <w:ind w:left="1100" w:hanging="220"/>
    </w:pPr>
  </w:style>
  <w:style w:type="paragraph" w:styleId="Index6">
    <w:name w:val="index 6"/>
    <w:basedOn w:val="Normal"/>
    <w:next w:val="Normal"/>
    <w:autoRedefine/>
    <w:semiHidden/>
    <w:rsid w:val="00C3531C"/>
    <w:pPr>
      <w:ind w:left="1320" w:hanging="220"/>
    </w:pPr>
  </w:style>
  <w:style w:type="paragraph" w:styleId="Index7">
    <w:name w:val="index 7"/>
    <w:basedOn w:val="Normal"/>
    <w:next w:val="Normal"/>
    <w:autoRedefine/>
    <w:semiHidden/>
    <w:rsid w:val="00C3531C"/>
    <w:pPr>
      <w:ind w:left="1540" w:hanging="220"/>
    </w:pPr>
  </w:style>
  <w:style w:type="paragraph" w:styleId="Index8">
    <w:name w:val="index 8"/>
    <w:basedOn w:val="Normal"/>
    <w:next w:val="Normal"/>
    <w:autoRedefine/>
    <w:semiHidden/>
    <w:rsid w:val="00C3531C"/>
    <w:pPr>
      <w:ind w:left="1760" w:hanging="220"/>
    </w:pPr>
  </w:style>
  <w:style w:type="paragraph" w:styleId="Index9">
    <w:name w:val="index 9"/>
    <w:basedOn w:val="Normal"/>
    <w:next w:val="Normal"/>
    <w:autoRedefine/>
    <w:semiHidden/>
    <w:rsid w:val="00C3531C"/>
    <w:pPr>
      <w:ind w:left="1980" w:hanging="220"/>
    </w:pPr>
  </w:style>
  <w:style w:type="paragraph" w:styleId="Caption">
    <w:name w:val="caption"/>
    <w:basedOn w:val="Normal"/>
    <w:next w:val="Normal"/>
    <w:qFormat/>
    <w:rsid w:val="00C3531C"/>
    <w:rPr>
      <w:b/>
      <w:bCs/>
      <w:sz w:val="20"/>
    </w:rPr>
  </w:style>
  <w:style w:type="paragraph" w:styleId="List">
    <w:name w:val="List"/>
    <w:basedOn w:val="Normal"/>
    <w:rsid w:val="00C3531C"/>
    <w:pPr>
      <w:ind w:left="283" w:hanging="283"/>
    </w:pPr>
  </w:style>
  <w:style w:type="paragraph" w:styleId="List2">
    <w:name w:val="List 2"/>
    <w:basedOn w:val="Normal"/>
    <w:rsid w:val="00C3531C"/>
    <w:pPr>
      <w:ind w:left="566" w:hanging="283"/>
    </w:pPr>
  </w:style>
  <w:style w:type="paragraph" w:styleId="List3">
    <w:name w:val="List 3"/>
    <w:basedOn w:val="Normal"/>
    <w:rsid w:val="00C3531C"/>
    <w:pPr>
      <w:ind w:left="849" w:hanging="283"/>
    </w:pPr>
  </w:style>
  <w:style w:type="paragraph" w:styleId="List4">
    <w:name w:val="List 4"/>
    <w:basedOn w:val="Normal"/>
    <w:rsid w:val="00C3531C"/>
    <w:pPr>
      <w:ind w:left="1132" w:hanging="283"/>
    </w:pPr>
  </w:style>
  <w:style w:type="paragraph" w:styleId="List5">
    <w:name w:val="List 5"/>
    <w:basedOn w:val="Normal"/>
    <w:rsid w:val="00C3531C"/>
    <w:pPr>
      <w:ind w:left="1415" w:hanging="283"/>
    </w:pPr>
  </w:style>
  <w:style w:type="paragraph" w:styleId="ListNumber">
    <w:name w:val="List Number"/>
    <w:basedOn w:val="Normal"/>
    <w:rsid w:val="00C3531C"/>
    <w:pPr>
      <w:numPr>
        <w:numId w:val="28"/>
      </w:numPr>
    </w:pPr>
  </w:style>
  <w:style w:type="paragraph" w:styleId="ListNumber2">
    <w:name w:val="List Number 2"/>
    <w:basedOn w:val="Normal"/>
    <w:rsid w:val="00C3531C"/>
    <w:pPr>
      <w:numPr>
        <w:numId w:val="29"/>
      </w:numPr>
    </w:pPr>
  </w:style>
  <w:style w:type="paragraph" w:styleId="ListNumber3">
    <w:name w:val="List Number 3"/>
    <w:basedOn w:val="Normal"/>
    <w:rsid w:val="00C3531C"/>
    <w:pPr>
      <w:numPr>
        <w:numId w:val="30"/>
      </w:numPr>
    </w:pPr>
  </w:style>
  <w:style w:type="paragraph" w:styleId="ListNumber4">
    <w:name w:val="List Number 4"/>
    <w:basedOn w:val="Normal"/>
    <w:rsid w:val="00C3531C"/>
    <w:pPr>
      <w:numPr>
        <w:numId w:val="31"/>
      </w:numPr>
    </w:pPr>
  </w:style>
  <w:style w:type="paragraph" w:styleId="ListNumber5">
    <w:name w:val="List Number 5"/>
    <w:basedOn w:val="Normal"/>
    <w:rsid w:val="00C3531C"/>
    <w:pPr>
      <w:numPr>
        <w:numId w:val="32"/>
      </w:numPr>
    </w:pPr>
  </w:style>
  <w:style w:type="paragraph" w:styleId="ListBullet3">
    <w:name w:val="List Bullet 3"/>
    <w:basedOn w:val="Normal"/>
    <w:rsid w:val="00C3531C"/>
    <w:pPr>
      <w:numPr>
        <w:numId w:val="33"/>
      </w:numPr>
    </w:pPr>
  </w:style>
  <w:style w:type="paragraph" w:styleId="ListBullet4">
    <w:name w:val="List Bullet 4"/>
    <w:basedOn w:val="Normal"/>
    <w:rsid w:val="00C3531C"/>
    <w:pPr>
      <w:numPr>
        <w:numId w:val="34"/>
      </w:numPr>
    </w:pPr>
  </w:style>
  <w:style w:type="paragraph" w:styleId="ListBullet5">
    <w:name w:val="List Bullet 5"/>
    <w:basedOn w:val="Normal"/>
    <w:rsid w:val="00C3531C"/>
    <w:pPr>
      <w:numPr>
        <w:numId w:val="35"/>
      </w:numPr>
    </w:pPr>
  </w:style>
  <w:style w:type="paragraph" w:styleId="ListContinue">
    <w:name w:val="List Continue"/>
    <w:basedOn w:val="Normal"/>
    <w:rsid w:val="00C3531C"/>
    <w:pPr>
      <w:spacing w:after="120"/>
      <w:ind w:left="283"/>
    </w:pPr>
  </w:style>
  <w:style w:type="paragraph" w:styleId="ListContinue2">
    <w:name w:val="List Continue 2"/>
    <w:basedOn w:val="Normal"/>
    <w:rsid w:val="00C3531C"/>
    <w:pPr>
      <w:spacing w:after="120"/>
      <w:ind w:left="566"/>
    </w:pPr>
  </w:style>
  <w:style w:type="paragraph" w:styleId="ListContinue3">
    <w:name w:val="List Continue 3"/>
    <w:basedOn w:val="Normal"/>
    <w:rsid w:val="00C3531C"/>
    <w:pPr>
      <w:spacing w:after="120"/>
      <w:ind w:left="849"/>
    </w:pPr>
  </w:style>
  <w:style w:type="paragraph" w:styleId="ListContinue4">
    <w:name w:val="List Continue 4"/>
    <w:basedOn w:val="Normal"/>
    <w:rsid w:val="00C3531C"/>
    <w:pPr>
      <w:spacing w:after="120"/>
      <w:ind w:left="1132"/>
    </w:pPr>
  </w:style>
  <w:style w:type="paragraph" w:styleId="ListContinue5">
    <w:name w:val="List Continue 5"/>
    <w:basedOn w:val="Normal"/>
    <w:rsid w:val="00C3531C"/>
    <w:pPr>
      <w:spacing w:after="120"/>
      <w:ind w:left="1415"/>
    </w:pPr>
  </w:style>
  <w:style w:type="paragraph" w:styleId="NormalWeb">
    <w:name w:val="Normal (Web)"/>
    <w:basedOn w:val="Normal"/>
    <w:rsid w:val="00C3531C"/>
    <w:rPr>
      <w:sz w:val="24"/>
      <w:szCs w:val="24"/>
    </w:rPr>
  </w:style>
  <w:style w:type="paragraph" w:styleId="FootnoteText">
    <w:name w:val="footnote text"/>
    <w:basedOn w:val="Normal"/>
    <w:link w:val="FootnoteTextChar"/>
    <w:semiHidden/>
    <w:rsid w:val="00C3531C"/>
    <w:rPr>
      <w:sz w:val="20"/>
    </w:rPr>
  </w:style>
  <w:style w:type="paragraph" w:styleId="EndnoteText">
    <w:name w:val="endnote text"/>
    <w:basedOn w:val="Normal"/>
    <w:semiHidden/>
    <w:rsid w:val="00C3531C"/>
    <w:rPr>
      <w:sz w:val="20"/>
    </w:rPr>
  </w:style>
  <w:style w:type="paragraph" w:styleId="HTMLPreformatted">
    <w:name w:val="HTML Preformatted"/>
    <w:basedOn w:val="Normal"/>
    <w:rsid w:val="00C3531C"/>
    <w:rPr>
      <w:rFonts w:ascii="Courier New" w:hAnsi="Courier New" w:cs="Courier New"/>
      <w:sz w:val="20"/>
    </w:rPr>
  </w:style>
  <w:style w:type="paragraph" w:styleId="BodyTextFirstIndent">
    <w:name w:val="Body Text First Indent"/>
    <w:basedOn w:val="BodyText"/>
    <w:rsid w:val="00C3531C"/>
    <w:pPr>
      <w:spacing w:after="120"/>
      <w:ind w:firstLine="210"/>
    </w:pPr>
    <w:rPr>
      <w:b w:val="0"/>
      <w:bCs w:val="0"/>
    </w:rPr>
  </w:style>
  <w:style w:type="paragraph" w:styleId="BodyTextFirstIndent2">
    <w:name w:val="Body Text First Indent 2"/>
    <w:basedOn w:val="BodyTextIndent"/>
    <w:rsid w:val="00C3531C"/>
    <w:pPr>
      <w:spacing w:after="120"/>
      <w:ind w:left="283" w:firstLine="210"/>
    </w:pPr>
    <w:rPr>
      <w:szCs w:val="20"/>
      <w:lang w:val="hu-HU"/>
    </w:rPr>
  </w:style>
  <w:style w:type="paragraph" w:styleId="NormalIndent">
    <w:name w:val="Normal Indent"/>
    <w:basedOn w:val="Normal"/>
    <w:rsid w:val="00C3531C"/>
    <w:pPr>
      <w:ind w:left="708"/>
    </w:pPr>
  </w:style>
  <w:style w:type="paragraph" w:styleId="Salutation">
    <w:name w:val="Salutation"/>
    <w:basedOn w:val="Normal"/>
    <w:next w:val="Normal"/>
    <w:rsid w:val="00C3531C"/>
  </w:style>
  <w:style w:type="paragraph" w:styleId="Signature">
    <w:name w:val="Signature"/>
    <w:basedOn w:val="Normal"/>
    <w:rsid w:val="00C3531C"/>
    <w:pPr>
      <w:ind w:left="4252"/>
    </w:pPr>
  </w:style>
  <w:style w:type="paragraph" w:styleId="E-mailSignature">
    <w:name w:val="E-mail Signature"/>
    <w:basedOn w:val="Normal"/>
    <w:rsid w:val="00C3531C"/>
  </w:style>
  <w:style w:type="paragraph" w:styleId="Subtitle">
    <w:name w:val="Subtitle"/>
    <w:basedOn w:val="Normal"/>
    <w:qFormat/>
    <w:rsid w:val="00C3531C"/>
    <w:pPr>
      <w:spacing w:after="60"/>
      <w:jc w:val="center"/>
      <w:outlineLvl w:val="1"/>
    </w:pPr>
    <w:rPr>
      <w:rFonts w:ascii="Arial" w:hAnsi="Arial" w:cs="Arial"/>
      <w:sz w:val="24"/>
      <w:szCs w:val="24"/>
    </w:rPr>
  </w:style>
  <w:style w:type="paragraph" w:styleId="TableofFigures">
    <w:name w:val="table of figures"/>
    <w:basedOn w:val="Normal"/>
    <w:next w:val="Normal"/>
    <w:semiHidden/>
    <w:rsid w:val="00C3531C"/>
  </w:style>
  <w:style w:type="paragraph" w:styleId="TableofAuthorities">
    <w:name w:val="table of authorities"/>
    <w:basedOn w:val="Normal"/>
    <w:next w:val="Normal"/>
    <w:semiHidden/>
    <w:rsid w:val="00C3531C"/>
    <w:pPr>
      <w:ind w:left="220" w:hanging="220"/>
    </w:pPr>
  </w:style>
  <w:style w:type="paragraph" w:styleId="PlainText">
    <w:name w:val="Plain Text"/>
    <w:basedOn w:val="Normal"/>
    <w:rsid w:val="00C3531C"/>
    <w:rPr>
      <w:rFonts w:ascii="Courier New" w:hAnsi="Courier New" w:cs="Courier New"/>
      <w:sz w:val="20"/>
    </w:rPr>
  </w:style>
  <w:style w:type="paragraph" w:styleId="MacroText">
    <w:name w:val="macro"/>
    <w:semiHidden/>
    <w:rsid w:val="00C3531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hu-HU" w:eastAsia="en-US"/>
    </w:rPr>
  </w:style>
  <w:style w:type="paragraph" w:styleId="Title">
    <w:name w:val="Title"/>
    <w:basedOn w:val="Normal"/>
    <w:qFormat/>
    <w:rsid w:val="00C3531C"/>
    <w:pPr>
      <w:spacing w:before="240" w:after="60"/>
      <w:jc w:val="center"/>
      <w:outlineLvl w:val="0"/>
    </w:pPr>
    <w:rPr>
      <w:rFonts w:ascii="Arial" w:hAnsi="Arial" w:cs="Arial"/>
      <w:b/>
      <w:bCs/>
      <w:kern w:val="28"/>
      <w:sz w:val="32"/>
      <w:szCs w:val="32"/>
    </w:rPr>
  </w:style>
  <w:style w:type="paragraph" w:styleId="NoteHeading">
    <w:name w:val="Note Heading"/>
    <w:basedOn w:val="Normal"/>
    <w:next w:val="Normal"/>
    <w:rsid w:val="00C3531C"/>
  </w:style>
  <w:style w:type="paragraph" w:styleId="IndexHeading">
    <w:name w:val="index heading"/>
    <w:basedOn w:val="Normal"/>
    <w:next w:val="Index1"/>
    <w:semiHidden/>
    <w:rsid w:val="00C3531C"/>
    <w:rPr>
      <w:rFonts w:ascii="Arial" w:hAnsi="Arial" w:cs="Arial"/>
      <w:b/>
      <w:bCs/>
    </w:rPr>
  </w:style>
  <w:style w:type="paragraph" w:styleId="TOAHeading">
    <w:name w:val="toa heading"/>
    <w:basedOn w:val="Normal"/>
    <w:next w:val="Normal"/>
    <w:semiHidden/>
    <w:rsid w:val="00C3531C"/>
    <w:pPr>
      <w:spacing w:before="120"/>
    </w:pPr>
    <w:rPr>
      <w:rFonts w:ascii="Arial" w:hAnsi="Arial" w:cs="Arial"/>
      <w:b/>
      <w:bCs/>
      <w:sz w:val="24"/>
      <w:szCs w:val="24"/>
    </w:rPr>
  </w:style>
  <w:style w:type="paragraph" w:styleId="TOC1">
    <w:name w:val="toc 1"/>
    <w:basedOn w:val="Normal"/>
    <w:next w:val="Normal"/>
    <w:autoRedefine/>
    <w:semiHidden/>
    <w:rsid w:val="00C3531C"/>
  </w:style>
  <w:style w:type="paragraph" w:styleId="TOC2">
    <w:name w:val="toc 2"/>
    <w:basedOn w:val="Normal"/>
    <w:next w:val="Normal"/>
    <w:autoRedefine/>
    <w:semiHidden/>
    <w:rsid w:val="00C3531C"/>
    <w:pPr>
      <w:ind w:left="220"/>
    </w:pPr>
  </w:style>
  <w:style w:type="paragraph" w:styleId="TOC3">
    <w:name w:val="toc 3"/>
    <w:basedOn w:val="Normal"/>
    <w:next w:val="Normal"/>
    <w:autoRedefine/>
    <w:semiHidden/>
    <w:rsid w:val="00C3531C"/>
    <w:pPr>
      <w:ind w:left="440"/>
    </w:pPr>
  </w:style>
  <w:style w:type="paragraph" w:styleId="TOC4">
    <w:name w:val="toc 4"/>
    <w:basedOn w:val="Normal"/>
    <w:next w:val="Normal"/>
    <w:autoRedefine/>
    <w:semiHidden/>
    <w:rsid w:val="00C3531C"/>
    <w:pPr>
      <w:ind w:left="660"/>
    </w:pPr>
  </w:style>
  <w:style w:type="paragraph" w:styleId="TOC5">
    <w:name w:val="toc 5"/>
    <w:basedOn w:val="Normal"/>
    <w:next w:val="Normal"/>
    <w:autoRedefine/>
    <w:semiHidden/>
    <w:rsid w:val="00C3531C"/>
    <w:pPr>
      <w:ind w:left="880"/>
    </w:pPr>
  </w:style>
  <w:style w:type="paragraph" w:styleId="TOC6">
    <w:name w:val="toc 6"/>
    <w:basedOn w:val="Normal"/>
    <w:next w:val="Normal"/>
    <w:autoRedefine/>
    <w:semiHidden/>
    <w:rsid w:val="00C3531C"/>
    <w:pPr>
      <w:ind w:left="1100"/>
    </w:pPr>
  </w:style>
  <w:style w:type="paragraph" w:styleId="TOC7">
    <w:name w:val="toc 7"/>
    <w:basedOn w:val="Normal"/>
    <w:next w:val="Normal"/>
    <w:autoRedefine/>
    <w:semiHidden/>
    <w:rsid w:val="00C3531C"/>
    <w:pPr>
      <w:ind w:left="1320"/>
    </w:pPr>
  </w:style>
  <w:style w:type="paragraph" w:styleId="TOC8">
    <w:name w:val="toc 8"/>
    <w:basedOn w:val="Normal"/>
    <w:next w:val="Normal"/>
    <w:autoRedefine/>
    <w:semiHidden/>
    <w:rsid w:val="00C3531C"/>
    <w:pPr>
      <w:ind w:left="1540"/>
    </w:pPr>
  </w:style>
  <w:style w:type="paragraph" w:styleId="TOC9">
    <w:name w:val="toc 9"/>
    <w:basedOn w:val="Normal"/>
    <w:next w:val="Normal"/>
    <w:autoRedefine/>
    <w:semiHidden/>
    <w:rsid w:val="00C3531C"/>
    <w:pPr>
      <w:ind w:left="1760"/>
    </w:pPr>
  </w:style>
  <w:style w:type="paragraph" w:customStyle="1" w:styleId="Normal11pt">
    <w:name w:val="Normal + 11pt"/>
    <w:basedOn w:val="Normal"/>
    <w:link w:val="CharChar"/>
    <w:rsid w:val="00D35361"/>
    <w:rPr>
      <w:snapToGrid w:val="0"/>
      <w:szCs w:val="22"/>
      <w:lang w:val="en-GB"/>
    </w:rPr>
  </w:style>
  <w:style w:type="character" w:customStyle="1" w:styleId="CharChar">
    <w:name w:val=" Char Char"/>
    <w:link w:val="Normal11pt"/>
    <w:locked/>
    <w:rsid w:val="00D35361"/>
    <w:rPr>
      <w:snapToGrid w:val="0"/>
      <w:sz w:val="22"/>
      <w:szCs w:val="22"/>
      <w:lang w:val="en-GB" w:eastAsia="en-US" w:bidi="ar-SA"/>
    </w:rPr>
  </w:style>
  <w:style w:type="paragraph" w:styleId="Revision">
    <w:name w:val="Revision"/>
    <w:hidden/>
    <w:uiPriority w:val="99"/>
    <w:semiHidden/>
    <w:rsid w:val="00D05D84"/>
    <w:rPr>
      <w:sz w:val="22"/>
      <w:lang w:val="hu-HU" w:eastAsia="en-US"/>
    </w:rPr>
  </w:style>
  <w:style w:type="paragraph" w:customStyle="1" w:styleId="BookmarkA">
    <w:name w:val="Bookmark A"/>
    <w:basedOn w:val="EMEA1"/>
    <w:link w:val="BookmarkAChar"/>
    <w:qFormat/>
    <w:rsid w:val="001E7729"/>
    <w:pPr>
      <w:keepNext w:val="0"/>
      <w:widowControl w:val="0"/>
      <w:outlineLvl w:val="0"/>
    </w:pPr>
  </w:style>
  <w:style w:type="paragraph" w:customStyle="1" w:styleId="BookmarkB">
    <w:name w:val="Bookmark B"/>
    <w:basedOn w:val="EMEA2"/>
    <w:link w:val="BookmarkBChar"/>
    <w:qFormat/>
    <w:rsid w:val="001E7729"/>
  </w:style>
  <w:style w:type="character" w:customStyle="1" w:styleId="Heading8Char">
    <w:name w:val="Heading 8 Char"/>
    <w:link w:val="Heading8"/>
    <w:rsid w:val="001E7729"/>
    <w:rPr>
      <w:b/>
      <w:sz w:val="22"/>
      <w:szCs w:val="22"/>
      <w:lang w:eastAsia="en-US"/>
    </w:rPr>
  </w:style>
  <w:style w:type="character" w:customStyle="1" w:styleId="EMEA1Char">
    <w:name w:val="EMEA 1 Char"/>
    <w:link w:val="EMEA1"/>
    <w:rsid w:val="001E7729"/>
    <w:rPr>
      <w:b/>
      <w:bCs/>
      <w:sz w:val="22"/>
      <w:szCs w:val="22"/>
      <w:lang w:eastAsia="en-US"/>
    </w:rPr>
  </w:style>
  <w:style w:type="character" w:customStyle="1" w:styleId="BookmarkAChar">
    <w:name w:val="Bookmark A Char"/>
    <w:basedOn w:val="EMEA1Char"/>
    <w:link w:val="BookmarkA"/>
    <w:rsid w:val="001E7729"/>
    <w:rPr>
      <w:b/>
      <w:bCs/>
      <w:sz w:val="22"/>
      <w:szCs w:val="22"/>
      <w:lang w:eastAsia="en-US"/>
    </w:rPr>
  </w:style>
  <w:style w:type="character" w:customStyle="1" w:styleId="FootnoteTextChar">
    <w:name w:val="Footnote Text Char"/>
    <w:link w:val="FootnoteText"/>
    <w:semiHidden/>
    <w:rsid w:val="00965160"/>
    <w:rPr>
      <w:lang w:eastAsia="en-US"/>
    </w:rPr>
  </w:style>
  <w:style w:type="character" w:customStyle="1" w:styleId="EMEA2Char">
    <w:name w:val="EMEA 2 Char"/>
    <w:link w:val="EMEA2"/>
    <w:rsid w:val="001E7729"/>
    <w:rPr>
      <w:b/>
      <w:sz w:val="22"/>
      <w:lang w:eastAsia="en-US"/>
    </w:rPr>
  </w:style>
  <w:style w:type="character" w:customStyle="1" w:styleId="BookmarkBChar">
    <w:name w:val="Bookmark B Char"/>
    <w:basedOn w:val="EMEA2Char"/>
    <w:link w:val="BookmarkB"/>
    <w:rsid w:val="001E7729"/>
    <w:rPr>
      <w:b/>
      <w:sz w:val="22"/>
      <w:lang w:eastAsia="en-US"/>
    </w:rPr>
  </w:style>
  <w:style w:type="character" w:styleId="FootnoteReference">
    <w:name w:val="footnote reference"/>
    <w:unhideWhenUsed/>
    <w:rsid w:val="009651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309">
      <w:bodyDiv w:val="1"/>
      <w:marLeft w:val="0"/>
      <w:marRight w:val="0"/>
      <w:marTop w:val="0"/>
      <w:marBottom w:val="0"/>
      <w:divBdr>
        <w:top w:val="none" w:sz="0" w:space="0" w:color="auto"/>
        <w:left w:val="none" w:sz="0" w:space="0" w:color="auto"/>
        <w:bottom w:val="none" w:sz="0" w:space="0" w:color="auto"/>
        <w:right w:val="none" w:sz="0" w:space="0" w:color="auto"/>
      </w:divBdr>
    </w:div>
    <w:div w:id="619067122">
      <w:bodyDiv w:val="1"/>
      <w:marLeft w:val="0"/>
      <w:marRight w:val="0"/>
      <w:marTop w:val="0"/>
      <w:marBottom w:val="0"/>
      <w:divBdr>
        <w:top w:val="none" w:sz="0" w:space="0" w:color="auto"/>
        <w:left w:val="none" w:sz="0" w:space="0" w:color="auto"/>
        <w:bottom w:val="none" w:sz="0" w:space="0" w:color="auto"/>
        <w:right w:val="none" w:sz="0" w:space="0" w:color="auto"/>
      </w:divBdr>
    </w:div>
    <w:div w:id="642269442">
      <w:bodyDiv w:val="1"/>
      <w:marLeft w:val="0"/>
      <w:marRight w:val="0"/>
      <w:marTop w:val="0"/>
      <w:marBottom w:val="0"/>
      <w:divBdr>
        <w:top w:val="none" w:sz="0" w:space="0" w:color="auto"/>
        <w:left w:val="none" w:sz="0" w:space="0" w:color="auto"/>
        <w:bottom w:val="none" w:sz="0" w:space="0" w:color="auto"/>
        <w:right w:val="none" w:sz="0" w:space="0" w:color="auto"/>
      </w:divBdr>
    </w:div>
    <w:div w:id="779645011">
      <w:bodyDiv w:val="1"/>
      <w:marLeft w:val="0"/>
      <w:marRight w:val="0"/>
      <w:marTop w:val="0"/>
      <w:marBottom w:val="0"/>
      <w:divBdr>
        <w:top w:val="none" w:sz="0" w:space="0" w:color="auto"/>
        <w:left w:val="none" w:sz="0" w:space="0" w:color="auto"/>
        <w:bottom w:val="none" w:sz="0" w:space="0" w:color="auto"/>
        <w:right w:val="none" w:sz="0" w:space="0" w:color="auto"/>
      </w:divBdr>
    </w:div>
    <w:div w:id="906376896">
      <w:bodyDiv w:val="1"/>
      <w:marLeft w:val="0"/>
      <w:marRight w:val="0"/>
      <w:marTop w:val="0"/>
      <w:marBottom w:val="0"/>
      <w:divBdr>
        <w:top w:val="none" w:sz="0" w:space="0" w:color="auto"/>
        <w:left w:val="none" w:sz="0" w:space="0" w:color="auto"/>
        <w:bottom w:val="none" w:sz="0" w:space="0" w:color="auto"/>
        <w:right w:val="none" w:sz="0" w:space="0" w:color="auto"/>
      </w:divBdr>
    </w:div>
    <w:div w:id="1008556975">
      <w:bodyDiv w:val="1"/>
      <w:marLeft w:val="0"/>
      <w:marRight w:val="0"/>
      <w:marTop w:val="0"/>
      <w:marBottom w:val="0"/>
      <w:divBdr>
        <w:top w:val="none" w:sz="0" w:space="0" w:color="auto"/>
        <w:left w:val="none" w:sz="0" w:space="0" w:color="auto"/>
        <w:bottom w:val="none" w:sz="0" w:space="0" w:color="auto"/>
        <w:right w:val="none" w:sz="0" w:space="0" w:color="auto"/>
      </w:divBdr>
    </w:div>
    <w:div w:id="1803301664">
      <w:bodyDiv w:val="1"/>
      <w:marLeft w:val="0"/>
      <w:marRight w:val="0"/>
      <w:marTop w:val="0"/>
      <w:marBottom w:val="0"/>
      <w:divBdr>
        <w:top w:val="none" w:sz="0" w:space="0" w:color="auto"/>
        <w:left w:val="none" w:sz="0" w:space="0" w:color="auto"/>
        <w:bottom w:val="none" w:sz="0" w:space="0" w:color="auto"/>
        <w:right w:val="none" w:sz="0" w:space="0" w:color="auto"/>
      </w:divBdr>
      <w:divsChild>
        <w:div w:id="1976595670">
          <w:marLeft w:val="0"/>
          <w:marRight w:val="0"/>
          <w:marTop w:val="0"/>
          <w:marBottom w:val="0"/>
          <w:divBdr>
            <w:top w:val="none" w:sz="0" w:space="0" w:color="auto"/>
            <w:left w:val="none" w:sz="0" w:space="0" w:color="auto"/>
            <w:bottom w:val="none" w:sz="0" w:space="0" w:color="auto"/>
            <w:right w:val="none" w:sz="0" w:space="0" w:color="auto"/>
          </w:divBdr>
        </w:div>
      </w:divsChild>
    </w:div>
    <w:div w:id="2038191311">
      <w:bodyDiv w:val="1"/>
      <w:marLeft w:val="0"/>
      <w:marRight w:val="0"/>
      <w:marTop w:val="0"/>
      <w:marBottom w:val="0"/>
      <w:divBdr>
        <w:top w:val="none" w:sz="0" w:space="0" w:color="auto"/>
        <w:left w:val="none" w:sz="0" w:space="0" w:color="auto"/>
        <w:bottom w:val="none" w:sz="0" w:space="0" w:color="auto"/>
        <w:right w:val="none" w:sz="0" w:space="0" w:color="auto"/>
      </w:divBdr>
      <w:divsChild>
        <w:div w:id="970550700">
          <w:marLeft w:val="0"/>
          <w:marRight w:val="0"/>
          <w:marTop w:val="0"/>
          <w:marBottom w:val="0"/>
          <w:divBdr>
            <w:top w:val="none" w:sz="0" w:space="0" w:color="auto"/>
            <w:left w:val="none" w:sz="0" w:space="0" w:color="auto"/>
            <w:bottom w:val="none" w:sz="0" w:space="0" w:color="auto"/>
            <w:right w:val="none" w:sz="0" w:space="0" w:color="auto"/>
          </w:divBdr>
        </w:div>
      </w:divsChild>
    </w:div>
    <w:div w:id="203846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AF973-98AE-4966-8684-B9F92B50206E}">
  <ds:schemaRefs>
    <ds:schemaRef ds:uri="http://schemas.microsoft.com/sharepoint/v3/contenttype/forms"/>
  </ds:schemaRefs>
</ds:datastoreItem>
</file>

<file path=customXml/itemProps2.xml><?xml version="1.0" encoding="utf-8"?>
<ds:datastoreItem xmlns:ds="http://schemas.openxmlformats.org/officeDocument/2006/customXml" ds:itemID="{A05095D2-966B-4E7D-8AE7-755534108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48059A-D078-4148-95BB-C9ECD1C968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2B2BAA-1A48-4E22-9CA9-A3B57E696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17436</Words>
  <Characters>99391</Characters>
  <Application>Microsoft Office Word</Application>
  <DocSecurity>0</DocSecurity>
  <Lines>828</Lines>
  <Paragraphs>233</Paragraphs>
  <ScaleCrop>false</ScaleCrop>
  <HeadingPairs>
    <vt:vector size="6" baseType="variant">
      <vt:variant>
        <vt:lpstr>Title</vt:lpstr>
      </vt:variant>
      <vt:variant>
        <vt:i4>1</vt:i4>
      </vt:variant>
      <vt:variant>
        <vt:lpstr>Cím</vt:lpstr>
      </vt:variant>
      <vt:variant>
        <vt:i4>1</vt:i4>
      </vt:variant>
      <vt:variant>
        <vt:lpstr>Titre</vt:lpstr>
      </vt:variant>
      <vt:variant>
        <vt:i4>1</vt:i4>
      </vt:variant>
    </vt:vector>
  </HeadingPairs>
  <TitlesOfParts>
    <vt:vector size="3" baseType="lpstr">
      <vt:lpstr>Iscover, INN-clopidogrel</vt:lpstr>
      <vt:lpstr>Iscover, INN-clopidogrel</vt:lpstr>
      <vt:lpstr>Iscover, INN-clopidogrel</vt:lpstr>
    </vt:vector>
  </TitlesOfParts>
  <Company>CHINOIN</Company>
  <LinksUpToDate>false</LinksUpToDate>
  <CharactersWithSpaces>116594</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
  <cp:lastModifiedBy>Voutsas Achilleas</cp:lastModifiedBy>
  <cp:revision>2</cp:revision>
  <cp:lastPrinted>2019-11-28T07:41:00Z</cp:lastPrinted>
  <dcterms:created xsi:type="dcterms:W3CDTF">2021-06-03T23:47:00Z</dcterms:created>
  <dcterms:modified xsi:type="dcterms:W3CDTF">2021-06-03T23:47:00Z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Information-EMEA/207816/2006</vt:lpwstr>
  </property>
  <property fmtid="{D5CDD505-2E9C-101B-9397-08002B2CF9AE}" pid="6" name="DM_Title">
    <vt:lpwstr/>
  </property>
  <property fmtid="{D5CDD505-2E9C-101B-9397-08002B2CF9AE}" pid="7" name="DM_Language">
    <vt:lpwstr/>
  </property>
  <property fmtid="{D5CDD505-2E9C-101B-9397-08002B2CF9AE}" pid="8" name="DM_Name">
    <vt:lpwstr>Plavix-H-C-174-II-53-PI-hu</vt:lpwstr>
  </property>
  <property fmtid="{D5CDD505-2E9C-101B-9397-08002B2CF9AE}" pid="9" name="DM_Owner">
    <vt:lpwstr>Flaunoe Lise</vt:lpwstr>
  </property>
  <property fmtid="{D5CDD505-2E9C-101B-9397-08002B2CF9AE}" pid="10" name="DM_Creation_Date">
    <vt:lpwstr>02/06/2006 15:10:18</vt:lpwstr>
  </property>
  <property fmtid="{D5CDD505-2E9C-101B-9397-08002B2CF9AE}" pid="11" name="DM_Creator_Name">
    <vt:lpwstr>Flaunoe Lise</vt:lpwstr>
  </property>
  <property fmtid="{D5CDD505-2E9C-101B-9397-08002B2CF9AE}" pid="12" name="DM_Modifer_Name">
    <vt:lpwstr>Flaunoe Lise</vt:lpwstr>
  </property>
  <property fmtid="{D5CDD505-2E9C-101B-9397-08002B2CF9AE}" pid="13" name="DM_Modified_Date">
    <vt:lpwstr>05/06/2006 14:47:38</vt:lpwstr>
  </property>
  <property fmtid="{D5CDD505-2E9C-101B-9397-08002B2CF9AE}" pid="14" name="DM_Type">
    <vt:lpwstr>emea_product_document</vt:lpwstr>
  </property>
  <property fmtid="{D5CDD505-2E9C-101B-9397-08002B2CF9AE}" pid="15" name="DM_Version">
    <vt:lpwstr>0.1, CURRENT</vt:lpwstr>
  </property>
  <property fmtid="{D5CDD505-2E9C-101B-9397-08002B2CF9AE}" pid="16" name="DM_emea_doc_ref_id">
    <vt:lpwstr>EMEA/207816/2006</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207816</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Product Information</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2006</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odule">
    <vt:lpwstr/>
  </property>
  <property fmtid="{D5CDD505-2E9C-101B-9397-08002B2CF9AE}" pid="33" name="DM_emea_procedure_ref">
    <vt:lpwstr>H/C/000174</vt:lpwstr>
  </property>
  <property fmtid="{D5CDD505-2E9C-101B-9397-08002B2CF9AE}" pid="34" name="DM_emea_domain">
    <vt:lpwstr>H</vt:lpwstr>
  </property>
  <property fmtid="{D5CDD505-2E9C-101B-9397-08002B2CF9AE}" pid="35" name="DM_emea_procedure">
    <vt:lpwstr>C</vt:lpwstr>
  </property>
  <property fmtid="{D5CDD505-2E9C-101B-9397-08002B2CF9AE}" pid="36" name="DM_emea_procedure_type">
    <vt:lpwstr/>
  </property>
  <property fmtid="{D5CDD505-2E9C-101B-9397-08002B2CF9AE}" pid="37" name="DM_emea_procedure_number">
    <vt:lpwstr/>
  </property>
  <property fmtid="{D5CDD505-2E9C-101B-9397-08002B2CF9AE}" pid="38" name="DM_emea_product_number">
    <vt:lpwstr>000174</vt:lpwstr>
  </property>
  <property fmtid="{D5CDD505-2E9C-101B-9397-08002B2CF9AE}" pid="39" name="DM_emea_product_substance">
    <vt:lpwstr>Plavix</vt:lpwstr>
  </property>
  <property fmtid="{D5CDD505-2E9C-101B-9397-08002B2CF9AE}" pid="40" name="DM_emea_par_dist">
    <vt:lpwstr/>
  </property>
  <property fmtid="{D5CDD505-2E9C-101B-9397-08002B2CF9AE}" pid="41" name="_AdHocReviewCycleID">
    <vt:i4>-1818188745</vt:i4>
  </property>
  <property fmtid="{D5CDD505-2E9C-101B-9397-08002B2CF9AE}" pid="42" name="_NewReviewCycle">
    <vt:lpwstr/>
  </property>
  <property fmtid="{D5CDD505-2E9C-101B-9397-08002B2CF9AE}" pid="43" name="_EmailSubject">
    <vt:lpwstr>HU - Plavix &amp; all - WS-397 acquired haemophilia - MS comments - PI to be finalised - Deadline: 22 July 2013</vt:lpwstr>
  </property>
  <property fmtid="{D5CDD505-2E9C-101B-9397-08002B2CF9AE}" pid="44" name="_AuthorEmail">
    <vt:lpwstr>Kinga.Szakacs@sanofi.com</vt:lpwstr>
  </property>
  <property fmtid="{D5CDD505-2E9C-101B-9397-08002B2CF9AE}" pid="45" name="_AuthorEmailDisplayName">
    <vt:lpwstr>Szakacs, Kinga PH/HU</vt:lpwstr>
  </property>
  <property fmtid="{D5CDD505-2E9C-101B-9397-08002B2CF9AE}" pid="46" name="_ReviewingToolsShownOnce">
    <vt:lpwstr/>
  </property>
  <property fmtid="{D5CDD505-2E9C-101B-9397-08002B2CF9AE}" pid="47" name="Comments">
    <vt:lpwstr/>
  </property>
  <property fmtid="{D5CDD505-2E9C-101B-9397-08002B2CF9AE}" pid="48" name="MSIP_Label_0eea11ca-d417-4147-80ed-01a58412c458_Enabled">
    <vt:lpwstr>true</vt:lpwstr>
  </property>
  <property fmtid="{D5CDD505-2E9C-101B-9397-08002B2CF9AE}" pid="49" name="MSIP_Label_0eea11ca-d417-4147-80ed-01a58412c458_SetDate">
    <vt:lpwstr>2021-06-03T23:47:56Z</vt:lpwstr>
  </property>
  <property fmtid="{D5CDD505-2E9C-101B-9397-08002B2CF9AE}" pid="50" name="MSIP_Label_0eea11ca-d417-4147-80ed-01a58412c458_Method">
    <vt:lpwstr>Standard</vt:lpwstr>
  </property>
  <property fmtid="{D5CDD505-2E9C-101B-9397-08002B2CF9AE}" pid="51" name="MSIP_Label_0eea11ca-d417-4147-80ed-01a58412c458_Name">
    <vt:lpwstr>0eea11ca-d417-4147-80ed-01a58412c458</vt:lpwstr>
  </property>
  <property fmtid="{D5CDD505-2E9C-101B-9397-08002B2CF9AE}" pid="52" name="MSIP_Label_0eea11ca-d417-4147-80ed-01a58412c458_SiteId">
    <vt:lpwstr>bc9dc15c-61bc-4f03-b60b-e5b6d8922839</vt:lpwstr>
  </property>
  <property fmtid="{D5CDD505-2E9C-101B-9397-08002B2CF9AE}" pid="53" name="MSIP_Label_0eea11ca-d417-4147-80ed-01a58412c458_ActionId">
    <vt:lpwstr>86eae994-059d-468a-8880-c113b194783a</vt:lpwstr>
  </property>
  <property fmtid="{D5CDD505-2E9C-101B-9397-08002B2CF9AE}" pid="54" name="MSIP_Label_0eea11ca-d417-4147-80ed-01a58412c458_ContentBits">
    <vt:lpwstr>2</vt:lpwstr>
  </property>
</Properties>
</file>