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FCB" w:rsidRPr="005B2844" w:rsidRDefault="00A70FCB" w:rsidP="00873DC1">
      <w:pPr>
        <w:spacing w:line="240" w:lineRule="atLeast"/>
        <w:jc w:val="center"/>
        <w:rPr>
          <w:szCs w:val="22"/>
        </w:rPr>
      </w:pPr>
      <w:bookmarkStart w:id="0" w:name="_GoBack"/>
      <w:bookmarkEnd w:id="0"/>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jc w:val="center"/>
        <w:rPr>
          <w:szCs w:val="22"/>
        </w:rPr>
      </w:pPr>
    </w:p>
    <w:p w:rsidR="00A70FCB" w:rsidRPr="005B2844" w:rsidRDefault="00A70FCB" w:rsidP="00873DC1">
      <w:pPr>
        <w:jc w:val="center"/>
        <w:rPr>
          <w:szCs w:val="22"/>
        </w:rPr>
      </w:pPr>
    </w:p>
    <w:p w:rsidR="00A70FCB" w:rsidRPr="005B2844" w:rsidRDefault="00A70FCB" w:rsidP="0072602F">
      <w:pPr>
        <w:jc w:val="center"/>
        <w:rPr>
          <w:b/>
          <w:szCs w:val="22"/>
        </w:rPr>
      </w:pPr>
      <w:r w:rsidRPr="005B2844">
        <w:rPr>
          <w:b/>
          <w:szCs w:val="22"/>
        </w:rPr>
        <w:t>ALLEGATO I</w:t>
      </w:r>
    </w:p>
    <w:p w:rsidR="0015042C" w:rsidRPr="005B2844" w:rsidRDefault="0015042C" w:rsidP="00B8759F">
      <w:pPr>
        <w:rPr>
          <w:szCs w:val="22"/>
        </w:rPr>
      </w:pPr>
    </w:p>
    <w:p w:rsidR="00A70FCB" w:rsidRPr="005B2844" w:rsidRDefault="00A70FCB" w:rsidP="009C7EDD">
      <w:pPr>
        <w:pStyle w:val="QRD1"/>
      </w:pPr>
      <w:r w:rsidRPr="005B2844">
        <w:t>RIASSUNTO DELLE CARATTERISTICHE DEL PRODOTTO</w:t>
      </w:r>
    </w:p>
    <w:p w:rsidR="00A70FCB" w:rsidRPr="005B2844" w:rsidRDefault="00A70FCB" w:rsidP="002229F2">
      <w:pPr>
        <w:keepNext/>
        <w:tabs>
          <w:tab w:val="left" w:pos="567"/>
        </w:tabs>
        <w:rPr>
          <w:b/>
          <w:szCs w:val="22"/>
        </w:rPr>
      </w:pPr>
      <w:r w:rsidRPr="005B2844">
        <w:rPr>
          <w:b/>
          <w:szCs w:val="22"/>
        </w:rPr>
        <w:br w:type="page"/>
      </w:r>
      <w:r w:rsidRPr="005B2844">
        <w:rPr>
          <w:b/>
          <w:szCs w:val="22"/>
        </w:rPr>
        <w:lastRenderedPageBreak/>
        <w:t>1.</w:t>
      </w:r>
      <w:r w:rsidRPr="005B2844">
        <w:rPr>
          <w:b/>
          <w:szCs w:val="22"/>
        </w:rPr>
        <w:tab/>
        <w:t>DENOMINAZIONE DEL MEDICINALE</w:t>
      </w:r>
    </w:p>
    <w:p w:rsidR="00A70FCB" w:rsidRPr="005B2844" w:rsidRDefault="00A70FCB" w:rsidP="002229F2">
      <w:pPr>
        <w:keepNext/>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40</w:t>
      </w:r>
      <w:r w:rsidR="005C09F6" w:rsidRPr="005B2844">
        <w:rPr>
          <w:szCs w:val="22"/>
        </w:rPr>
        <w:t> mg</w:t>
      </w:r>
      <w:r w:rsidRPr="005B2844">
        <w:rPr>
          <w:szCs w:val="22"/>
        </w:rPr>
        <w:t>/12,5 mg compresse</w:t>
      </w:r>
    </w:p>
    <w:p w:rsidR="00A70FCB" w:rsidRPr="005B2844" w:rsidRDefault="0096747D" w:rsidP="0072602F">
      <w:pPr>
        <w:rPr>
          <w:szCs w:val="22"/>
        </w:rPr>
      </w:pPr>
      <w:proofErr w:type="spellStart"/>
      <w:r w:rsidRPr="005B2844">
        <w:rPr>
          <w:szCs w:val="22"/>
        </w:rPr>
        <w:t>MicardisPlus</w:t>
      </w:r>
      <w:proofErr w:type="spellEnd"/>
      <w:r w:rsidRPr="005B2844">
        <w:rPr>
          <w:szCs w:val="22"/>
        </w:rPr>
        <w:t xml:space="preserve"> 80 mg/12,5 mg compresse</w:t>
      </w:r>
    </w:p>
    <w:p w:rsidR="00327ED5" w:rsidRPr="005B2844" w:rsidRDefault="00327ED5"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2.</w:t>
      </w:r>
      <w:r w:rsidRPr="005B2844">
        <w:rPr>
          <w:b/>
          <w:szCs w:val="22"/>
        </w:rPr>
        <w:tab/>
        <w:t>COMPOSIZIONE QUALITATIVA E QUANTITATIVA</w:t>
      </w:r>
    </w:p>
    <w:p w:rsidR="00A70FCB" w:rsidRPr="005B2844" w:rsidRDefault="00A70FCB" w:rsidP="002229F2">
      <w:pPr>
        <w:keepNext/>
        <w:rPr>
          <w:szCs w:val="22"/>
        </w:rPr>
      </w:pPr>
    </w:p>
    <w:p w:rsidR="0096747D" w:rsidRPr="005B2844" w:rsidRDefault="0096747D" w:rsidP="0096747D">
      <w:pPr>
        <w:rPr>
          <w:szCs w:val="22"/>
          <w:u w:val="single"/>
        </w:rPr>
      </w:pPr>
      <w:proofErr w:type="spellStart"/>
      <w:r w:rsidRPr="005B2844">
        <w:rPr>
          <w:szCs w:val="22"/>
          <w:u w:val="single"/>
        </w:rPr>
        <w:t>MicardisPlus</w:t>
      </w:r>
      <w:proofErr w:type="spellEnd"/>
      <w:r w:rsidRPr="005B2844">
        <w:rPr>
          <w:szCs w:val="22"/>
          <w:u w:val="single"/>
        </w:rPr>
        <w:t xml:space="preserve"> 40 mg/12,5 mg compresse</w:t>
      </w:r>
    </w:p>
    <w:p w:rsidR="0096747D" w:rsidRPr="005B2844" w:rsidRDefault="00A70FCB" w:rsidP="0096747D">
      <w:pPr>
        <w:rPr>
          <w:szCs w:val="22"/>
        </w:rPr>
      </w:pPr>
      <w:r w:rsidRPr="005B2844">
        <w:rPr>
          <w:szCs w:val="22"/>
        </w:rPr>
        <w:t xml:space="preserve">Ogni compressa contiene </w:t>
      </w:r>
      <w:proofErr w:type="spellStart"/>
      <w:r w:rsidRPr="005B2844">
        <w:rPr>
          <w:szCs w:val="22"/>
        </w:rPr>
        <w:t>telmisartan</w:t>
      </w:r>
      <w:proofErr w:type="spellEnd"/>
      <w:r w:rsidRPr="005B2844">
        <w:rPr>
          <w:szCs w:val="22"/>
        </w:rPr>
        <w:t xml:space="preserve"> 40 mg e </w:t>
      </w:r>
      <w:proofErr w:type="spellStart"/>
      <w:r w:rsidRPr="005B2844">
        <w:rPr>
          <w:szCs w:val="22"/>
        </w:rPr>
        <w:t>idroclorotiazide</w:t>
      </w:r>
      <w:proofErr w:type="spellEnd"/>
      <w:r w:rsidRPr="005B2844">
        <w:rPr>
          <w:szCs w:val="22"/>
        </w:rPr>
        <w:t xml:space="preserve"> 12,5 mg.</w:t>
      </w:r>
    </w:p>
    <w:p w:rsidR="0096747D" w:rsidRPr="005B2844" w:rsidRDefault="0096747D" w:rsidP="0096747D">
      <w:pPr>
        <w:rPr>
          <w:szCs w:val="22"/>
        </w:rPr>
      </w:pPr>
    </w:p>
    <w:p w:rsidR="0096747D" w:rsidRPr="005B2844" w:rsidRDefault="0096747D" w:rsidP="0096747D">
      <w:pPr>
        <w:rPr>
          <w:szCs w:val="22"/>
          <w:u w:val="single"/>
        </w:rPr>
      </w:pPr>
      <w:proofErr w:type="spellStart"/>
      <w:r w:rsidRPr="005B2844">
        <w:rPr>
          <w:szCs w:val="22"/>
          <w:u w:val="single"/>
        </w:rPr>
        <w:t>MicardisPlus</w:t>
      </w:r>
      <w:proofErr w:type="spellEnd"/>
      <w:r w:rsidRPr="005B2844">
        <w:rPr>
          <w:szCs w:val="22"/>
          <w:u w:val="single"/>
        </w:rPr>
        <w:t xml:space="preserve"> 80 mg/12,5 mg compresse</w:t>
      </w:r>
    </w:p>
    <w:p w:rsidR="00A70FCB" w:rsidRPr="005B2844" w:rsidRDefault="0096747D" w:rsidP="0072602F">
      <w:pPr>
        <w:pStyle w:val="BodyText3"/>
        <w:jc w:val="left"/>
        <w:rPr>
          <w:szCs w:val="22"/>
          <w:lang w:val="it-IT"/>
        </w:rPr>
      </w:pPr>
      <w:r w:rsidRPr="005B2844">
        <w:rPr>
          <w:szCs w:val="22"/>
          <w:lang w:val="it-IT"/>
        </w:rPr>
        <w:t xml:space="preserve">Ogni compressa contiene </w:t>
      </w:r>
      <w:proofErr w:type="spellStart"/>
      <w:r w:rsidRPr="005B2844">
        <w:rPr>
          <w:szCs w:val="22"/>
          <w:lang w:val="it-IT"/>
        </w:rPr>
        <w:t>telmisartan</w:t>
      </w:r>
      <w:proofErr w:type="spellEnd"/>
      <w:r w:rsidRPr="005B2844">
        <w:rPr>
          <w:szCs w:val="22"/>
          <w:lang w:val="it-IT"/>
        </w:rPr>
        <w:t xml:space="preserve"> 80 mg e </w:t>
      </w:r>
      <w:proofErr w:type="spellStart"/>
      <w:r w:rsidRPr="005B2844">
        <w:rPr>
          <w:szCs w:val="22"/>
          <w:lang w:val="it-IT"/>
        </w:rPr>
        <w:t>idroclorotiazide</w:t>
      </w:r>
      <w:proofErr w:type="spellEnd"/>
      <w:r w:rsidRPr="005B2844">
        <w:rPr>
          <w:szCs w:val="22"/>
          <w:lang w:val="it-IT"/>
        </w:rPr>
        <w:t xml:space="preserve"> 12,5 mg.</w:t>
      </w:r>
    </w:p>
    <w:p w:rsidR="0072602F" w:rsidRPr="005B2844" w:rsidRDefault="0072602F" w:rsidP="0072602F">
      <w:pPr>
        <w:pStyle w:val="BodyText3"/>
        <w:jc w:val="left"/>
        <w:rPr>
          <w:szCs w:val="22"/>
          <w:lang w:val="it-IT"/>
        </w:rPr>
      </w:pPr>
    </w:p>
    <w:p w:rsidR="00CF0FDF" w:rsidRPr="005B2844" w:rsidRDefault="00AE4075" w:rsidP="002229F2">
      <w:pPr>
        <w:pStyle w:val="BodyText20"/>
        <w:keepNext/>
        <w:spacing w:line="240" w:lineRule="auto"/>
        <w:jc w:val="left"/>
        <w:rPr>
          <w:szCs w:val="22"/>
        </w:rPr>
      </w:pPr>
      <w:r w:rsidRPr="005B2844">
        <w:rPr>
          <w:szCs w:val="22"/>
          <w:u w:val="single"/>
        </w:rPr>
        <w:t>Eccipienti</w:t>
      </w:r>
      <w:r w:rsidR="00625FA8" w:rsidRPr="005B2844">
        <w:rPr>
          <w:szCs w:val="22"/>
          <w:u w:val="single"/>
        </w:rPr>
        <w:t xml:space="preserve"> con effetti noti</w:t>
      </w:r>
    </w:p>
    <w:p w:rsidR="00AE4075" w:rsidRPr="005B2844" w:rsidRDefault="00D8066E" w:rsidP="0072602F">
      <w:pPr>
        <w:pStyle w:val="BodyText20"/>
        <w:spacing w:line="240" w:lineRule="auto"/>
        <w:jc w:val="left"/>
        <w:rPr>
          <w:szCs w:val="22"/>
        </w:rPr>
      </w:pPr>
      <w:r w:rsidRPr="005B2844">
        <w:rPr>
          <w:szCs w:val="22"/>
        </w:rPr>
        <w:t>Ogni compressa</w:t>
      </w:r>
      <w:r w:rsidR="0096747D" w:rsidRPr="005B2844">
        <w:rPr>
          <w:szCs w:val="22"/>
        </w:rPr>
        <w:t xml:space="preserve"> da 40 mg/12,5 mg</w:t>
      </w:r>
      <w:r w:rsidRPr="005B2844">
        <w:rPr>
          <w:szCs w:val="22"/>
        </w:rPr>
        <w:t xml:space="preserve"> contiene </w:t>
      </w:r>
      <w:r w:rsidR="00AE4075" w:rsidRPr="005B2844">
        <w:rPr>
          <w:szCs w:val="22"/>
        </w:rPr>
        <w:t>112 mg di lattosio monoidrato e 169 mg di sorbitolo</w:t>
      </w:r>
      <w:r w:rsidR="002146A1" w:rsidRPr="005B2844">
        <w:rPr>
          <w:szCs w:val="22"/>
        </w:rPr>
        <w:t xml:space="preserve"> (E420)</w:t>
      </w:r>
      <w:r w:rsidR="0047398B" w:rsidRPr="005B2844">
        <w:rPr>
          <w:szCs w:val="22"/>
        </w:rPr>
        <w:t>.</w:t>
      </w:r>
    </w:p>
    <w:p w:rsidR="0096747D" w:rsidRPr="005B2844" w:rsidRDefault="0096747D" w:rsidP="0072602F">
      <w:pPr>
        <w:pStyle w:val="BodyText20"/>
        <w:spacing w:line="240" w:lineRule="auto"/>
        <w:jc w:val="left"/>
        <w:rPr>
          <w:szCs w:val="22"/>
        </w:rPr>
      </w:pPr>
      <w:r w:rsidRPr="005B2844">
        <w:rPr>
          <w:szCs w:val="22"/>
        </w:rPr>
        <w:t>Ogni compressa da 80 mg/12,5 mg contiene 112 mg di lattosio monoidrato e 338 mg di sorbitolo (E420).</w:t>
      </w:r>
    </w:p>
    <w:p w:rsidR="0072602F" w:rsidRPr="005B2844" w:rsidRDefault="0072602F" w:rsidP="0072602F">
      <w:pPr>
        <w:pStyle w:val="BodyText20"/>
        <w:spacing w:line="240" w:lineRule="auto"/>
        <w:jc w:val="left"/>
        <w:rPr>
          <w:szCs w:val="22"/>
        </w:rPr>
      </w:pPr>
    </w:p>
    <w:p w:rsidR="00A70FCB" w:rsidRPr="005B2844" w:rsidRDefault="00A70FCB" w:rsidP="0072602F">
      <w:pPr>
        <w:pStyle w:val="BodyText3"/>
        <w:jc w:val="left"/>
        <w:rPr>
          <w:szCs w:val="22"/>
          <w:lang w:val="it-IT"/>
        </w:rPr>
      </w:pPr>
      <w:r w:rsidRPr="005B2844">
        <w:rPr>
          <w:szCs w:val="22"/>
          <w:lang w:val="it-IT"/>
        </w:rPr>
        <w:t xml:space="preserve">Per </w:t>
      </w:r>
      <w:r w:rsidR="005C09F6" w:rsidRPr="005B2844">
        <w:rPr>
          <w:szCs w:val="22"/>
          <w:lang w:val="it-IT"/>
        </w:rPr>
        <w:t>l’elenco completo de</w:t>
      </w:r>
      <w:r w:rsidRPr="005B2844">
        <w:rPr>
          <w:szCs w:val="22"/>
          <w:lang w:val="it-IT"/>
        </w:rPr>
        <w:t xml:space="preserve">gli eccipienti, vedere </w:t>
      </w:r>
      <w:r w:rsidR="005C09F6" w:rsidRPr="005B2844">
        <w:rPr>
          <w:szCs w:val="22"/>
          <w:lang w:val="it-IT"/>
        </w:rPr>
        <w:t xml:space="preserve">paragrafo </w:t>
      </w:r>
      <w:r w:rsidRPr="005B2844">
        <w:rPr>
          <w:szCs w:val="22"/>
          <w:lang w:val="it-IT"/>
        </w:rPr>
        <w:t>6.1.</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3.</w:t>
      </w:r>
      <w:r w:rsidRPr="005B2844">
        <w:rPr>
          <w:b/>
          <w:szCs w:val="22"/>
        </w:rPr>
        <w:tab/>
        <w:t>FORMA FARMACEUTICA</w:t>
      </w:r>
    </w:p>
    <w:p w:rsidR="00A70FCB" w:rsidRPr="005B2844" w:rsidRDefault="00A70FCB" w:rsidP="002229F2">
      <w:pPr>
        <w:keepNext/>
        <w:rPr>
          <w:szCs w:val="22"/>
        </w:rPr>
      </w:pPr>
    </w:p>
    <w:p w:rsidR="00A70FCB" w:rsidRPr="005B2844" w:rsidRDefault="00A70FCB" w:rsidP="0072602F">
      <w:pPr>
        <w:rPr>
          <w:szCs w:val="22"/>
        </w:rPr>
      </w:pPr>
      <w:r w:rsidRPr="005B2844">
        <w:rPr>
          <w:szCs w:val="22"/>
        </w:rPr>
        <w:t>Compressa.</w:t>
      </w:r>
    </w:p>
    <w:p w:rsidR="0096747D" w:rsidRPr="005B2844" w:rsidRDefault="0096747D" w:rsidP="0072602F">
      <w:pPr>
        <w:rPr>
          <w:szCs w:val="22"/>
        </w:rPr>
      </w:pPr>
    </w:p>
    <w:p w:rsidR="0096747D" w:rsidRPr="005B2844" w:rsidRDefault="0096747D" w:rsidP="0096747D">
      <w:pPr>
        <w:rPr>
          <w:szCs w:val="22"/>
          <w:u w:val="single"/>
        </w:rPr>
      </w:pPr>
      <w:proofErr w:type="spellStart"/>
      <w:r w:rsidRPr="005B2844">
        <w:rPr>
          <w:szCs w:val="22"/>
          <w:u w:val="single"/>
        </w:rPr>
        <w:t>MicardisPlus</w:t>
      </w:r>
      <w:proofErr w:type="spellEnd"/>
      <w:r w:rsidRPr="005B2844">
        <w:rPr>
          <w:szCs w:val="22"/>
          <w:u w:val="single"/>
        </w:rPr>
        <w:t xml:space="preserve"> 40 mg/12,5 mg compresse</w:t>
      </w:r>
    </w:p>
    <w:p w:rsidR="00A70FCB" w:rsidRPr="005B2844" w:rsidRDefault="00A70FCB" w:rsidP="0072602F">
      <w:pPr>
        <w:rPr>
          <w:szCs w:val="22"/>
        </w:rPr>
      </w:pPr>
      <w:r w:rsidRPr="005B2844">
        <w:rPr>
          <w:szCs w:val="22"/>
        </w:rPr>
        <w:t xml:space="preserve">Compressa rossa </w:t>
      </w:r>
      <w:r w:rsidR="00E275EE" w:rsidRPr="005B2844">
        <w:rPr>
          <w:szCs w:val="22"/>
        </w:rPr>
        <w:t xml:space="preserve">e bianca </w:t>
      </w:r>
      <w:r w:rsidR="00B0721F" w:rsidRPr="005B2844">
        <w:rPr>
          <w:szCs w:val="22"/>
        </w:rPr>
        <w:t>da 5,2</w:t>
      </w:r>
      <w:r w:rsidR="00763FE8" w:rsidRPr="005B2844">
        <w:rPr>
          <w:szCs w:val="22"/>
        </w:rPr>
        <w:t> </w:t>
      </w:r>
      <w:r w:rsidR="00B0721F" w:rsidRPr="005B2844">
        <w:rPr>
          <w:szCs w:val="22"/>
        </w:rPr>
        <w:t xml:space="preserve">mm </w:t>
      </w:r>
      <w:r w:rsidRPr="005B2844">
        <w:rPr>
          <w:szCs w:val="22"/>
        </w:rPr>
        <w:t xml:space="preserve">di forma </w:t>
      </w:r>
      <w:r w:rsidR="002F79D9">
        <w:rPr>
          <w:szCs w:val="22"/>
        </w:rPr>
        <w:t>oblunga</w:t>
      </w:r>
      <w:r w:rsidRPr="005B2844">
        <w:rPr>
          <w:szCs w:val="22"/>
        </w:rPr>
        <w:t xml:space="preserve"> a due strati, con impresso il logo dell'azienda ed il codice </w:t>
      </w:r>
      <w:r w:rsidR="00DE696D" w:rsidRPr="005B2844">
        <w:rPr>
          <w:szCs w:val="22"/>
        </w:rPr>
        <w:t>‘</w:t>
      </w:r>
      <w:r w:rsidRPr="005B2844">
        <w:rPr>
          <w:szCs w:val="22"/>
        </w:rPr>
        <w:t>H4</w:t>
      </w:r>
      <w:r w:rsidR="00DE696D" w:rsidRPr="005B2844">
        <w:rPr>
          <w:szCs w:val="22"/>
        </w:rPr>
        <w:t>’</w:t>
      </w:r>
      <w:r w:rsidRPr="005B2844">
        <w:rPr>
          <w:szCs w:val="22"/>
        </w:rPr>
        <w:t>.</w:t>
      </w:r>
    </w:p>
    <w:p w:rsidR="00A70FCB" w:rsidRPr="005B2844" w:rsidRDefault="00A70FCB" w:rsidP="0072602F">
      <w:pPr>
        <w:rPr>
          <w:szCs w:val="22"/>
        </w:rPr>
      </w:pPr>
    </w:p>
    <w:p w:rsidR="0096747D" w:rsidRPr="005B2844" w:rsidRDefault="0096747D" w:rsidP="0096747D">
      <w:pPr>
        <w:rPr>
          <w:szCs w:val="22"/>
          <w:u w:val="single"/>
        </w:rPr>
      </w:pPr>
      <w:proofErr w:type="spellStart"/>
      <w:r w:rsidRPr="005B2844">
        <w:rPr>
          <w:szCs w:val="22"/>
          <w:u w:val="single"/>
        </w:rPr>
        <w:t>MicardisPlus</w:t>
      </w:r>
      <w:proofErr w:type="spellEnd"/>
      <w:r w:rsidRPr="005B2844">
        <w:rPr>
          <w:szCs w:val="22"/>
          <w:u w:val="single"/>
        </w:rPr>
        <w:t xml:space="preserve"> 80 mg/12,5 mg compresse</w:t>
      </w:r>
    </w:p>
    <w:p w:rsidR="0096747D" w:rsidRPr="005B2844" w:rsidRDefault="0096747D" w:rsidP="0096747D">
      <w:pPr>
        <w:rPr>
          <w:szCs w:val="22"/>
        </w:rPr>
      </w:pPr>
      <w:r w:rsidRPr="005B2844">
        <w:rPr>
          <w:szCs w:val="22"/>
        </w:rPr>
        <w:t xml:space="preserve">Compressa rossa e bianca da 6,2 mm di forma </w:t>
      </w:r>
      <w:r w:rsidR="002F79D9">
        <w:rPr>
          <w:szCs w:val="22"/>
        </w:rPr>
        <w:t>oblunga</w:t>
      </w:r>
      <w:r w:rsidRPr="005B2844">
        <w:rPr>
          <w:szCs w:val="22"/>
        </w:rPr>
        <w:t xml:space="preserve"> a due strati, con impresso il logo dell'azienda ed il codice ‘H8’.</w:t>
      </w:r>
    </w:p>
    <w:p w:rsidR="00327ED5" w:rsidRPr="005B2844" w:rsidRDefault="00327ED5" w:rsidP="0096747D">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4.</w:t>
      </w:r>
      <w:r w:rsidRPr="005B2844">
        <w:rPr>
          <w:b/>
          <w:szCs w:val="22"/>
        </w:rPr>
        <w:tab/>
        <w:t>INFORMAZIONI CLINICHE</w:t>
      </w:r>
    </w:p>
    <w:p w:rsidR="00A70FCB" w:rsidRPr="005B2844" w:rsidRDefault="00A70FCB" w:rsidP="002229F2">
      <w:pPr>
        <w:keepNext/>
        <w:rPr>
          <w:szCs w:val="22"/>
        </w:rPr>
      </w:pPr>
    </w:p>
    <w:p w:rsidR="00A70FCB" w:rsidRPr="005B2844" w:rsidRDefault="00A70FCB" w:rsidP="002229F2">
      <w:pPr>
        <w:keepNext/>
        <w:tabs>
          <w:tab w:val="left" w:pos="567"/>
        </w:tabs>
        <w:rPr>
          <w:b/>
          <w:szCs w:val="22"/>
        </w:rPr>
      </w:pPr>
      <w:r w:rsidRPr="005B2844">
        <w:rPr>
          <w:b/>
          <w:szCs w:val="22"/>
        </w:rPr>
        <w:t>4.1</w:t>
      </w:r>
      <w:r w:rsidRPr="005B2844">
        <w:rPr>
          <w:b/>
          <w:szCs w:val="22"/>
        </w:rPr>
        <w:tab/>
        <w:t>Indicazioni terapeutiche</w:t>
      </w:r>
    </w:p>
    <w:p w:rsidR="00A70FCB" w:rsidRPr="005B2844" w:rsidRDefault="00A70FCB" w:rsidP="002229F2">
      <w:pPr>
        <w:keepNext/>
        <w:rPr>
          <w:b/>
          <w:szCs w:val="22"/>
        </w:rPr>
      </w:pPr>
    </w:p>
    <w:p w:rsidR="00A70FCB" w:rsidRPr="005B2844" w:rsidRDefault="00A70FCB" w:rsidP="0072602F">
      <w:pPr>
        <w:pStyle w:val="BodyTextIndent2"/>
        <w:tabs>
          <w:tab w:val="clear" w:pos="567"/>
        </w:tabs>
        <w:spacing w:line="240" w:lineRule="auto"/>
        <w:ind w:left="0" w:firstLine="0"/>
        <w:jc w:val="left"/>
        <w:rPr>
          <w:szCs w:val="22"/>
        </w:rPr>
      </w:pPr>
      <w:r w:rsidRPr="005B2844">
        <w:rPr>
          <w:szCs w:val="22"/>
        </w:rPr>
        <w:t>Trattamento dell’ipertensione essenziale.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associazione a dose fissa (40</w:t>
      </w:r>
      <w:r w:rsidR="00D8066E" w:rsidRPr="005B2844">
        <w:rPr>
          <w:szCs w:val="22"/>
        </w:rPr>
        <w:t> </w:t>
      </w:r>
      <w:r w:rsidRPr="005B2844">
        <w:rPr>
          <w:szCs w:val="22"/>
        </w:rPr>
        <w:t xml:space="preserve">mg </w:t>
      </w:r>
      <w:proofErr w:type="spellStart"/>
      <w:r w:rsidRPr="005B2844">
        <w:rPr>
          <w:szCs w:val="22"/>
        </w:rPr>
        <w:t>telmisartan</w:t>
      </w:r>
      <w:proofErr w:type="spellEnd"/>
      <w:r w:rsidRPr="005B2844">
        <w:rPr>
          <w:szCs w:val="22"/>
        </w:rPr>
        <w:t>/12,5</w:t>
      </w:r>
      <w:r w:rsidR="00D8066E" w:rsidRPr="005B2844">
        <w:rPr>
          <w:szCs w:val="22"/>
        </w:rPr>
        <w:t> </w:t>
      </w:r>
      <w:r w:rsidRPr="005B2844">
        <w:rPr>
          <w:szCs w:val="22"/>
        </w:rPr>
        <w:t xml:space="preserve">mg </w:t>
      </w:r>
      <w:proofErr w:type="spellStart"/>
      <w:r w:rsidRPr="005B2844">
        <w:rPr>
          <w:szCs w:val="22"/>
        </w:rPr>
        <w:t>idroclorotiazide</w:t>
      </w:r>
      <w:proofErr w:type="spellEnd"/>
      <w:r w:rsidR="0096747D" w:rsidRPr="005B2844">
        <w:rPr>
          <w:szCs w:val="22"/>
        </w:rPr>
        <w:t xml:space="preserve"> e 80 mg </w:t>
      </w:r>
      <w:proofErr w:type="spellStart"/>
      <w:r w:rsidR="0096747D" w:rsidRPr="005B2844">
        <w:rPr>
          <w:szCs w:val="22"/>
        </w:rPr>
        <w:t>telmisartan</w:t>
      </w:r>
      <w:proofErr w:type="spellEnd"/>
      <w:r w:rsidR="0096747D" w:rsidRPr="005B2844">
        <w:rPr>
          <w:szCs w:val="22"/>
        </w:rPr>
        <w:t xml:space="preserve">/12,5 mg </w:t>
      </w:r>
      <w:proofErr w:type="spellStart"/>
      <w:r w:rsidR="0096747D" w:rsidRPr="005B2844">
        <w:rPr>
          <w:szCs w:val="22"/>
        </w:rPr>
        <w:t>idroclorotiazide</w:t>
      </w:r>
      <w:proofErr w:type="spellEnd"/>
      <w:r w:rsidRPr="005B2844">
        <w:rPr>
          <w:szCs w:val="22"/>
        </w:rPr>
        <w:t xml:space="preserve">) è indicato </w:t>
      </w:r>
      <w:r w:rsidR="00156FAB" w:rsidRPr="005B2844">
        <w:rPr>
          <w:szCs w:val="22"/>
        </w:rPr>
        <w:t>negli adulti</w:t>
      </w:r>
      <w:r w:rsidRPr="005B2844">
        <w:rPr>
          <w:szCs w:val="22"/>
        </w:rPr>
        <w:t xml:space="preserve"> in cui non venga raggiunto un adeguato controllo pressorio con </w:t>
      </w:r>
      <w:proofErr w:type="spellStart"/>
      <w:r w:rsidRPr="005B2844">
        <w:rPr>
          <w:szCs w:val="22"/>
        </w:rPr>
        <w:t>telmisartan</w:t>
      </w:r>
      <w:proofErr w:type="spellEnd"/>
      <w:r w:rsidRPr="005B2844">
        <w:rPr>
          <w:szCs w:val="22"/>
        </w:rPr>
        <w:t xml:space="preserve"> in monoterapia.</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4.2</w:t>
      </w:r>
      <w:r w:rsidRPr="005B2844">
        <w:rPr>
          <w:b/>
          <w:szCs w:val="22"/>
        </w:rPr>
        <w:tab/>
        <w:t>Posologia e modo di somministrazione</w:t>
      </w:r>
    </w:p>
    <w:p w:rsidR="00A70FCB" w:rsidRPr="005B2844" w:rsidRDefault="00A70FCB" w:rsidP="002229F2">
      <w:pPr>
        <w:keepNext/>
        <w:rPr>
          <w:szCs w:val="22"/>
        </w:rPr>
      </w:pPr>
    </w:p>
    <w:p w:rsidR="00A70FCB" w:rsidRPr="005B2844" w:rsidRDefault="00E7134D" w:rsidP="002229F2">
      <w:pPr>
        <w:pStyle w:val="BodyText"/>
        <w:keepNext/>
        <w:pBdr>
          <w:top w:val="none" w:sz="0" w:space="0" w:color="auto"/>
          <w:left w:val="none" w:sz="0" w:space="0" w:color="auto"/>
          <w:bottom w:val="none" w:sz="0" w:space="0" w:color="auto"/>
          <w:right w:val="none" w:sz="0" w:space="0" w:color="auto"/>
        </w:pBdr>
        <w:rPr>
          <w:szCs w:val="22"/>
          <w:u w:val="single"/>
          <w:lang w:val="it-IT"/>
        </w:rPr>
      </w:pPr>
      <w:r w:rsidRPr="005B2844">
        <w:rPr>
          <w:szCs w:val="22"/>
          <w:u w:val="single"/>
          <w:lang w:val="it-IT"/>
        </w:rPr>
        <w:t>Posologia</w:t>
      </w:r>
    </w:p>
    <w:p w:rsidR="00E7134D" w:rsidRPr="005B2844" w:rsidRDefault="00E7134D" w:rsidP="002229F2">
      <w:pPr>
        <w:pStyle w:val="BodyText"/>
        <w:keepNext/>
        <w:pBdr>
          <w:top w:val="none" w:sz="0" w:space="0" w:color="auto"/>
          <w:left w:val="none" w:sz="0" w:space="0" w:color="auto"/>
          <w:bottom w:val="none" w:sz="0" w:space="0" w:color="auto"/>
          <w:right w:val="none" w:sz="0" w:space="0" w:color="auto"/>
        </w:pBdr>
        <w:rPr>
          <w:szCs w:val="22"/>
          <w:u w:val="single"/>
          <w:lang w:val="it-IT"/>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dovrebbe essere assunto da quei pazienti in cui non venga raggiunto un adeguato controllo pressorio con </w:t>
      </w:r>
      <w:proofErr w:type="spellStart"/>
      <w:r w:rsidRPr="005B2844">
        <w:rPr>
          <w:szCs w:val="22"/>
        </w:rPr>
        <w:t>telmisartan</w:t>
      </w:r>
      <w:proofErr w:type="spellEnd"/>
      <w:r w:rsidRPr="005B2844">
        <w:rPr>
          <w:szCs w:val="22"/>
        </w:rPr>
        <w:t xml:space="preserve"> in monoterapia. Si raccomanda di cercare di individuare una dose efficace di ciascuno dei singoli componenti prima di passare alla associazione a dose fissa. Quando clinicamente appropriato, può essere preso in considerazione il passaggio diretto dalla monoterapia alla associazione fissa</w:t>
      </w:r>
      <w:r w:rsidR="00BE2E0C" w:rsidRPr="005B2844">
        <w:rPr>
          <w:szCs w:val="22"/>
        </w:rPr>
        <w:t>.</w:t>
      </w:r>
    </w:p>
    <w:p w:rsidR="00A70FCB" w:rsidRPr="005B2844" w:rsidRDefault="00A70FCB" w:rsidP="0072602F">
      <w:pPr>
        <w:rPr>
          <w:szCs w:val="22"/>
        </w:rPr>
      </w:pPr>
    </w:p>
    <w:p w:rsidR="00A70FCB" w:rsidRPr="005B2844" w:rsidRDefault="00A70FCB" w:rsidP="009536AB">
      <w:pPr>
        <w:pStyle w:val="BodyText2"/>
        <w:numPr>
          <w:ilvl w:val="0"/>
          <w:numId w:val="5"/>
        </w:numPr>
        <w:tabs>
          <w:tab w:val="clear" w:pos="360"/>
          <w:tab w:val="num" w:pos="567"/>
        </w:tabs>
        <w:ind w:left="567" w:hanging="567"/>
        <w:rPr>
          <w:szCs w:val="22"/>
        </w:rPr>
      </w:pPr>
      <w:proofErr w:type="spellStart"/>
      <w:r w:rsidRPr="005B2844">
        <w:rPr>
          <w:szCs w:val="22"/>
        </w:rPr>
        <w:lastRenderedPageBreak/>
        <w:t>MicardisPlus</w:t>
      </w:r>
      <w:proofErr w:type="spellEnd"/>
      <w:r w:rsidRPr="005B2844">
        <w:rPr>
          <w:szCs w:val="22"/>
        </w:rPr>
        <w:t> 40</w:t>
      </w:r>
      <w:r w:rsidR="005C09F6" w:rsidRPr="005B2844">
        <w:rPr>
          <w:szCs w:val="22"/>
        </w:rPr>
        <w:t> mg</w:t>
      </w:r>
      <w:r w:rsidRPr="005B2844">
        <w:rPr>
          <w:szCs w:val="22"/>
        </w:rPr>
        <w:t xml:space="preserve">/12,5 mg può essere somministrato </w:t>
      </w:r>
      <w:r w:rsidR="001F4092" w:rsidRPr="005B2844">
        <w:rPr>
          <w:szCs w:val="22"/>
        </w:rPr>
        <w:t xml:space="preserve">una volta al giorno </w:t>
      </w:r>
      <w:r w:rsidRPr="005B2844">
        <w:rPr>
          <w:szCs w:val="22"/>
        </w:rPr>
        <w:t xml:space="preserve">ai pazienti in cui non venga raggiunto un adeguato controllo pressorio con </w:t>
      </w:r>
      <w:proofErr w:type="spellStart"/>
      <w:r w:rsidRPr="005B2844">
        <w:rPr>
          <w:szCs w:val="22"/>
        </w:rPr>
        <w:t>Micardis</w:t>
      </w:r>
      <w:proofErr w:type="spellEnd"/>
      <w:r w:rsidRPr="005B2844">
        <w:rPr>
          <w:szCs w:val="22"/>
        </w:rPr>
        <w:t xml:space="preserve"> 40 mg </w:t>
      </w:r>
    </w:p>
    <w:p w:rsidR="00A70FCB" w:rsidRPr="005B2844" w:rsidRDefault="00A70FCB" w:rsidP="009536AB">
      <w:pPr>
        <w:pStyle w:val="BodyText2"/>
        <w:numPr>
          <w:ilvl w:val="0"/>
          <w:numId w:val="5"/>
        </w:numPr>
        <w:tabs>
          <w:tab w:val="clear" w:pos="360"/>
          <w:tab w:val="num" w:pos="567"/>
        </w:tabs>
        <w:ind w:left="567" w:hanging="567"/>
        <w:rPr>
          <w:szCs w:val="22"/>
        </w:rPr>
      </w:pPr>
      <w:proofErr w:type="spellStart"/>
      <w:r w:rsidRPr="005B2844">
        <w:rPr>
          <w:szCs w:val="22"/>
        </w:rPr>
        <w:t>MicardisPlus</w:t>
      </w:r>
      <w:proofErr w:type="spellEnd"/>
      <w:r w:rsidRPr="005B2844">
        <w:rPr>
          <w:szCs w:val="22"/>
        </w:rPr>
        <w:t> 80</w:t>
      </w:r>
      <w:r w:rsidR="005C09F6" w:rsidRPr="005B2844">
        <w:rPr>
          <w:szCs w:val="22"/>
        </w:rPr>
        <w:t> mg</w:t>
      </w:r>
      <w:r w:rsidRPr="005B2844">
        <w:rPr>
          <w:szCs w:val="22"/>
        </w:rPr>
        <w:t xml:space="preserve">/12,5 mg può essere somministrato </w:t>
      </w:r>
      <w:r w:rsidR="001F4092" w:rsidRPr="005B2844">
        <w:rPr>
          <w:szCs w:val="22"/>
        </w:rPr>
        <w:t xml:space="preserve">una volta al giorno </w:t>
      </w:r>
      <w:r w:rsidRPr="005B2844">
        <w:rPr>
          <w:szCs w:val="22"/>
        </w:rPr>
        <w:t xml:space="preserve">ai pazienti in cui non venga raggiunto un adeguato controllo pressorio con </w:t>
      </w:r>
      <w:proofErr w:type="spellStart"/>
      <w:r w:rsidRPr="005B2844">
        <w:rPr>
          <w:szCs w:val="22"/>
        </w:rPr>
        <w:t>Micardis</w:t>
      </w:r>
      <w:proofErr w:type="spellEnd"/>
      <w:r w:rsidRPr="005B2844">
        <w:rPr>
          <w:szCs w:val="22"/>
        </w:rPr>
        <w:t xml:space="preserve"> 80 mg </w:t>
      </w:r>
    </w:p>
    <w:p w:rsidR="00A70FCB" w:rsidRPr="005B2844" w:rsidRDefault="00A70FCB" w:rsidP="0072602F">
      <w:pPr>
        <w:pStyle w:val="BodyText30"/>
        <w:widowControl/>
        <w:rPr>
          <w:szCs w:val="22"/>
          <w:lang w:val="it-IT"/>
        </w:rPr>
      </w:pPr>
    </w:p>
    <w:p w:rsidR="000178ED" w:rsidRPr="005B2844" w:rsidRDefault="0096747D" w:rsidP="002229F2">
      <w:pPr>
        <w:keepNext/>
        <w:rPr>
          <w:szCs w:val="22"/>
        </w:rPr>
      </w:pPr>
      <w:r w:rsidRPr="005B2844">
        <w:rPr>
          <w:szCs w:val="22"/>
        </w:rPr>
        <w:t>I</w:t>
      </w:r>
      <w:r w:rsidR="00A70FCB" w:rsidRPr="005B2844">
        <w:rPr>
          <w:szCs w:val="22"/>
        </w:rPr>
        <w:t>nsufficienza renale</w:t>
      </w:r>
    </w:p>
    <w:p w:rsidR="000178ED" w:rsidRPr="005B2844" w:rsidRDefault="000178ED" w:rsidP="002229F2">
      <w:pPr>
        <w:keepNext/>
        <w:rPr>
          <w:szCs w:val="22"/>
        </w:rPr>
      </w:pPr>
    </w:p>
    <w:p w:rsidR="00A70FCB" w:rsidRPr="005B2844" w:rsidRDefault="00A70FCB" w:rsidP="0072602F">
      <w:pPr>
        <w:rPr>
          <w:szCs w:val="22"/>
        </w:rPr>
      </w:pPr>
      <w:r w:rsidRPr="005B2844">
        <w:rPr>
          <w:szCs w:val="22"/>
        </w:rPr>
        <w:t xml:space="preserve">Si consiglia un controllo periodico della funzionalità renale (vedere </w:t>
      </w:r>
      <w:r w:rsidR="005C09F6" w:rsidRPr="005B2844">
        <w:rPr>
          <w:szCs w:val="22"/>
        </w:rPr>
        <w:t xml:space="preserve">paragrafo </w:t>
      </w:r>
      <w:r w:rsidRPr="005B2844">
        <w:rPr>
          <w:szCs w:val="22"/>
        </w:rPr>
        <w:t>4.4).</w:t>
      </w:r>
    </w:p>
    <w:p w:rsidR="00A70FCB" w:rsidRPr="005B2844" w:rsidRDefault="00A70FCB" w:rsidP="0072602F">
      <w:pPr>
        <w:rPr>
          <w:szCs w:val="22"/>
        </w:rPr>
      </w:pPr>
    </w:p>
    <w:p w:rsidR="000178ED" w:rsidRPr="005B2844" w:rsidRDefault="0096747D" w:rsidP="002229F2">
      <w:pPr>
        <w:pStyle w:val="BodyText20"/>
        <w:keepNext/>
        <w:spacing w:line="240" w:lineRule="auto"/>
        <w:jc w:val="left"/>
        <w:rPr>
          <w:szCs w:val="22"/>
        </w:rPr>
      </w:pPr>
      <w:r w:rsidRPr="005B2844">
        <w:rPr>
          <w:szCs w:val="22"/>
        </w:rPr>
        <w:t>I</w:t>
      </w:r>
      <w:r w:rsidR="00A70FCB" w:rsidRPr="005B2844">
        <w:rPr>
          <w:szCs w:val="22"/>
        </w:rPr>
        <w:t>nsufficienza epatica</w:t>
      </w:r>
    </w:p>
    <w:p w:rsidR="000178ED" w:rsidRPr="005B2844" w:rsidRDefault="000178ED" w:rsidP="002229F2">
      <w:pPr>
        <w:pStyle w:val="BodyText20"/>
        <w:keepNext/>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 xml:space="preserve">Nei pazienti con insufficienza epatica lieve o moderata la </w:t>
      </w:r>
      <w:r w:rsidR="00AA1D30" w:rsidRPr="005B2844">
        <w:rPr>
          <w:szCs w:val="22"/>
        </w:rPr>
        <w:t xml:space="preserve">dose </w:t>
      </w:r>
      <w:r w:rsidRPr="005B2844">
        <w:rPr>
          <w:szCs w:val="22"/>
        </w:rPr>
        <w:t xml:space="preserve">non deve essere maggiore di </w:t>
      </w:r>
      <w:proofErr w:type="spellStart"/>
      <w:r w:rsidRPr="005B2844">
        <w:rPr>
          <w:szCs w:val="22"/>
        </w:rPr>
        <w:t>MicardisPlus</w:t>
      </w:r>
      <w:proofErr w:type="spellEnd"/>
      <w:r w:rsidRPr="005B2844">
        <w:rPr>
          <w:szCs w:val="22"/>
        </w:rPr>
        <w:t> 40</w:t>
      </w:r>
      <w:r w:rsidR="005C09F6" w:rsidRPr="005B2844">
        <w:rPr>
          <w:szCs w:val="22"/>
        </w:rPr>
        <w:t> mg</w:t>
      </w:r>
      <w:r w:rsidRPr="005B2844">
        <w:rPr>
          <w:szCs w:val="22"/>
        </w:rPr>
        <w:t xml:space="preserve">/12,5 mg una volta al giorno. </w:t>
      </w:r>
      <w:proofErr w:type="spellStart"/>
      <w:r w:rsidRPr="005B2844">
        <w:rPr>
          <w:szCs w:val="22"/>
        </w:rPr>
        <w:t>MicardisPlus</w:t>
      </w:r>
      <w:proofErr w:type="spellEnd"/>
      <w:r w:rsidRPr="005B2844">
        <w:rPr>
          <w:szCs w:val="22"/>
        </w:rPr>
        <w:t xml:space="preserve"> non è indicato in pazienti con grave insufficienza epatica. I diuretici tiazidici devono essere utilizzati con cautela in pazienti con funzionalità epatica compromessa (vedere </w:t>
      </w:r>
      <w:r w:rsidR="005C09F6" w:rsidRPr="005B2844">
        <w:rPr>
          <w:szCs w:val="22"/>
        </w:rPr>
        <w:t>paragrafo</w:t>
      </w:r>
      <w:r w:rsidR="00AF490E" w:rsidRPr="005B2844">
        <w:rPr>
          <w:szCs w:val="22"/>
        </w:rPr>
        <w:t xml:space="preserve"> 4.4</w:t>
      </w:r>
      <w:r w:rsidRPr="005B2844">
        <w:rPr>
          <w:szCs w:val="22"/>
        </w:rPr>
        <w:t>).</w:t>
      </w:r>
    </w:p>
    <w:p w:rsidR="00A70FCB" w:rsidRPr="005B2844" w:rsidRDefault="00A70FCB" w:rsidP="0072602F">
      <w:pPr>
        <w:rPr>
          <w:szCs w:val="22"/>
        </w:rPr>
      </w:pPr>
    </w:p>
    <w:p w:rsidR="00B43E6F" w:rsidRPr="005B2844" w:rsidRDefault="0096747D" w:rsidP="002229F2">
      <w:pPr>
        <w:pStyle w:val="BodyText20"/>
        <w:keepNext/>
        <w:spacing w:line="240" w:lineRule="auto"/>
        <w:jc w:val="left"/>
        <w:rPr>
          <w:szCs w:val="22"/>
        </w:rPr>
      </w:pPr>
      <w:r w:rsidRPr="005B2844">
        <w:rPr>
          <w:szCs w:val="22"/>
        </w:rPr>
        <w:t>A</w:t>
      </w:r>
      <w:r w:rsidR="00A70FCB" w:rsidRPr="005B2844">
        <w:rPr>
          <w:szCs w:val="22"/>
        </w:rPr>
        <w:t>nziani</w:t>
      </w:r>
    </w:p>
    <w:p w:rsidR="00B43E6F" w:rsidRPr="005B2844" w:rsidRDefault="00B43E6F" w:rsidP="002229F2">
      <w:pPr>
        <w:pStyle w:val="BodyText20"/>
        <w:keepNext/>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Non è necessario modificare la dose.</w:t>
      </w:r>
    </w:p>
    <w:p w:rsidR="00A70FCB" w:rsidRPr="005B2844" w:rsidRDefault="00A70FCB" w:rsidP="0072602F">
      <w:pPr>
        <w:pStyle w:val="Footer"/>
        <w:tabs>
          <w:tab w:val="clear" w:pos="4819"/>
          <w:tab w:val="clear" w:pos="9071"/>
        </w:tabs>
        <w:rPr>
          <w:szCs w:val="22"/>
        </w:rPr>
      </w:pPr>
    </w:p>
    <w:p w:rsidR="00CF0FDF" w:rsidRPr="005B2844" w:rsidRDefault="00CF0FDF" w:rsidP="002229F2">
      <w:pPr>
        <w:pStyle w:val="Footer"/>
        <w:keepNext/>
        <w:tabs>
          <w:tab w:val="clear" w:pos="4819"/>
          <w:tab w:val="clear" w:pos="9071"/>
        </w:tabs>
        <w:rPr>
          <w:i/>
          <w:szCs w:val="22"/>
        </w:rPr>
      </w:pPr>
      <w:r w:rsidRPr="005B2844">
        <w:rPr>
          <w:i/>
          <w:szCs w:val="22"/>
        </w:rPr>
        <w:t>Popolazione pediatrica</w:t>
      </w:r>
    </w:p>
    <w:p w:rsidR="00CF0FDF" w:rsidRPr="005B2844" w:rsidRDefault="00CF0FDF" w:rsidP="002229F2">
      <w:pPr>
        <w:pStyle w:val="Footer"/>
        <w:keepNext/>
        <w:tabs>
          <w:tab w:val="clear" w:pos="4819"/>
          <w:tab w:val="clear" w:pos="9071"/>
        </w:tabs>
        <w:rPr>
          <w:szCs w:val="22"/>
        </w:rPr>
      </w:pPr>
    </w:p>
    <w:p w:rsidR="00CF0FDF" w:rsidRPr="005B2844" w:rsidRDefault="00CF0FDF" w:rsidP="0072602F">
      <w:pPr>
        <w:pStyle w:val="Footer"/>
        <w:tabs>
          <w:tab w:val="clear" w:pos="4819"/>
          <w:tab w:val="clear" w:pos="9071"/>
        </w:tabs>
        <w:rPr>
          <w:szCs w:val="22"/>
        </w:rPr>
      </w:pPr>
      <w:r w:rsidRPr="005B2844">
        <w:rPr>
          <w:szCs w:val="22"/>
        </w:rPr>
        <w:t xml:space="preserve">La sicurezza e l’efficacia di </w:t>
      </w:r>
      <w:proofErr w:type="spellStart"/>
      <w:r w:rsidRPr="005B2844">
        <w:rPr>
          <w:szCs w:val="22"/>
        </w:rPr>
        <w:t>MicardisPlus</w:t>
      </w:r>
      <w:proofErr w:type="spellEnd"/>
      <w:r w:rsidRPr="005B2844">
        <w:rPr>
          <w:szCs w:val="22"/>
        </w:rPr>
        <w:t xml:space="preserve"> nei bambini e negli adolescenti al di sotto di 18 anni non sono state </w:t>
      </w:r>
      <w:r w:rsidR="00EC3F83" w:rsidRPr="005B2844">
        <w:rPr>
          <w:szCs w:val="22"/>
        </w:rPr>
        <w:t>stabilite</w:t>
      </w:r>
      <w:r w:rsidRPr="005B2844">
        <w:rPr>
          <w:szCs w:val="22"/>
        </w:rPr>
        <w:t xml:space="preserve">. Non </w:t>
      </w:r>
      <w:r w:rsidR="00EC3F83" w:rsidRPr="005B2844">
        <w:rPr>
          <w:szCs w:val="22"/>
        </w:rPr>
        <w:t>ci</w:t>
      </w:r>
      <w:r w:rsidRPr="005B2844">
        <w:rPr>
          <w:szCs w:val="22"/>
        </w:rPr>
        <w:t xml:space="preserve"> sono dati disponibili.</w:t>
      </w:r>
    </w:p>
    <w:p w:rsidR="00A70FCB" w:rsidRPr="005B2844" w:rsidRDefault="00A70FCB" w:rsidP="0072602F">
      <w:pPr>
        <w:pStyle w:val="BodyText20"/>
        <w:spacing w:line="240" w:lineRule="auto"/>
        <w:jc w:val="left"/>
        <w:rPr>
          <w:noProof/>
          <w:szCs w:val="22"/>
        </w:rPr>
      </w:pPr>
    </w:p>
    <w:p w:rsidR="00CF0FDF" w:rsidRPr="005B2844" w:rsidRDefault="00CF0FDF" w:rsidP="002229F2">
      <w:pPr>
        <w:keepNext/>
        <w:suppressAutoHyphens/>
        <w:rPr>
          <w:szCs w:val="22"/>
          <w:u w:val="single"/>
        </w:rPr>
      </w:pPr>
      <w:r w:rsidRPr="005B2844">
        <w:rPr>
          <w:szCs w:val="22"/>
          <w:u w:val="single"/>
        </w:rPr>
        <w:t>Modo di somministrazione</w:t>
      </w:r>
    </w:p>
    <w:p w:rsidR="00226B30" w:rsidRPr="005B2844" w:rsidRDefault="00226B30" w:rsidP="002229F2">
      <w:pPr>
        <w:keepNext/>
        <w:suppressAutoHyphens/>
        <w:rPr>
          <w:szCs w:val="22"/>
        </w:rPr>
      </w:pPr>
    </w:p>
    <w:p w:rsidR="00CF0FDF" w:rsidRPr="005B2844" w:rsidRDefault="00CF0FDF" w:rsidP="00CF0FDF">
      <w:pPr>
        <w:suppressAutoHyphens/>
        <w:rPr>
          <w:szCs w:val="22"/>
        </w:rPr>
      </w:pPr>
      <w:r w:rsidRPr="005B2844">
        <w:rPr>
          <w:szCs w:val="22"/>
        </w:rPr>
        <w:t xml:space="preserve">Le compresse di </w:t>
      </w:r>
      <w:proofErr w:type="spellStart"/>
      <w:r w:rsidR="00F3756E" w:rsidRPr="005B2844">
        <w:rPr>
          <w:szCs w:val="22"/>
        </w:rPr>
        <w:t>MicardisPlus</w:t>
      </w:r>
      <w:proofErr w:type="spellEnd"/>
      <w:r w:rsidRPr="005B2844">
        <w:rPr>
          <w:szCs w:val="22"/>
        </w:rPr>
        <w:t xml:space="preserve"> sono per somministrazione orale, singola giornaliera e devono essere assunte con del liquido, con o senza cibo.</w:t>
      </w:r>
    </w:p>
    <w:p w:rsidR="00CF0FDF" w:rsidRPr="005B2844" w:rsidRDefault="00CF0FDF" w:rsidP="00CF0FDF">
      <w:pPr>
        <w:suppressAutoHyphens/>
        <w:rPr>
          <w:szCs w:val="22"/>
        </w:rPr>
      </w:pPr>
    </w:p>
    <w:p w:rsidR="00CF0FDF" w:rsidRPr="005B2844" w:rsidRDefault="00CF0FDF" w:rsidP="002229F2">
      <w:pPr>
        <w:keepNext/>
        <w:suppressAutoHyphens/>
        <w:rPr>
          <w:i/>
          <w:szCs w:val="22"/>
        </w:rPr>
      </w:pPr>
      <w:r w:rsidRPr="005B2844">
        <w:rPr>
          <w:i/>
          <w:szCs w:val="22"/>
        </w:rPr>
        <w:t>Precauzioni che devono essere prese prima della manipolazione o della somministrazione del medicinale</w:t>
      </w:r>
    </w:p>
    <w:p w:rsidR="00BC4D08" w:rsidRPr="005B2844" w:rsidRDefault="00BC4D08" w:rsidP="002229F2">
      <w:pPr>
        <w:pStyle w:val="BodyText20"/>
        <w:keepNext/>
        <w:spacing w:line="240" w:lineRule="auto"/>
        <w:jc w:val="left"/>
        <w:rPr>
          <w:szCs w:val="22"/>
        </w:rPr>
      </w:pPr>
    </w:p>
    <w:p w:rsidR="00CF0FDF" w:rsidRPr="005B2844" w:rsidRDefault="00F3756E" w:rsidP="00CF0FDF">
      <w:pPr>
        <w:pStyle w:val="BodyText20"/>
        <w:spacing w:line="240" w:lineRule="auto"/>
        <w:jc w:val="left"/>
        <w:rPr>
          <w:noProof/>
          <w:szCs w:val="22"/>
        </w:rPr>
      </w:pPr>
      <w:r w:rsidRPr="005B2844">
        <w:rPr>
          <w:szCs w:val="22"/>
        </w:rPr>
        <w:t xml:space="preserve">Le compresse di </w:t>
      </w:r>
      <w:proofErr w:type="spellStart"/>
      <w:r w:rsidRPr="005B2844">
        <w:rPr>
          <w:szCs w:val="22"/>
        </w:rPr>
        <w:t>MicardisPlus</w:t>
      </w:r>
      <w:proofErr w:type="spellEnd"/>
      <w:r w:rsidRPr="005B2844">
        <w:rPr>
          <w:szCs w:val="22"/>
        </w:rPr>
        <w:t xml:space="preserve"> devono</w:t>
      </w:r>
      <w:r w:rsidR="00CF0FDF" w:rsidRPr="005B2844">
        <w:rPr>
          <w:szCs w:val="22"/>
        </w:rPr>
        <w:t xml:space="preserve"> essere conservat</w:t>
      </w:r>
      <w:r w:rsidRPr="005B2844">
        <w:rPr>
          <w:szCs w:val="22"/>
        </w:rPr>
        <w:t>e</w:t>
      </w:r>
      <w:r w:rsidR="00CF0FDF" w:rsidRPr="005B2844">
        <w:rPr>
          <w:szCs w:val="22"/>
        </w:rPr>
        <w:t xml:space="preserve"> nel blister sigillato a causa delle loro caratteristiche igroscopiche. Devono essere estratte dal blister poco prima della somministrazione</w:t>
      </w:r>
      <w:r w:rsidR="00BC4D08" w:rsidRPr="005B2844">
        <w:rPr>
          <w:szCs w:val="22"/>
        </w:rPr>
        <w:t xml:space="preserve"> (vedere paragrafo 6.6)</w:t>
      </w:r>
      <w:r w:rsidR="00CF0FDF" w:rsidRPr="005B2844">
        <w:rPr>
          <w:szCs w:val="22"/>
        </w:rPr>
        <w:t>.</w:t>
      </w:r>
    </w:p>
    <w:p w:rsidR="006374C3" w:rsidRPr="005B2844" w:rsidRDefault="006374C3" w:rsidP="0072602F">
      <w:pPr>
        <w:rPr>
          <w:szCs w:val="22"/>
        </w:rPr>
      </w:pPr>
    </w:p>
    <w:p w:rsidR="00A70FCB" w:rsidRPr="005B2844" w:rsidRDefault="00A70FCB" w:rsidP="002229F2">
      <w:pPr>
        <w:keepNext/>
        <w:rPr>
          <w:b/>
          <w:szCs w:val="22"/>
        </w:rPr>
      </w:pPr>
      <w:r w:rsidRPr="005B2844">
        <w:rPr>
          <w:b/>
          <w:szCs w:val="22"/>
        </w:rPr>
        <w:t>4.3</w:t>
      </w:r>
      <w:r w:rsidRPr="005B2844">
        <w:rPr>
          <w:b/>
          <w:szCs w:val="22"/>
        </w:rPr>
        <w:tab/>
        <w:t>Controindicazioni</w:t>
      </w:r>
    </w:p>
    <w:p w:rsidR="00A70FCB" w:rsidRPr="005B2844" w:rsidRDefault="00A70FCB" w:rsidP="002229F2">
      <w:pPr>
        <w:keepNext/>
        <w:rPr>
          <w:szCs w:val="22"/>
        </w:rPr>
      </w:pPr>
    </w:p>
    <w:p w:rsidR="00A70FCB" w:rsidRPr="005B2844" w:rsidRDefault="00A70FCB" w:rsidP="009536AB">
      <w:pPr>
        <w:pStyle w:val="BodyText2"/>
        <w:numPr>
          <w:ilvl w:val="0"/>
          <w:numId w:val="8"/>
        </w:numPr>
        <w:tabs>
          <w:tab w:val="clear" w:pos="360"/>
          <w:tab w:val="clear" w:pos="567"/>
        </w:tabs>
        <w:ind w:left="567" w:hanging="567"/>
        <w:rPr>
          <w:szCs w:val="22"/>
        </w:rPr>
      </w:pPr>
      <w:r w:rsidRPr="005B2844">
        <w:rPr>
          <w:szCs w:val="22"/>
        </w:rPr>
        <w:t xml:space="preserve">Ipersensibilità ai principi attivi o ad uno qualsiasi degli eccipienti </w:t>
      </w:r>
      <w:r w:rsidR="00BC4D08" w:rsidRPr="005B2844">
        <w:rPr>
          <w:szCs w:val="22"/>
        </w:rPr>
        <w:t>elencati al</w:t>
      </w:r>
      <w:r w:rsidRPr="005B2844">
        <w:rPr>
          <w:szCs w:val="22"/>
        </w:rPr>
        <w:t xml:space="preserve"> </w:t>
      </w:r>
      <w:r w:rsidR="00876AB8" w:rsidRPr="005B2844">
        <w:rPr>
          <w:szCs w:val="22"/>
        </w:rPr>
        <w:t xml:space="preserve">paragrafo </w:t>
      </w:r>
      <w:r w:rsidRPr="005B2844">
        <w:rPr>
          <w:szCs w:val="22"/>
        </w:rPr>
        <w:t>6.1</w:t>
      </w:r>
      <w:r w:rsidR="006374C3" w:rsidRPr="005B2844">
        <w:rPr>
          <w:szCs w:val="22"/>
        </w:rPr>
        <w:t>.</w:t>
      </w:r>
    </w:p>
    <w:p w:rsidR="00A70FCB" w:rsidRPr="005B2844" w:rsidRDefault="00A70FCB" w:rsidP="009536AB">
      <w:pPr>
        <w:pStyle w:val="BodyText2"/>
        <w:numPr>
          <w:ilvl w:val="0"/>
          <w:numId w:val="8"/>
        </w:numPr>
        <w:tabs>
          <w:tab w:val="clear" w:pos="360"/>
          <w:tab w:val="clear" w:pos="567"/>
        </w:tabs>
        <w:ind w:left="567" w:hanging="567"/>
        <w:rPr>
          <w:szCs w:val="22"/>
        </w:rPr>
      </w:pPr>
      <w:r w:rsidRPr="005B2844">
        <w:rPr>
          <w:szCs w:val="22"/>
        </w:rPr>
        <w:t>Ipersensibilità ad altre sostanze sulfonamide derivate (l'</w:t>
      </w:r>
      <w:proofErr w:type="spellStart"/>
      <w:r w:rsidRPr="005B2844">
        <w:rPr>
          <w:szCs w:val="22"/>
        </w:rPr>
        <w:t>idroclorotiazide</w:t>
      </w:r>
      <w:proofErr w:type="spellEnd"/>
      <w:r w:rsidRPr="005B2844">
        <w:rPr>
          <w:szCs w:val="22"/>
        </w:rPr>
        <w:t xml:space="preserve"> è una sostanza sulfonamide derivata)</w:t>
      </w:r>
      <w:r w:rsidR="006374C3" w:rsidRPr="005B2844">
        <w:rPr>
          <w:szCs w:val="22"/>
        </w:rPr>
        <w:t>.</w:t>
      </w:r>
    </w:p>
    <w:p w:rsidR="00A70FCB" w:rsidRPr="005B2844" w:rsidRDefault="00A70FCB" w:rsidP="009536AB">
      <w:pPr>
        <w:numPr>
          <w:ilvl w:val="0"/>
          <w:numId w:val="2"/>
        </w:numPr>
        <w:tabs>
          <w:tab w:val="clear" w:pos="1588"/>
        </w:tabs>
        <w:ind w:left="567" w:hanging="567"/>
        <w:rPr>
          <w:szCs w:val="22"/>
        </w:rPr>
      </w:pPr>
      <w:r w:rsidRPr="005B2844">
        <w:rPr>
          <w:szCs w:val="22"/>
        </w:rPr>
        <w:t xml:space="preserve">Secondo e terzo trimestre di gravidanza (vedere </w:t>
      </w:r>
      <w:r w:rsidR="00C501CC" w:rsidRPr="005B2844">
        <w:rPr>
          <w:szCs w:val="22"/>
        </w:rPr>
        <w:t>paragraf</w:t>
      </w:r>
      <w:r w:rsidR="00B36048" w:rsidRPr="005B2844">
        <w:rPr>
          <w:szCs w:val="22"/>
        </w:rPr>
        <w:t>i 4.4 e</w:t>
      </w:r>
      <w:r w:rsidR="00C501CC" w:rsidRPr="005B2844">
        <w:rPr>
          <w:szCs w:val="22"/>
        </w:rPr>
        <w:t xml:space="preserve"> </w:t>
      </w:r>
      <w:r w:rsidRPr="005B2844">
        <w:rPr>
          <w:szCs w:val="22"/>
        </w:rPr>
        <w:t>4.6)</w:t>
      </w:r>
      <w:r w:rsidR="006374C3" w:rsidRPr="005B2844">
        <w:rPr>
          <w:szCs w:val="22"/>
        </w:rPr>
        <w:t>.</w:t>
      </w:r>
    </w:p>
    <w:p w:rsidR="00A70FCB" w:rsidRPr="005B2844" w:rsidRDefault="00A70FCB" w:rsidP="009536AB">
      <w:pPr>
        <w:pStyle w:val="BodyText2"/>
        <w:numPr>
          <w:ilvl w:val="0"/>
          <w:numId w:val="2"/>
        </w:numPr>
        <w:tabs>
          <w:tab w:val="clear" w:pos="567"/>
          <w:tab w:val="clear" w:pos="1588"/>
        </w:tabs>
        <w:ind w:left="567" w:hanging="567"/>
        <w:rPr>
          <w:szCs w:val="22"/>
        </w:rPr>
      </w:pPr>
      <w:r w:rsidRPr="005B2844">
        <w:rPr>
          <w:szCs w:val="22"/>
        </w:rPr>
        <w:t>Colestasi e ostruzioni delle vie biliari</w:t>
      </w:r>
      <w:r w:rsidR="006374C3" w:rsidRPr="005B2844">
        <w:rPr>
          <w:szCs w:val="22"/>
        </w:rPr>
        <w:t>.</w:t>
      </w:r>
    </w:p>
    <w:p w:rsidR="00A70FCB" w:rsidRPr="005B2844" w:rsidRDefault="00A70FCB" w:rsidP="009536AB">
      <w:pPr>
        <w:numPr>
          <w:ilvl w:val="0"/>
          <w:numId w:val="2"/>
        </w:numPr>
        <w:tabs>
          <w:tab w:val="clear" w:pos="1588"/>
        </w:tabs>
        <w:ind w:left="567" w:hanging="567"/>
        <w:rPr>
          <w:szCs w:val="22"/>
        </w:rPr>
      </w:pPr>
      <w:r w:rsidRPr="005B2844">
        <w:rPr>
          <w:szCs w:val="22"/>
        </w:rPr>
        <w:t>Insufficienza epatica grave</w:t>
      </w:r>
      <w:r w:rsidR="006374C3" w:rsidRPr="005B2844">
        <w:rPr>
          <w:szCs w:val="22"/>
        </w:rPr>
        <w:t>.</w:t>
      </w:r>
    </w:p>
    <w:p w:rsidR="00A70FCB" w:rsidRPr="005B2844" w:rsidRDefault="00A70FCB" w:rsidP="009536AB">
      <w:pPr>
        <w:numPr>
          <w:ilvl w:val="0"/>
          <w:numId w:val="2"/>
        </w:numPr>
        <w:tabs>
          <w:tab w:val="clear" w:pos="1588"/>
        </w:tabs>
        <w:ind w:left="567" w:hanging="567"/>
        <w:rPr>
          <w:szCs w:val="22"/>
        </w:rPr>
      </w:pPr>
      <w:r w:rsidRPr="005B2844">
        <w:rPr>
          <w:szCs w:val="22"/>
        </w:rPr>
        <w:t>Insufficienza renale grave (clearance della creatinina &lt; 30 ml/</w:t>
      </w:r>
      <w:proofErr w:type="spellStart"/>
      <w:r w:rsidRPr="005B2844">
        <w:rPr>
          <w:szCs w:val="22"/>
        </w:rPr>
        <w:t>min</w:t>
      </w:r>
      <w:proofErr w:type="spellEnd"/>
      <w:r w:rsidRPr="005B2844">
        <w:rPr>
          <w:szCs w:val="22"/>
        </w:rPr>
        <w:t>)</w:t>
      </w:r>
      <w:r w:rsidR="006374C3" w:rsidRPr="005B2844">
        <w:rPr>
          <w:szCs w:val="22"/>
        </w:rPr>
        <w:t>.</w:t>
      </w:r>
    </w:p>
    <w:p w:rsidR="00A70FCB" w:rsidRPr="005B2844" w:rsidRDefault="00A70FCB" w:rsidP="009536AB">
      <w:pPr>
        <w:numPr>
          <w:ilvl w:val="0"/>
          <w:numId w:val="2"/>
        </w:numPr>
        <w:tabs>
          <w:tab w:val="clear" w:pos="1588"/>
        </w:tabs>
        <w:ind w:left="567" w:hanging="567"/>
        <w:rPr>
          <w:szCs w:val="22"/>
        </w:rPr>
      </w:pPr>
      <w:proofErr w:type="spellStart"/>
      <w:r w:rsidRPr="005B2844">
        <w:rPr>
          <w:szCs w:val="22"/>
        </w:rPr>
        <w:t>Ipopotassiemia</w:t>
      </w:r>
      <w:proofErr w:type="spellEnd"/>
      <w:r w:rsidRPr="005B2844">
        <w:rPr>
          <w:szCs w:val="22"/>
        </w:rPr>
        <w:t xml:space="preserve"> refrattaria, ipercalcemia</w:t>
      </w:r>
      <w:r w:rsidR="006374C3" w:rsidRPr="005B2844">
        <w:rPr>
          <w:szCs w:val="22"/>
        </w:rPr>
        <w:t>.</w:t>
      </w:r>
    </w:p>
    <w:p w:rsidR="00A70FCB" w:rsidRPr="005B2844" w:rsidRDefault="00A70FCB" w:rsidP="0072602F">
      <w:pPr>
        <w:rPr>
          <w:szCs w:val="22"/>
        </w:rPr>
      </w:pPr>
    </w:p>
    <w:p w:rsidR="00BA0829" w:rsidRPr="005B2844" w:rsidRDefault="00BA0829" w:rsidP="0072602F">
      <w:pPr>
        <w:rPr>
          <w:szCs w:val="22"/>
        </w:rPr>
      </w:pPr>
      <w:r w:rsidRPr="005B2844">
        <w:rPr>
          <w:szCs w:val="22"/>
        </w:rPr>
        <w:t xml:space="preserve">L’uso concomitante di </w:t>
      </w:r>
      <w:proofErr w:type="spellStart"/>
      <w:r w:rsidR="00B56D7D" w:rsidRPr="005B2844">
        <w:rPr>
          <w:szCs w:val="22"/>
        </w:rPr>
        <w:t>MicardisPlus</w:t>
      </w:r>
      <w:proofErr w:type="spellEnd"/>
      <w:r w:rsidRPr="005B2844">
        <w:rPr>
          <w:szCs w:val="22"/>
        </w:rPr>
        <w:t xml:space="preserve"> con </w:t>
      </w:r>
      <w:r w:rsidR="00B56D7D" w:rsidRPr="005B2844">
        <w:rPr>
          <w:szCs w:val="22"/>
        </w:rPr>
        <w:t xml:space="preserve">medicinali contenenti </w:t>
      </w:r>
      <w:proofErr w:type="spellStart"/>
      <w:r w:rsidRPr="005B2844">
        <w:rPr>
          <w:szCs w:val="22"/>
        </w:rPr>
        <w:t>aliskiren</w:t>
      </w:r>
      <w:proofErr w:type="spellEnd"/>
      <w:r w:rsidRPr="005B2844">
        <w:rPr>
          <w:szCs w:val="22"/>
        </w:rPr>
        <w:t xml:space="preserve"> è controindicato </w:t>
      </w:r>
      <w:r w:rsidR="00B56D7D" w:rsidRPr="005B2844">
        <w:rPr>
          <w:szCs w:val="22"/>
        </w:rPr>
        <w:t>nei</w:t>
      </w:r>
      <w:r w:rsidRPr="005B2844">
        <w:rPr>
          <w:szCs w:val="22"/>
        </w:rPr>
        <w:t xml:space="preserve"> pazienti </w:t>
      </w:r>
      <w:r w:rsidR="00B56D7D" w:rsidRPr="005B2844">
        <w:rPr>
          <w:szCs w:val="22"/>
        </w:rPr>
        <w:t>affetti da</w:t>
      </w:r>
      <w:r w:rsidRPr="005B2844">
        <w:rPr>
          <w:szCs w:val="22"/>
        </w:rPr>
        <w:t xml:space="preserve"> diabete mellito o compromissione renale (</w:t>
      </w:r>
      <w:r w:rsidR="00B56D7D" w:rsidRPr="005B2844">
        <w:rPr>
          <w:szCs w:val="22"/>
        </w:rPr>
        <w:t>velocità di filtrazione glomerulare GFR</w:t>
      </w:r>
      <w:r w:rsidRPr="005B2844">
        <w:rPr>
          <w:szCs w:val="22"/>
        </w:rPr>
        <w:t> &lt; 60 ml/</w:t>
      </w:r>
      <w:proofErr w:type="spellStart"/>
      <w:r w:rsidRPr="005B2844">
        <w:rPr>
          <w:szCs w:val="22"/>
        </w:rPr>
        <w:t>min</w:t>
      </w:r>
      <w:proofErr w:type="spellEnd"/>
      <w:r w:rsidRPr="005B2844">
        <w:rPr>
          <w:szCs w:val="22"/>
        </w:rPr>
        <w:t>/1,73</w:t>
      </w:r>
      <w:r w:rsidR="000E2BF3" w:rsidRPr="005B2844">
        <w:rPr>
          <w:szCs w:val="22"/>
        </w:rPr>
        <w:t> </w:t>
      </w:r>
      <w:r w:rsidRPr="005B2844">
        <w:rPr>
          <w:szCs w:val="22"/>
        </w:rPr>
        <w:t>m</w:t>
      </w:r>
      <w:r w:rsidRPr="005B2844">
        <w:rPr>
          <w:szCs w:val="22"/>
          <w:vertAlign w:val="superscript"/>
        </w:rPr>
        <w:t>2</w:t>
      </w:r>
      <w:r w:rsidRPr="005B2844">
        <w:rPr>
          <w:szCs w:val="22"/>
        </w:rPr>
        <w:t>) (vedere paragrafi 4.5</w:t>
      </w:r>
      <w:r w:rsidR="00B56D7D" w:rsidRPr="005B2844">
        <w:rPr>
          <w:szCs w:val="22"/>
        </w:rPr>
        <w:t xml:space="preserve"> e 5.1</w:t>
      </w:r>
      <w:r w:rsidRPr="005B2844">
        <w:rPr>
          <w:szCs w:val="22"/>
        </w:rPr>
        <w:t>).</w:t>
      </w:r>
    </w:p>
    <w:p w:rsidR="00BA0829" w:rsidRPr="005B2844" w:rsidRDefault="00BA0829" w:rsidP="0072602F">
      <w:pPr>
        <w:rPr>
          <w:szCs w:val="22"/>
        </w:rPr>
      </w:pPr>
    </w:p>
    <w:p w:rsidR="00A70FCB" w:rsidRPr="005B2844" w:rsidRDefault="00A70FCB" w:rsidP="002229F2">
      <w:pPr>
        <w:keepNext/>
        <w:tabs>
          <w:tab w:val="left" w:pos="567"/>
        </w:tabs>
        <w:rPr>
          <w:b/>
          <w:szCs w:val="22"/>
        </w:rPr>
      </w:pPr>
      <w:r w:rsidRPr="005B2844">
        <w:rPr>
          <w:b/>
          <w:szCs w:val="22"/>
        </w:rPr>
        <w:t>4.4</w:t>
      </w:r>
      <w:r w:rsidRPr="005B2844">
        <w:rPr>
          <w:b/>
          <w:szCs w:val="22"/>
        </w:rPr>
        <w:tab/>
        <w:t>Avvertenze speciali e precauzioni d</w:t>
      </w:r>
      <w:r w:rsidR="00EC3F83" w:rsidRPr="005B2844">
        <w:rPr>
          <w:b/>
          <w:szCs w:val="22"/>
        </w:rPr>
        <w:t>’</w:t>
      </w:r>
      <w:r w:rsidRPr="005B2844">
        <w:rPr>
          <w:b/>
          <w:szCs w:val="22"/>
        </w:rPr>
        <w:t>impiego</w:t>
      </w:r>
    </w:p>
    <w:p w:rsidR="00130FA1" w:rsidRPr="005B2844" w:rsidRDefault="00130FA1" w:rsidP="002229F2">
      <w:pPr>
        <w:keepNext/>
        <w:suppressAutoHyphens/>
        <w:rPr>
          <w:szCs w:val="22"/>
        </w:rPr>
      </w:pPr>
    </w:p>
    <w:p w:rsidR="00B36048" w:rsidRPr="005B2844" w:rsidRDefault="00B36048" w:rsidP="002229F2">
      <w:pPr>
        <w:keepNext/>
        <w:suppressAutoHyphens/>
        <w:rPr>
          <w:szCs w:val="22"/>
          <w:u w:val="single"/>
        </w:rPr>
      </w:pPr>
      <w:r w:rsidRPr="005B2844">
        <w:rPr>
          <w:szCs w:val="22"/>
          <w:u w:val="single"/>
        </w:rPr>
        <w:t>Gravidanza</w:t>
      </w:r>
    </w:p>
    <w:p w:rsidR="00BC4D08" w:rsidRPr="005B2844" w:rsidRDefault="00BC4D08" w:rsidP="002229F2">
      <w:pPr>
        <w:keepNext/>
        <w:suppressAutoHyphens/>
        <w:rPr>
          <w:iCs/>
          <w:noProof/>
          <w:szCs w:val="22"/>
        </w:rPr>
      </w:pPr>
    </w:p>
    <w:p w:rsidR="00CD44BD" w:rsidRPr="005B2844" w:rsidRDefault="00CD44BD" w:rsidP="0072602F">
      <w:pPr>
        <w:suppressAutoHyphens/>
        <w:rPr>
          <w:iCs/>
          <w:noProof/>
          <w:szCs w:val="22"/>
        </w:rPr>
      </w:pPr>
      <w:r w:rsidRPr="005B2844">
        <w:rPr>
          <w:iCs/>
          <w:noProof/>
          <w:szCs w:val="22"/>
        </w:rPr>
        <w:t>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36048" w:rsidRPr="005B2844" w:rsidRDefault="00B36048" w:rsidP="0072602F">
      <w:pPr>
        <w:rPr>
          <w:szCs w:val="22"/>
        </w:rPr>
      </w:pPr>
    </w:p>
    <w:p w:rsidR="00BC4D08" w:rsidRPr="005B2844" w:rsidRDefault="00A70FCB" w:rsidP="002229F2">
      <w:pPr>
        <w:pStyle w:val="BodyText2"/>
        <w:keepNext/>
        <w:tabs>
          <w:tab w:val="clear" w:pos="567"/>
        </w:tabs>
        <w:ind w:left="0" w:firstLine="0"/>
        <w:rPr>
          <w:szCs w:val="22"/>
        </w:rPr>
      </w:pPr>
      <w:r w:rsidRPr="005B2844">
        <w:rPr>
          <w:szCs w:val="22"/>
          <w:u w:val="single"/>
        </w:rPr>
        <w:t>Insufficienza epatica</w:t>
      </w:r>
    </w:p>
    <w:p w:rsidR="00BC4D08" w:rsidRPr="005B2844" w:rsidRDefault="00BC4D08"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proofErr w:type="spellStart"/>
      <w:r w:rsidRPr="005B2844">
        <w:rPr>
          <w:szCs w:val="22"/>
        </w:rPr>
        <w:t>MicardisPlus</w:t>
      </w:r>
      <w:proofErr w:type="spellEnd"/>
      <w:r w:rsidRPr="005B2844">
        <w:rPr>
          <w:szCs w:val="22"/>
        </w:rPr>
        <w:t xml:space="preserve"> non dovrebbe essere somministrato a pazienti con colestasi, ostruzioni delle vie biliari o grave insufficienza epatica (vedere </w:t>
      </w:r>
      <w:r w:rsidR="00856482" w:rsidRPr="005B2844">
        <w:rPr>
          <w:szCs w:val="22"/>
        </w:rPr>
        <w:t xml:space="preserve">paragrafo </w:t>
      </w:r>
      <w:r w:rsidRPr="005B2844">
        <w:rPr>
          <w:szCs w:val="22"/>
        </w:rPr>
        <w:t xml:space="preserve">4.3) in quanto </w:t>
      </w:r>
      <w:proofErr w:type="spellStart"/>
      <w:r w:rsidRPr="005B2844">
        <w:rPr>
          <w:szCs w:val="22"/>
        </w:rPr>
        <w:t>telmisartan</w:t>
      </w:r>
      <w:proofErr w:type="spellEnd"/>
      <w:r w:rsidRPr="005B2844">
        <w:rPr>
          <w:szCs w:val="22"/>
        </w:rPr>
        <w:t xml:space="preserve"> è eliminato principalmente per via biliare. Per questi pazienti è prevedibile una ridotta clearance epatica di </w:t>
      </w:r>
      <w:proofErr w:type="spellStart"/>
      <w:r w:rsidRPr="005B2844">
        <w:rPr>
          <w:szCs w:val="22"/>
        </w:rPr>
        <w:t>telmisartan</w:t>
      </w:r>
      <w:proofErr w:type="spellEnd"/>
      <w:r w:rsidRPr="005B2844">
        <w:rPr>
          <w:szCs w:val="22"/>
        </w:rPr>
        <w:t>.</w:t>
      </w:r>
    </w:p>
    <w:p w:rsidR="00A70FCB" w:rsidRPr="005B2844" w:rsidRDefault="00A70FCB" w:rsidP="0072602F">
      <w:pPr>
        <w:pStyle w:val="BodyText2"/>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 xml:space="preserve">Inoltre, </w:t>
      </w:r>
      <w:proofErr w:type="spellStart"/>
      <w:r w:rsidRPr="005B2844">
        <w:rPr>
          <w:szCs w:val="22"/>
        </w:rPr>
        <w:t>MicardisPlus</w:t>
      </w:r>
      <w:proofErr w:type="spellEnd"/>
      <w:r w:rsidRPr="005B2844">
        <w:rPr>
          <w:szCs w:val="22"/>
        </w:rPr>
        <w:t xml:space="preserve"> deve essere utilizzato con cautela in pazienti con funzionalità epatica compromessa o malattia epatica progressiva, poiché alterazioni minori del fluido o dell'equilibrio elettrolitico possono causare coma epatico. Non c'è esperienza clinica nell'utilizzo di </w:t>
      </w:r>
      <w:proofErr w:type="spellStart"/>
      <w:r w:rsidRPr="005B2844">
        <w:rPr>
          <w:szCs w:val="22"/>
        </w:rPr>
        <w:t>MicardisPlus</w:t>
      </w:r>
      <w:proofErr w:type="spellEnd"/>
      <w:r w:rsidRPr="005B2844">
        <w:rPr>
          <w:szCs w:val="22"/>
        </w:rPr>
        <w:t xml:space="preserve"> in pazienti con insufficienza epatica.</w:t>
      </w:r>
    </w:p>
    <w:p w:rsidR="00A70FCB" w:rsidRPr="005B2844" w:rsidRDefault="00A70FCB" w:rsidP="0072602F">
      <w:pPr>
        <w:pStyle w:val="BodyText2"/>
        <w:tabs>
          <w:tab w:val="clear" w:pos="567"/>
        </w:tabs>
        <w:ind w:left="0" w:firstLine="0"/>
        <w:rPr>
          <w:szCs w:val="22"/>
          <w:u w:val="single"/>
        </w:rPr>
      </w:pPr>
    </w:p>
    <w:p w:rsidR="00BC4D08" w:rsidRPr="005B2844" w:rsidRDefault="00A70FCB" w:rsidP="002229F2">
      <w:pPr>
        <w:pStyle w:val="BodyText2"/>
        <w:keepNext/>
        <w:tabs>
          <w:tab w:val="clear" w:pos="567"/>
        </w:tabs>
        <w:ind w:left="0" w:firstLine="0"/>
        <w:rPr>
          <w:szCs w:val="22"/>
        </w:rPr>
      </w:pPr>
      <w:r w:rsidRPr="005B2844">
        <w:rPr>
          <w:szCs w:val="22"/>
          <w:u w:val="single"/>
        </w:rPr>
        <w:t xml:space="preserve">Ipertensione </w:t>
      </w:r>
      <w:proofErr w:type="spellStart"/>
      <w:r w:rsidRPr="005B2844">
        <w:rPr>
          <w:szCs w:val="22"/>
          <w:u w:val="single"/>
        </w:rPr>
        <w:t>renovascolare</w:t>
      </w:r>
      <w:proofErr w:type="spellEnd"/>
    </w:p>
    <w:p w:rsidR="00BC4D08" w:rsidRPr="005B2844" w:rsidRDefault="00BC4D08"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Nei pazienti con stenosi bilaterale dell'arteria renale o stenosi dell'arteria renale afferente al singolo rene funzionante, trattati con un farmaco che influenza il sistema renina-angiotensina-aldosterone, c'è un aumentato rischio di ipotensione grave ed insufficienza renale.</w:t>
      </w:r>
    </w:p>
    <w:p w:rsidR="00A70FCB" w:rsidRPr="005B2844" w:rsidRDefault="00A70FCB" w:rsidP="0072602F">
      <w:pPr>
        <w:rPr>
          <w:szCs w:val="22"/>
        </w:rPr>
      </w:pPr>
    </w:p>
    <w:p w:rsidR="00BC4D08" w:rsidRPr="005B2844" w:rsidRDefault="00A70FCB" w:rsidP="002229F2">
      <w:pPr>
        <w:pStyle w:val="BodyText2"/>
        <w:keepNext/>
        <w:tabs>
          <w:tab w:val="clear" w:pos="567"/>
        </w:tabs>
        <w:ind w:left="0" w:firstLine="0"/>
        <w:rPr>
          <w:szCs w:val="22"/>
        </w:rPr>
      </w:pPr>
      <w:r w:rsidRPr="005B2844">
        <w:rPr>
          <w:szCs w:val="22"/>
          <w:u w:val="single"/>
        </w:rPr>
        <w:t>Insufficienza renale e trapianto renale</w:t>
      </w:r>
    </w:p>
    <w:p w:rsidR="00BC4D08" w:rsidRPr="005B2844" w:rsidRDefault="00BC4D08"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proofErr w:type="spellStart"/>
      <w:r w:rsidRPr="005B2844">
        <w:rPr>
          <w:szCs w:val="22"/>
        </w:rPr>
        <w:t>MicardisPlus</w:t>
      </w:r>
      <w:proofErr w:type="spellEnd"/>
      <w:r w:rsidRPr="005B2844">
        <w:rPr>
          <w:szCs w:val="22"/>
        </w:rPr>
        <w:t xml:space="preserve"> non deve essere utilizzato in pazienti con grave insufficienza renale (clearance della creatinina &lt; 30 ml/</w:t>
      </w:r>
      <w:proofErr w:type="spellStart"/>
      <w:r w:rsidRPr="005B2844">
        <w:rPr>
          <w:szCs w:val="22"/>
        </w:rPr>
        <w:t>min</w:t>
      </w:r>
      <w:proofErr w:type="spellEnd"/>
      <w:r w:rsidRPr="005B2844">
        <w:rPr>
          <w:szCs w:val="22"/>
        </w:rPr>
        <w:t xml:space="preserve">) (vedere </w:t>
      </w:r>
      <w:r w:rsidR="008A391F" w:rsidRPr="005B2844">
        <w:rPr>
          <w:szCs w:val="22"/>
        </w:rPr>
        <w:t xml:space="preserve">paragrafo </w:t>
      </w:r>
      <w:r w:rsidRPr="005B2844">
        <w:rPr>
          <w:szCs w:val="22"/>
        </w:rPr>
        <w:t xml:space="preserve">4.3). Non ci sono dati riguardo la somministrazione di </w:t>
      </w:r>
      <w:proofErr w:type="spellStart"/>
      <w:r w:rsidRPr="005B2844">
        <w:rPr>
          <w:szCs w:val="22"/>
        </w:rPr>
        <w:t>MicardisPlus</w:t>
      </w:r>
      <w:proofErr w:type="spellEnd"/>
      <w:r w:rsidRPr="005B2844">
        <w:rPr>
          <w:szCs w:val="22"/>
        </w:rPr>
        <w:t xml:space="preserve"> in pazienti recentemente sottoposti a trapianto renale. L’esperienza con </w:t>
      </w:r>
      <w:proofErr w:type="spellStart"/>
      <w:r w:rsidRPr="005B2844">
        <w:rPr>
          <w:szCs w:val="22"/>
        </w:rPr>
        <w:t>MicardisPlus</w:t>
      </w:r>
      <w:proofErr w:type="spellEnd"/>
      <w:r w:rsidRPr="005B2844">
        <w:rPr>
          <w:szCs w:val="22"/>
        </w:rPr>
        <w:t xml:space="preserve"> in pazienti con insufficienza renale da lieve a moderata è limitata e pertanto si raccomanda un controllo periodico dei livelli sierici di potassio, di creatinina e di acido urico. Nei pazienti con insufficienza renale può verificarsi aumento dell’azotemia associato ai diuretici tiazidici.</w:t>
      </w:r>
    </w:p>
    <w:p w:rsidR="00A70FCB" w:rsidRPr="005B2844" w:rsidRDefault="00A70FCB" w:rsidP="0072602F">
      <w:pPr>
        <w:rPr>
          <w:szCs w:val="22"/>
        </w:rPr>
      </w:pPr>
    </w:p>
    <w:p w:rsidR="00BC4D08" w:rsidRPr="005B2844" w:rsidRDefault="00A70FCB" w:rsidP="002229F2">
      <w:pPr>
        <w:pStyle w:val="BodyText20"/>
        <w:keepNext/>
        <w:spacing w:line="240" w:lineRule="auto"/>
        <w:jc w:val="left"/>
        <w:rPr>
          <w:szCs w:val="22"/>
        </w:rPr>
      </w:pPr>
      <w:r w:rsidRPr="005B2844">
        <w:rPr>
          <w:szCs w:val="22"/>
          <w:u w:val="single"/>
        </w:rPr>
        <w:t>Ipovolemia</w:t>
      </w:r>
      <w:r w:rsidR="009276D0" w:rsidRPr="005B2844">
        <w:rPr>
          <w:szCs w:val="22"/>
          <w:u w:val="single"/>
        </w:rPr>
        <w:t xml:space="preserve"> intravascolare</w:t>
      </w:r>
    </w:p>
    <w:p w:rsidR="00BC4D08" w:rsidRPr="005B2844" w:rsidRDefault="00BC4D08" w:rsidP="002229F2">
      <w:pPr>
        <w:pStyle w:val="BodyText20"/>
        <w:keepNext/>
        <w:spacing w:line="240" w:lineRule="auto"/>
        <w:jc w:val="left"/>
        <w:rPr>
          <w:szCs w:val="22"/>
        </w:rPr>
      </w:pPr>
    </w:p>
    <w:p w:rsidR="00363381" w:rsidRPr="005B2844" w:rsidRDefault="00A70FCB" w:rsidP="0072602F">
      <w:pPr>
        <w:pStyle w:val="BodyText20"/>
        <w:spacing w:line="240" w:lineRule="auto"/>
        <w:jc w:val="left"/>
        <w:rPr>
          <w:szCs w:val="22"/>
        </w:rPr>
      </w:pPr>
      <w:r w:rsidRPr="005B2844">
        <w:rPr>
          <w:szCs w:val="22"/>
        </w:rPr>
        <w:t xml:space="preserve">Nei pazienti con ipovolemia e/o deplezione di sodio causate da dosi elevate di diuretici, diete con restrizione di sale, diarrea o vomito, si potrebbe verificare ipotensione sintomatica, specialmente dopo la prima dose. Deplezione di sodio e/o ipovolemia devono essere corrette prima di iniziare il trattamento con </w:t>
      </w:r>
      <w:proofErr w:type="spellStart"/>
      <w:r w:rsidRPr="005B2844">
        <w:rPr>
          <w:szCs w:val="22"/>
        </w:rPr>
        <w:t>MicardisPlus</w:t>
      </w:r>
      <w:proofErr w:type="spellEnd"/>
      <w:r w:rsidRPr="005B2844">
        <w:rPr>
          <w:szCs w:val="22"/>
        </w:rPr>
        <w:t>.</w:t>
      </w:r>
    </w:p>
    <w:p w:rsidR="00363381" w:rsidRPr="005B2844" w:rsidRDefault="00363381" w:rsidP="0072602F">
      <w:pPr>
        <w:rPr>
          <w:szCs w:val="22"/>
        </w:rPr>
      </w:pPr>
    </w:p>
    <w:p w:rsidR="00BC4D08" w:rsidRPr="005B2844" w:rsidRDefault="001A10D0" w:rsidP="002229F2">
      <w:pPr>
        <w:keepNext/>
        <w:rPr>
          <w:szCs w:val="22"/>
        </w:rPr>
      </w:pPr>
      <w:r w:rsidRPr="005B2844">
        <w:rPr>
          <w:szCs w:val="22"/>
          <w:u w:val="single"/>
        </w:rPr>
        <w:t>Duplice blocco del sistema renina-angiotensina-aldosterone</w:t>
      </w:r>
      <w:r w:rsidR="007A3313" w:rsidRPr="005B2844">
        <w:rPr>
          <w:szCs w:val="22"/>
          <w:u w:val="single"/>
        </w:rPr>
        <w:t xml:space="preserve"> (RAAS)</w:t>
      </w:r>
    </w:p>
    <w:p w:rsidR="00BC4D08" w:rsidRPr="005B2844" w:rsidRDefault="00BC4D08" w:rsidP="002229F2">
      <w:pPr>
        <w:keepNext/>
        <w:rPr>
          <w:szCs w:val="22"/>
        </w:rPr>
      </w:pPr>
    </w:p>
    <w:p w:rsidR="007A3313" w:rsidRPr="005B2844" w:rsidRDefault="007A3313" w:rsidP="007A3313">
      <w:pPr>
        <w:rPr>
          <w:szCs w:val="22"/>
        </w:rPr>
      </w:pPr>
      <w:r w:rsidRPr="005B2844">
        <w:rPr>
          <w:szCs w:val="22"/>
        </w:rPr>
        <w:t xml:space="preserve">Esiste l’evidenza che l’uso concomitante di ACE-inibitori, antagonisti del recettore dell’angiotensina II o </w:t>
      </w:r>
      <w:proofErr w:type="spellStart"/>
      <w:r w:rsidRPr="005B2844">
        <w:rPr>
          <w:szCs w:val="22"/>
        </w:rPr>
        <w:t>aliskiren</w:t>
      </w:r>
      <w:proofErr w:type="spellEnd"/>
      <w:r w:rsidRPr="005B2844">
        <w:rPr>
          <w:szCs w:val="22"/>
        </w:rPr>
        <w:t xml:space="preserve"> aumenta il rischio di ipotensione, </w:t>
      </w:r>
      <w:proofErr w:type="spellStart"/>
      <w:r w:rsidRPr="005B2844">
        <w:rPr>
          <w:szCs w:val="22"/>
        </w:rPr>
        <w:t>iperpotassiemia</w:t>
      </w:r>
      <w:proofErr w:type="spellEnd"/>
      <w:r w:rsidRPr="005B2844">
        <w:rPr>
          <w:szCs w:val="22"/>
        </w:rPr>
        <w:t xml:space="preserve"> e riduzione della funzionalità renale (inclusa l’insufficienza renale acuta). Il duplice blocco del RAAS attraverso l’uso combinato di ACE-inibitori, antagonisti del recettore dell’angiotensina II o </w:t>
      </w:r>
      <w:proofErr w:type="spellStart"/>
      <w:r w:rsidRPr="005B2844">
        <w:rPr>
          <w:szCs w:val="22"/>
        </w:rPr>
        <w:t>aliskiren</w:t>
      </w:r>
      <w:proofErr w:type="spellEnd"/>
      <w:r w:rsidRPr="005B2844">
        <w:rPr>
          <w:szCs w:val="22"/>
        </w:rPr>
        <w:t xml:space="preserve"> non è pertanto raccomandato (vedere paragrafi 4.5 e 5.1).</w:t>
      </w:r>
    </w:p>
    <w:p w:rsidR="007A3313" w:rsidRPr="005B2844" w:rsidRDefault="007A3313" w:rsidP="007A3313">
      <w:pPr>
        <w:rPr>
          <w:szCs w:val="22"/>
        </w:rPr>
      </w:pPr>
      <w:r w:rsidRPr="005B2844">
        <w:rPr>
          <w:szCs w:val="22"/>
        </w:rPr>
        <w:t>Se la terapia del duplice blocco è considerata assolutamente necessaria, ciò deve avvenire solo sotto la supervisione di uno specialista e con uno stretto e frequente monitoraggio della funzionalità renale, degli elettroliti e della pressione sanguigna.</w:t>
      </w:r>
    </w:p>
    <w:p w:rsidR="007A3313" w:rsidRPr="005B2844" w:rsidRDefault="007A3313" w:rsidP="007A3313">
      <w:pPr>
        <w:rPr>
          <w:szCs w:val="22"/>
        </w:rPr>
      </w:pPr>
      <w:r w:rsidRPr="005B2844">
        <w:rPr>
          <w:szCs w:val="22"/>
        </w:rPr>
        <w:t>Gli ACE-inibitori e gli antagonisti del recettore dell’angiotensina II non devono essere usati contemporaneamente in pazienti con nefropatia diabetica.</w:t>
      </w:r>
    </w:p>
    <w:p w:rsidR="001A10D0" w:rsidRPr="005B2844" w:rsidRDefault="001A10D0" w:rsidP="0072602F">
      <w:pPr>
        <w:rPr>
          <w:szCs w:val="22"/>
        </w:rPr>
      </w:pPr>
    </w:p>
    <w:p w:rsidR="00BC4D08" w:rsidRPr="005B2844" w:rsidRDefault="00A70FCB" w:rsidP="002229F2">
      <w:pPr>
        <w:pStyle w:val="BodyText20"/>
        <w:keepNext/>
        <w:spacing w:line="240" w:lineRule="auto"/>
        <w:jc w:val="left"/>
        <w:rPr>
          <w:szCs w:val="22"/>
        </w:rPr>
      </w:pPr>
      <w:r w:rsidRPr="005B2844">
        <w:rPr>
          <w:szCs w:val="22"/>
          <w:u w:val="single"/>
        </w:rPr>
        <w:t>Altre condizioni legate alla stimolazione del sistema renina-angiotensina-aldosterone</w:t>
      </w:r>
    </w:p>
    <w:p w:rsidR="00BC4D08" w:rsidRPr="005B2844" w:rsidRDefault="00BC4D08" w:rsidP="002229F2">
      <w:pPr>
        <w:pStyle w:val="BodyText20"/>
        <w:keepNext/>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Nei pazienti il cui tono vascolare e la funzione renale dipendono principalmente dall'attività del sistema renina-angiotensina-aldosterone (</w:t>
      </w:r>
      <w:r w:rsidR="00096E7E" w:rsidRPr="005B2844">
        <w:rPr>
          <w:szCs w:val="22"/>
        </w:rPr>
        <w:t>ad es.</w:t>
      </w:r>
      <w:r w:rsidRPr="005B2844">
        <w:rPr>
          <w:szCs w:val="22"/>
        </w:rPr>
        <w:t xml:space="preserve"> pazienti con grave insufficienza cardiaca congestizia o affetti da malattie renali, inclusa la stenosi dell'arteria renale), il trattamento con </w:t>
      </w:r>
      <w:r w:rsidR="006F476C" w:rsidRPr="005B2844">
        <w:rPr>
          <w:szCs w:val="22"/>
        </w:rPr>
        <w:t xml:space="preserve">medicinali </w:t>
      </w:r>
      <w:r w:rsidRPr="005B2844">
        <w:rPr>
          <w:szCs w:val="22"/>
        </w:rPr>
        <w:t>che influenzano questo sistema è stato associato ad ipotensione acuta, iperazotemia, oliguria o, raramente, insufficienza renale acuta</w:t>
      </w:r>
      <w:r w:rsidR="00E56193" w:rsidRPr="005B2844">
        <w:rPr>
          <w:szCs w:val="22"/>
        </w:rPr>
        <w:t xml:space="preserve"> (vedere paragrafo 4.8)</w:t>
      </w:r>
      <w:r w:rsidRPr="005B2844">
        <w:rPr>
          <w:szCs w:val="22"/>
        </w:rPr>
        <w:t>.</w:t>
      </w:r>
    </w:p>
    <w:p w:rsidR="00A70FCB" w:rsidRPr="005B2844" w:rsidRDefault="00A70FCB" w:rsidP="0072602F">
      <w:pPr>
        <w:rPr>
          <w:szCs w:val="22"/>
        </w:rPr>
      </w:pPr>
    </w:p>
    <w:p w:rsidR="00BC4D08" w:rsidRPr="005B2844" w:rsidRDefault="00A70FCB" w:rsidP="002229F2">
      <w:pPr>
        <w:keepNext/>
        <w:rPr>
          <w:szCs w:val="22"/>
        </w:rPr>
      </w:pPr>
      <w:proofErr w:type="spellStart"/>
      <w:r w:rsidRPr="005B2844">
        <w:rPr>
          <w:szCs w:val="22"/>
          <w:u w:val="single"/>
        </w:rPr>
        <w:t>Aldosteronismo</w:t>
      </w:r>
      <w:proofErr w:type="spellEnd"/>
      <w:r w:rsidRPr="005B2844">
        <w:rPr>
          <w:szCs w:val="22"/>
          <w:u w:val="single"/>
        </w:rPr>
        <w:t xml:space="preserve"> primario</w:t>
      </w:r>
    </w:p>
    <w:p w:rsidR="00BC4D08" w:rsidRPr="005B2844" w:rsidRDefault="00BC4D08" w:rsidP="002229F2">
      <w:pPr>
        <w:keepNext/>
        <w:rPr>
          <w:szCs w:val="22"/>
        </w:rPr>
      </w:pPr>
    </w:p>
    <w:p w:rsidR="00A70FCB" w:rsidRPr="005B2844" w:rsidRDefault="00A70FCB" w:rsidP="0072602F">
      <w:pPr>
        <w:rPr>
          <w:szCs w:val="22"/>
        </w:rPr>
      </w:pPr>
      <w:r w:rsidRPr="005B2844">
        <w:rPr>
          <w:szCs w:val="22"/>
        </w:rPr>
        <w:t xml:space="preserve">I pazienti con </w:t>
      </w:r>
      <w:proofErr w:type="spellStart"/>
      <w:r w:rsidRPr="005B2844">
        <w:rPr>
          <w:szCs w:val="22"/>
        </w:rPr>
        <w:t>aldosteronismo</w:t>
      </w:r>
      <w:proofErr w:type="spellEnd"/>
      <w:r w:rsidRPr="005B2844">
        <w:rPr>
          <w:szCs w:val="22"/>
        </w:rPr>
        <w:t xml:space="preserve"> primario generalmente non rispondono a </w:t>
      </w:r>
      <w:r w:rsidR="006F476C" w:rsidRPr="005B2844">
        <w:rPr>
          <w:szCs w:val="22"/>
        </w:rPr>
        <w:t xml:space="preserve">medicinali </w:t>
      </w:r>
      <w:r w:rsidRPr="005B2844">
        <w:rPr>
          <w:szCs w:val="22"/>
        </w:rPr>
        <w:t xml:space="preserve">antipertensivi che agiscono tramite l'inibizione del sistema renina-angiotensina. Quindi, si sconsiglia l'utilizzo di </w:t>
      </w:r>
      <w:proofErr w:type="spellStart"/>
      <w:r w:rsidRPr="005B2844">
        <w:rPr>
          <w:szCs w:val="22"/>
        </w:rPr>
        <w:t>MicardisPlus</w:t>
      </w:r>
      <w:proofErr w:type="spellEnd"/>
      <w:r w:rsidRPr="005B2844">
        <w:rPr>
          <w:szCs w:val="22"/>
        </w:rPr>
        <w:t>.</w:t>
      </w:r>
    </w:p>
    <w:p w:rsidR="00A70FCB" w:rsidRPr="005B2844" w:rsidRDefault="00A70FCB" w:rsidP="0072602F">
      <w:pPr>
        <w:rPr>
          <w:szCs w:val="22"/>
        </w:rPr>
      </w:pPr>
    </w:p>
    <w:p w:rsidR="00BC4D08" w:rsidRPr="005B2844" w:rsidRDefault="00A70FCB" w:rsidP="002229F2">
      <w:pPr>
        <w:keepNext/>
        <w:rPr>
          <w:szCs w:val="22"/>
        </w:rPr>
      </w:pPr>
      <w:r w:rsidRPr="005B2844">
        <w:rPr>
          <w:szCs w:val="22"/>
          <w:u w:val="single"/>
        </w:rPr>
        <w:t>Stenosi della valvola aortica e mitrale, cardiomiopatia ipertrofica ostruttiva</w:t>
      </w:r>
    </w:p>
    <w:p w:rsidR="00BC4D08" w:rsidRPr="005B2844" w:rsidRDefault="00BC4D08" w:rsidP="002229F2">
      <w:pPr>
        <w:keepNext/>
        <w:rPr>
          <w:szCs w:val="22"/>
        </w:rPr>
      </w:pPr>
    </w:p>
    <w:p w:rsidR="00A70FCB" w:rsidRPr="005B2844" w:rsidRDefault="00A70FCB" w:rsidP="0072602F">
      <w:pPr>
        <w:rPr>
          <w:szCs w:val="22"/>
        </w:rPr>
      </w:pPr>
      <w:r w:rsidRPr="005B2844">
        <w:rPr>
          <w:szCs w:val="22"/>
        </w:rPr>
        <w:t>Come per altri vasodilatatori, si consiglia particolare cautela nei pazienti affetti da stenosi della valvola aortica o mitrale, o da cardiomiopatia ipertrofica ostruttiva.</w:t>
      </w:r>
    </w:p>
    <w:p w:rsidR="00A70FCB" w:rsidRPr="005B2844" w:rsidRDefault="00A70FCB" w:rsidP="0072602F">
      <w:pPr>
        <w:rPr>
          <w:szCs w:val="22"/>
        </w:rPr>
      </w:pPr>
    </w:p>
    <w:p w:rsidR="00BC4D08" w:rsidRPr="005B2844" w:rsidRDefault="00A70FCB" w:rsidP="008A1E96">
      <w:pPr>
        <w:pStyle w:val="BodyText30"/>
        <w:keepNext/>
        <w:widowControl/>
        <w:rPr>
          <w:szCs w:val="22"/>
          <w:lang w:val="it-IT"/>
        </w:rPr>
      </w:pPr>
      <w:r w:rsidRPr="005B2844">
        <w:rPr>
          <w:szCs w:val="22"/>
          <w:u w:val="single"/>
          <w:lang w:val="it-IT"/>
        </w:rPr>
        <w:t>Effetti sul metabolismo e sull’apparato endocrino</w:t>
      </w:r>
    </w:p>
    <w:p w:rsidR="00BC4D08" w:rsidRPr="005B2844" w:rsidRDefault="00BC4D08" w:rsidP="008A1E96">
      <w:pPr>
        <w:pStyle w:val="BodyText30"/>
        <w:keepNext/>
        <w:widowControl/>
        <w:rPr>
          <w:szCs w:val="22"/>
          <w:lang w:val="it-IT"/>
        </w:rPr>
      </w:pPr>
    </w:p>
    <w:p w:rsidR="00A70FCB" w:rsidRPr="005B2844" w:rsidRDefault="00E43091" w:rsidP="0072602F">
      <w:pPr>
        <w:pStyle w:val="BodyText30"/>
        <w:widowControl/>
        <w:rPr>
          <w:szCs w:val="22"/>
          <w:lang w:val="it-IT"/>
        </w:rPr>
      </w:pPr>
      <w:r w:rsidRPr="005B2844">
        <w:rPr>
          <w:szCs w:val="22"/>
          <w:lang w:val="it-IT"/>
        </w:rPr>
        <w:t xml:space="preserve">La terapia con tiazidici può compromettere la tolleranza al glucosio, </w:t>
      </w:r>
      <w:r w:rsidR="000835D9" w:rsidRPr="005B2844">
        <w:rPr>
          <w:szCs w:val="22"/>
          <w:lang w:val="it-IT"/>
        </w:rPr>
        <w:t>mentre</w:t>
      </w:r>
      <w:r w:rsidRPr="005B2844">
        <w:rPr>
          <w:szCs w:val="22"/>
          <w:lang w:val="it-IT"/>
        </w:rPr>
        <w:t xml:space="preserve"> si può verificare ipoglicemia in pazienti diabetici in terapia con insulina o antidiabetici ed in trattamento con </w:t>
      </w:r>
      <w:proofErr w:type="spellStart"/>
      <w:r w:rsidRPr="005B2844">
        <w:rPr>
          <w:szCs w:val="22"/>
          <w:lang w:val="it-IT"/>
        </w:rPr>
        <w:t>telmisartan</w:t>
      </w:r>
      <w:proofErr w:type="spellEnd"/>
      <w:r w:rsidRPr="005B2844">
        <w:rPr>
          <w:szCs w:val="22"/>
          <w:lang w:val="it-IT"/>
        </w:rPr>
        <w:t>. Pertanto in questi pazienti si deve prendere in considerazione un monitoraggio della glicemia; potrebbe essere necessario un aggiustamento della dose dell’insulina o degli antidiabetici, ove indicato.</w:t>
      </w:r>
      <w:r w:rsidR="00A61730" w:rsidRPr="005B2844">
        <w:rPr>
          <w:szCs w:val="22"/>
          <w:lang w:val="it-IT"/>
        </w:rPr>
        <w:t xml:space="preserve"> </w:t>
      </w:r>
      <w:r w:rsidR="00A70FCB" w:rsidRPr="005B2844">
        <w:rPr>
          <w:szCs w:val="22"/>
          <w:lang w:val="it-IT"/>
        </w:rPr>
        <w:t>Durante la terapia con tiazidici, il diabete mellito latente può diventare manifesto.</w:t>
      </w:r>
    </w:p>
    <w:p w:rsidR="00A70FCB" w:rsidRPr="005B2844" w:rsidRDefault="00A70FCB" w:rsidP="00E93372">
      <w:pPr>
        <w:pStyle w:val="BodyText30"/>
        <w:widowControl/>
        <w:rPr>
          <w:szCs w:val="22"/>
          <w:lang w:val="it-IT"/>
        </w:rPr>
      </w:pPr>
    </w:p>
    <w:p w:rsidR="00A70FCB" w:rsidRPr="005B2844" w:rsidRDefault="00A70FCB" w:rsidP="0072602F">
      <w:pPr>
        <w:pStyle w:val="BodyText2"/>
        <w:tabs>
          <w:tab w:val="clear" w:pos="567"/>
        </w:tabs>
        <w:ind w:left="0" w:firstLine="0"/>
        <w:rPr>
          <w:szCs w:val="22"/>
        </w:rPr>
      </w:pPr>
      <w:r w:rsidRPr="005B2844">
        <w:rPr>
          <w:szCs w:val="22"/>
        </w:rPr>
        <w:t xml:space="preserve">Alla terapia con diuretici tiazidici è stato associato un incremento dei livelli di colesterolo e trigliceridi; tuttavia alla dose di 12,5 mg contenuta in </w:t>
      </w:r>
      <w:proofErr w:type="spellStart"/>
      <w:r w:rsidRPr="005B2844">
        <w:rPr>
          <w:szCs w:val="22"/>
        </w:rPr>
        <w:t>MicardisPlus</w:t>
      </w:r>
      <w:proofErr w:type="spellEnd"/>
      <w:r w:rsidRPr="005B2844">
        <w:rPr>
          <w:szCs w:val="22"/>
        </w:rPr>
        <w:t>, sono stati riportati effetti minimi o non sono stati riportati affatto.</w:t>
      </w:r>
    </w:p>
    <w:p w:rsidR="00A70FCB" w:rsidRPr="005B2844" w:rsidRDefault="00A70FCB" w:rsidP="0072602F">
      <w:pPr>
        <w:pStyle w:val="BodyText2"/>
        <w:tabs>
          <w:tab w:val="clear" w:pos="567"/>
        </w:tabs>
        <w:ind w:left="0" w:firstLine="0"/>
        <w:rPr>
          <w:szCs w:val="22"/>
        </w:rPr>
      </w:pPr>
      <w:r w:rsidRPr="005B2844">
        <w:rPr>
          <w:szCs w:val="22"/>
        </w:rPr>
        <w:t>In alcuni pazienti trattati con tiazidici possono verificarsi iperuricemia o manifestazioni gottose.</w:t>
      </w:r>
    </w:p>
    <w:p w:rsidR="00A70FCB" w:rsidRPr="005B2844" w:rsidRDefault="00A70FCB" w:rsidP="0072602F">
      <w:pPr>
        <w:pStyle w:val="BodyText2"/>
        <w:tabs>
          <w:tab w:val="clear" w:pos="567"/>
        </w:tabs>
        <w:ind w:left="0" w:firstLine="0"/>
        <w:rPr>
          <w:szCs w:val="22"/>
        </w:rPr>
      </w:pPr>
    </w:p>
    <w:p w:rsidR="00BC4D08" w:rsidRPr="005B2844" w:rsidRDefault="00A70FCB" w:rsidP="002229F2">
      <w:pPr>
        <w:pStyle w:val="BodyText2"/>
        <w:keepNext/>
        <w:tabs>
          <w:tab w:val="clear" w:pos="567"/>
        </w:tabs>
        <w:ind w:left="0" w:firstLine="0"/>
        <w:rPr>
          <w:szCs w:val="22"/>
        </w:rPr>
      </w:pPr>
      <w:r w:rsidRPr="005B2844">
        <w:rPr>
          <w:szCs w:val="22"/>
          <w:u w:val="single"/>
        </w:rPr>
        <w:t>Squilibrio elettrolitico</w:t>
      </w:r>
    </w:p>
    <w:p w:rsidR="00BC4D08" w:rsidRPr="005B2844" w:rsidRDefault="00BC4D08"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Il controllo periodico degli elettroliti sierici deve essere effettuato ad intervalli appropriati, come per tutti i pazienti sottoposti a trattamento con diuretici.</w:t>
      </w:r>
    </w:p>
    <w:p w:rsidR="00A70FCB" w:rsidRPr="005B2844" w:rsidRDefault="00A70FCB" w:rsidP="0072602F">
      <w:pPr>
        <w:pStyle w:val="BodyText2"/>
        <w:tabs>
          <w:tab w:val="clear" w:pos="567"/>
        </w:tabs>
        <w:ind w:left="0" w:firstLine="0"/>
        <w:rPr>
          <w:szCs w:val="22"/>
        </w:rPr>
      </w:pPr>
      <w:r w:rsidRPr="005B2844">
        <w:rPr>
          <w:szCs w:val="22"/>
        </w:rPr>
        <w:t>I tiazidici, inclusa l’</w:t>
      </w:r>
      <w:proofErr w:type="spellStart"/>
      <w:r w:rsidRPr="005B2844">
        <w:rPr>
          <w:szCs w:val="22"/>
        </w:rPr>
        <w:t>idroclorotiazide</w:t>
      </w:r>
      <w:proofErr w:type="spellEnd"/>
      <w:r w:rsidRPr="005B2844">
        <w:rPr>
          <w:szCs w:val="22"/>
        </w:rPr>
        <w:t xml:space="preserve">, possono causare squilibrio di fluido o di elettroliti (incluse </w:t>
      </w:r>
      <w:proofErr w:type="spellStart"/>
      <w:r w:rsidR="00A60181" w:rsidRPr="005B2844">
        <w:rPr>
          <w:szCs w:val="22"/>
        </w:rPr>
        <w:t>ipokaliemia</w:t>
      </w:r>
      <w:proofErr w:type="spellEnd"/>
      <w:r w:rsidRPr="005B2844">
        <w:rPr>
          <w:szCs w:val="22"/>
        </w:rPr>
        <w:t xml:space="preserve">, </w:t>
      </w:r>
      <w:proofErr w:type="spellStart"/>
      <w:r w:rsidRPr="005B2844">
        <w:rPr>
          <w:szCs w:val="22"/>
        </w:rPr>
        <w:t>iponatremia</w:t>
      </w:r>
      <w:proofErr w:type="spellEnd"/>
      <w:r w:rsidRPr="005B2844">
        <w:rPr>
          <w:szCs w:val="22"/>
        </w:rPr>
        <w:t xml:space="preserve"> e alcalosi </w:t>
      </w:r>
      <w:proofErr w:type="spellStart"/>
      <w:r w:rsidRPr="005B2844">
        <w:rPr>
          <w:szCs w:val="22"/>
        </w:rPr>
        <w:t>ipocloremica</w:t>
      </w:r>
      <w:proofErr w:type="spellEnd"/>
      <w:r w:rsidRPr="005B2844">
        <w:rPr>
          <w:szCs w:val="22"/>
        </w:rPr>
        <w:t xml:space="preserve">). Segni indicativi di squilibrio di fluido o di elettroliti sono secchezza delle fauci, sete, </w:t>
      </w:r>
      <w:r w:rsidR="00BF7F94" w:rsidRPr="005B2844">
        <w:rPr>
          <w:szCs w:val="22"/>
        </w:rPr>
        <w:t>astenia</w:t>
      </w:r>
      <w:r w:rsidRPr="005B2844">
        <w:rPr>
          <w:szCs w:val="22"/>
        </w:rPr>
        <w:t xml:space="preserve">, letargia, sonnolenza, irrequietezza, dolore muscolare o crampi, affaticamento muscolare, ipotensione, oliguria, tachicardia e disturbi gastrointestinali quali nausea o vomito (vedere </w:t>
      </w:r>
      <w:r w:rsidR="00040974" w:rsidRPr="005B2844">
        <w:rPr>
          <w:szCs w:val="22"/>
        </w:rPr>
        <w:t xml:space="preserve">paragrafo </w:t>
      </w:r>
      <w:r w:rsidRPr="005B2844">
        <w:rPr>
          <w:szCs w:val="22"/>
        </w:rPr>
        <w:t>4.8).</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Ipo</w:t>
      </w:r>
      <w:r w:rsidR="0096213C" w:rsidRPr="005B2844">
        <w:rPr>
          <w:szCs w:val="22"/>
        </w:rPr>
        <w:t>kaliemia</w:t>
      </w:r>
      <w:proofErr w:type="spellEnd"/>
    </w:p>
    <w:p w:rsidR="00A70FCB" w:rsidRPr="005B2844" w:rsidRDefault="00A70FCB" w:rsidP="0072602F">
      <w:pPr>
        <w:pStyle w:val="BodyText2"/>
        <w:tabs>
          <w:tab w:val="clear" w:pos="567"/>
        </w:tabs>
        <w:ind w:left="0" w:firstLine="0"/>
        <w:rPr>
          <w:szCs w:val="22"/>
        </w:rPr>
      </w:pPr>
      <w:r w:rsidRPr="005B2844">
        <w:rPr>
          <w:szCs w:val="22"/>
        </w:rPr>
        <w:t xml:space="preserve">Sebbene con l'uso dei diuretici tiazidici possa svilupparsi </w:t>
      </w:r>
      <w:proofErr w:type="spellStart"/>
      <w:r w:rsidR="00A60181" w:rsidRPr="005B2844">
        <w:rPr>
          <w:szCs w:val="22"/>
        </w:rPr>
        <w:t>ipokaliemia</w:t>
      </w:r>
      <w:proofErr w:type="spellEnd"/>
      <w:r w:rsidRPr="005B2844">
        <w:rPr>
          <w:szCs w:val="22"/>
        </w:rPr>
        <w:t xml:space="preserve">, la terapia concomitante con </w:t>
      </w:r>
      <w:proofErr w:type="spellStart"/>
      <w:r w:rsidRPr="005B2844">
        <w:rPr>
          <w:szCs w:val="22"/>
        </w:rPr>
        <w:t>telmisartan</w:t>
      </w:r>
      <w:proofErr w:type="spellEnd"/>
      <w:r w:rsidRPr="005B2844">
        <w:rPr>
          <w:szCs w:val="22"/>
        </w:rPr>
        <w:t xml:space="preserve"> può ridurre l'</w:t>
      </w:r>
      <w:proofErr w:type="spellStart"/>
      <w:r w:rsidR="00A60181" w:rsidRPr="005B2844">
        <w:rPr>
          <w:szCs w:val="22"/>
        </w:rPr>
        <w:t>ipokaliemia</w:t>
      </w:r>
      <w:proofErr w:type="spellEnd"/>
      <w:r w:rsidRPr="005B2844">
        <w:rPr>
          <w:szCs w:val="22"/>
        </w:rPr>
        <w:t xml:space="preserve"> indotta dal diuretico. Il rischio di </w:t>
      </w:r>
      <w:proofErr w:type="spellStart"/>
      <w:r w:rsidR="00A60181" w:rsidRPr="005B2844">
        <w:rPr>
          <w:szCs w:val="22"/>
        </w:rPr>
        <w:t>ipokaliemia</w:t>
      </w:r>
      <w:proofErr w:type="spellEnd"/>
      <w:r w:rsidRPr="005B2844">
        <w:rPr>
          <w:szCs w:val="22"/>
        </w:rPr>
        <w:t xml:space="preserve"> è maggiore nei pazienti con cirrosi epatica, nei pazienti caratterizzati da diuresi abbondante, nei pazienti con un apporto non adeguato di elettroliti per via orale e nei pazienti in trattamento concomitante con corticosteroidi o </w:t>
      </w:r>
      <w:r w:rsidR="006374C3" w:rsidRPr="005B2844">
        <w:rPr>
          <w:szCs w:val="22"/>
        </w:rPr>
        <w:t>ormone adrenocorticotropico (</w:t>
      </w:r>
      <w:r w:rsidRPr="005B2844">
        <w:rPr>
          <w:szCs w:val="22"/>
        </w:rPr>
        <w:t>ACTH</w:t>
      </w:r>
      <w:r w:rsidR="006374C3" w:rsidRPr="005B2844">
        <w:rPr>
          <w:szCs w:val="22"/>
        </w:rPr>
        <w:t>)</w:t>
      </w:r>
      <w:r w:rsidRPr="005B2844">
        <w:rPr>
          <w:szCs w:val="22"/>
        </w:rPr>
        <w:t xml:space="preserve"> (vedere </w:t>
      </w:r>
      <w:r w:rsidR="00040974" w:rsidRPr="005B2844">
        <w:rPr>
          <w:szCs w:val="22"/>
        </w:rPr>
        <w:t xml:space="preserve">paragrafo </w:t>
      </w:r>
      <w:r w:rsidRPr="005B2844">
        <w:rPr>
          <w:szCs w:val="22"/>
        </w:rPr>
        <w:t>4.5).</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Iper</w:t>
      </w:r>
      <w:r w:rsidR="0096213C" w:rsidRPr="005B2844">
        <w:rPr>
          <w:szCs w:val="22"/>
        </w:rPr>
        <w:t>kaliemia</w:t>
      </w:r>
      <w:proofErr w:type="spellEnd"/>
    </w:p>
    <w:p w:rsidR="00A70FCB" w:rsidRPr="005B2844" w:rsidRDefault="00A70FCB" w:rsidP="0072602F">
      <w:pPr>
        <w:pStyle w:val="BodyText2"/>
        <w:tabs>
          <w:tab w:val="clear" w:pos="567"/>
        </w:tabs>
        <w:ind w:left="0" w:firstLine="0"/>
        <w:rPr>
          <w:szCs w:val="22"/>
        </w:rPr>
      </w:pPr>
      <w:r w:rsidRPr="005B2844">
        <w:rPr>
          <w:szCs w:val="22"/>
        </w:rPr>
        <w:t>Viceversa, a causa dell'antagonismo esercitato sui recettori dell'angiotensina II (AT</w:t>
      </w:r>
      <w:r w:rsidRPr="005B2844">
        <w:rPr>
          <w:szCs w:val="22"/>
          <w:vertAlign w:val="subscript"/>
        </w:rPr>
        <w:t>1</w:t>
      </w:r>
      <w:r w:rsidRPr="005B2844">
        <w:rPr>
          <w:szCs w:val="22"/>
        </w:rPr>
        <w:t xml:space="preserve">) dal </w:t>
      </w:r>
      <w:proofErr w:type="spellStart"/>
      <w:r w:rsidRPr="005B2844">
        <w:rPr>
          <w:szCs w:val="22"/>
        </w:rPr>
        <w:t>telmisartan</w:t>
      </w:r>
      <w:proofErr w:type="spellEnd"/>
      <w:r w:rsidRPr="005B2844">
        <w:rPr>
          <w:szCs w:val="22"/>
        </w:rPr>
        <w:t xml:space="preserve"> contenuto in </w:t>
      </w:r>
      <w:proofErr w:type="spellStart"/>
      <w:r w:rsidRPr="005B2844">
        <w:rPr>
          <w:szCs w:val="22"/>
        </w:rPr>
        <w:t>MicardisPlus</w:t>
      </w:r>
      <w:proofErr w:type="spellEnd"/>
      <w:r w:rsidRPr="005B2844">
        <w:rPr>
          <w:szCs w:val="22"/>
        </w:rPr>
        <w:t xml:space="preserve">, può verificarsi </w:t>
      </w:r>
      <w:proofErr w:type="spellStart"/>
      <w:r w:rsidRPr="005B2844">
        <w:rPr>
          <w:szCs w:val="22"/>
        </w:rPr>
        <w:t>iperpotassemia</w:t>
      </w:r>
      <w:proofErr w:type="spellEnd"/>
      <w:r w:rsidRPr="005B2844">
        <w:rPr>
          <w:szCs w:val="22"/>
        </w:rPr>
        <w:t xml:space="preserve">. Sebbene non sia stata documentata </w:t>
      </w:r>
      <w:proofErr w:type="spellStart"/>
      <w:r w:rsidRPr="005B2844">
        <w:rPr>
          <w:szCs w:val="22"/>
        </w:rPr>
        <w:t>iperpotassemia</w:t>
      </w:r>
      <w:proofErr w:type="spellEnd"/>
      <w:r w:rsidRPr="005B2844">
        <w:rPr>
          <w:szCs w:val="22"/>
        </w:rPr>
        <w:t xml:space="preserve"> clinicamente significativa associata all'uso di </w:t>
      </w:r>
      <w:proofErr w:type="spellStart"/>
      <w:r w:rsidRPr="005B2844">
        <w:rPr>
          <w:szCs w:val="22"/>
        </w:rPr>
        <w:t>MicardisPlus</w:t>
      </w:r>
      <w:proofErr w:type="spellEnd"/>
      <w:r w:rsidRPr="005B2844">
        <w:rPr>
          <w:szCs w:val="22"/>
        </w:rPr>
        <w:t xml:space="preserve">, i fattori di rischio per lo sviluppo di </w:t>
      </w:r>
      <w:proofErr w:type="spellStart"/>
      <w:r w:rsidRPr="005B2844">
        <w:rPr>
          <w:szCs w:val="22"/>
        </w:rPr>
        <w:t>iperpotassemia</w:t>
      </w:r>
      <w:proofErr w:type="spellEnd"/>
      <w:r w:rsidRPr="005B2844">
        <w:rPr>
          <w:szCs w:val="22"/>
        </w:rPr>
        <w:t xml:space="preserve"> includono insufficienza renale e/o insufficienza cardiaca e diabete mellito. Diuretici potassio-risparmiatori, integratori di potassio, sostitutivi del sale contenenti potassio devono essere somministrati con cautela in concomitanza con </w:t>
      </w:r>
      <w:proofErr w:type="spellStart"/>
      <w:r w:rsidRPr="005B2844">
        <w:rPr>
          <w:szCs w:val="22"/>
        </w:rPr>
        <w:t>MicardisPlus</w:t>
      </w:r>
      <w:proofErr w:type="spellEnd"/>
      <w:r w:rsidRPr="005B2844">
        <w:rPr>
          <w:szCs w:val="22"/>
        </w:rPr>
        <w:t xml:space="preserve"> (vedere </w:t>
      </w:r>
      <w:r w:rsidR="00BD3A27" w:rsidRPr="005B2844">
        <w:rPr>
          <w:szCs w:val="22"/>
        </w:rPr>
        <w:t xml:space="preserve">paragrafo </w:t>
      </w:r>
      <w:r w:rsidRPr="005B2844">
        <w:rPr>
          <w:szCs w:val="22"/>
        </w:rPr>
        <w:t>4.5).</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Iponatremia</w:t>
      </w:r>
      <w:proofErr w:type="spellEnd"/>
      <w:r w:rsidRPr="005B2844">
        <w:rPr>
          <w:szCs w:val="22"/>
        </w:rPr>
        <w:t xml:space="preserve"> e alcalosi </w:t>
      </w:r>
      <w:proofErr w:type="spellStart"/>
      <w:r w:rsidRPr="005B2844">
        <w:rPr>
          <w:szCs w:val="22"/>
        </w:rPr>
        <w:t>ipocloremica</w:t>
      </w:r>
      <w:proofErr w:type="spellEnd"/>
    </w:p>
    <w:p w:rsidR="00A70FCB" w:rsidRPr="005B2844" w:rsidRDefault="00A70FCB" w:rsidP="0072602F">
      <w:pPr>
        <w:pStyle w:val="BodyText2"/>
        <w:tabs>
          <w:tab w:val="clear" w:pos="567"/>
        </w:tabs>
        <w:ind w:left="0" w:firstLine="0"/>
        <w:rPr>
          <w:szCs w:val="22"/>
        </w:rPr>
      </w:pPr>
      <w:r w:rsidRPr="005B2844">
        <w:rPr>
          <w:szCs w:val="22"/>
        </w:rPr>
        <w:t xml:space="preserve">Non c'è evidenza che </w:t>
      </w:r>
      <w:proofErr w:type="spellStart"/>
      <w:r w:rsidRPr="005B2844">
        <w:rPr>
          <w:szCs w:val="22"/>
        </w:rPr>
        <w:t>MicardisPlus</w:t>
      </w:r>
      <w:proofErr w:type="spellEnd"/>
      <w:r w:rsidRPr="005B2844">
        <w:rPr>
          <w:szCs w:val="22"/>
        </w:rPr>
        <w:t xml:space="preserve"> riduca o prevenga l'</w:t>
      </w:r>
      <w:proofErr w:type="spellStart"/>
      <w:r w:rsidRPr="005B2844">
        <w:rPr>
          <w:szCs w:val="22"/>
        </w:rPr>
        <w:t>iponatremia</w:t>
      </w:r>
      <w:proofErr w:type="spellEnd"/>
      <w:r w:rsidRPr="005B2844">
        <w:rPr>
          <w:szCs w:val="22"/>
        </w:rPr>
        <w:t xml:space="preserve"> indotta da diuretici.</w:t>
      </w:r>
    </w:p>
    <w:p w:rsidR="00A70FCB" w:rsidRPr="005B2844" w:rsidRDefault="00A70FCB" w:rsidP="0072602F">
      <w:pPr>
        <w:pStyle w:val="BodyText2"/>
        <w:tabs>
          <w:tab w:val="clear" w:pos="567"/>
        </w:tabs>
        <w:ind w:left="0" w:firstLine="0"/>
        <w:rPr>
          <w:szCs w:val="22"/>
        </w:rPr>
      </w:pPr>
      <w:r w:rsidRPr="005B2844">
        <w:rPr>
          <w:szCs w:val="22"/>
        </w:rPr>
        <w:t>La deficienza di cloruro è generalmente lieve e solitamente non richiede trattamento.</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left" w:pos="567"/>
        </w:tabs>
        <w:ind w:left="0" w:firstLine="0"/>
        <w:rPr>
          <w:szCs w:val="22"/>
        </w:rPr>
      </w:pPr>
      <w:r w:rsidRPr="005B2844">
        <w:rPr>
          <w:szCs w:val="22"/>
        </w:rPr>
        <w:t>-</w:t>
      </w:r>
      <w:r w:rsidRPr="005B2844">
        <w:rPr>
          <w:szCs w:val="22"/>
        </w:rPr>
        <w:tab/>
        <w:t>Ipercalcemia</w:t>
      </w:r>
    </w:p>
    <w:p w:rsidR="00A70FCB" w:rsidRPr="005B2844" w:rsidRDefault="00A70FCB" w:rsidP="0072602F">
      <w:pPr>
        <w:pStyle w:val="BodyText2"/>
        <w:tabs>
          <w:tab w:val="clear" w:pos="567"/>
        </w:tabs>
        <w:ind w:left="0" w:firstLine="0"/>
        <w:rPr>
          <w:szCs w:val="22"/>
        </w:rPr>
      </w:pPr>
      <w:r w:rsidRPr="005B2844">
        <w:rPr>
          <w:szCs w:val="22"/>
        </w:rPr>
        <w:t xml:space="preserve">I diuretici tiazidici possono ridurre l'escrezione urinaria del calcio e causare, in assenza di disturbi noti del metabolismo del calcio, un intermittente e lieve aumento del calcio sierico. Un'ipercalcemia marcata può essere indicativa di iperparatiroidismo latente. La somministrazione di diuretici tiazidici </w:t>
      </w:r>
      <w:r w:rsidR="002A6781" w:rsidRPr="005B2844">
        <w:rPr>
          <w:szCs w:val="22"/>
        </w:rPr>
        <w:t>deve</w:t>
      </w:r>
      <w:r w:rsidRPr="005B2844">
        <w:rPr>
          <w:szCs w:val="22"/>
        </w:rPr>
        <w:t xml:space="preserve"> essere sospesa prima di effettuare i test di funzionalità paratiroidea.</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Ipomagnesemia</w:t>
      </w:r>
      <w:proofErr w:type="spellEnd"/>
    </w:p>
    <w:p w:rsidR="00A70FCB" w:rsidRPr="005B2844" w:rsidRDefault="00A70FCB" w:rsidP="0072602F">
      <w:pPr>
        <w:pStyle w:val="BodyText2"/>
        <w:tabs>
          <w:tab w:val="clear" w:pos="567"/>
        </w:tabs>
        <w:ind w:left="0" w:firstLine="0"/>
        <w:rPr>
          <w:szCs w:val="22"/>
        </w:rPr>
      </w:pPr>
      <w:r w:rsidRPr="005B2844">
        <w:rPr>
          <w:szCs w:val="22"/>
        </w:rPr>
        <w:t xml:space="preserve">I diuretici tiazidici hanno dimostrato di aumentare l'escrezione urinaria del magnesio determinando </w:t>
      </w:r>
      <w:proofErr w:type="spellStart"/>
      <w:r w:rsidRPr="005B2844">
        <w:rPr>
          <w:szCs w:val="22"/>
        </w:rPr>
        <w:t>ipomagnesemia</w:t>
      </w:r>
      <w:proofErr w:type="spellEnd"/>
      <w:r w:rsidRPr="005B2844">
        <w:rPr>
          <w:szCs w:val="22"/>
        </w:rPr>
        <w:t xml:space="preserve"> (vedere </w:t>
      </w:r>
      <w:r w:rsidR="005D44B5" w:rsidRPr="005B2844">
        <w:rPr>
          <w:szCs w:val="22"/>
        </w:rPr>
        <w:t xml:space="preserve">paragrafo </w:t>
      </w:r>
      <w:r w:rsidRPr="005B2844">
        <w:rPr>
          <w:szCs w:val="22"/>
        </w:rPr>
        <w:t>4.5).</w:t>
      </w:r>
    </w:p>
    <w:p w:rsidR="00A70FCB" w:rsidRPr="005B2844" w:rsidRDefault="00A70FCB" w:rsidP="0072602F">
      <w:pPr>
        <w:pStyle w:val="BodyText2"/>
        <w:tabs>
          <w:tab w:val="clear" w:pos="567"/>
        </w:tabs>
        <w:ind w:left="0" w:firstLine="0"/>
        <w:rPr>
          <w:szCs w:val="22"/>
        </w:rPr>
      </w:pPr>
    </w:p>
    <w:p w:rsidR="00BC4D08" w:rsidRPr="005B2844" w:rsidRDefault="00A70FCB" w:rsidP="002229F2">
      <w:pPr>
        <w:keepNext/>
        <w:rPr>
          <w:szCs w:val="22"/>
        </w:rPr>
      </w:pPr>
      <w:r w:rsidRPr="005B2844">
        <w:rPr>
          <w:szCs w:val="22"/>
          <w:u w:val="single"/>
        </w:rPr>
        <w:t>Sorbitolo</w:t>
      </w:r>
      <w:r w:rsidR="0082071F" w:rsidRPr="005B2844">
        <w:rPr>
          <w:szCs w:val="22"/>
          <w:u w:val="single"/>
        </w:rPr>
        <w:t xml:space="preserve"> e Lattosio Monoidrato</w:t>
      </w:r>
    </w:p>
    <w:p w:rsidR="00BC4D08" w:rsidRPr="005B2844" w:rsidRDefault="00BC4D08" w:rsidP="002229F2">
      <w:pPr>
        <w:keepNext/>
        <w:rPr>
          <w:szCs w:val="22"/>
        </w:rPr>
      </w:pPr>
    </w:p>
    <w:p w:rsidR="00A70FCB" w:rsidRPr="005B2844" w:rsidRDefault="0082071F" w:rsidP="0072602F">
      <w:pPr>
        <w:rPr>
          <w:szCs w:val="22"/>
        </w:rPr>
      </w:pPr>
      <w:r w:rsidRPr="005B2844">
        <w:rPr>
          <w:szCs w:val="22"/>
        </w:rPr>
        <w:t>Questo medicinale contiene lattosio monoidrato e sorbitolo.</w:t>
      </w:r>
      <w:r w:rsidR="00A70FCB" w:rsidRPr="005B2844">
        <w:rPr>
          <w:szCs w:val="22"/>
        </w:rPr>
        <w:t xml:space="preserve"> </w:t>
      </w:r>
      <w:r w:rsidR="00342AF7" w:rsidRPr="005B2844">
        <w:rPr>
          <w:szCs w:val="22"/>
        </w:rPr>
        <w:t xml:space="preserve">I </w:t>
      </w:r>
      <w:r w:rsidR="00A70FCB" w:rsidRPr="005B2844">
        <w:rPr>
          <w:szCs w:val="22"/>
        </w:rPr>
        <w:t xml:space="preserve">pazienti </w:t>
      </w:r>
      <w:r w:rsidR="00597174" w:rsidRPr="005B2844">
        <w:rPr>
          <w:szCs w:val="22"/>
        </w:rPr>
        <w:t xml:space="preserve">affetti da </w:t>
      </w:r>
      <w:r w:rsidRPr="005B2844">
        <w:rPr>
          <w:szCs w:val="22"/>
        </w:rPr>
        <w:t xml:space="preserve">rari </w:t>
      </w:r>
      <w:r w:rsidR="00342AF7" w:rsidRPr="005B2844">
        <w:rPr>
          <w:szCs w:val="22"/>
        </w:rPr>
        <w:t xml:space="preserve">problemi ereditari di </w:t>
      </w:r>
      <w:r w:rsidR="00A70FCB" w:rsidRPr="005B2844">
        <w:rPr>
          <w:szCs w:val="22"/>
        </w:rPr>
        <w:t>intolleranza al fruttosio</w:t>
      </w:r>
      <w:r w:rsidR="00342AF7" w:rsidRPr="005B2844">
        <w:rPr>
          <w:szCs w:val="22"/>
        </w:rPr>
        <w:t xml:space="preserve"> </w:t>
      </w:r>
      <w:r w:rsidRPr="005B2844">
        <w:rPr>
          <w:szCs w:val="22"/>
        </w:rPr>
        <w:t xml:space="preserve">e/o al galattosio, </w:t>
      </w:r>
      <w:r w:rsidR="00BB1BDD" w:rsidRPr="005B2844">
        <w:rPr>
          <w:szCs w:val="22"/>
        </w:rPr>
        <w:t xml:space="preserve">da deficit di </w:t>
      </w:r>
      <w:proofErr w:type="spellStart"/>
      <w:r w:rsidR="00BB1BDD" w:rsidRPr="005B2844">
        <w:rPr>
          <w:szCs w:val="22"/>
        </w:rPr>
        <w:t>Lapp</w:t>
      </w:r>
      <w:proofErr w:type="spellEnd"/>
      <w:r w:rsidR="00BB1BDD" w:rsidRPr="005B2844">
        <w:rPr>
          <w:szCs w:val="22"/>
        </w:rPr>
        <w:t xml:space="preserve"> lattasi</w:t>
      </w:r>
      <w:r w:rsidR="00597174" w:rsidRPr="005B2844">
        <w:rPr>
          <w:szCs w:val="22"/>
        </w:rPr>
        <w:t xml:space="preserve"> o da malassorbimento di glucosio-galattosio </w:t>
      </w:r>
      <w:r w:rsidR="00342AF7" w:rsidRPr="005B2844">
        <w:rPr>
          <w:szCs w:val="22"/>
        </w:rPr>
        <w:t xml:space="preserve">non devono assumere </w:t>
      </w:r>
      <w:r w:rsidR="00597174" w:rsidRPr="005B2844">
        <w:rPr>
          <w:szCs w:val="22"/>
        </w:rPr>
        <w:t xml:space="preserve">questo </w:t>
      </w:r>
      <w:r w:rsidR="0096213C" w:rsidRPr="005B2844">
        <w:rPr>
          <w:szCs w:val="22"/>
        </w:rPr>
        <w:t>medicinale</w:t>
      </w:r>
      <w:r w:rsidR="00A70FCB" w:rsidRPr="005B2844">
        <w:rPr>
          <w:szCs w:val="22"/>
        </w:rPr>
        <w:t>.</w:t>
      </w:r>
    </w:p>
    <w:p w:rsidR="00A70FCB" w:rsidRPr="005B2844" w:rsidRDefault="00A70FCB" w:rsidP="0072602F">
      <w:pPr>
        <w:rPr>
          <w:szCs w:val="22"/>
        </w:rPr>
      </w:pPr>
    </w:p>
    <w:p w:rsidR="00BC4D08" w:rsidRPr="005B2844" w:rsidRDefault="00A70FCB" w:rsidP="002229F2">
      <w:pPr>
        <w:keepNext/>
        <w:rPr>
          <w:szCs w:val="22"/>
        </w:rPr>
      </w:pPr>
      <w:r w:rsidRPr="005B2844">
        <w:rPr>
          <w:szCs w:val="22"/>
          <w:u w:val="single"/>
        </w:rPr>
        <w:t>Differenze etniche</w:t>
      </w:r>
    </w:p>
    <w:p w:rsidR="00BC4D08" w:rsidRPr="005B2844" w:rsidRDefault="00BC4D08" w:rsidP="002229F2">
      <w:pPr>
        <w:keepNext/>
        <w:rPr>
          <w:szCs w:val="22"/>
        </w:rPr>
      </w:pPr>
    </w:p>
    <w:p w:rsidR="00A70FCB" w:rsidRPr="005B2844" w:rsidRDefault="00A70FCB" w:rsidP="0072602F">
      <w:pPr>
        <w:rPr>
          <w:szCs w:val="22"/>
        </w:rPr>
      </w:pPr>
      <w:r w:rsidRPr="005B2844">
        <w:rPr>
          <w:szCs w:val="22"/>
        </w:rPr>
        <w:t xml:space="preserve">Come tutti gli altri antagonisti </w:t>
      </w:r>
      <w:r w:rsidR="00DE696D" w:rsidRPr="005B2844">
        <w:rPr>
          <w:szCs w:val="22"/>
        </w:rPr>
        <w:t xml:space="preserve">del recettore </w:t>
      </w:r>
      <w:r w:rsidRPr="005B2844">
        <w:rPr>
          <w:szCs w:val="22"/>
        </w:rPr>
        <w:t>dell'angiotensina</w:t>
      </w:r>
      <w:r w:rsidR="00DE696D" w:rsidRPr="005B2844">
        <w:rPr>
          <w:szCs w:val="22"/>
        </w:rPr>
        <w:t xml:space="preserve"> II</w:t>
      </w:r>
      <w:r w:rsidRPr="005B2844">
        <w:rPr>
          <w:szCs w:val="22"/>
        </w:rPr>
        <w:t xml:space="preserve">, </w:t>
      </w:r>
      <w:proofErr w:type="spellStart"/>
      <w:r w:rsidRPr="005B2844">
        <w:rPr>
          <w:szCs w:val="22"/>
        </w:rPr>
        <w:t>telmisartan</w:t>
      </w:r>
      <w:proofErr w:type="spellEnd"/>
      <w:r w:rsidRPr="005B2844">
        <w:rPr>
          <w:szCs w:val="22"/>
        </w:rPr>
        <w:t xml:space="preserve"> è apparentemente meno efficace nel ridurre la pressione sanguigna nei pazienti di razza nera rispetto ai pazienti di razza bianca, probabilmente a causa di una maggiore prevalenza di bassi livelli </w:t>
      </w:r>
      <w:r w:rsidR="0040046C" w:rsidRPr="005B2844">
        <w:rPr>
          <w:szCs w:val="22"/>
        </w:rPr>
        <w:t xml:space="preserve">di </w:t>
      </w:r>
      <w:r w:rsidRPr="005B2844">
        <w:rPr>
          <w:szCs w:val="22"/>
        </w:rPr>
        <w:t>renina nella popolazione di ipertesi di colore.</w:t>
      </w:r>
    </w:p>
    <w:p w:rsidR="00A70FCB" w:rsidRPr="005B2844" w:rsidRDefault="00A70FCB" w:rsidP="0072602F">
      <w:pPr>
        <w:rPr>
          <w:szCs w:val="22"/>
        </w:rPr>
      </w:pPr>
    </w:p>
    <w:p w:rsidR="00BC4D08" w:rsidRPr="005B2844" w:rsidRDefault="00A70FCB" w:rsidP="002229F2">
      <w:pPr>
        <w:pStyle w:val="BodyText30"/>
        <w:keepNext/>
        <w:widowControl/>
        <w:rPr>
          <w:szCs w:val="22"/>
          <w:lang w:val="it-IT"/>
        </w:rPr>
      </w:pPr>
      <w:r w:rsidRPr="005B2844">
        <w:rPr>
          <w:szCs w:val="22"/>
          <w:u w:val="single"/>
          <w:lang w:val="it-IT"/>
        </w:rPr>
        <w:t>Altro</w:t>
      </w:r>
    </w:p>
    <w:p w:rsidR="00BC4D08" w:rsidRPr="005B2844" w:rsidRDefault="00BC4D08" w:rsidP="002229F2">
      <w:pPr>
        <w:pStyle w:val="BodyText30"/>
        <w:keepNext/>
        <w:widowControl/>
        <w:rPr>
          <w:szCs w:val="22"/>
          <w:lang w:val="it-IT"/>
        </w:rPr>
      </w:pPr>
    </w:p>
    <w:p w:rsidR="00A70FCB" w:rsidRPr="005B2844" w:rsidRDefault="00A70FCB" w:rsidP="0072602F">
      <w:pPr>
        <w:pStyle w:val="BodyText30"/>
        <w:widowControl/>
        <w:rPr>
          <w:szCs w:val="22"/>
          <w:lang w:val="it-IT"/>
        </w:rPr>
      </w:pPr>
      <w:r w:rsidRPr="005B2844">
        <w:rPr>
          <w:szCs w:val="22"/>
          <w:lang w:val="it-IT"/>
        </w:rPr>
        <w:t>Come con qualsiasi agente antipertensivo, un'eccessiva diminuzione della pressione sanguigna in pazienti con cardiopatia ischemica o patologia cardiovascolare ischemica potrebbe causare infarto del miocardio o ictus.</w:t>
      </w:r>
    </w:p>
    <w:p w:rsidR="00A70FCB" w:rsidRPr="005B2844" w:rsidRDefault="00A70FCB" w:rsidP="0072602F">
      <w:pPr>
        <w:rPr>
          <w:szCs w:val="22"/>
        </w:rPr>
      </w:pPr>
    </w:p>
    <w:p w:rsidR="00BC4D08" w:rsidRPr="005B2844" w:rsidRDefault="00A70FCB" w:rsidP="002229F2">
      <w:pPr>
        <w:keepNext/>
        <w:rPr>
          <w:szCs w:val="22"/>
        </w:rPr>
      </w:pPr>
      <w:r w:rsidRPr="005B2844">
        <w:rPr>
          <w:szCs w:val="22"/>
          <w:u w:val="single"/>
        </w:rPr>
        <w:t>Generale</w:t>
      </w:r>
    </w:p>
    <w:p w:rsidR="00BC4D08" w:rsidRPr="005B2844" w:rsidRDefault="00BC4D08" w:rsidP="002229F2">
      <w:pPr>
        <w:keepNext/>
        <w:rPr>
          <w:szCs w:val="22"/>
        </w:rPr>
      </w:pPr>
    </w:p>
    <w:p w:rsidR="00A70FCB" w:rsidRPr="005B2844" w:rsidRDefault="00A70FCB" w:rsidP="0072602F">
      <w:pPr>
        <w:rPr>
          <w:szCs w:val="22"/>
        </w:rPr>
      </w:pPr>
      <w:r w:rsidRPr="005B2844">
        <w:rPr>
          <w:szCs w:val="22"/>
        </w:rPr>
        <w:t xml:space="preserve">Reazioni di ipersensibilità alla </w:t>
      </w:r>
      <w:proofErr w:type="spellStart"/>
      <w:r w:rsidRPr="005B2844">
        <w:rPr>
          <w:szCs w:val="22"/>
        </w:rPr>
        <w:t>idroclorotiazide</w:t>
      </w:r>
      <w:proofErr w:type="spellEnd"/>
      <w:r w:rsidRPr="005B2844">
        <w:rPr>
          <w:szCs w:val="22"/>
        </w:rPr>
        <w:t xml:space="preserve"> possono verificarsi in pazienti con o senza storia precedente di </w:t>
      </w:r>
      <w:r w:rsidR="00405599" w:rsidRPr="005B2844">
        <w:rPr>
          <w:szCs w:val="22"/>
        </w:rPr>
        <w:t xml:space="preserve">allergia </w:t>
      </w:r>
      <w:r w:rsidRPr="005B2844">
        <w:rPr>
          <w:szCs w:val="22"/>
        </w:rPr>
        <w:t>o asma bronchiale, ma è più probabile che si verifichi</w:t>
      </w:r>
      <w:r w:rsidR="007473C8" w:rsidRPr="005B2844">
        <w:rPr>
          <w:szCs w:val="22"/>
        </w:rPr>
        <w:t>no</w:t>
      </w:r>
      <w:r w:rsidRPr="005B2844">
        <w:rPr>
          <w:szCs w:val="22"/>
        </w:rPr>
        <w:t xml:space="preserve"> in pazienti con tale anamnesi.</w:t>
      </w:r>
    </w:p>
    <w:p w:rsidR="00A70FCB" w:rsidRPr="005B2844" w:rsidRDefault="00A70FCB" w:rsidP="0072602F">
      <w:pPr>
        <w:rPr>
          <w:szCs w:val="22"/>
        </w:rPr>
      </w:pPr>
      <w:r w:rsidRPr="005B2844">
        <w:rPr>
          <w:szCs w:val="22"/>
        </w:rPr>
        <w:t>Con l'uso di diuretici tiazidici</w:t>
      </w:r>
      <w:r w:rsidR="00100039" w:rsidRPr="005B2844">
        <w:rPr>
          <w:szCs w:val="22"/>
        </w:rPr>
        <w:t xml:space="preserve">, compresa </w:t>
      </w:r>
      <w:proofErr w:type="spellStart"/>
      <w:r w:rsidR="00100039" w:rsidRPr="005B2844">
        <w:rPr>
          <w:szCs w:val="22"/>
        </w:rPr>
        <w:t>idroclorotiazide</w:t>
      </w:r>
      <w:proofErr w:type="spellEnd"/>
      <w:r w:rsidR="00100039" w:rsidRPr="005B2844">
        <w:rPr>
          <w:szCs w:val="22"/>
        </w:rPr>
        <w:t>,</w:t>
      </w:r>
      <w:r w:rsidRPr="005B2844">
        <w:rPr>
          <w:szCs w:val="22"/>
        </w:rPr>
        <w:t xml:space="preserve"> è stata riportata esacerbazione o attivazione di lupus eritematoso sistemico.</w:t>
      </w:r>
    </w:p>
    <w:p w:rsidR="00405599" w:rsidRPr="005B2844" w:rsidRDefault="00405599" w:rsidP="00405599">
      <w:pPr>
        <w:rPr>
          <w:szCs w:val="22"/>
        </w:rPr>
      </w:pPr>
      <w:bookmarkStart w:id="1" w:name="OLE_LINK17"/>
      <w:r w:rsidRPr="005B2844">
        <w:rPr>
          <w:szCs w:val="22"/>
        </w:rPr>
        <w:t xml:space="preserve">Casi di reazioni di fotosensibilità sono stati riportati con i diuretici tiazidici (vedere paragrafo 4.8). Se durante il trattamento si manifesta una reazione di fotosensibilità, si raccomanda di sospendere il trattamento. Se la </w:t>
      </w:r>
      <w:proofErr w:type="spellStart"/>
      <w:r w:rsidRPr="005B2844">
        <w:rPr>
          <w:szCs w:val="22"/>
        </w:rPr>
        <w:t>risomministrazione</w:t>
      </w:r>
      <w:proofErr w:type="spellEnd"/>
      <w:r w:rsidRPr="005B2844">
        <w:rPr>
          <w:szCs w:val="22"/>
        </w:rPr>
        <w:t xml:space="preserve"> del diuretico è ritenuta necessaria, si raccomanda di proteggere le aree esposte ai raggi solari o </w:t>
      </w:r>
      <w:r w:rsidR="004276CB" w:rsidRPr="005B2844">
        <w:rPr>
          <w:szCs w:val="22"/>
        </w:rPr>
        <w:t xml:space="preserve">ai raggi </w:t>
      </w:r>
      <w:r w:rsidRPr="005B2844">
        <w:rPr>
          <w:szCs w:val="22"/>
        </w:rPr>
        <w:t>UVA</w:t>
      </w:r>
      <w:r w:rsidR="004276CB" w:rsidRPr="005B2844">
        <w:rPr>
          <w:szCs w:val="22"/>
        </w:rPr>
        <w:t xml:space="preserve"> artificiali</w:t>
      </w:r>
      <w:r w:rsidRPr="005B2844">
        <w:rPr>
          <w:szCs w:val="22"/>
        </w:rPr>
        <w:t>.</w:t>
      </w:r>
    </w:p>
    <w:bookmarkEnd w:id="1"/>
    <w:p w:rsidR="00A70FCB" w:rsidRPr="005B2844" w:rsidRDefault="00A70FCB" w:rsidP="0072602F">
      <w:pPr>
        <w:rPr>
          <w:szCs w:val="22"/>
        </w:rPr>
      </w:pPr>
    </w:p>
    <w:p w:rsidR="008F4002" w:rsidRPr="005B2844" w:rsidRDefault="00CE73E8" w:rsidP="008F4002">
      <w:pPr>
        <w:keepNext/>
        <w:rPr>
          <w:szCs w:val="22"/>
          <w:u w:val="single"/>
        </w:rPr>
      </w:pPr>
      <w:r>
        <w:rPr>
          <w:szCs w:val="22"/>
          <w:u w:val="single"/>
        </w:rPr>
        <w:t xml:space="preserve">Effusione </w:t>
      </w:r>
      <w:proofErr w:type="spellStart"/>
      <w:r>
        <w:rPr>
          <w:szCs w:val="22"/>
          <w:u w:val="single"/>
        </w:rPr>
        <w:t>coroidale</w:t>
      </w:r>
      <w:proofErr w:type="spellEnd"/>
      <w:r>
        <w:rPr>
          <w:szCs w:val="22"/>
          <w:u w:val="single"/>
        </w:rPr>
        <w:t>, m</w:t>
      </w:r>
      <w:r w:rsidR="008F4002" w:rsidRPr="005B2844">
        <w:rPr>
          <w:szCs w:val="22"/>
          <w:u w:val="single"/>
        </w:rPr>
        <w:t>iopia e glaucoma ad angolo chiuso acut</w:t>
      </w:r>
      <w:r>
        <w:rPr>
          <w:szCs w:val="22"/>
          <w:u w:val="single"/>
        </w:rPr>
        <w:t>o</w:t>
      </w:r>
    </w:p>
    <w:p w:rsidR="008F4002" w:rsidRPr="005B2844" w:rsidRDefault="008F4002" w:rsidP="008F4002">
      <w:pPr>
        <w:keepNext/>
        <w:rPr>
          <w:szCs w:val="22"/>
        </w:rPr>
      </w:pPr>
    </w:p>
    <w:p w:rsidR="008F4002" w:rsidRPr="005B2844" w:rsidRDefault="008F4002" w:rsidP="008F4002">
      <w:pPr>
        <w:rPr>
          <w:szCs w:val="22"/>
        </w:rPr>
      </w:pPr>
      <w:r w:rsidRPr="005B2844">
        <w:rPr>
          <w:szCs w:val="22"/>
        </w:rPr>
        <w:t>L’</w:t>
      </w:r>
      <w:proofErr w:type="spellStart"/>
      <w:r w:rsidRPr="005B2844">
        <w:rPr>
          <w:szCs w:val="22"/>
        </w:rPr>
        <w:t>idroclorotiazide</w:t>
      </w:r>
      <w:proofErr w:type="spellEnd"/>
      <w:r w:rsidRPr="005B2844">
        <w:rPr>
          <w:szCs w:val="22"/>
        </w:rPr>
        <w:t xml:space="preserve">, una sulfonamide, può causare una reazione idiosincratica, con conseguenti </w:t>
      </w:r>
      <w:r w:rsidR="00CE73E8">
        <w:rPr>
          <w:szCs w:val="22"/>
        </w:rPr>
        <w:t xml:space="preserve">effusione </w:t>
      </w:r>
      <w:proofErr w:type="spellStart"/>
      <w:r w:rsidR="00CE73E8">
        <w:rPr>
          <w:szCs w:val="22"/>
        </w:rPr>
        <w:t>coroidale</w:t>
      </w:r>
      <w:proofErr w:type="spellEnd"/>
      <w:r w:rsidR="00CE73E8">
        <w:rPr>
          <w:szCs w:val="22"/>
        </w:rPr>
        <w:t xml:space="preserve"> con difetti del campo visivo, </w:t>
      </w:r>
      <w:r w:rsidRPr="005B2844">
        <w:rPr>
          <w:szCs w:val="22"/>
        </w:rPr>
        <w:t xml:space="preserve">miopia transitoria acuta e glaucoma </w:t>
      </w:r>
      <w:r w:rsidR="00BD7A07" w:rsidRPr="005B2844">
        <w:rPr>
          <w:szCs w:val="22"/>
        </w:rPr>
        <w:t xml:space="preserve">acuto </w:t>
      </w:r>
      <w:r w:rsidRPr="005B2844">
        <w:rPr>
          <w:szCs w:val="22"/>
        </w:rPr>
        <w:t xml:space="preserve">ad angolo chiuso. I sintomi includono l’insorgenza acuta di una diminuzione dell’acutezza visiva o di dolore oculare e tipicamente si verificano da ore a settimane dopo l’inizio dell’assunzione del medicinale. Il glaucoma </w:t>
      </w:r>
      <w:r w:rsidR="00BD7A07" w:rsidRPr="005B2844">
        <w:rPr>
          <w:szCs w:val="22"/>
        </w:rPr>
        <w:t xml:space="preserve">acuto </w:t>
      </w:r>
      <w:r w:rsidRPr="005B2844">
        <w:rPr>
          <w:szCs w:val="22"/>
        </w:rPr>
        <w:t xml:space="preserve">ad angolo chiuso non trattato può portare </w:t>
      </w:r>
      <w:r w:rsidR="00081079" w:rsidRPr="005B2844">
        <w:rPr>
          <w:szCs w:val="22"/>
        </w:rPr>
        <w:t>alla</w:t>
      </w:r>
      <w:r w:rsidRPr="005B2844">
        <w:rPr>
          <w:szCs w:val="22"/>
        </w:rPr>
        <w:t xml:space="preserve"> perdita permanente della vista. Il trattamento primario consiste nell’interrompere l’</w:t>
      </w:r>
      <w:proofErr w:type="spellStart"/>
      <w:r w:rsidRPr="005B2844">
        <w:rPr>
          <w:szCs w:val="22"/>
        </w:rPr>
        <w:t>idroclorotiazide</w:t>
      </w:r>
      <w:proofErr w:type="spellEnd"/>
      <w:r w:rsidRPr="005B2844">
        <w:rPr>
          <w:szCs w:val="22"/>
        </w:rPr>
        <w:t xml:space="preserve"> il più rapidamente possibile. Può essere necessario prendere in considerazione dei trattamenti medici o chirurgici immediati se la pressione intraoculare rimane incontrollata. I fattori di rischio per lo sviluppo del glaucoma </w:t>
      </w:r>
      <w:r w:rsidR="00081079" w:rsidRPr="005B2844">
        <w:rPr>
          <w:szCs w:val="22"/>
        </w:rPr>
        <w:t xml:space="preserve">acuto </w:t>
      </w:r>
      <w:r w:rsidRPr="005B2844">
        <w:rPr>
          <w:szCs w:val="22"/>
        </w:rPr>
        <w:t>ad angolo chiuso possono includere una storia di allergia alla sulfonamide o alla penicillina.</w:t>
      </w:r>
    </w:p>
    <w:p w:rsidR="008F4002" w:rsidRPr="005B2844" w:rsidRDefault="008F4002" w:rsidP="0072602F">
      <w:pPr>
        <w:rPr>
          <w:szCs w:val="22"/>
        </w:rPr>
      </w:pPr>
    </w:p>
    <w:p w:rsidR="00F82465" w:rsidRPr="005B2844" w:rsidRDefault="00F82465" w:rsidP="00F82465">
      <w:pPr>
        <w:pStyle w:val="Default"/>
        <w:spacing w:after="140"/>
        <w:rPr>
          <w:rFonts w:ascii="Times New Roman" w:hAnsi="Times New Roman" w:cs="Times New Roman"/>
          <w:sz w:val="22"/>
          <w:szCs w:val="22"/>
        </w:rPr>
      </w:pPr>
      <w:r w:rsidRPr="005B2844">
        <w:rPr>
          <w:rFonts w:ascii="Times New Roman" w:hAnsi="Times New Roman" w:cs="Times New Roman"/>
          <w:iCs/>
          <w:sz w:val="22"/>
          <w:szCs w:val="22"/>
          <w:u w:val="single"/>
        </w:rPr>
        <w:t>Cancro della pelle non melanoma</w:t>
      </w:r>
    </w:p>
    <w:p w:rsidR="00F82465" w:rsidRPr="005B2844" w:rsidRDefault="00F82465" w:rsidP="00F82465">
      <w:pPr>
        <w:pStyle w:val="Default"/>
        <w:spacing w:after="140"/>
        <w:rPr>
          <w:rFonts w:ascii="Times New Roman" w:hAnsi="Times New Roman" w:cs="Times New Roman"/>
          <w:sz w:val="22"/>
          <w:szCs w:val="22"/>
        </w:rPr>
      </w:pPr>
      <w:r w:rsidRPr="005B2844">
        <w:rPr>
          <w:rFonts w:ascii="Times New Roman" w:hAnsi="Times New Roman" w:cs="Times New Roman"/>
          <w:sz w:val="22"/>
          <w:szCs w:val="22"/>
        </w:rPr>
        <w:t>In due studi epidemiologici basati sui dati del Registro nazionale dei tumori danese è stato osservato un aumento del rischio di cancro della pelle non-melanoma</w:t>
      </w:r>
      <w:r w:rsidR="00136892" w:rsidRPr="005B2844">
        <w:rPr>
          <w:rFonts w:ascii="Times New Roman" w:hAnsi="Times New Roman" w:cs="Times New Roman"/>
          <w:sz w:val="22"/>
          <w:szCs w:val="22"/>
        </w:rPr>
        <w:t xml:space="preserve"> </w:t>
      </w:r>
      <w:r w:rsidRPr="005B2844">
        <w:rPr>
          <w:rFonts w:ascii="Times New Roman" w:hAnsi="Times New Roman" w:cs="Times New Roman"/>
          <w:sz w:val="22"/>
          <w:szCs w:val="22"/>
        </w:rPr>
        <w:t xml:space="preserve">(NMSC) [carcinoma </w:t>
      </w:r>
      <w:proofErr w:type="spellStart"/>
      <w:r w:rsidRPr="005B2844">
        <w:rPr>
          <w:rFonts w:ascii="Times New Roman" w:hAnsi="Times New Roman" w:cs="Times New Roman"/>
          <w:sz w:val="22"/>
          <w:szCs w:val="22"/>
        </w:rPr>
        <w:t>basocellulare</w:t>
      </w:r>
      <w:proofErr w:type="spellEnd"/>
      <w:r w:rsidRPr="005B2844">
        <w:rPr>
          <w:rFonts w:ascii="Times New Roman" w:hAnsi="Times New Roman" w:cs="Times New Roman"/>
          <w:sz w:val="22"/>
          <w:szCs w:val="22"/>
        </w:rPr>
        <w:t xml:space="preserve"> (BCC) e carcinoma a cellule squamose (SCC)] associato all'aumento cumulativo della dose di </w:t>
      </w:r>
      <w:proofErr w:type="spellStart"/>
      <w:r w:rsidRPr="005B2844">
        <w:rPr>
          <w:rFonts w:ascii="Times New Roman" w:hAnsi="Times New Roman" w:cs="Times New Roman"/>
          <w:sz w:val="22"/>
          <w:szCs w:val="22"/>
        </w:rPr>
        <w:t>idroclorotiazide</w:t>
      </w:r>
      <w:proofErr w:type="spellEnd"/>
      <w:r w:rsidRPr="005B2844">
        <w:rPr>
          <w:rFonts w:ascii="Times New Roman" w:hAnsi="Times New Roman" w:cs="Times New Roman"/>
          <w:sz w:val="22"/>
          <w:szCs w:val="22"/>
        </w:rPr>
        <w:t xml:space="preserve"> (HCTZ) assunta. L’effetto fotosensibilizzante dell’HCTZ potrebbe rappresentare un </w:t>
      </w:r>
      <w:r w:rsidR="00377B0A" w:rsidRPr="005B2844">
        <w:rPr>
          <w:rFonts w:ascii="Times New Roman" w:hAnsi="Times New Roman" w:cs="Times New Roman"/>
          <w:sz w:val="22"/>
          <w:szCs w:val="22"/>
        </w:rPr>
        <w:t>possibile meccanismo dell’NMSC.</w:t>
      </w:r>
    </w:p>
    <w:p w:rsidR="00F82465" w:rsidRPr="005B2844" w:rsidRDefault="00F82465" w:rsidP="00F82465">
      <w:pPr>
        <w:keepNext/>
        <w:tabs>
          <w:tab w:val="left" w:pos="567"/>
        </w:tabs>
        <w:rPr>
          <w:szCs w:val="22"/>
        </w:rPr>
      </w:pPr>
      <w:r w:rsidRPr="005B2844">
        <w:rPr>
          <w:szCs w:val="22"/>
        </w:rPr>
        <w:t>I pazienti che assumono HCTZ devono essere informati del rischio di NMSC e consigliati di sottoporre a controllo regolare la cute per verificare la presenza di nuove lesioni e segnalare immediatamente eventuali lesioni cutanee sospette. Al fine di minimizzare il rischio di cancro cutaneo, occorre consigliare ai pazienti l’adozione di possibili misure preventive quali l’esposizione limitata alla luce solare e ai raggi UV e, in caso di esposizione, una protezione adeguata. Eventuali lesioni cutanee sospette devono essere esaminate immediatamente, possibilmente con l’ausilio di esami istologici su biopsie. Può essere inoltre necessario riconsiderare l’utilizzo di HCTZ nei pazienti che hanno manifestato NMSC in precedenza (vedere anche paragrafo </w:t>
      </w:r>
      <w:r w:rsidR="00F62E30">
        <w:rPr>
          <w:szCs w:val="22"/>
        </w:rPr>
        <w:t>4.8).</w:t>
      </w:r>
    </w:p>
    <w:p w:rsidR="00F82465" w:rsidRPr="005B2844" w:rsidRDefault="00F82465" w:rsidP="00F82465">
      <w:pPr>
        <w:keepNext/>
        <w:tabs>
          <w:tab w:val="left" w:pos="567"/>
        </w:tabs>
        <w:rPr>
          <w:szCs w:val="22"/>
        </w:rPr>
      </w:pPr>
    </w:p>
    <w:p w:rsidR="00A70FCB" w:rsidRPr="005B2844" w:rsidRDefault="00A70FCB" w:rsidP="00F82465">
      <w:pPr>
        <w:keepNext/>
        <w:tabs>
          <w:tab w:val="left" w:pos="567"/>
        </w:tabs>
        <w:rPr>
          <w:b/>
          <w:szCs w:val="22"/>
        </w:rPr>
      </w:pPr>
      <w:r w:rsidRPr="005B2844">
        <w:rPr>
          <w:b/>
          <w:szCs w:val="22"/>
        </w:rPr>
        <w:t>4.5</w:t>
      </w:r>
      <w:r w:rsidRPr="005B2844">
        <w:rPr>
          <w:b/>
          <w:szCs w:val="22"/>
        </w:rPr>
        <w:tab/>
        <w:t>Interazioni con altri medicinali ed altre forme d</w:t>
      </w:r>
      <w:r w:rsidR="00EC3F83" w:rsidRPr="005B2844">
        <w:rPr>
          <w:b/>
          <w:szCs w:val="22"/>
        </w:rPr>
        <w:t>’</w:t>
      </w:r>
      <w:r w:rsidRPr="005B2844">
        <w:rPr>
          <w:b/>
          <w:szCs w:val="22"/>
        </w:rPr>
        <w:t>interazione</w:t>
      </w:r>
    </w:p>
    <w:p w:rsidR="00A70FCB" w:rsidRPr="005B2844" w:rsidRDefault="00A70FCB" w:rsidP="002229F2">
      <w:pPr>
        <w:keepNext/>
        <w:rPr>
          <w:szCs w:val="22"/>
        </w:rPr>
      </w:pPr>
    </w:p>
    <w:p w:rsidR="00B8327C" w:rsidRPr="005B2844" w:rsidRDefault="00A70FCB" w:rsidP="002229F2">
      <w:pPr>
        <w:keepNext/>
        <w:rPr>
          <w:szCs w:val="22"/>
        </w:rPr>
      </w:pPr>
      <w:r w:rsidRPr="005B2844">
        <w:rPr>
          <w:szCs w:val="22"/>
          <w:u w:val="single"/>
        </w:rPr>
        <w:t>Litio</w:t>
      </w:r>
    </w:p>
    <w:p w:rsidR="00B8327C" w:rsidRPr="005B2844" w:rsidRDefault="00B8327C" w:rsidP="002229F2">
      <w:pPr>
        <w:keepNext/>
        <w:rPr>
          <w:szCs w:val="22"/>
        </w:rPr>
      </w:pPr>
    </w:p>
    <w:p w:rsidR="00A70FCB" w:rsidRPr="005B2844" w:rsidRDefault="00A70FCB" w:rsidP="0072602F">
      <w:pPr>
        <w:rPr>
          <w:szCs w:val="22"/>
        </w:rPr>
      </w:pPr>
      <w:r w:rsidRPr="005B2844">
        <w:rPr>
          <w:szCs w:val="22"/>
        </w:rPr>
        <w:t>Aumenti reversibili delle concentrazioni sieriche di litio e della tossicità sono stati riportati durante la somministrazione contemporanea di litio con ACE-inibitori (inibitori dell’enzima di conversione dell’angiotensina). Sono stati riportati casi rari anche con antagonisti dei recettori dell'angiotensina II</w:t>
      </w:r>
      <w:r w:rsidR="00030736" w:rsidRPr="005B2844">
        <w:rPr>
          <w:szCs w:val="22"/>
        </w:rPr>
        <w:t xml:space="preserve"> (incluso </w:t>
      </w:r>
      <w:proofErr w:type="spellStart"/>
      <w:r w:rsidR="00030736" w:rsidRPr="005B2844">
        <w:rPr>
          <w:szCs w:val="22"/>
        </w:rPr>
        <w:t>MicardisPlus</w:t>
      </w:r>
      <w:proofErr w:type="spellEnd"/>
      <w:r w:rsidR="00030736" w:rsidRPr="005B2844">
        <w:rPr>
          <w:szCs w:val="22"/>
        </w:rPr>
        <w:t>)</w:t>
      </w:r>
      <w:r w:rsidRPr="005B2844">
        <w:rPr>
          <w:szCs w:val="22"/>
        </w:rPr>
        <w:t xml:space="preserve">. La co-somministrazione di litio e </w:t>
      </w:r>
      <w:proofErr w:type="spellStart"/>
      <w:r w:rsidRPr="005B2844">
        <w:rPr>
          <w:szCs w:val="22"/>
        </w:rPr>
        <w:t>MicardisPlus</w:t>
      </w:r>
      <w:proofErr w:type="spellEnd"/>
      <w:r w:rsidRPr="005B2844">
        <w:rPr>
          <w:szCs w:val="22"/>
        </w:rPr>
        <w:t xml:space="preserve"> </w:t>
      </w:r>
      <w:r w:rsidR="00030736" w:rsidRPr="005B2844">
        <w:rPr>
          <w:szCs w:val="22"/>
        </w:rPr>
        <w:t>non è raccomandata (vedere paragrafo 4.4)</w:t>
      </w:r>
      <w:r w:rsidRPr="005B2844">
        <w:rPr>
          <w:szCs w:val="22"/>
        </w:rPr>
        <w:t xml:space="preserve">. Se tale co-somministrazione fosse proprio necessaria, si raccomanda </w:t>
      </w:r>
      <w:r w:rsidR="001927D5" w:rsidRPr="005B2844">
        <w:rPr>
          <w:szCs w:val="22"/>
        </w:rPr>
        <w:t>u</w:t>
      </w:r>
      <w:r w:rsidR="00030736" w:rsidRPr="005B2844">
        <w:rPr>
          <w:szCs w:val="22"/>
        </w:rPr>
        <w:t>n attento monitoraggio</w:t>
      </w:r>
      <w:r w:rsidRPr="005B2844">
        <w:rPr>
          <w:szCs w:val="22"/>
        </w:rPr>
        <w:t xml:space="preserve"> </w:t>
      </w:r>
      <w:r w:rsidR="00030736" w:rsidRPr="005B2844">
        <w:rPr>
          <w:szCs w:val="22"/>
        </w:rPr>
        <w:t>de</w:t>
      </w:r>
      <w:r w:rsidRPr="005B2844">
        <w:rPr>
          <w:szCs w:val="22"/>
        </w:rPr>
        <w:t xml:space="preserve">i livelli sierici di litio durante l'uso concomitante dei due </w:t>
      </w:r>
      <w:r w:rsidR="006F476C" w:rsidRPr="005B2844">
        <w:rPr>
          <w:szCs w:val="22"/>
        </w:rPr>
        <w:t>medicinali</w:t>
      </w:r>
      <w:r w:rsidRPr="005B2844">
        <w:rPr>
          <w:szCs w:val="22"/>
        </w:rPr>
        <w:t>.</w:t>
      </w:r>
    </w:p>
    <w:p w:rsidR="00A70FCB" w:rsidRPr="005B2844" w:rsidRDefault="00A70FCB" w:rsidP="0072602F">
      <w:pPr>
        <w:rPr>
          <w:szCs w:val="22"/>
        </w:rPr>
      </w:pPr>
    </w:p>
    <w:p w:rsidR="00B8327C" w:rsidRPr="005B2844" w:rsidRDefault="006F476C" w:rsidP="002229F2">
      <w:pPr>
        <w:keepNext/>
        <w:rPr>
          <w:szCs w:val="22"/>
        </w:rPr>
      </w:pPr>
      <w:r w:rsidRPr="005B2844">
        <w:rPr>
          <w:szCs w:val="22"/>
          <w:u w:val="single"/>
        </w:rPr>
        <w:t>Medicinali</w:t>
      </w:r>
      <w:r w:rsidR="00A70FCB" w:rsidRPr="005B2844">
        <w:rPr>
          <w:szCs w:val="22"/>
          <w:u w:val="single"/>
        </w:rPr>
        <w:t xml:space="preserve"> associati alla perdita di potassio e all'</w:t>
      </w:r>
      <w:proofErr w:type="spellStart"/>
      <w:r w:rsidR="00A70FCB" w:rsidRPr="005B2844">
        <w:rPr>
          <w:szCs w:val="22"/>
          <w:u w:val="single"/>
        </w:rPr>
        <w:t>ipopotassiemia</w:t>
      </w:r>
      <w:proofErr w:type="spellEnd"/>
      <w:r w:rsidR="00A70FCB" w:rsidRPr="005B2844">
        <w:rPr>
          <w:szCs w:val="22"/>
        </w:rPr>
        <w:t xml:space="preserve"> (</w:t>
      </w:r>
      <w:r w:rsidR="00096E7E" w:rsidRPr="005B2844">
        <w:rPr>
          <w:szCs w:val="22"/>
        </w:rPr>
        <w:t>ad es.</w:t>
      </w:r>
      <w:r w:rsidR="00A70FCB" w:rsidRPr="005B2844">
        <w:rPr>
          <w:szCs w:val="22"/>
        </w:rPr>
        <w:t xml:space="preserve"> altri diuretici non risparmiatori di potassio, lassativi, corticosteroidi, ACTH, </w:t>
      </w:r>
      <w:proofErr w:type="spellStart"/>
      <w:r w:rsidR="00A70FCB" w:rsidRPr="005B2844">
        <w:rPr>
          <w:szCs w:val="22"/>
        </w:rPr>
        <w:t>amfotericina</w:t>
      </w:r>
      <w:proofErr w:type="spellEnd"/>
      <w:r w:rsidR="00A70FCB" w:rsidRPr="005B2844">
        <w:rPr>
          <w:szCs w:val="22"/>
        </w:rPr>
        <w:t xml:space="preserve">, </w:t>
      </w:r>
      <w:proofErr w:type="spellStart"/>
      <w:r w:rsidR="00A70FCB" w:rsidRPr="005B2844">
        <w:rPr>
          <w:szCs w:val="22"/>
        </w:rPr>
        <w:t>carbenoxolone</w:t>
      </w:r>
      <w:proofErr w:type="spellEnd"/>
      <w:r w:rsidR="00A70FCB" w:rsidRPr="005B2844">
        <w:rPr>
          <w:szCs w:val="22"/>
        </w:rPr>
        <w:t>, penicillina G sodica, acido salicilico e derivati)</w:t>
      </w:r>
    </w:p>
    <w:p w:rsidR="00B8327C" w:rsidRPr="005B2844" w:rsidRDefault="00B8327C" w:rsidP="002229F2">
      <w:pPr>
        <w:keepNext/>
        <w:rPr>
          <w:szCs w:val="22"/>
        </w:rPr>
      </w:pPr>
    </w:p>
    <w:p w:rsidR="00A70FCB" w:rsidRPr="005B2844" w:rsidRDefault="00A70FCB" w:rsidP="0072602F">
      <w:pPr>
        <w:rPr>
          <w:szCs w:val="22"/>
        </w:rPr>
      </w:pPr>
      <w:r w:rsidRPr="005B2844">
        <w:rPr>
          <w:szCs w:val="22"/>
        </w:rPr>
        <w:t>Se quest</w:t>
      </w:r>
      <w:r w:rsidR="00392A9B" w:rsidRPr="005B2844">
        <w:rPr>
          <w:szCs w:val="22"/>
        </w:rPr>
        <w:t>e</w:t>
      </w:r>
      <w:r w:rsidRPr="005B2844">
        <w:rPr>
          <w:szCs w:val="22"/>
        </w:rPr>
        <w:t xml:space="preserve"> </w:t>
      </w:r>
      <w:r w:rsidR="006374C3" w:rsidRPr="005B2844">
        <w:rPr>
          <w:szCs w:val="22"/>
        </w:rPr>
        <w:t xml:space="preserve">sostanze </w:t>
      </w:r>
      <w:r w:rsidRPr="005B2844">
        <w:rPr>
          <w:szCs w:val="22"/>
        </w:rPr>
        <w:t>devono essere prescritt</w:t>
      </w:r>
      <w:r w:rsidR="006374C3" w:rsidRPr="005B2844">
        <w:rPr>
          <w:szCs w:val="22"/>
        </w:rPr>
        <w:t>e</w:t>
      </w:r>
      <w:r w:rsidRPr="005B2844">
        <w:rPr>
          <w:szCs w:val="22"/>
        </w:rPr>
        <w:t xml:space="preserve"> con l’associazione </w:t>
      </w:r>
      <w:proofErr w:type="spellStart"/>
      <w:r w:rsidRPr="005B2844">
        <w:rPr>
          <w:szCs w:val="22"/>
        </w:rPr>
        <w:t>idroclorotiazide-telmisartan</w:t>
      </w:r>
      <w:proofErr w:type="spellEnd"/>
      <w:r w:rsidRPr="005B2844">
        <w:rPr>
          <w:szCs w:val="22"/>
        </w:rPr>
        <w:t xml:space="preserve">, si raccomanda di monitorare i livelli plasmatici di potassio. Questi </w:t>
      </w:r>
      <w:r w:rsidR="006F476C" w:rsidRPr="005B2844">
        <w:rPr>
          <w:szCs w:val="22"/>
        </w:rPr>
        <w:t>medicinali</w:t>
      </w:r>
      <w:r w:rsidRPr="005B2844">
        <w:rPr>
          <w:szCs w:val="22"/>
        </w:rPr>
        <w:t xml:space="preserve"> possono potenziare l'effetto dell'</w:t>
      </w:r>
      <w:proofErr w:type="spellStart"/>
      <w:r w:rsidRPr="005B2844">
        <w:rPr>
          <w:szCs w:val="22"/>
        </w:rPr>
        <w:t>idroclorotiazide</w:t>
      </w:r>
      <w:proofErr w:type="spellEnd"/>
      <w:r w:rsidRPr="005B2844">
        <w:rPr>
          <w:szCs w:val="22"/>
        </w:rPr>
        <w:t xml:space="preserve"> sul potassio sierico (vedere </w:t>
      </w:r>
      <w:r w:rsidR="002F5A98" w:rsidRPr="005B2844">
        <w:rPr>
          <w:szCs w:val="22"/>
        </w:rPr>
        <w:t>paragrafo</w:t>
      </w:r>
      <w:r w:rsidR="00890F68" w:rsidRPr="005B2844">
        <w:rPr>
          <w:szCs w:val="22"/>
        </w:rPr>
        <w:t xml:space="preserve"> </w:t>
      </w:r>
      <w:r w:rsidRPr="005B2844">
        <w:rPr>
          <w:szCs w:val="22"/>
        </w:rPr>
        <w:t>4.4).</w:t>
      </w:r>
    </w:p>
    <w:p w:rsidR="00A70FCB" w:rsidRPr="005B2844" w:rsidRDefault="00A70FCB" w:rsidP="0072602F">
      <w:pPr>
        <w:rPr>
          <w:szCs w:val="22"/>
        </w:rPr>
      </w:pPr>
    </w:p>
    <w:p w:rsidR="00B8327C" w:rsidRPr="005B2844" w:rsidRDefault="006F476C" w:rsidP="002229F2">
      <w:pPr>
        <w:keepNext/>
        <w:rPr>
          <w:szCs w:val="22"/>
        </w:rPr>
      </w:pPr>
      <w:r w:rsidRPr="005B2844">
        <w:rPr>
          <w:szCs w:val="22"/>
          <w:u w:val="single"/>
        </w:rPr>
        <w:t>Medicinali</w:t>
      </w:r>
      <w:r w:rsidR="00A70FCB" w:rsidRPr="005B2844">
        <w:rPr>
          <w:szCs w:val="22"/>
          <w:u w:val="single"/>
        </w:rPr>
        <w:t xml:space="preserve"> che possono aumentare i livelli di potassio o indurre </w:t>
      </w:r>
      <w:proofErr w:type="spellStart"/>
      <w:r w:rsidR="00A70FCB" w:rsidRPr="005B2844">
        <w:rPr>
          <w:szCs w:val="22"/>
          <w:u w:val="single"/>
        </w:rPr>
        <w:t>iperpotassemia</w:t>
      </w:r>
      <w:proofErr w:type="spellEnd"/>
      <w:r w:rsidR="00A70FCB" w:rsidRPr="005B2844">
        <w:rPr>
          <w:szCs w:val="22"/>
        </w:rPr>
        <w:t xml:space="preserve"> (</w:t>
      </w:r>
      <w:r w:rsidR="00890F68" w:rsidRPr="005B2844">
        <w:rPr>
          <w:szCs w:val="22"/>
        </w:rPr>
        <w:t xml:space="preserve">ad </w:t>
      </w:r>
      <w:r w:rsidR="00A70FCB" w:rsidRPr="005B2844">
        <w:rPr>
          <w:szCs w:val="22"/>
        </w:rPr>
        <w:t xml:space="preserve">es. ACE inibitori, diuretici potassio-risparmiatori, integratori di potassio, sostitutivi del sale contenenti potassio, ciclosporina od altri </w:t>
      </w:r>
      <w:r w:rsidRPr="005B2844">
        <w:rPr>
          <w:szCs w:val="22"/>
        </w:rPr>
        <w:t>medicinali</w:t>
      </w:r>
      <w:r w:rsidR="00A70FCB" w:rsidRPr="005B2844">
        <w:rPr>
          <w:szCs w:val="22"/>
        </w:rPr>
        <w:t xml:space="preserve"> quali l'eparina sodica)</w:t>
      </w:r>
    </w:p>
    <w:p w:rsidR="00B8327C" w:rsidRPr="005B2844" w:rsidRDefault="00B8327C" w:rsidP="002229F2">
      <w:pPr>
        <w:keepNext/>
        <w:rPr>
          <w:szCs w:val="22"/>
        </w:rPr>
      </w:pPr>
    </w:p>
    <w:p w:rsidR="00A70FCB" w:rsidRPr="005B2844" w:rsidRDefault="00A70FCB" w:rsidP="0072602F">
      <w:pPr>
        <w:rPr>
          <w:szCs w:val="22"/>
        </w:rPr>
      </w:pPr>
      <w:r w:rsidRPr="005B2844">
        <w:rPr>
          <w:szCs w:val="22"/>
        </w:rPr>
        <w:t xml:space="preserve">Se questi </w:t>
      </w:r>
      <w:r w:rsidR="006F476C" w:rsidRPr="005B2844">
        <w:rPr>
          <w:szCs w:val="22"/>
        </w:rPr>
        <w:t>medicinali</w:t>
      </w:r>
      <w:r w:rsidRPr="005B2844">
        <w:rPr>
          <w:szCs w:val="22"/>
        </w:rPr>
        <w:t xml:space="preserve"> devono essere prescritti con l’associazione </w:t>
      </w:r>
      <w:proofErr w:type="spellStart"/>
      <w:r w:rsidRPr="005B2844">
        <w:rPr>
          <w:szCs w:val="22"/>
        </w:rPr>
        <w:t>idroclorotiazide-telmisartan</w:t>
      </w:r>
      <w:proofErr w:type="spellEnd"/>
      <w:r w:rsidRPr="005B2844">
        <w:rPr>
          <w:szCs w:val="22"/>
        </w:rPr>
        <w:t xml:space="preserve">, si raccomanda di monitorizzare i livelli plasmatici di potassio. Sulla base dell'esperienza acquisita con l'uso di altri </w:t>
      </w:r>
      <w:r w:rsidR="006F476C" w:rsidRPr="005B2844">
        <w:rPr>
          <w:szCs w:val="22"/>
        </w:rPr>
        <w:t>medicinali</w:t>
      </w:r>
      <w:r w:rsidRPr="005B2844">
        <w:rPr>
          <w:szCs w:val="22"/>
        </w:rPr>
        <w:t xml:space="preserve"> che inibiscono il sistema renina-angiotensina, l'uso concomitante dei suddetti </w:t>
      </w:r>
      <w:r w:rsidR="006F476C" w:rsidRPr="005B2844">
        <w:rPr>
          <w:szCs w:val="22"/>
        </w:rPr>
        <w:t>medicinali</w:t>
      </w:r>
      <w:r w:rsidRPr="005B2844">
        <w:rPr>
          <w:szCs w:val="22"/>
        </w:rPr>
        <w:t xml:space="preserve"> può indurre un aumento del potassio sierico </w:t>
      </w:r>
      <w:r w:rsidR="00674681" w:rsidRPr="005B2844">
        <w:rPr>
          <w:szCs w:val="22"/>
        </w:rPr>
        <w:t xml:space="preserve">e pertanto non è raccomandato </w:t>
      </w:r>
      <w:r w:rsidRPr="005B2844">
        <w:rPr>
          <w:szCs w:val="22"/>
        </w:rPr>
        <w:t xml:space="preserve">(vedere </w:t>
      </w:r>
      <w:r w:rsidR="00674681" w:rsidRPr="005B2844">
        <w:rPr>
          <w:szCs w:val="22"/>
        </w:rPr>
        <w:t xml:space="preserve">paragrafo </w:t>
      </w:r>
      <w:r w:rsidRPr="005B2844">
        <w:rPr>
          <w:szCs w:val="22"/>
        </w:rPr>
        <w:t>4.4).</w:t>
      </w:r>
    </w:p>
    <w:p w:rsidR="00A70FCB" w:rsidRPr="005B2844" w:rsidRDefault="00A70FCB" w:rsidP="0072602F">
      <w:pPr>
        <w:rPr>
          <w:szCs w:val="22"/>
        </w:rPr>
      </w:pPr>
    </w:p>
    <w:p w:rsidR="00B8327C" w:rsidRPr="005B2844" w:rsidRDefault="006F476C" w:rsidP="008A1E96">
      <w:pPr>
        <w:keepNext/>
        <w:rPr>
          <w:szCs w:val="22"/>
        </w:rPr>
      </w:pPr>
      <w:r w:rsidRPr="005B2844">
        <w:rPr>
          <w:szCs w:val="22"/>
          <w:u w:val="single"/>
        </w:rPr>
        <w:t>Medicinali</w:t>
      </w:r>
      <w:r w:rsidR="00A70FCB" w:rsidRPr="005B2844">
        <w:rPr>
          <w:szCs w:val="22"/>
          <w:u w:val="single"/>
        </w:rPr>
        <w:t xml:space="preserve"> influenzati dalle alterazioni del potassio sierico</w:t>
      </w:r>
    </w:p>
    <w:p w:rsidR="00B8327C" w:rsidRPr="005B2844" w:rsidRDefault="00B8327C" w:rsidP="008A1E96">
      <w:pPr>
        <w:keepNext/>
        <w:rPr>
          <w:szCs w:val="22"/>
        </w:rPr>
      </w:pPr>
    </w:p>
    <w:p w:rsidR="00A70FCB" w:rsidRPr="005B2844" w:rsidRDefault="00A70FCB" w:rsidP="0072602F">
      <w:pPr>
        <w:rPr>
          <w:szCs w:val="22"/>
        </w:rPr>
      </w:pPr>
      <w:r w:rsidRPr="005B2844">
        <w:rPr>
          <w:szCs w:val="22"/>
        </w:rPr>
        <w:t xml:space="preserve">Si raccomanda il monitoraggio periodico del potassio sierico e l'ECG quando </w:t>
      </w:r>
      <w:proofErr w:type="spellStart"/>
      <w:r w:rsidRPr="005B2844">
        <w:rPr>
          <w:szCs w:val="22"/>
        </w:rPr>
        <w:t>MicardisPlus</w:t>
      </w:r>
      <w:proofErr w:type="spellEnd"/>
      <w:r w:rsidRPr="005B2844">
        <w:rPr>
          <w:szCs w:val="22"/>
        </w:rPr>
        <w:t xml:space="preserve"> è somministrato con </w:t>
      </w:r>
      <w:r w:rsidR="006374C3" w:rsidRPr="005B2844">
        <w:rPr>
          <w:szCs w:val="22"/>
        </w:rPr>
        <w:t xml:space="preserve">medicinali </w:t>
      </w:r>
      <w:r w:rsidRPr="005B2844">
        <w:rPr>
          <w:szCs w:val="22"/>
        </w:rPr>
        <w:t>influenzati dalle alterazioni di potass</w:t>
      </w:r>
      <w:r w:rsidR="001E2AE4" w:rsidRPr="005B2844">
        <w:rPr>
          <w:szCs w:val="22"/>
        </w:rPr>
        <w:t>i</w:t>
      </w:r>
      <w:r w:rsidRPr="005B2844">
        <w:rPr>
          <w:szCs w:val="22"/>
        </w:rPr>
        <w:t>o sierico (</w:t>
      </w:r>
      <w:r w:rsidR="00096E7E" w:rsidRPr="005B2844">
        <w:rPr>
          <w:szCs w:val="22"/>
        </w:rPr>
        <w:t>ad es.</w:t>
      </w:r>
      <w:r w:rsidRPr="005B2844">
        <w:rPr>
          <w:szCs w:val="22"/>
        </w:rPr>
        <w:t xml:space="preserve"> glicosidi della digitale, antiaritmici) ed i seguenti </w:t>
      </w:r>
      <w:r w:rsidR="006374C3" w:rsidRPr="005B2844">
        <w:rPr>
          <w:szCs w:val="22"/>
        </w:rPr>
        <w:t xml:space="preserve">medicinali </w:t>
      </w:r>
      <w:r w:rsidRPr="005B2844">
        <w:rPr>
          <w:szCs w:val="22"/>
        </w:rPr>
        <w:t>che inducono torsioni di punta (che includono alcuni antiaritmici), essendo l'</w:t>
      </w:r>
      <w:proofErr w:type="spellStart"/>
      <w:r w:rsidRPr="005B2844">
        <w:rPr>
          <w:szCs w:val="22"/>
        </w:rPr>
        <w:t>ipopotassiemia</w:t>
      </w:r>
      <w:proofErr w:type="spellEnd"/>
      <w:r w:rsidRPr="005B2844">
        <w:rPr>
          <w:szCs w:val="22"/>
        </w:rPr>
        <w:t xml:space="preserve"> un fattore predisponente alle torsioni di punta.</w:t>
      </w:r>
    </w:p>
    <w:p w:rsidR="00A70FCB" w:rsidRPr="005B2844" w:rsidRDefault="00A70FCB" w:rsidP="0072602F">
      <w:pPr>
        <w:tabs>
          <w:tab w:val="left" w:pos="567"/>
        </w:tabs>
        <w:rPr>
          <w:szCs w:val="22"/>
        </w:rPr>
      </w:pPr>
      <w:r w:rsidRPr="005B2844">
        <w:rPr>
          <w:szCs w:val="22"/>
        </w:rPr>
        <w:t>-</w:t>
      </w:r>
      <w:r w:rsidRPr="005B2844">
        <w:rPr>
          <w:szCs w:val="22"/>
        </w:rPr>
        <w:tab/>
        <w:t xml:space="preserve">antiaritmici classe </w:t>
      </w:r>
      <w:proofErr w:type="spellStart"/>
      <w:r w:rsidRPr="005B2844">
        <w:rPr>
          <w:szCs w:val="22"/>
        </w:rPr>
        <w:t>Ia</w:t>
      </w:r>
      <w:proofErr w:type="spellEnd"/>
      <w:r w:rsidRPr="005B2844">
        <w:rPr>
          <w:szCs w:val="22"/>
        </w:rPr>
        <w:t xml:space="preserve"> (</w:t>
      </w:r>
      <w:r w:rsidR="00096E7E" w:rsidRPr="005B2844">
        <w:rPr>
          <w:szCs w:val="22"/>
        </w:rPr>
        <w:t>ad es.</w:t>
      </w:r>
      <w:r w:rsidRPr="005B2844">
        <w:rPr>
          <w:szCs w:val="22"/>
        </w:rPr>
        <w:t xml:space="preserve"> chinidina, </w:t>
      </w:r>
      <w:proofErr w:type="spellStart"/>
      <w:r w:rsidRPr="005B2844">
        <w:rPr>
          <w:szCs w:val="22"/>
        </w:rPr>
        <w:t>idrochinidina</w:t>
      </w:r>
      <w:proofErr w:type="spellEnd"/>
      <w:r w:rsidRPr="005B2844">
        <w:rPr>
          <w:szCs w:val="22"/>
        </w:rPr>
        <w:t xml:space="preserve">, </w:t>
      </w:r>
      <w:proofErr w:type="spellStart"/>
      <w:r w:rsidRPr="005B2844">
        <w:rPr>
          <w:szCs w:val="22"/>
        </w:rPr>
        <w:t>disopiramide</w:t>
      </w:r>
      <w:proofErr w:type="spellEnd"/>
      <w:r w:rsidRPr="005B2844">
        <w:rPr>
          <w:szCs w:val="22"/>
        </w:rPr>
        <w:t>)</w:t>
      </w:r>
    </w:p>
    <w:p w:rsidR="00A70FCB" w:rsidRPr="005B2844" w:rsidRDefault="00A70FCB" w:rsidP="0072602F">
      <w:pPr>
        <w:tabs>
          <w:tab w:val="left" w:pos="567"/>
        </w:tabs>
        <w:rPr>
          <w:szCs w:val="22"/>
        </w:rPr>
      </w:pPr>
      <w:r w:rsidRPr="005B2844">
        <w:rPr>
          <w:szCs w:val="22"/>
        </w:rPr>
        <w:t>-</w:t>
      </w:r>
      <w:r w:rsidRPr="005B2844">
        <w:rPr>
          <w:szCs w:val="22"/>
        </w:rPr>
        <w:tab/>
        <w:t>antiaritmici classe III (</w:t>
      </w:r>
      <w:r w:rsidR="00096E7E" w:rsidRPr="005B2844">
        <w:rPr>
          <w:szCs w:val="22"/>
        </w:rPr>
        <w:t>ad es.</w:t>
      </w:r>
      <w:r w:rsidRPr="005B2844">
        <w:rPr>
          <w:szCs w:val="22"/>
        </w:rPr>
        <w:t xml:space="preserve"> amiodarone, </w:t>
      </w:r>
      <w:proofErr w:type="spellStart"/>
      <w:r w:rsidRPr="005B2844">
        <w:rPr>
          <w:szCs w:val="22"/>
        </w:rPr>
        <w:t>sotalolo</w:t>
      </w:r>
      <w:proofErr w:type="spellEnd"/>
      <w:r w:rsidRPr="005B2844">
        <w:rPr>
          <w:szCs w:val="22"/>
        </w:rPr>
        <w:t xml:space="preserve">, </w:t>
      </w:r>
      <w:proofErr w:type="spellStart"/>
      <w:r w:rsidRPr="005B2844">
        <w:rPr>
          <w:szCs w:val="22"/>
        </w:rPr>
        <w:t>dofetilide</w:t>
      </w:r>
      <w:proofErr w:type="spellEnd"/>
      <w:r w:rsidRPr="005B2844">
        <w:rPr>
          <w:szCs w:val="22"/>
        </w:rPr>
        <w:t xml:space="preserve">, </w:t>
      </w:r>
      <w:proofErr w:type="spellStart"/>
      <w:r w:rsidRPr="005B2844">
        <w:rPr>
          <w:szCs w:val="22"/>
        </w:rPr>
        <w:t>ibutilide</w:t>
      </w:r>
      <w:proofErr w:type="spellEnd"/>
      <w:r w:rsidRPr="005B2844">
        <w:rPr>
          <w:szCs w:val="22"/>
        </w:rPr>
        <w:t>)</w:t>
      </w:r>
    </w:p>
    <w:p w:rsidR="00A70FCB" w:rsidRPr="005B2844" w:rsidRDefault="00A70FCB" w:rsidP="0072602F">
      <w:pPr>
        <w:tabs>
          <w:tab w:val="left" w:pos="567"/>
        </w:tabs>
        <w:ind w:left="567" w:hanging="567"/>
        <w:rPr>
          <w:szCs w:val="22"/>
        </w:rPr>
      </w:pPr>
      <w:r w:rsidRPr="005B2844">
        <w:rPr>
          <w:szCs w:val="22"/>
        </w:rPr>
        <w:t>-</w:t>
      </w:r>
      <w:r w:rsidRPr="005B2844">
        <w:rPr>
          <w:szCs w:val="22"/>
        </w:rPr>
        <w:tab/>
        <w:t>alcuni antipsicotici (</w:t>
      </w:r>
      <w:r w:rsidR="00096E7E" w:rsidRPr="005B2844">
        <w:rPr>
          <w:szCs w:val="22"/>
        </w:rPr>
        <w:t>ad es.</w:t>
      </w:r>
      <w:r w:rsidRPr="005B2844">
        <w:rPr>
          <w:szCs w:val="22"/>
        </w:rPr>
        <w:t xml:space="preserve"> </w:t>
      </w:r>
      <w:proofErr w:type="spellStart"/>
      <w:r w:rsidRPr="005B2844">
        <w:rPr>
          <w:szCs w:val="22"/>
        </w:rPr>
        <w:t>tioridazina</w:t>
      </w:r>
      <w:proofErr w:type="spellEnd"/>
      <w:r w:rsidRPr="005B2844">
        <w:rPr>
          <w:szCs w:val="22"/>
        </w:rPr>
        <w:t xml:space="preserve">, clorpromazina, </w:t>
      </w:r>
      <w:proofErr w:type="spellStart"/>
      <w:r w:rsidRPr="005B2844">
        <w:rPr>
          <w:szCs w:val="22"/>
        </w:rPr>
        <w:t>levomepromazina</w:t>
      </w:r>
      <w:proofErr w:type="spellEnd"/>
      <w:r w:rsidRPr="005B2844">
        <w:rPr>
          <w:szCs w:val="22"/>
        </w:rPr>
        <w:t xml:space="preserve">, </w:t>
      </w:r>
      <w:proofErr w:type="spellStart"/>
      <w:r w:rsidRPr="005B2844">
        <w:rPr>
          <w:szCs w:val="22"/>
        </w:rPr>
        <w:t>trifluoperazina</w:t>
      </w:r>
      <w:proofErr w:type="spellEnd"/>
      <w:r w:rsidRPr="005B2844">
        <w:rPr>
          <w:szCs w:val="22"/>
        </w:rPr>
        <w:t xml:space="preserve">, </w:t>
      </w:r>
      <w:proofErr w:type="spellStart"/>
      <w:r w:rsidRPr="005B2844">
        <w:rPr>
          <w:szCs w:val="22"/>
        </w:rPr>
        <w:t>cyamemazina</w:t>
      </w:r>
      <w:proofErr w:type="spellEnd"/>
      <w:r w:rsidRPr="005B2844">
        <w:rPr>
          <w:szCs w:val="22"/>
        </w:rPr>
        <w:t xml:space="preserve">, </w:t>
      </w:r>
      <w:proofErr w:type="spellStart"/>
      <w:r w:rsidRPr="005B2844">
        <w:rPr>
          <w:szCs w:val="22"/>
        </w:rPr>
        <w:t>sulpiride</w:t>
      </w:r>
      <w:proofErr w:type="spellEnd"/>
      <w:r w:rsidRPr="005B2844">
        <w:rPr>
          <w:szCs w:val="22"/>
        </w:rPr>
        <w:t xml:space="preserve">, </w:t>
      </w:r>
      <w:proofErr w:type="spellStart"/>
      <w:r w:rsidRPr="005B2844">
        <w:rPr>
          <w:szCs w:val="22"/>
        </w:rPr>
        <w:t>sultopride</w:t>
      </w:r>
      <w:proofErr w:type="spellEnd"/>
      <w:r w:rsidRPr="005B2844">
        <w:rPr>
          <w:szCs w:val="22"/>
        </w:rPr>
        <w:t xml:space="preserve">, </w:t>
      </w:r>
      <w:proofErr w:type="spellStart"/>
      <w:r w:rsidRPr="005B2844">
        <w:rPr>
          <w:szCs w:val="22"/>
        </w:rPr>
        <w:t>amisulpride</w:t>
      </w:r>
      <w:proofErr w:type="spellEnd"/>
      <w:r w:rsidRPr="005B2844">
        <w:rPr>
          <w:szCs w:val="22"/>
        </w:rPr>
        <w:t xml:space="preserve">, </w:t>
      </w:r>
      <w:proofErr w:type="spellStart"/>
      <w:r w:rsidRPr="005B2844">
        <w:rPr>
          <w:szCs w:val="22"/>
        </w:rPr>
        <w:t>tiapride</w:t>
      </w:r>
      <w:proofErr w:type="spellEnd"/>
      <w:r w:rsidRPr="005B2844">
        <w:rPr>
          <w:szCs w:val="22"/>
        </w:rPr>
        <w:t xml:space="preserve">, </w:t>
      </w:r>
      <w:proofErr w:type="spellStart"/>
      <w:r w:rsidRPr="005B2844">
        <w:rPr>
          <w:szCs w:val="22"/>
        </w:rPr>
        <w:t>pimozide</w:t>
      </w:r>
      <w:proofErr w:type="spellEnd"/>
      <w:r w:rsidRPr="005B2844">
        <w:rPr>
          <w:szCs w:val="22"/>
        </w:rPr>
        <w:t xml:space="preserve">, </w:t>
      </w:r>
      <w:proofErr w:type="spellStart"/>
      <w:r w:rsidRPr="005B2844">
        <w:rPr>
          <w:szCs w:val="22"/>
        </w:rPr>
        <w:t>aloperidolo</w:t>
      </w:r>
      <w:proofErr w:type="spellEnd"/>
      <w:r w:rsidRPr="005B2844">
        <w:rPr>
          <w:szCs w:val="22"/>
        </w:rPr>
        <w:t xml:space="preserve">, </w:t>
      </w:r>
      <w:proofErr w:type="spellStart"/>
      <w:r w:rsidRPr="005B2844">
        <w:rPr>
          <w:szCs w:val="22"/>
        </w:rPr>
        <w:t>droperidolo</w:t>
      </w:r>
      <w:proofErr w:type="spellEnd"/>
      <w:r w:rsidRPr="005B2844">
        <w:rPr>
          <w:szCs w:val="22"/>
        </w:rPr>
        <w:t>)</w:t>
      </w:r>
    </w:p>
    <w:p w:rsidR="00A70FCB" w:rsidRPr="005B2844" w:rsidRDefault="006374C3" w:rsidP="0072602F">
      <w:pPr>
        <w:tabs>
          <w:tab w:val="left" w:pos="567"/>
        </w:tabs>
        <w:ind w:left="567" w:hanging="567"/>
        <w:rPr>
          <w:szCs w:val="22"/>
        </w:rPr>
      </w:pPr>
      <w:r w:rsidRPr="005B2844">
        <w:rPr>
          <w:szCs w:val="22"/>
        </w:rPr>
        <w:t>-</w:t>
      </w:r>
      <w:r w:rsidRPr="005B2844">
        <w:rPr>
          <w:szCs w:val="22"/>
        </w:rPr>
        <w:tab/>
      </w:r>
      <w:r w:rsidR="00A70FCB" w:rsidRPr="005B2844">
        <w:rPr>
          <w:szCs w:val="22"/>
        </w:rPr>
        <w:t>altri (</w:t>
      </w:r>
      <w:r w:rsidR="00096E7E" w:rsidRPr="005B2844">
        <w:rPr>
          <w:szCs w:val="22"/>
        </w:rPr>
        <w:t>ad es.</w:t>
      </w:r>
      <w:r w:rsidR="00A70FCB" w:rsidRPr="005B2844">
        <w:rPr>
          <w:szCs w:val="22"/>
        </w:rPr>
        <w:t xml:space="preserve"> </w:t>
      </w:r>
      <w:proofErr w:type="spellStart"/>
      <w:r w:rsidR="00A70FCB" w:rsidRPr="005B2844">
        <w:rPr>
          <w:szCs w:val="22"/>
        </w:rPr>
        <w:t>bepridil</w:t>
      </w:r>
      <w:proofErr w:type="spellEnd"/>
      <w:r w:rsidR="00A70FCB" w:rsidRPr="005B2844">
        <w:rPr>
          <w:szCs w:val="22"/>
        </w:rPr>
        <w:t xml:space="preserve">, cisapride, </w:t>
      </w:r>
      <w:proofErr w:type="spellStart"/>
      <w:r w:rsidR="00A70FCB" w:rsidRPr="005B2844">
        <w:rPr>
          <w:szCs w:val="22"/>
        </w:rPr>
        <w:t>difemanil</w:t>
      </w:r>
      <w:proofErr w:type="spellEnd"/>
      <w:r w:rsidR="00A70FCB" w:rsidRPr="005B2844">
        <w:rPr>
          <w:szCs w:val="22"/>
        </w:rPr>
        <w:t xml:space="preserve">, eritromicina IV, </w:t>
      </w:r>
      <w:proofErr w:type="spellStart"/>
      <w:r w:rsidR="00A70FCB" w:rsidRPr="005B2844">
        <w:rPr>
          <w:szCs w:val="22"/>
        </w:rPr>
        <w:t>alofantrin</w:t>
      </w:r>
      <w:proofErr w:type="spellEnd"/>
      <w:r w:rsidR="00A70FCB" w:rsidRPr="005B2844">
        <w:rPr>
          <w:szCs w:val="22"/>
        </w:rPr>
        <w:t xml:space="preserve">, </w:t>
      </w:r>
      <w:proofErr w:type="spellStart"/>
      <w:r w:rsidR="00A70FCB" w:rsidRPr="005B2844">
        <w:rPr>
          <w:szCs w:val="22"/>
        </w:rPr>
        <w:t>mizolastin</w:t>
      </w:r>
      <w:proofErr w:type="spellEnd"/>
      <w:r w:rsidR="00A70FCB" w:rsidRPr="005B2844">
        <w:rPr>
          <w:szCs w:val="22"/>
        </w:rPr>
        <w:t xml:space="preserve">, </w:t>
      </w:r>
      <w:proofErr w:type="spellStart"/>
      <w:r w:rsidR="00A70FCB" w:rsidRPr="005B2844">
        <w:rPr>
          <w:szCs w:val="22"/>
        </w:rPr>
        <w:t>pentamidina</w:t>
      </w:r>
      <w:proofErr w:type="spellEnd"/>
      <w:r w:rsidR="00A70FCB" w:rsidRPr="005B2844">
        <w:rPr>
          <w:szCs w:val="22"/>
        </w:rPr>
        <w:t xml:space="preserve">, </w:t>
      </w:r>
      <w:proofErr w:type="spellStart"/>
      <w:r w:rsidR="00A70FCB" w:rsidRPr="005B2844">
        <w:rPr>
          <w:szCs w:val="22"/>
        </w:rPr>
        <w:t>sparfloxacina</w:t>
      </w:r>
      <w:proofErr w:type="spellEnd"/>
      <w:r w:rsidR="00A70FCB" w:rsidRPr="005B2844">
        <w:rPr>
          <w:szCs w:val="22"/>
        </w:rPr>
        <w:t xml:space="preserve">, </w:t>
      </w:r>
      <w:proofErr w:type="spellStart"/>
      <w:r w:rsidR="00A70FCB" w:rsidRPr="005B2844">
        <w:rPr>
          <w:szCs w:val="22"/>
        </w:rPr>
        <w:t>terfenadina</w:t>
      </w:r>
      <w:proofErr w:type="spellEnd"/>
      <w:r w:rsidR="00A70FCB" w:rsidRPr="005B2844">
        <w:rPr>
          <w:szCs w:val="22"/>
        </w:rPr>
        <w:t xml:space="preserve">, </w:t>
      </w:r>
      <w:proofErr w:type="spellStart"/>
      <w:r w:rsidR="00A70FCB" w:rsidRPr="005B2844">
        <w:rPr>
          <w:szCs w:val="22"/>
        </w:rPr>
        <w:t>vincamina</w:t>
      </w:r>
      <w:proofErr w:type="spellEnd"/>
      <w:r w:rsidR="00A70FCB" w:rsidRPr="005B2844">
        <w:rPr>
          <w:szCs w:val="22"/>
        </w:rPr>
        <w:t xml:space="preserve"> IV).</w:t>
      </w:r>
    </w:p>
    <w:p w:rsidR="00A70FCB" w:rsidRPr="005B2844" w:rsidRDefault="00A70FCB" w:rsidP="0072602F">
      <w:pPr>
        <w:tabs>
          <w:tab w:val="left" w:pos="567"/>
        </w:tabs>
        <w:rPr>
          <w:szCs w:val="22"/>
        </w:rPr>
      </w:pPr>
    </w:p>
    <w:p w:rsidR="00B8327C" w:rsidRPr="005B2844" w:rsidRDefault="00A70FCB" w:rsidP="002229F2">
      <w:pPr>
        <w:keepNext/>
        <w:tabs>
          <w:tab w:val="left" w:pos="567"/>
        </w:tabs>
        <w:rPr>
          <w:szCs w:val="22"/>
        </w:rPr>
      </w:pPr>
      <w:r w:rsidRPr="005B2844">
        <w:rPr>
          <w:szCs w:val="22"/>
          <w:u w:val="single"/>
        </w:rPr>
        <w:t>Glicosidi della digitale</w:t>
      </w:r>
    </w:p>
    <w:p w:rsidR="00B8327C" w:rsidRPr="005B2844" w:rsidRDefault="00B8327C" w:rsidP="002229F2">
      <w:pPr>
        <w:keepNext/>
        <w:tabs>
          <w:tab w:val="left" w:pos="567"/>
        </w:tabs>
        <w:rPr>
          <w:szCs w:val="22"/>
        </w:rPr>
      </w:pPr>
    </w:p>
    <w:p w:rsidR="00A70FCB" w:rsidRPr="005B2844" w:rsidRDefault="0064125C" w:rsidP="0072602F">
      <w:pPr>
        <w:tabs>
          <w:tab w:val="left" w:pos="567"/>
        </w:tabs>
        <w:rPr>
          <w:szCs w:val="22"/>
        </w:rPr>
      </w:pPr>
      <w:proofErr w:type="spellStart"/>
      <w:r w:rsidRPr="005B2844">
        <w:rPr>
          <w:szCs w:val="22"/>
        </w:rPr>
        <w:t>I</w:t>
      </w:r>
      <w:r w:rsidR="00A70FCB" w:rsidRPr="005B2844">
        <w:rPr>
          <w:szCs w:val="22"/>
        </w:rPr>
        <w:t>popotassiemia</w:t>
      </w:r>
      <w:proofErr w:type="spellEnd"/>
      <w:r w:rsidR="00A70FCB" w:rsidRPr="005B2844">
        <w:rPr>
          <w:szCs w:val="22"/>
        </w:rPr>
        <w:t xml:space="preserve"> o ipomagnesiemia indotte dai tiazi</w:t>
      </w:r>
      <w:r w:rsidR="006A6659" w:rsidRPr="005B2844">
        <w:rPr>
          <w:szCs w:val="22"/>
        </w:rPr>
        <w:t>di</w:t>
      </w:r>
      <w:r w:rsidR="00A70FCB" w:rsidRPr="005B2844">
        <w:rPr>
          <w:szCs w:val="22"/>
        </w:rPr>
        <w:t xml:space="preserve">ci favoriscono l'insorgenza di aritmia cardiaca indotta da digitale (vedere </w:t>
      </w:r>
      <w:r w:rsidR="00FE2E0A" w:rsidRPr="005B2844">
        <w:rPr>
          <w:szCs w:val="22"/>
        </w:rPr>
        <w:t xml:space="preserve">paragrafo </w:t>
      </w:r>
      <w:r w:rsidR="00A70FCB" w:rsidRPr="005B2844">
        <w:rPr>
          <w:szCs w:val="22"/>
        </w:rPr>
        <w:t>4.4).</w:t>
      </w:r>
    </w:p>
    <w:p w:rsidR="00A70FCB" w:rsidRPr="005B2844" w:rsidRDefault="00A70FCB" w:rsidP="0072602F">
      <w:pPr>
        <w:tabs>
          <w:tab w:val="left" w:pos="567"/>
        </w:tabs>
        <w:rPr>
          <w:szCs w:val="22"/>
        </w:rPr>
      </w:pPr>
    </w:p>
    <w:p w:rsidR="00D22A43" w:rsidRPr="005B2844" w:rsidRDefault="00D22A43" w:rsidP="00D22A43">
      <w:pPr>
        <w:keepNext/>
        <w:tabs>
          <w:tab w:val="left" w:pos="567"/>
        </w:tabs>
        <w:rPr>
          <w:szCs w:val="22"/>
          <w:u w:val="single"/>
        </w:rPr>
      </w:pPr>
      <w:r w:rsidRPr="005B2844">
        <w:rPr>
          <w:szCs w:val="22"/>
          <w:u w:val="single"/>
        </w:rPr>
        <w:t>Digossina</w:t>
      </w:r>
    </w:p>
    <w:p w:rsidR="00D22A43" w:rsidRPr="005B2844" w:rsidRDefault="00D22A43" w:rsidP="00D22A43">
      <w:pPr>
        <w:keepNext/>
        <w:tabs>
          <w:tab w:val="left" w:pos="567"/>
        </w:tabs>
        <w:rPr>
          <w:szCs w:val="22"/>
        </w:rPr>
      </w:pPr>
    </w:p>
    <w:p w:rsidR="00D22A43" w:rsidRPr="005B2844" w:rsidRDefault="00D22A43" w:rsidP="0072602F">
      <w:pPr>
        <w:tabs>
          <w:tab w:val="left" w:pos="567"/>
        </w:tabs>
        <w:rPr>
          <w:szCs w:val="22"/>
        </w:rPr>
      </w:pPr>
      <w:r w:rsidRPr="005B2844">
        <w:rPr>
          <w:szCs w:val="22"/>
        </w:rPr>
        <w:t xml:space="preserve">Quando </w:t>
      </w:r>
      <w:proofErr w:type="spellStart"/>
      <w:r w:rsidRPr="005B2844">
        <w:rPr>
          <w:szCs w:val="22"/>
        </w:rPr>
        <w:t>telmisartan</w:t>
      </w:r>
      <w:proofErr w:type="spellEnd"/>
      <w:r w:rsidRPr="005B2844">
        <w:rPr>
          <w:szCs w:val="22"/>
        </w:rPr>
        <w:t xml:space="preserve"> è stato co-somministrato con digossina, sono stati osservati incrementi medi della concentrazione plasmatica di picco (49%) e della concentrazione di valle (20%) di digossina. Qualora si inizi, si modifichi e si interrompa il trattamento con </w:t>
      </w:r>
      <w:proofErr w:type="spellStart"/>
      <w:r w:rsidRPr="005B2844">
        <w:rPr>
          <w:szCs w:val="22"/>
        </w:rPr>
        <w:t>telmisartan</w:t>
      </w:r>
      <w:proofErr w:type="spellEnd"/>
      <w:r w:rsidRPr="005B2844">
        <w:rPr>
          <w:szCs w:val="22"/>
        </w:rPr>
        <w:t>, occorre monitorare i livelli di digossina al fine di mantenerli all’interno dell’intervallo terapeutico.</w:t>
      </w:r>
    </w:p>
    <w:p w:rsidR="00D22A43" w:rsidRPr="005B2844" w:rsidRDefault="00D22A43" w:rsidP="0072602F">
      <w:pPr>
        <w:tabs>
          <w:tab w:val="left" w:pos="567"/>
        </w:tabs>
        <w:rPr>
          <w:szCs w:val="22"/>
        </w:rPr>
      </w:pPr>
    </w:p>
    <w:p w:rsidR="00B8327C" w:rsidRPr="005B2844" w:rsidRDefault="00A70FCB" w:rsidP="002229F2">
      <w:pPr>
        <w:keepNext/>
        <w:rPr>
          <w:szCs w:val="22"/>
        </w:rPr>
      </w:pPr>
      <w:r w:rsidRPr="005B2844">
        <w:rPr>
          <w:szCs w:val="22"/>
          <w:u w:val="single"/>
        </w:rPr>
        <w:t>Altri agenti antipertensivi</w:t>
      </w:r>
    </w:p>
    <w:p w:rsidR="00B8327C" w:rsidRPr="005B2844" w:rsidRDefault="00B8327C" w:rsidP="002229F2">
      <w:pPr>
        <w:keepNext/>
        <w:rPr>
          <w:szCs w:val="22"/>
        </w:rPr>
      </w:pPr>
    </w:p>
    <w:p w:rsidR="00A70FCB" w:rsidRPr="005B2844" w:rsidRDefault="00A70FCB" w:rsidP="0072602F">
      <w:pPr>
        <w:rPr>
          <w:szCs w:val="22"/>
        </w:rPr>
      </w:pPr>
      <w:proofErr w:type="spellStart"/>
      <w:r w:rsidRPr="005B2844">
        <w:rPr>
          <w:szCs w:val="22"/>
        </w:rPr>
        <w:t>Telmisartan</w:t>
      </w:r>
      <w:proofErr w:type="spellEnd"/>
      <w:r w:rsidRPr="005B2844">
        <w:rPr>
          <w:szCs w:val="22"/>
        </w:rPr>
        <w:t xml:space="preserve"> può incrementare l'effetto ipotensivo di altri agenti antipertensivi. </w:t>
      </w:r>
    </w:p>
    <w:p w:rsidR="00A70FCB" w:rsidRPr="005B2844" w:rsidRDefault="00A70FCB" w:rsidP="0072602F">
      <w:pPr>
        <w:rPr>
          <w:szCs w:val="22"/>
        </w:rPr>
      </w:pPr>
    </w:p>
    <w:p w:rsidR="00D222E2" w:rsidRPr="005B2844" w:rsidRDefault="00D222E2" w:rsidP="00D222E2">
      <w:pPr>
        <w:rPr>
          <w:szCs w:val="22"/>
        </w:rPr>
      </w:pPr>
      <w:r w:rsidRPr="005B2844">
        <w:rPr>
          <w:szCs w:val="22"/>
        </w:rPr>
        <w:t xml:space="preserve">I dati degli studi clinici hanno dimostrato che il duplice blocco del sistema renina-angiotensina-aldosterone (RAAS) attraverso l’uso combinato di ACE-inibitori, antagonisti del recettore dell’angiotensina II o </w:t>
      </w:r>
      <w:proofErr w:type="spellStart"/>
      <w:r w:rsidRPr="005B2844">
        <w:rPr>
          <w:szCs w:val="22"/>
        </w:rPr>
        <w:t>aliskiren</w:t>
      </w:r>
      <w:proofErr w:type="spellEnd"/>
      <w:r w:rsidRPr="005B2844">
        <w:rPr>
          <w:szCs w:val="22"/>
        </w:rPr>
        <w:t xml:space="preserve">, è associato ad una maggiore frequenza di eventi avversi quali ipotensione, </w:t>
      </w:r>
      <w:proofErr w:type="spellStart"/>
      <w:r w:rsidRPr="005B2844">
        <w:rPr>
          <w:szCs w:val="22"/>
        </w:rPr>
        <w:t>iperpotassiemia</w:t>
      </w:r>
      <w:proofErr w:type="spellEnd"/>
      <w:r w:rsidRPr="005B2844">
        <w:rPr>
          <w:szCs w:val="22"/>
        </w:rPr>
        <w:t xml:space="preserve"> e riduzione della funzionalità renale (inclusa l’insufficienza renale acuta) rispetto all’uso di un singolo agente attivo sul sistema RAAS (vedere paragrafi 4.3, 4.4 e 5.1).</w:t>
      </w:r>
    </w:p>
    <w:p w:rsidR="00D222E2" w:rsidRPr="005B2844" w:rsidRDefault="00D222E2" w:rsidP="0072602F">
      <w:pPr>
        <w:rPr>
          <w:szCs w:val="22"/>
        </w:rPr>
      </w:pPr>
    </w:p>
    <w:p w:rsidR="00B8327C" w:rsidRPr="005B2844" w:rsidRDefault="00AD75EC" w:rsidP="002229F2">
      <w:pPr>
        <w:keepNext/>
        <w:rPr>
          <w:szCs w:val="22"/>
        </w:rPr>
      </w:pPr>
      <w:r w:rsidRPr="005B2844">
        <w:rPr>
          <w:szCs w:val="22"/>
          <w:u w:val="single"/>
        </w:rPr>
        <w:t>Medicinali a</w:t>
      </w:r>
      <w:r w:rsidR="00A70FCB" w:rsidRPr="005B2844">
        <w:rPr>
          <w:szCs w:val="22"/>
          <w:u w:val="single"/>
        </w:rPr>
        <w:t>ntidiabetici (agenti orali ed insulina)</w:t>
      </w:r>
    </w:p>
    <w:p w:rsidR="00B8327C" w:rsidRPr="005B2844" w:rsidRDefault="00B8327C" w:rsidP="002229F2">
      <w:pPr>
        <w:keepNext/>
        <w:rPr>
          <w:szCs w:val="22"/>
        </w:rPr>
      </w:pPr>
    </w:p>
    <w:p w:rsidR="00A70FCB" w:rsidRPr="005B2844" w:rsidRDefault="0064125C" w:rsidP="0072602F">
      <w:pPr>
        <w:rPr>
          <w:szCs w:val="22"/>
        </w:rPr>
      </w:pPr>
      <w:r w:rsidRPr="005B2844">
        <w:rPr>
          <w:szCs w:val="22"/>
        </w:rPr>
        <w:t>P</w:t>
      </w:r>
      <w:r w:rsidR="00A70FCB" w:rsidRPr="005B2844">
        <w:rPr>
          <w:szCs w:val="22"/>
        </w:rPr>
        <w:t>uò essere necessario un aggiustamento posologico de</w:t>
      </w:r>
      <w:r w:rsidR="004C0B52" w:rsidRPr="005B2844">
        <w:rPr>
          <w:szCs w:val="22"/>
        </w:rPr>
        <w:t xml:space="preserve">i medicinali </w:t>
      </w:r>
      <w:r w:rsidR="00A70FCB" w:rsidRPr="005B2844">
        <w:rPr>
          <w:szCs w:val="22"/>
        </w:rPr>
        <w:t>antidiabetic</w:t>
      </w:r>
      <w:r w:rsidR="004C0B52" w:rsidRPr="005B2844">
        <w:rPr>
          <w:szCs w:val="22"/>
        </w:rPr>
        <w:t>i</w:t>
      </w:r>
      <w:r w:rsidR="00A70FCB" w:rsidRPr="005B2844">
        <w:rPr>
          <w:szCs w:val="22"/>
        </w:rPr>
        <w:t xml:space="preserve"> (vedere </w:t>
      </w:r>
      <w:r w:rsidR="00061BF3" w:rsidRPr="005B2844">
        <w:rPr>
          <w:szCs w:val="22"/>
        </w:rPr>
        <w:t xml:space="preserve">paragrafo </w:t>
      </w:r>
      <w:r w:rsidR="00A70FCB" w:rsidRPr="005B2844">
        <w:rPr>
          <w:szCs w:val="22"/>
        </w:rPr>
        <w:t>4.4)</w:t>
      </w:r>
      <w:r w:rsidR="00AA2744" w:rsidRPr="005B2844">
        <w:rPr>
          <w:szCs w:val="22"/>
        </w:rPr>
        <w:t>.</w:t>
      </w:r>
    </w:p>
    <w:p w:rsidR="00A70FCB" w:rsidRPr="005B2844" w:rsidRDefault="00A70FCB" w:rsidP="0072602F">
      <w:pPr>
        <w:rPr>
          <w:szCs w:val="22"/>
        </w:rPr>
      </w:pPr>
    </w:p>
    <w:p w:rsidR="00B8327C" w:rsidRPr="005B2844" w:rsidRDefault="00A70FCB" w:rsidP="002229F2">
      <w:pPr>
        <w:keepNext/>
        <w:rPr>
          <w:szCs w:val="22"/>
        </w:rPr>
      </w:pPr>
      <w:r w:rsidRPr="005B2844">
        <w:rPr>
          <w:szCs w:val="22"/>
          <w:u w:val="single"/>
        </w:rPr>
        <w:t>Metformina</w:t>
      </w:r>
    </w:p>
    <w:p w:rsidR="00B8327C" w:rsidRPr="005B2844" w:rsidRDefault="00B8327C" w:rsidP="002229F2">
      <w:pPr>
        <w:keepNext/>
        <w:rPr>
          <w:szCs w:val="22"/>
        </w:rPr>
      </w:pPr>
    </w:p>
    <w:p w:rsidR="00A70FCB" w:rsidRPr="005B2844" w:rsidRDefault="00A70FCB" w:rsidP="0072602F">
      <w:pPr>
        <w:rPr>
          <w:szCs w:val="22"/>
        </w:rPr>
      </w:pPr>
      <w:r w:rsidRPr="005B2844">
        <w:rPr>
          <w:szCs w:val="22"/>
        </w:rPr>
        <w:t xml:space="preserve">La metformina deve essere utilizzata con cautela: rischio di acidosi lattica indotta da una possibile insufficienza renale funzionale correlata alla </w:t>
      </w:r>
      <w:proofErr w:type="spellStart"/>
      <w:r w:rsidRPr="005B2844">
        <w:rPr>
          <w:szCs w:val="22"/>
        </w:rPr>
        <w:t>idroclorotiazide</w:t>
      </w:r>
      <w:proofErr w:type="spellEnd"/>
      <w:r w:rsidRPr="005B2844">
        <w:rPr>
          <w:szCs w:val="22"/>
        </w:rPr>
        <w:t>.</w:t>
      </w:r>
    </w:p>
    <w:p w:rsidR="00A70FCB" w:rsidRPr="005B2844" w:rsidRDefault="00A70FCB" w:rsidP="0072602F">
      <w:pPr>
        <w:rPr>
          <w:szCs w:val="22"/>
        </w:rPr>
      </w:pPr>
    </w:p>
    <w:p w:rsidR="00B8327C" w:rsidRPr="005B2844" w:rsidRDefault="003E53E5" w:rsidP="002229F2">
      <w:pPr>
        <w:keepNext/>
        <w:rPr>
          <w:szCs w:val="22"/>
        </w:rPr>
      </w:pPr>
      <w:r w:rsidRPr="005B2844">
        <w:rPr>
          <w:szCs w:val="22"/>
          <w:u w:val="single"/>
        </w:rPr>
        <w:t xml:space="preserve">Resine </w:t>
      </w:r>
      <w:proofErr w:type="spellStart"/>
      <w:r w:rsidRPr="005B2844">
        <w:rPr>
          <w:szCs w:val="22"/>
          <w:u w:val="single"/>
        </w:rPr>
        <w:t>c</w:t>
      </w:r>
      <w:r w:rsidR="00A70FCB" w:rsidRPr="005B2844">
        <w:rPr>
          <w:szCs w:val="22"/>
          <w:u w:val="single"/>
        </w:rPr>
        <w:t>olestiramina</w:t>
      </w:r>
      <w:proofErr w:type="spellEnd"/>
      <w:r w:rsidR="00A70FCB" w:rsidRPr="005B2844">
        <w:rPr>
          <w:szCs w:val="22"/>
          <w:u w:val="single"/>
        </w:rPr>
        <w:t xml:space="preserve"> e </w:t>
      </w:r>
      <w:proofErr w:type="spellStart"/>
      <w:r w:rsidR="00A70FCB" w:rsidRPr="005B2844">
        <w:rPr>
          <w:szCs w:val="22"/>
          <w:u w:val="single"/>
        </w:rPr>
        <w:t>colestipolo</w:t>
      </w:r>
      <w:proofErr w:type="spellEnd"/>
    </w:p>
    <w:p w:rsidR="00B8327C" w:rsidRPr="005B2844" w:rsidRDefault="00B8327C" w:rsidP="002229F2">
      <w:pPr>
        <w:keepNext/>
        <w:rPr>
          <w:szCs w:val="22"/>
        </w:rPr>
      </w:pPr>
    </w:p>
    <w:p w:rsidR="00A70FCB" w:rsidRPr="005B2844" w:rsidRDefault="0064125C" w:rsidP="0072602F">
      <w:pPr>
        <w:rPr>
          <w:szCs w:val="22"/>
        </w:rPr>
      </w:pPr>
      <w:r w:rsidRPr="005B2844">
        <w:rPr>
          <w:szCs w:val="22"/>
        </w:rPr>
        <w:t>L</w:t>
      </w:r>
      <w:r w:rsidR="00A70FCB" w:rsidRPr="005B2844">
        <w:rPr>
          <w:szCs w:val="22"/>
        </w:rPr>
        <w:t>'assorbimento dell’</w:t>
      </w:r>
      <w:proofErr w:type="spellStart"/>
      <w:r w:rsidR="00A70FCB" w:rsidRPr="005B2844">
        <w:rPr>
          <w:szCs w:val="22"/>
        </w:rPr>
        <w:t>idroclorotiazide</w:t>
      </w:r>
      <w:proofErr w:type="spellEnd"/>
      <w:r w:rsidR="00A70FCB" w:rsidRPr="005B2844">
        <w:rPr>
          <w:szCs w:val="22"/>
        </w:rPr>
        <w:t xml:space="preserve"> è ridotto in presenza di resine a scambio </w:t>
      </w:r>
      <w:r w:rsidR="003E53E5" w:rsidRPr="005B2844">
        <w:rPr>
          <w:szCs w:val="22"/>
        </w:rPr>
        <w:t>an</w:t>
      </w:r>
      <w:r w:rsidR="00A70FCB" w:rsidRPr="005B2844">
        <w:rPr>
          <w:szCs w:val="22"/>
        </w:rPr>
        <w:t>ionico</w:t>
      </w:r>
      <w:r w:rsidR="00AA2744" w:rsidRPr="005B2844">
        <w:rPr>
          <w:szCs w:val="22"/>
        </w:rPr>
        <w:t>.</w:t>
      </w:r>
    </w:p>
    <w:p w:rsidR="00A70FCB" w:rsidRPr="005B2844" w:rsidRDefault="00A70FCB" w:rsidP="0072602F">
      <w:pPr>
        <w:rPr>
          <w:szCs w:val="22"/>
        </w:rPr>
      </w:pPr>
    </w:p>
    <w:p w:rsidR="00B8327C" w:rsidRPr="005B2844" w:rsidRDefault="00012C81" w:rsidP="002229F2">
      <w:pPr>
        <w:keepNext/>
        <w:suppressAutoHyphens/>
        <w:rPr>
          <w:szCs w:val="22"/>
        </w:rPr>
      </w:pPr>
      <w:r w:rsidRPr="005B2844">
        <w:rPr>
          <w:szCs w:val="22"/>
          <w:u w:val="single"/>
        </w:rPr>
        <w:t xml:space="preserve">Medicinali </w:t>
      </w:r>
      <w:r w:rsidR="00A70FCB" w:rsidRPr="005B2844">
        <w:rPr>
          <w:szCs w:val="22"/>
          <w:u w:val="single"/>
        </w:rPr>
        <w:t>antinfiammatori non steroidei</w:t>
      </w:r>
    </w:p>
    <w:p w:rsidR="00B8327C" w:rsidRPr="005B2844" w:rsidRDefault="00B8327C" w:rsidP="002229F2">
      <w:pPr>
        <w:keepNext/>
        <w:suppressAutoHyphens/>
        <w:rPr>
          <w:szCs w:val="22"/>
        </w:rPr>
      </w:pPr>
    </w:p>
    <w:p w:rsidR="00914FC9" w:rsidRPr="005B2844" w:rsidRDefault="0064125C" w:rsidP="0072602F">
      <w:pPr>
        <w:suppressAutoHyphens/>
        <w:rPr>
          <w:szCs w:val="22"/>
        </w:rPr>
      </w:pPr>
      <w:r w:rsidRPr="005B2844">
        <w:rPr>
          <w:szCs w:val="22"/>
        </w:rPr>
        <w:t>I</w:t>
      </w:r>
      <w:r w:rsidR="00AA2744" w:rsidRPr="005B2844">
        <w:rPr>
          <w:szCs w:val="22"/>
        </w:rPr>
        <w:t xml:space="preserve"> FANS (</w:t>
      </w:r>
      <w:r w:rsidR="0090070C" w:rsidRPr="005B2844">
        <w:rPr>
          <w:szCs w:val="22"/>
        </w:rPr>
        <w:t xml:space="preserve">ad es. </w:t>
      </w:r>
      <w:r w:rsidR="00AA2744" w:rsidRPr="005B2844">
        <w:rPr>
          <w:szCs w:val="22"/>
        </w:rPr>
        <w:t>a</w:t>
      </w:r>
      <w:r w:rsidR="00CE4AF8" w:rsidRPr="005B2844">
        <w:rPr>
          <w:szCs w:val="22"/>
        </w:rPr>
        <w:t>cido acetilsalicilico a dosaggi antinfiammatori</w:t>
      </w:r>
      <w:r w:rsidR="00AA2744" w:rsidRPr="005B2844">
        <w:rPr>
          <w:szCs w:val="22"/>
        </w:rPr>
        <w:t xml:space="preserve">, inibitori dei COX-2 e FANS non selettivi) possono ridurre </w:t>
      </w:r>
      <w:r w:rsidR="00A70FCB" w:rsidRPr="005B2844">
        <w:rPr>
          <w:szCs w:val="22"/>
        </w:rPr>
        <w:t xml:space="preserve">gli effetti diuretici, natriuretici ed antipertensivi dei </w:t>
      </w:r>
      <w:r w:rsidR="00AA2744" w:rsidRPr="005B2844">
        <w:rPr>
          <w:szCs w:val="22"/>
        </w:rPr>
        <w:t xml:space="preserve">diuretici </w:t>
      </w:r>
      <w:r w:rsidR="00A70FCB" w:rsidRPr="005B2844">
        <w:rPr>
          <w:szCs w:val="22"/>
        </w:rPr>
        <w:t>tiazidici</w:t>
      </w:r>
      <w:r w:rsidR="00914FC9" w:rsidRPr="005B2844">
        <w:rPr>
          <w:szCs w:val="22"/>
        </w:rPr>
        <w:t xml:space="preserve"> e gli effetti antipertensivi degli a</w:t>
      </w:r>
      <w:r w:rsidR="00DA3267" w:rsidRPr="005B2844">
        <w:rPr>
          <w:szCs w:val="22"/>
        </w:rPr>
        <w:t>nta</w:t>
      </w:r>
      <w:r w:rsidR="00914FC9" w:rsidRPr="005B2844">
        <w:rPr>
          <w:szCs w:val="22"/>
        </w:rPr>
        <w:t xml:space="preserve">gonisti </w:t>
      </w:r>
      <w:r w:rsidR="007E0005" w:rsidRPr="005B2844">
        <w:rPr>
          <w:szCs w:val="22"/>
        </w:rPr>
        <w:t xml:space="preserve">del recettore </w:t>
      </w:r>
      <w:r w:rsidR="00914FC9" w:rsidRPr="005B2844">
        <w:rPr>
          <w:szCs w:val="22"/>
        </w:rPr>
        <w:t>dell’angiotensina II.</w:t>
      </w:r>
    </w:p>
    <w:p w:rsidR="00914FC9" w:rsidRPr="005B2844" w:rsidRDefault="00914FC9" w:rsidP="0072602F">
      <w:pPr>
        <w:suppressAutoHyphens/>
        <w:rPr>
          <w:szCs w:val="22"/>
        </w:rPr>
      </w:pPr>
      <w:r w:rsidRPr="005B2844">
        <w:rPr>
          <w:szCs w:val="22"/>
        </w:rPr>
        <w:t xml:space="preserve">In alcuni pazienti con funzionalità renale compromessa (come pazienti disidratati o pazienti anziani con funzionalità renale compromessa) la co-somministrazione di antagonisti </w:t>
      </w:r>
      <w:r w:rsidR="00B7709A" w:rsidRPr="005B2844">
        <w:rPr>
          <w:szCs w:val="22"/>
        </w:rPr>
        <w:t xml:space="preserve">del recettore </w:t>
      </w:r>
      <w:r w:rsidRPr="005B2844">
        <w:rPr>
          <w:szCs w:val="22"/>
        </w:rPr>
        <w:t xml:space="preserve">dell’angiotensina II e di agenti che inibiscono la ciclo-ossigenasi può indurre un ulteriore deterioramento della funzionalità renale, inclusa </w:t>
      </w:r>
      <w:r w:rsidR="0090070C" w:rsidRPr="005B2844">
        <w:rPr>
          <w:szCs w:val="22"/>
        </w:rPr>
        <w:t xml:space="preserve">possibile </w:t>
      </w:r>
      <w:r w:rsidRPr="005B2844">
        <w:rPr>
          <w:szCs w:val="22"/>
        </w:rPr>
        <w:t>insufficienza renale acuta che è solitamente reversibile. Pertanto la co-somministrazione deve essere effettuata con cautela, soprattutto negli anziani. I pazienti devono essere adeguatamente idratati e deve essere considerato il monitoraggio della funzionalità renale dopo l’inizio della terapia concomitante e quindi periodicamente.</w:t>
      </w:r>
    </w:p>
    <w:p w:rsidR="00A70FCB" w:rsidRPr="005B2844" w:rsidRDefault="00A70FCB" w:rsidP="0072602F">
      <w:pPr>
        <w:rPr>
          <w:szCs w:val="22"/>
        </w:rPr>
      </w:pPr>
    </w:p>
    <w:p w:rsidR="00CF2B86" w:rsidRPr="005B2844" w:rsidRDefault="00CF2B86" w:rsidP="00CF2B86">
      <w:pPr>
        <w:rPr>
          <w:spacing w:val="-3"/>
          <w:szCs w:val="22"/>
        </w:rPr>
      </w:pPr>
      <w:r w:rsidRPr="005B2844">
        <w:rPr>
          <w:szCs w:val="22"/>
        </w:rPr>
        <w:t xml:space="preserve">In uno studio la co-somministrazione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ha determinato un aumento fino a 2,5 volte dell’AUC</w:t>
      </w:r>
      <w:r w:rsidRPr="005B2844">
        <w:rPr>
          <w:szCs w:val="22"/>
          <w:vertAlign w:val="subscript"/>
        </w:rPr>
        <w:t>0-24</w:t>
      </w:r>
      <w:r w:rsidRPr="005B2844">
        <w:rPr>
          <w:szCs w:val="22"/>
        </w:rPr>
        <w:t xml:space="preserve"> e della C</w:t>
      </w:r>
      <w:r w:rsidRPr="005B2844">
        <w:rPr>
          <w:szCs w:val="22"/>
          <w:vertAlign w:val="subscript"/>
        </w:rPr>
        <w:t>max</w:t>
      </w:r>
      <w:r w:rsidRPr="005B2844">
        <w:rPr>
          <w:szCs w:val="22"/>
        </w:rPr>
        <w:t xml:space="preserve"> di </w:t>
      </w:r>
      <w:proofErr w:type="spellStart"/>
      <w:r w:rsidRPr="005B2844">
        <w:rPr>
          <w:szCs w:val="22"/>
        </w:rPr>
        <w:t>ramipril</w:t>
      </w:r>
      <w:proofErr w:type="spellEnd"/>
      <w:r w:rsidRPr="005B2844">
        <w:rPr>
          <w:szCs w:val="22"/>
        </w:rPr>
        <w:t xml:space="preserve"> e </w:t>
      </w:r>
      <w:proofErr w:type="spellStart"/>
      <w:r w:rsidRPr="005B2844">
        <w:rPr>
          <w:szCs w:val="22"/>
        </w:rPr>
        <w:t>ramiprilato</w:t>
      </w:r>
      <w:proofErr w:type="spellEnd"/>
      <w:r w:rsidRPr="005B2844">
        <w:rPr>
          <w:szCs w:val="22"/>
        </w:rPr>
        <w:t>. La rilevanza clinica di questa osservazione non è nota.</w:t>
      </w:r>
    </w:p>
    <w:p w:rsidR="001A10D0" w:rsidRPr="005B2844" w:rsidRDefault="001A10D0" w:rsidP="0072602F">
      <w:pPr>
        <w:rPr>
          <w:szCs w:val="22"/>
        </w:rPr>
      </w:pPr>
    </w:p>
    <w:p w:rsidR="00B8327C" w:rsidRPr="005B2844" w:rsidRDefault="00A70FCB" w:rsidP="002229F2">
      <w:pPr>
        <w:keepNext/>
        <w:rPr>
          <w:szCs w:val="22"/>
        </w:rPr>
      </w:pPr>
      <w:r w:rsidRPr="005B2844">
        <w:rPr>
          <w:szCs w:val="22"/>
          <w:u w:val="single"/>
        </w:rPr>
        <w:t>Amine pressorie (</w:t>
      </w:r>
      <w:r w:rsidR="00096E7E" w:rsidRPr="005B2844">
        <w:rPr>
          <w:szCs w:val="22"/>
          <w:u w:val="single"/>
        </w:rPr>
        <w:t>ad es.</w:t>
      </w:r>
      <w:r w:rsidRPr="005B2844">
        <w:rPr>
          <w:szCs w:val="22"/>
          <w:u w:val="single"/>
        </w:rPr>
        <w:t xml:space="preserve"> noradrenalina)</w:t>
      </w:r>
    </w:p>
    <w:p w:rsidR="00B8327C" w:rsidRPr="005B2844" w:rsidRDefault="00B8327C" w:rsidP="002229F2">
      <w:pPr>
        <w:keepNext/>
        <w:rPr>
          <w:szCs w:val="22"/>
        </w:rPr>
      </w:pPr>
    </w:p>
    <w:p w:rsidR="00A70FCB" w:rsidRPr="005B2844" w:rsidRDefault="0064125C" w:rsidP="0072602F">
      <w:pPr>
        <w:rPr>
          <w:szCs w:val="22"/>
        </w:rPr>
      </w:pPr>
      <w:r w:rsidRPr="005B2844">
        <w:rPr>
          <w:szCs w:val="22"/>
        </w:rPr>
        <w:t>L</w:t>
      </w:r>
      <w:r w:rsidR="00A70FCB" w:rsidRPr="005B2844">
        <w:rPr>
          <w:szCs w:val="22"/>
        </w:rPr>
        <w:t>'effetto delle amine pressorie può essere ridotto.</w:t>
      </w:r>
    </w:p>
    <w:p w:rsidR="00A70FCB" w:rsidRPr="005B2844" w:rsidRDefault="00A70FCB" w:rsidP="0072602F">
      <w:pPr>
        <w:rPr>
          <w:szCs w:val="22"/>
        </w:rPr>
      </w:pPr>
    </w:p>
    <w:p w:rsidR="00B8327C" w:rsidRPr="005B2844" w:rsidRDefault="00A70FCB" w:rsidP="008A1E96">
      <w:pPr>
        <w:keepNext/>
        <w:rPr>
          <w:szCs w:val="22"/>
        </w:rPr>
      </w:pPr>
      <w:r w:rsidRPr="005B2844">
        <w:rPr>
          <w:szCs w:val="22"/>
          <w:u w:val="single"/>
        </w:rPr>
        <w:t>Miorilassanti non depolarizzanti (</w:t>
      </w:r>
      <w:r w:rsidR="00096E7E" w:rsidRPr="005B2844">
        <w:rPr>
          <w:szCs w:val="22"/>
          <w:u w:val="single"/>
        </w:rPr>
        <w:t>ad es.</w:t>
      </w:r>
      <w:r w:rsidRPr="005B2844">
        <w:rPr>
          <w:szCs w:val="22"/>
          <w:u w:val="single"/>
        </w:rPr>
        <w:t xml:space="preserve"> tubocurarina)</w:t>
      </w:r>
    </w:p>
    <w:p w:rsidR="00B8327C" w:rsidRPr="005B2844" w:rsidRDefault="00B8327C" w:rsidP="008A1E96">
      <w:pPr>
        <w:keepNext/>
        <w:rPr>
          <w:szCs w:val="22"/>
        </w:rPr>
      </w:pPr>
    </w:p>
    <w:p w:rsidR="00A70FCB" w:rsidRPr="005B2844" w:rsidRDefault="0064125C" w:rsidP="0072602F">
      <w:pPr>
        <w:rPr>
          <w:szCs w:val="22"/>
        </w:rPr>
      </w:pPr>
      <w:r w:rsidRPr="005B2844">
        <w:rPr>
          <w:szCs w:val="22"/>
        </w:rPr>
        <w:t>L</w:t>
      </w:r>
      <w:r w:rsidR="00A70FCB" w:rsidRPr="005B2844">
        <w:rPr>
          <w:szCs w:val="22"/>
        </w:rPr>
        <w:t xml:space="preserve">'effetto dei miorilassanti non depolarizzanti può essere potenziato da </w:t>
      </w:r>
      <w:proofErr w:type="spellStart"/>
      <w:r w:rsidR="00A70FCB" w:rsidRPr="005B2844">
        <w:rPr>
          <w:szCs w:val="22"/>
        </w:rPr>
        <w:t>idroclorotiazide</w:t>
      </w:r>
      <w:proofErr w:type="spellEnd"/>
      <w:r w:rsidR="00914FC9" w:rsidRPr="005B2844">
        <w:rPr>
          <w:szCs w:val="22"/>
        </w:rPr>
        <w:t>.</w:t>
      </w:r>
    </w:p>
    <w:p w:rsidR="00A70FCB" w:rsidRPr="005B2844" w:rsidRDefault="00A70FCB" w:rsidP="0072602F">
      <w:pPr>
        <w:rPr>
          <w:szCs w:val="22"/>
        </w:rPr>
      </w:pPr>
    </w:p>
    <w:p w:rsidR="00B8327C" w:rsidRPr="005B2844" w:rsidRDefault="007B4813" w:rsidP="002229F2">
      <w:pPr>
        <w:keepNext/>
        <w:rPr>
          <w:szCs w:val="22"/>
        </w:rPr>
      </w:pPr>
      <w:r w:rsidRPr="005B2844">
        <w:rPr>
          <w:szCs w:val="22"/>
          <w:u w:val="single"/>
        </w:rPr>
        <w:t xml:space="preserve">Medicinali </w:t>
      </w:r>
      <w:r w:rsidR="00A70FCB" w:rsidRPr="005B2844">
        <w:rPr>
          <w:szCs w:val="22"/>
          <w:u w:val="single"/>
        </w:rPr>
        <w:t>utilizzati nel trattamento della gotta</w:t>
      </w:r>
      <w:r w:rsidR="00A70FCB" w:rsidRPr="005B2844">
        <w:rPr>
          <w:szCs w:val="22"/>
        </w:rPr>
        <w:t xml:space="preserve"> </w:t>
      </w:r>
      <w:r w:rsidR="0032239B" w:rsidRPr="005B2844">
        <w:rPr>
          <w:szCs w:val="22"/>
        </w:rPr>
        <w:t xml:space="preserve">(come </w:t>
      </w:r>
      <w:r w:rsidR="00A70FCB" w:rsidRPr="005B2844">
        <w:rPr>
          <w:szCs w:val="22"/>
        </w:rPr>
        <w:t xml:space="preserve">probenecid, </w:t>
      </w:r>
      <w:proofErr w:type="spellStart"/>
      <w:r w:rsidR="00A70FCB" w:rsidRPr="005B2844">
        <w:rPr>
          <w:szCs w:val="22"/>
        </w:rPr>
        <w:t>sulfinpirazone</w:t>
      </w:r>
      <w:proofErr w:type="spellEnd"/>
      <w:r w:rsidR="00A70FCB" w:rsidRPr="005B2844">
        <w:rPr>
          <w:szCs w:val="22"/>
        </w:rPr>
        <w:t xml:space="preserve"> e </w:t>
      </w:r>
      <w:proofErr w:type="spellStart"/>
      <w:r w:rsidR="00A70FCB" w:rsidRPr="005B2844">
        <w:rPr>
          <w:szCs w:val="22"/>
        </w:rPr>
        <w:t>allopurinolo</w:t>
      </w:r>
      <w:proofErr w:type="spellEnd"/>
      <w:r w:rsidR="0032239B" w:rsidRPr="005B2844">
        <w:rPr>
          <w:szCs w:val="22"/>
        </w:rPr>
        <w:t>)</w:t>
      </w:r>
    </w:p>
    <w:p w:rsidR="00B8327C" w:rsidRPr="005B2844" w:rsidRDefault="00B8327C" w:rsidP="002229F2">
      <w:pPr>
        <w:keepNext/>
        <w:rPr>
          <w:szCs w:val="22"/>
        </w:rPr>
      </w:pPr>
    </w:p>
    <w:p w:rsidR="00A70FCB" w:rsidRPr="005B2844" w:rsidRDefault="0064125C" w:rsidP="0072602F">
      <w:pPr>
        <w:rPr>
          <w:szCs w:val="22"/>
        </w:rPr>
      </w:pPr>
      <w:r w:rsidRPr="005B2844">
        <w:rPr>
          <w:szCs w:val="22"/>
        </w:rPr>
        <w:t>P</w:t>
      </w:r>
      <w:r w:rsidR="00A70FCB" w:rsidRPr="005B2844">
        <w:rPr>
          <w:szCs w:val="22"/>
        </w:rPr>
        <w:t xml:space="preserve">uò essere necessario un aggiustamento posologico dei </w:t>
      </w:r>
      <w:r w:rsidR="006F476C" w:rsidRPr="005B2844">
        <w:rPr>
          <w:szCs w:val="22"/>
        </w:rPr>
        <w:t>medicinali</w:t>
      </w:r>
      <w:r w:rsidR="00A70FCB" w:rsidRPr="005B2844">
        <w:rPr>
          <w:szCs w:val="22"/>
        </w:rPr>
        <w:t xml:space="preserve"> uricosurici in quanto l’</w:t>
      </w:r>
      <w:proofErr w:type="spellStart"/>
      <w:r w:rsidR="00A70FCB" w:rsidRPr="005B2844">
        <w:rPr>
          <w:szCs w:val="22"/>
        </w:rPr>
        <w:t>idroclorotiazide</w:t>
      </w:r>
      <w:proofErr w:type="spellEnd"/>
      <w:r w:rsidR="00A70FCB" w:rsidRPr="005B2844">
        <w:rPr>
          <w:szCs w:val="22"/>
        </w:rPr>
        <w:t xml:space="preserve"> può incrementare il livello sierico di acido urico. Può essere necessario un aumento della dose di probenecid o di </w:t>
      </w:r>
      <w:proofErr w:type="spellStart"/>
      <w:r w:rsidR="00A70FCB" w:rsidRPr="005B2844">
        <w:rPr>
          <w:szCs w:val="22"/>
        </w:rPr>
        <w:t>sulfinpirazone</w:t>
      </w:r>
      <w:proofErr w:type="spellEnd"/>
      <w:r w:rsidR="00A70FCB" w:rsidRPr="005B2844">
        <w:rPr>
          <w:szCs w:val="22"/>
        </w:rPr>
        <w:t xml:space="preserve">. La somministrazione concomitante di </w:t>
      </w:r>
      <w:proofErr w:type="spellStart"/>
      <w:r w:rsidR="00A70FCB" w:rsidRPr="005B2844">
        <w:rPr>
          <w:szCs w:val="22"/>
        </w:rPr>
        <w:t>tiazide</w:t>
      </w:r>
      <w:proofErr w:type="spellEnd"/>
      <w:r w:rsidR="00A70FCB" w:rsidRPr="005B2844">
        <w:rPr>
          <w:szCs w:val="22"/>
        </w:rPr>
        <w:t xml:space="preserve"> può aumentare l'incidenza delle reazioni di ipersensibilità all'</w:t>
      </w:r>
      <w:proofErr w:type="spellStart"/>
      <w:r w:rsidR="00A70FCB" w:rsidRPr="005B2844">
        <w:rPr>
          <w:szCs w:val="22"/>
        </w:rPr>
        <w:t>allopurinolo</w:t>
      </w:r>
      <w:proofErr w:type="spellEnd"/>
      <w:r w:rsidR="00A70FCB" w:rsidRPr="005B2844">
        <w:rPr>
          <w:szCs w:val="22"/>
        </w:rPr>
        <w:t>.</w:t>
      </w:r>
    </w:p>
    <w:p w:rsidR="00A70FCB" w:rsidRPr="005B2844" w:rsidRDefault="00A70FCB" w:rsidP="0072602F">
      <w:pPr>
        <w:rPr>
          <w:szCs w:val="22"/>
        </w:rPr>
      </w:pPr>
    </w:p>
    <w:p w:rsidR="00B8327C" w:rsidRPr="005B2844" w:rsidRDefault="00A70FCB" w:rsidP="002229F2">
      <w:pPr>
        <w:keepNext/>
        <w:rPr>
          <w:szCs w:val="22"/>
        </w:rPr>
      </w:pPr>
      <w:r w:rsidRPr="005B2844">
        <w:rPr>
          <w:szCs w:val="22"/>
          <w:u w:val="single"/>
        </w:rPr>
        <w:t>Sali di calcio</w:t>
      </w:r>
    </w:p>
    <w:p w:rsidR="00B8327C" w:rsidRPr="005B2844" w:rsidRDefault="00B8327C" w:rsidP="002229F2">
      <w:pPr>
        <w:keepNext/>
        <w:rPr>
          <w:szCs w:val="22"/>
        </w:rPr>
      </w:pPr>
    </w:p>
    <w:p w:rsidR="00A70FCB" w:rsidRPr="005B2844" w:rsidRDefault="0064125C" w:rsidP="0072602F">
      <w:pPr>
        <w:rPr>
          <w:szCs w:val="22"/>
        </w:rPr>
      </w:pPr>
      <w:r w:rsidRPr="005B2844">
        <w:rPr>
          <w:szCs w:val="22"/>
        </w:rPr>
        <w:t>I</w:t>
      </w:r>
      <w:r w:rsidR="00A70FCB" w:rsidRPr="005B2844">
        <w:rPr>
          <w:szCs w:val="22"/>
        </w:rPr>
        <w:t xml:space="preserve"> diuretici tiazidici possono determinare un aumento dei livelli sierici di calcio in quanto ne riducono l'escrezione. Qualora debba essere prescritta un'integrazione di calcio</w:t>
      </w:r>
      <w:r w:rsidR="00823E0D" w:rsidRPr="005B2844">
        <w:rPr>
          <w:szCs w:val="22"/>
        </w:rPr>
        <w:t xml:space="preserve"> o medicinali risparmiatori di calc</w:t>
      </w:r>
      <w:r w:rsidR="000020FA" w:rsidRPr="005B2844">
        <w:rPr>
          <w:szCs w:val="22"/>
        </w:rPr>
        <w:t>io (ad es. terapia con vitamina </w:t>
      </w:r>
      <w:r w:rsidR="00823E0D" w:rsidRPr="005B2844">
        <w:rPr>
          <w:szCs w:val="22"/>
        </w:rPr>
        <w:t>D)</w:t>
      </w:r>
      <w:r w:rsidR="00A70FCB" w:rsidRPr="005B2844">
        <w:rPr>
          <w:szCs w:val="22"/>
        </w:rPr>
        <w:t>, i livelli sierici di calcio devono essere controllati ed il dosaggio dello stesso aggiustato di conseguenza.</w:t>
      </w:r>
    </w:p>
    <w:p w:rsidR="00A70FCB" w:rsidRPr="005B2844" w:rsidRDefault="00A70FCB" w:rsidP="0072602F">
      <w:pPr>
        <w:rPr>
          <w:szCs w:val="22"/>
        </w:rPr>
      </w:pPr>
    </w:p>
    <w:p w:rsidR="00B8327C" w:rsidRPr="005B2844" w:rsidRDefault="00A70FCB" w:rsidP="002229F2">
      <w:pPr>
        <w:keepNext/>
        <w:rPr>
          <w:szCs w:val="22"/>
        </w:rPr>
      </w:pPr>
      <w:r w:rsidRPr="005B2844">
        <w:rPr>
          <w:szCs w:val="22"/>
          <w:u w:val="single"/>
        </w:rPr>
        <w:t xml:space="preserve">Beta-bloccanti e </w:t>
      </w:r>
      <w:proofErr w:type="spellStart"/>
      <w:r w:rsidRPr="005B2844">
        <w:rPr>
          <w:szCs w:val="22"/>
          <w:u w:val="single"/>
        </w:rPr>
        <w:t>diazossido</w:t>
      </w:r>
      <w:proofErr w:type="spellEnd"/>
    </w:p>
    <w:p w:rsidR="00B8327C" w:rsidRPr="005B2844" w:rsidRDefault="00B8327C" w:rsidP="002229F2">
      <w:pPr>
        <w:keepNext/>
        <w:rPr>
          <w:szCs w:val="22"/>
        </w:rPr>
      </w:pPr>
    </w:p>
    <w:p w:rsidR="00A70FCB" w:rsidRPr="005B2844" w:rsidRDefault="00A70FCB" w:rsidP="0072602F">
      <w:pPr>
        <w:rPr>
          <w:szCs w:val="22"/>
        </w:rPr>
      </w:pPr>
      <w:r w:rsidRPr="005B2844">
        <w:rPr>
          <w:szCs w:val="22"/>
        </w:rPr>
        <w:t xml:space="preserve">L'effetto iperglicemico dei beta-bloccanti e del </w:t>
      </w:r>
      <w:proofErr w:type="spellStart"/>
      <w:r w:rsidRPr="005B2844">
        <w:rPr>
          <w:szCs w:val="22"/>
        </w:rPr>
        <w:t>diazossido</w:t>
      </w:r>
      <w:proofErr w:type="spellEnd"/>
      <w:r w:rsidRPr="005B2844">
        <w:rPr>
          <w:szCs w:val="22"/>
        </w:rPr>
        <w:t xml:space="preserve"> può essere incrementato dai tiazidici.</w:t>
      </w:r>
    </w:p>
    <w:p w:rsidR="00A70FCB" w:rsidRPr="005B2844" w:rsidRDefault="00A70FCB" w:rsidP="0072602F">
      <w:pPr>
        <w:rPr>
          <w:szCs w:val="22"/>
        </w:rPr>
      </w:pPr>
    </w:p>
    <w:p w:rsidR="00A70FCB" w:rsidRPr="005B2844" w:rsidRDefault="00A70FCB" w:rsidP="0072602F">
      <w:pPr>
        <w:rPr>
          <w:szCs w:val="22"/>
        </w:rPr>
      </w:pPr>
      <w:r w:rsidRPr="005B2844">
        <w:rPr>
          <w:szCs w:val="22"/>
          <w:u w:val="single"/>
        </w:rPr>
        <w:t>Agenti anticolinergici</w:t>
      </w:r>
      <w:r w:rsidRPr="005B2844">
        <w:rPr>
          <w:szCs w:val="22"/>
        </w:rPr>
        <w:t xml:space="preserve"> (</w:t>
      </w:r>
      <w:r w:rsidR="00096E7E" w:rsidRPr="005B2844">
        <w:rPr>
          <w:szCs w:val="22"/>
        </w:rPr>
        <w:t>ad es.</w:t>
      </w:r>
      <w:r w:rsidRPr="005B2844">
        <w:rPr>
          <w:szCs w:val="22"/>
        </w:rPr>
        <w:t xml:space="preserve"> atropina, </w:t>
      </w:r>
      <w:proofErr w:type="spellStart"/>
      <w:r w:rsidRPr="005B2844">
        <w:rPr>
          <w:szCs w:val="22"/>
        </w:rPr>
        <w:t>biperiden</w:t>
      </w:r>
      <w:proofErr w:type="spellEnd"/>
      <w:r w:rsidRPr="005B2844">
        <w:rPr>
          <w:szCs w:val="22"/>
        </w:rPr>
        <w:t>) possono incrementare la biodisponibilità dei diuretici tiazidici riducendo la motilità gastrointestinale e la velocità di svuotamento dello stomaco.</w:t>
      </w:r>
    </w:p>
    <w:p w:rsidR="00A70FCB" w:rsidRPr="005B2844" w:rsidRDefault="00A70FCB" w:rsidP="0072602F">
      <w:pPr>
        <w:rPr>
          <w:szCs w:val="22"/>
        </w:rPr>
      </w:pPr>
    </w:p>
    <w:p w:rsidR="00B8327C" w:rsidRPr="005B2844" w:rsidRDefault="00A70FCB" w:rsidP="002229F2">
      <w:pPr>
        <w:keepNext/>
        <w:rPr>
          <w:szCs w:val="22"/>
        </w:rPr>
      </w:pPr>
      <w:proofErr w:type="spellStart"/>
      <w:r w:rsidRPr="005B2844">
        <w:rPr>
          <w:szCs w:val="22"/>
          <w:u w:val="single"/>
        </w:rPr>
        <w:t>Amantadina</w:t>
      </w:r>
      <w:proofErr w:type="spellEnd"/>
    </w:p>
    <w:p w:rsidR="00B8327C" w:rsidRPr="005B2844" w:rsidRDefault="00B8327C" w:rsidP="002229F2">
      <w:pPr>
        <w:keepNext/>
        <w:rPr>
          <w:szCs w:val="22"/>
        </w:rPr>
      </w:pPr>
    </w:p>
    <w:p w:rsidR="00A70FCB" w:rsidRPr="005B2844" w:rsidRDefault="00A70FCB" w:rsidP="0072602F">
      <w:pPr>
        <w:rPr>
          <w:szCs w:val="22"/>
        </w:rPr>
      </w:pPr>
      <w:r w:rsidRPr="005B2844">
        <w:rPr>
          <w:szCs w:val="22"/>
        </w:rPr>
        <w:t>I tiazidici possono aumentare il rischio degli effetti indesiderati causati dall'</w:t>
      </w:r>
      <w:proofErr w:type="spellStart"/>
      <w:r w:rsidRPr="005B2844">
        <w:rPr>
          <w:szCs w:val="22"/>
        </w:rPr>
        <w:t>amantadina</w:t>
      </w:r>
      <w:proofErr w:type="spellEnd"/>
      <w:r w:rsidRPr="005B2844">
        <w:rPr>
          <w:szCs w:val="22"/>
        </w:rPr>
        <w:t>.</w:t>
      </w:r>
    </w:p>
    <w:p w:rsidR="00A70FCB" w:rsidRPr="005B2844" w:rsidRDefault="00A70FCB" w:rsidP="0072602F">
      <w:pPr>
        <w:rPr>
          <w:szCs w:val="22"/>
        </w:rPr>
      </w:pPr>
    </w:p>
    <w:p w:rsidR="00B8327C" w:rsidRPr="005B2844" w:rsidRDefault="00A70FCB" w:rsidP="002229F2">
      <w:pPr>
        <w:keepNext/>
        <w:rPr>
          <w:szCs w:val="22"/>
        </w:rPr>
      </w:pPr>
      <w:r w:rsidRPr="005B2844">
        <w:rPr>
          <w:szCs w:val="22"/>
          <w:u w:val="single"/>
        </w:rPr>
        <w:t>Agenti citotossici</w:t>
      </w:r>
      <w:r w:rsidRPr="005B2844">
        <w:rPr>
          <w:szCs w:val="22"/>
        </w:rPr>
        <w:t xml:space="preserve"> (</w:t>
      </w:r>
      <w:r w:rsidR="00096E7E" w:rsidRPr="005B2844">
        <w:rPr>
          <w:szCs w:val="22"/>
        </w:rPr>
        <w:t>ad es.</w:t>
      </w:r>
      <w:r w:rsidRPr="005B2844">
        <w:rPr>
          <w:szCs w:val="22"/>
        </w:rPr>
        <w:t xml:space="preserve"> </w:t>
      </w:r>
      <w:proofErr w:type="spellStart"/>
      <w:r w:rsidRPr="005B2844">
        <w:rPr>
          <w:szCs w:val="22"/>
        </w:rPr>
        <w:t>ciclofosfamide</w:t>
      </w:r>
      <w:proofErr w:type="spellEnd"/>
      <w:r w:rsidRPr="005B2844">
        <w:rPr>
          <w:szCs w:val="22"/>
        </w:rPr>
        <w:t xml:space="preserve">, </w:t>
      </w:r>
      <w:proofErr w:type="spellStart"/>
      <w:r w:rsidRPr="005B2844">
        <w:rPr>
          <w:szCs w:val="22"/>
        </w:rPr>
        <w:t>metotrexato</w:t>
      </w:r>
      <w:proofErr w:type="spellEnd"/>
      <w:r w:rsidRPr="005B2844">
        <w:rPr>
          <w:szCs w:val="22"/>
        </w:rPr>
        <w:t>)</w:t>
      </w:r>
    </w:p>
    <w:p w:rsidR="00B8327C" w:rsidRPr="005B2844" w:rsidRDefault="00B8327C" w:rsidP="002229F2">
      <w:pPr>
        <w:keepNext/>
        <w:rPr>
          <w:szCs w:val="22"/>
        </w:rPr>
      </w:pPr>
    </w:p>
    <w:p w:rsidR="00A70FCB" w:rsidRPr="005B2844" w:rsidRDefault="00A70FCB" w:rsidP="0072602F">
      <w:pPr>
        <w:rPr>
          <w:szCs w:val="22"/>
        </w:rPr>
      </w:pPr>
      <w:r w:rsidRPr="005B2844">
        <w:rPr>
          <w:szCs w:val="22"/>
        </w:rPr>
        <w:t xml:space="preserve">I tiazidici possono ridurre l'escrezione renale dei </w:t>
      </w:r>
      <w:r w:rsidR="00012C81" w:rsidRPr="005B2844">
        <w:rPr>
          <w:szCs w:val="22"/>
        </w:rPr>
        <w:t>medicinali</w:t>
      </w:r>
      <w:r w:rsidRPr="005B2844">
        <w:rPr>
          <w:szCs w:val="22"/>
        </w:rPr>
        <w:t xml:space="preserve"> citotossici e potenziarne l'effetto </w:t>
      </w:r>
      <w:proofErr w:type="spellStart"/>
      <w:r w:rsidRPr="005B2844">
        <w:rPr>
          <w:szCs w:val="22"/>
        </w:rPr>
        <w:t>mielosoppressivo</w:t>
      </w:r>
      <w:proofErr w:type="spellEnd"/>
      <w:r w:rsidRPr="005B2844">
        <w:rPr>
          <w:szCs w:val="22"/>
        </w:rPr>
        <w:t>.</w:t>
      </w:r>
    </w:p>
    <w:p w:rsidR="00A70FCB" w:rsidRPr="005B2844" w:rsidRDefault="00A70FCB" w:rsidP="0072602F">
      <w:pPr>
        <w:rPr>
          <w:szCs w:val="22"/>
        </w:rPr>
      </w:pPr>
    </w:p>
    <w:p w:rsidR="007302E6" w:rsidRPr="005B2844" w:rsidRDefault="00EA1783" w:rsidP="0072602F">
      <w:pPr>
        <w:suppressAutoHyphens/>
        <w:rPr>
          <w:szCs w:val="22"/>
        </w:rPr>
      </w:pPr>
      <w:r w:rsidRPr="005B2844">
        <w:rPr>
          <w:szCs w:val="22"/>
        </w:rPr>
        <w:t xml:space="preserve">Sulla base delle loro caratteristiche farmacologiche ci si può aspettare che i seguenti </w:t>
      </w:r>
      <w:r w:rsidR="00AF0661" w:rsidRPr="005B2844">
        <w:rPr>
          <w:szCs w:val="22"/>
        </w:rPr>
        <w:t xml:space="preserve">medicinali </w:t>
      </w:r>
      <w:r w:rsidRPr="005B2844">
        <w:rPr>
          <w:szCs w:val="22"/>
        </w:rPr>
        <w:t xml:space="preserve">possano potenziare gli effetti ipotensivi di tutti gli antipertensivi incluso </w:t>
      </w:r>
      <w:proofErr w:type="spellStart"/>
      <w:r w:rsidRPr="005B2844">
        <w:rPr>
          <w:szCs w:val="22"/>
        </w:rPr>
        <w:t>telmi</w:t>
      </w:r>
      <w:r w:rsidR="007302E6" w:rsidRPr="005B2844">
        <w:rPr>
          <w:szCs w:val="22"/>
        </w:rPr>
        <w:t>sartan</w:t>
      </w:r>
      <w:proofErr w:type="spellEnd"/>
      <w:r w:rsidR="007302E6" w:rsidRPr="005B2844">
        <w:rPr>
          <w:szCs w:val="22"/>
        </w:rPr>
        <w:t xml:space="preserve">: </w:t>
      </w:r>
      <w:proofErr w:type="spellStart"/>
      <w:r w:rsidR="007302E6" w:rsidRPr="005B2844">
        <w:rPr>
          <w:szCs w:val="22"/>
        </w:rPr>
        <w:t>baclofen</w:t>
      </w:r>
      <w:r w:rsidR="007F04B7" w:rsidRPr="005B2844">
        <w:rPr>
          <w:szCs w:val="22"/>
        </w:rPr>
        <w:t>e</w:t>
      </w:r>
      <w:proofErr w:type="spellEnd"/>
      <w:r w:rsidR="007302E6" w:rsidRPr="005B2844">
        <w:rPr>
          <w:szCs w:val="22"/>
        </w:rPr>
        <w:t xml:space="preserve">, </w:t>
      </w:r>
      <w:proofErr w:type="spellStart"/>
      <w:r w:rsidR="007302E6" w:rsidRPr="005B2844">
        <w:rPr>
          <w:szCs w:val="22"/>
        </w:rPr>
        <w:t>amifostina</w:t>
      </w:r>
      <w:proofErr w:type="spellEnd"/>
      <w:r w:rsidR="007302E6" w:rsidRPr="005B2844">
        <w:rPr>
          <w:szCs w:val="22"/>
        </w:rPr>
        <w:t>.</w:t>
      </w:r>
    </w:p>
    <w:p w:rsidR="00EA1783" w:rsidRPr="005B2844" w:rsidRDefault="00EA1783" w:rsidP="0072602F">
      <w:pPr>
        <w:suppressAutoHyphens/>
        <w:rPr>
          <w:szCs w:val="22"/>
        </w:rPr>
      </w:pPr>
      <w:r w:rsidRPr="005B2844">
        <w:rPr>
          <w:szCs w:val="22"/>
        </w:rPr>
        <w:t>Inoltre l’ipotensione ortostatica può essere aggravata da alcol, barbiturici, narcotici o antidepressivi.</w:t>
      </w:r>
    </w:p>
    <w:p w:rsidR="00EA1783" w:rsidRPr="005B2844" w:rsidRDefault="00EA1783" w:rsidP="0072602F">
      <w:pPr>
        <w:rPr>
          <w:szCs w:val="22"/>
        </w:rPr>
      </w:pPr>
    </w:p>
    <w:p w:rsidR="00A70FCB" w:rsidRPr="005B2844" w:rsidRDefault="00A70FCB" w:rsidP="002229F2">
      <w:pPr>
        <w:keepNext/>
        <w:tabs>
          <w:tab w:val="left" w:pos="567"/>
        </w:tabs>
        <w:rPr>
          <w:b/>
          <w:szCs w:val="22"/>
        </w:rPr>
      </w:pPr>
      <w:r w:rsidRPr="005B2844">
        <w:rPr>
          <w:b/>
          <w:szCs w:val="22"/>
        </w:rPr>
        <w:t>4.6</w:t>
      </w:r>
      <w:r w:rsidRPr="005B2844">
        <w:rPr>
          <w:b/>
          <w:szCs w:val="22"/>
        </w:rPr>
        <w:tab/>
      </w:r>
      <w:r w:rsidR="00F3756E" w:rsidRPr="005B2844">
        <w:rPr>
          <w:b/>
          <w:szCs w:val="22"/>
        </w:rPr>
        <w:t>Fertilità, g</w:t>
      </w:r>
      <w:r w:rsidRPr="005B2844">
        <w:rPr>
          <w:b/>
          <w:szCs w:val="22"/>
        </w:rPr>
        <w:t>ravidanza e allattamento</w:t>
      </w:r>
    </w:p>
    <w:p w:rsidR="00A70FCB" w:rsidRPr="005B2844" w:rsidRDefault="00A70FCB" w:rsidP="002229F2">
      <w:pPr>
        <w:keepNext/>
        <w:rPr>
          <w:szCs w:val="22"/>
        </w:rPr>
      </w:pPr>
    </w:p>
    <w:p w:rsidR="00276E42" w:rsidRPr="005B2844" w:rsidRDefault="00276E42" w:rsidP="002229F2">
      <w:pPr>
        <w:keepNext/>
        <w:suppressAutoHyphens/>
        <w:rPr>
          <w:szCs w:val="22"/>
          <w:u w:val="single"/>
        </w:rPr>
      </w:pPr>
      <w:r w:rsidRPr="005B2844">
        <w:rPr>
          <w:szCs w:val="22"/>
          <w:u w:val="single"/>
        </w:rPr>
        <w:t>Gravidanza</w:t>
      </w:r>
    </w:p>
    <w:p w:rsidR="00276E42" w:rsidRPr="005B2844" w:rsidRDefault="00276E42" w:rsidP="002229F2">
      <w:pPr>
        <w:keepNext/>
        <w:rPr>
          <w:szCs w:val="22"/>
        </w:rPr>
      </w:pPr>
    </w:p>
    <w:p w:rsidR="00B36048" w:rsidRPr="005B2844" w:rsidRDefault="00D13600" w:rsidP="0072602F">
      <w:pPr>
        <w:pBdr>
          <w:top w:val="single" w:sz="4" w:space="1" w:color="auto"/>
          <w:left w:val="single" w:sz="4" w:space="4" w:color="auto"/>
          <w:bottom w:val="single" w:sz="4" w:space="1" w:color="auto"/>
          <w:right w:val="single" w:sz="4" w:space="4" w:color="auto"/>
        </w:pBdr>
        <w:autoSpaceDE w:val="0"/>
        <w:autoSpaceDN w:val="0"/>
        <w:adjustRightInd w:val="0"/>
        <w:rPr>
          <w:rFonts w:eastAsia="MS Mincho"/>
          <w:color w:val="000000"/>
          <w:szCs w:val="22"/>
          <w:lang w:eastAsia="ja-JP" w:bidi="th-TH"/>
        </w:rPr>
      </w:pPr>
      <w:r w:rsidRPr="005B2844">
        <w:rPr>
          <w:rFonts w:eastAsia="MS Mincho"/>
          <w:color w:val="000000"/>
          <w:szCs w:val="22"/>
          <w:lang w:eastAsia="ja-JP" w:bidi="th-TH"/>
        </w:rPr>
        <w:t xml:space="preserve">L’uso degli antagonisti del recettore dell’angiotensina II </w:t>
      </w:r>
      <w:r w:rsidRPr="005B2844">
        <w:rPr>
          <w:szCs w:val="22"/>
        </w:rPr>
        <w:t>(AIIRA)</w:t>
      </w:r>
      <w:r w:rsidRPr="005B2844">
        <w:rPr>
          <w:rFonts w:eastAsia="MS Mincho"/>
          <w:color w:val="000000"/>
          <w:szCs w:val="22"/>
          <w:lang w:eastAsia="ja-JP" w:bidi="th-TH"/>
        </w:rPr>
        <w:t xml:space="preserve"> non è raccomandato durante il primo trimestre di gravidanza (vedere paragrafo 4.4). </w:t>
      </w:r>
      <w:r w:rsidRPr="005B2844">
        <w:rPr>
          <w:rFonts w:eastAsia="MS Mincho"/>
          <w:color w:val="000000"/>
          <w:szCs w:val="22"/>
          <w:lang w:eastAsia="ja-JP"/>
        </w:rPr>
        <w:t xml:space="preserve">L’uso degli </w:t>
      </w:r>
      <w:r w:rsidRPr="005B2844">
        <w:rPr>
          <w:szCs w:val="22"/>
        </w:rPr>
        <w:t xml:space="preserve">AIIRA è controindicato durante il secondo ed il terzo trimestre di gravidanza </w:t>
      </w:r>
      <w:r w:rsidRPr="005B2844">
        <w:rPr>
          <w:rFonts w:eastAsia="MS Mincho"/>
          <w:color w:val="000000"/>
          <w:szCs w:val="22"/>
          <w:lang w:eastAsia="ja-JP"/>
        </w:rPr>
        <w:t>(vedere paragrafi 4.3 e 4.4).</w:t>
      </w:r>
    </w:p>
    <w:p w:rsidR="00B36048" w:rsidRPr="005B2844" w:rsidRDefault="00B36048" w:rsidP="0072602F">
      <w:pPr>
        <w:rPr>
          <w:szCs w:val="22"/>
        </w:rPr>
      </w:pPr>
    </w:p>
    <w:p w:rsidR="00A70FCB" w:rsidRPr="005B2844" w:rsidRDefault="008A679D" w:rsidP="0072602F">
      <w:pPr>
        <w:rPr>
          <w:noProof/>
          <w:szCs w:val="22"/>
        </w:rPr>
      </w:pPr>
      <w:bookmarkStart w:id="2" w:name="OLE_LINK4"/>
      <w:r w:rsidRPr="005B2844">
        <w:rPr>
          <w:noProof/>
          <w:szCs w:val="22"/>
        </w:rPr>
        <w:t xml:space="preserve">Non vi sono dati </w:t>
      </w:r>
      <w:r w:rsidR="00C15FAE" w:rsidRPr="005B2844">
        <w:rPr>
          <w:noProof/>
          <w:szCs w:val="22"/>
        </w:rPr>
        <w:t>sufficienti</w:t>
      </w:r>
      <w:r w:rsidRPr="005B2844">
        <w:rPr>
          <w:noProof/>
          <w:szCs w:val="22"/>
        </w:rPr>
        <w:t xml:space="preserve"> </w:t>
      </w:r>
      <w:r w:rsidR="00C15FAE" w:rsidRPr="005B2844">
        <w:rPr>
          <w:noProof/>
          <w:szCs w:val="22"/>
        </w:rPr>
        <w:t>sul</w:t>
      </w:r>
      <w:r w:rsidRPr="005B2844">
        <w:rPr>
          <w:noProof/>
          <w:szCs w:val="22"/>
        </w:rPr>
        <w:t>l’uso di MicardisPlus in donne in gravidanza. Gli studi condotti su</w:t>
      </w:r>
      <w:r w:rsidR="00C15FAE" w:rsidRPr="005B2844">
        <w:rPr>
          <w:noProof/>
          <w:szCs w:val="22"/>
        </w:rPr>
        <w:t>gli</w:t>
      </w:r>
      <w:r w:rsidRPr="005B2844">
        <w:rPr>
          <w:noProof/>
          <w:szCs w:val="22"/>
        </w:rPr>
        <w:t xml:space="preserve"> animali hanno evidenziato una tossicità riproduttiva (vedere paragrafo 5.3).</w:t>
      </w:r>
      <w:bookmarkEnd w:id="2"/>
    </w:p>
    <w:p w:rsidR="00A83415" w:rsidRPr="005B2844" w:rsidRDefault="00A83415" w:rsidP="0072602F">
      <w:pPr>
        <w:rPr>
          <w:szCs w:val="22"/>
        </w:rPr>
      </w:pPr>
    </w:p>
    <w:p w:rsidR="001535D3" w:rsidRPr="005B2844" w:rsidRDefault="001535D3" w:rsidP="0072602F">
      <w:pPr>
        <w:rPr>
          <w:iCs/>
          <w:noProof/>
          <w:color w:val="000000"/>
          <w:szCs w:val="22"/>
        </w:rPr>
      </w:pPr>
      <w:bookmarkStart w:id="3" w:name="OLE_LINK14"/>
      <w:r w:rsidRPr="005B2844">
        <w:rPr>
          <w:color w:val="000000"/>
          <w:szCs w:val="22"/>
        </w:rPr>
        <w:t xml:space="preserve">L’evidenza epidemiologica sul rischio di </w:t>
      </w:r>
      <w:proofErr w:type="spellStart"/>
      <w:r w:rsidRPr="005B2844">
        <w:rPr>
          <w:color w:val="000000"/>
          <w:szCs w:val="22"/>
        </w:rPr>
        <w:t>teratogenicità</w:t>
      </w:r>
      <w:proofErr w:type="spellEnd"/>
      <w:r w:rsidRPr="005B2844">
        <w:rPr>
          <w:color w:val="000000"/>
          <w:szCs w:val="22"/>
        </w:rPr>
        <w:t xml:space="preserve">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w:t>
      </w:r>
      <w:r w:rsidRPr="005B2844">
        <w:rPr>
          <w:iCs/>
          <w:noProof/>
          <w:color w:val="000000"/>
          <w:szCs w:val="22"/>
        </w:rPr>
        <w:t>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immediatamente interrotto e, se appropriato, si deve iniziare una terapia alternativa.</w:t>
      </w:r>
    </w:p>
    <w:p w:rsidR="00A83415" w:rsidRPr="005B2844" w:rsidRDefault="00A83415" w:rsidP="0072602F">
      <w:pPr>
        <w:rPr>
          <w:color w:val="000000"/>
          <w:szCs w:val="22"/>
        </w:rPr>
      </w:pPr>
    </w:p>
    <w:p w:rsidR="001535D3" w:rsidRPr="005B2844" w:rsidRDefault="001535D3" w:rsidP="0072602F">
      <w:pPr>
        <w:rPr>
          <w:szCs w:val="22"/>
        </w:rPr>
      </w:pPr>
      <w:r w:rsidRPr="005B2844">
        <w:rPr>
          <w:szCs w:val="22"/>
        </w:rPr>
        <w:t xml:space="preserve">È noto che nella donna l’esposizione ad </w:t>
      </w:r>
      <w:r w:rsidRPr="005B2844">
        <w:rPr>
          <w:color w:val="000000"/>
          <w:szCs w:val="22"/>
        </w:rPr>
        <w:t xml:space="preserve">AIIRA </w:t>
      </w:r>
      <w:r w:rsidRPr="005B2844">
        <w:rPr>
          <w:szCs w:val="22"/>
        </w:rPr>
        <w:t xml:space="preserve">durante il secondo ed il terzo trimestre induce tossicità fetale (ridotta funzionalità renale, </w:t>
      </w:r>
      <w:proofErr w:type="spellStart"/>
      <w:r w:rsidRPr="005B2844">
        <w:rPr>
          <w:szCs w:val="22"/>
        </w:rPr>
        <w:t>oligoidramnios</w:t>
      </w:r>
      <w:proofErr w:type="spellEnd"/>
      <w:r w:rsidRPr="005B2844">
        <w:rPr>
          <w:szCs w:val="22"/>
        </w:rPr>
        <w:t xml:space="preserve">, ritardo nell’ossificazione del cranio) e tossicità neonatale (insufficienza renale, ipotensione, </w:t>
      </w:r>
      <w:proofErr w:type="spellStart"/>
      <w:r w:rsidRPr="005B2844">
        <w:rPr>
          <w:szCs w:val="22"/>
        </w:rPr>
        <w:t>iperkaliemia</w:t>
      </w:r>
      <w:proofErr w:type="spellEnd"/>
      <w:r w:rsidRPr="005B2844">
        <w:rPr>
          <w:szCs w:val="22"/>
        </w:rPr>
        <w:t>)</w:t>
      </w:r>
      <w:r w:rsidR="00A83415" w:rsidRPr="005B2844">
        <w:rPr>
          <w:szCs w:val="22"/>
        </w:rPr>
        <w:t>.</w:t>
      </w:r>
      <w:r w:rsidRPr="005B2844">
        <w:rPr>
          <w:szCs w:val="22"/>
        </w:rPr>
        <w:t xml:space="preserve"> (</w:t>
      </w:r>
      <w:r w:rsidR="00A83415" w:rsidRPr="005B2844">
        <w:rPr>
          <w:szCs w:val="22"/>
        </w:rPr>
        <w:t>V</w:t>
      </w:r>
      <w:r w:rsidRPr="005B2844">
        <w:rPr>
          <w:szCs w:val="22"/>
        </w:rPr>
        <w:t>edere paragrafo 5.3).</w:t>
      </w:r>
    </w:p>
    <w:p w:rsidR="001535D3" w:rsidRPr="005B2844" w:rsidRDefault="001535D3" w:rsidP="0072602F">
      <w:pPr>
        <w:rPr>
          <w:color w:val="000000"/>
          <w:szCs w:val="22"/>
        </w:rPr>
      </w:pPr>
      <w:r w:rsidRPr="005B2844">
        <w:rPr>
          <w:color w:val="000000"/>
          <w:szCs w:val="22"/>
        </w:rPr>
        <w:t>Se dovesse verificarsi un’esposizione ad un AIIRA dal secondo trimestre di gravidanza, si raccomanda un controllo ecografico della funzionalità renale e del cranio.</w:t>
      </w:r>
    </w:p>
    <w:p w:rsidR="00B36048" w:rsidRPr="005B2844" w:rsidRDefault="001535D3" w:rsidP="0072602F">
      <w:pPr>
        <w:rPr>
          <w:szCs w:val="22"/>
        </w:rPr>
      </w:pPr>
      <w:r w:rsidRPr="005B2844">
        <w:rPr>
          <w:szCs w:val="22"/>
        </w:rPr>
        <w:t>I neonati le cui madri abbiano assunto AIIRA devono essere attentamente seguiti per quanto riguarda l’ipotensione (vedere paragrafi 4.3 e 4.4).</w:t>
      </w:r>
      <w:bookmarkEnd w:id="3"/>
    </w:p>
    <w:p w:rsidR="00B36048" w:rsidRPr="005B2844" w:rsidRDefault="00B36048" w:rsidP="0072602F">
      <w:pPr>
        <w:rPr>
          <w:szCs w:val="22"/>
        </w:rPr>
      </w:pPr>
    </w:p>
    <w:p w:rsidR="002E4FFF" w:rsidRPr="005B2844" w:rsidRDefault="002E4FFF" w:rsidP="002E4FFF">
      <w:pPr>
        <w:rPr>
          <w:szCs w:val="22"/>
        </w:rPr>
      </w:pPr>
      <w:r w:rsidRPr="005B2844">
        <w:rPr>
          <w:szCs w:val="22"/>
        </w:rPr>
        <w:t xml:space="preserve">L’esperienza con </w:t>
      </w:r>
      <w:proofErr w:type="spellStart"/>
      <w:r w:rsidRPr="005B2844">
        <w:rPr>
          <w:szCs w:val="22"/>
        </w:rPr>
        <w:t>idroclorotiazide</w:t>
      </w:r>
      <w:proofErr w:type="spellEnd"/>
      <w:r w:rsidRPr="005B2844">
        <w:rPr>
          <w:szCs w:val="22"/>
        </w:rPr>
        <w:t xml:space="preserve"> in gravidanza è limitata, specialmente durante il primo trimestre. Gli studi sugli animali sono insufficienti. L’</w:t>
      </w:r>
      <w:proofErr w:type="spellStart"/>
      <w:r w:rsidRPr="005B2844">
        <w:rPr>
          <w:szCs w:val="22"/>
        </w:rPr>
        <w:t>idroclorotiazide</w:t>
      </w:r>
      <w:proofErr w:type="spellEnd"/>
      <w:r w:rsidRPr="005B2844">
        <w:rPr>
          <w:szCs w:val="22"/>
        </w:rPr>
        <w:t xml:space="preserve"> attraversa la placenta. Considerando il meccanismo di azione farmacologica dell’</w:t>
      </w:r>
      <w:proofErr w:type="spellStart"/>
      <w:r w:rsidRPr="005B2844">
        <w:rPr>
          <w:szCs w:val="22"/>
        </w:rPr>
        <w:t>idroclorotiazide</w:t>
      </w:r>
      <w:proofErr w:type="spellEnd"/>
      <w:r w:rsidRPr="005B2844">
        <w:rPr>
          <w:szCs w:val="22"/>
        </w:rPr>
        <w:t>, il suo uso durante il secondo ed il terzo trimestre può compromettere la perfusione feto-placentare e causare effetti fetali e neonatali quali ittero, alterazioni dell’equilibrio elettrolitico e trombocitopenia.</w:t>
      </w:r>
    </w:p>
    <w:p w:rsidR="002E4FFF" w:rsidRPr="005B2844" w:rsidRDefault="002E4FFF" w:rsidP="002E4FFF">
      <w:pPr>
        <w:rPr>
          <w:szCs w:val="22"/>
        </w:rPr>
      </w:pPr>
      <w:r w:rsidRPr="005B2844">
        <w:rPr>
          <w:szCs w:val="22"/>
        </w:rPr>
        <w:t>L’</w:t>
      </w:r>
      <w:proofErr w:type="spellStart"/>
      <w:r w:rsidRPr="005B2844">
        <w:rPr>
          <w:szCs w:val="22"/>
        </w:rPr>
        <w:t>idroclorotiazide</w:t>
      </w:r>
      <w:proofErr w:type="spellEnd"/>
      <w:r w:rsidRPr="005B2844">
        <w:rPr>
          <w:szCs w:val="22"/>
        </w:rPr>
        <w:t xml:space="preserve"> non deve essere usata per edema gestazionale, ipertensione gestazionale o </w:t>
      </w:r>
      <w:proofErr w:type="spellStart"/>
      <w:r w:rsidRPr="005B2844">
        <w:rPr>
          <w:szCs w:val="22"/>
        </w:rPr>
        <w:t>preeclampsia</w:t>
      </w:r>
      <w:proofErr w:type="spellEnd"/>
      <w:r w:rsidRPr="005B2844">
        <w:rPr>
          <w:szCs w:val="22"/>
        </w:rPr>
        <w:t xml:space="preserve"> a causa del rischio di diminuzione del volume del plasma e </w:t>
      </w:r>
      <w:proofErr w:type="spellStart"/>
      <w:r w:rsidRPr="005B2844">
        <w:rPr>
          <w:szCs w:val="22"/>
        </w:rPr>
        <w:t>ipoperfusione</w:t>
      </w:r>
      <w:proofErr w:type="spellEnd"/>
      <w:r w:rsidRPr="005B2844">
        <w:rPr>
          <w:szCs w:val="22"/>
        </w:rPr>
        <w:t xml:space="preserve"> placentare, senza alcun effetto benefico sul decorso della malattia.</w:t>
      </w:r>
    </w:p>
    <w:p w:rsidR="00C27209" w:rsidRPr="005B2844" w:rsidRDefault="00C27209" w:rsidP="002E4FFF">
      <w:pPr>
        <w:rPr>
          <w:szCs w:val="22"/>
        </w:rPr>
      </w:pPr>
    </w:p>
    <w:p w:rsidR="002E4FFF" w:rsidRPr="005B2844" w:rsidRDefault="002E4FFF" w:rsidP="002E4FFF">
      <w:pPr>
        <w:rPr>
          <w:szCs w:val="22"/>
        </w:rPr>
      </w:pPr>
      <w:r w:rsidRPr="005B2844">
        <w:rPr>
          <w:szCs w:val="22"/>
        </w:rPr>
        <w:t>L’</w:t>
      </w:r>
      <w:proofErr w:type="spellStart"/>
      <w:r w:rsidRPr="005B2844">
        <w:rPr>
          <w:szCs w:val="22"/>
        </w:rPr>
        <w:t>idroclorotiazide</w:t>
      </w:r>
      <w:proofErr w:type="spellEnd"/>
      <w:r w:rsidRPr="005B2844">
        <w:rPr>
          <w:szCs w:val="22"/>
        </w:rPr>
        <w:t xml:space="preserve"> non deve essere usata per ipertensione essenziale in donne in gravidanza tranne che in rare situazioni dove nessun altro trattamento può essere usato.</w:t>
      </w:r>
    </w:p>
    <w:p w:rsidR="00A70FCB" w:rsidRPr="005B2844" w:rsidRDefault="00A70FCB" w:rsidP="0072602F">
      <w:pPr>
        <w:rPr>
          <w:szCs w:val="22"/>
        </w:rPr>
      </w:pPr>
    </w:p>
    <w:p w:rsidR="00CC390E" w:rsidRPr="005B2844" w:rsidRDefault="00A70FCB" w:rsidP="002229F2">
      <w:pPr>
        <w:pStyle w:val="BodyText30"/>
        <w:keepNext/>
        <w:widowControl/>
        <w:rPr>
          <w:szCs w:val="22"/>
          <w:u w:val="single"/>
          <w:lang w:val="it-IT"/>
        </w:rPr>
      </w:pPr>
      <w:r w:rsidRPr="005B2844">
        <w:rPr>
          <w:szCs w:val="22"/>
          <w:u w:val="single"/>
          <w:lang w:val="it-IT"/>
        </w:rPr>
        <w:t>Allattamento</w:t>
      </w:r>
    </w:p>
    <w:p w:rsidR="005C3419" w:rsidRPr="005B2844" w:rsidRDefault="005C3419" w:rsidP="002229F2">
      <w:pPr>
        <w:pStyle w:val="BodyText30"/>
        <w:keepNext/>
        <w:widowControl/>
        <w:rPr>
          <w:szCs w:val="22"/>
          <w:lang w:val="it-IT"/>
        </w:rPr>
      </w:pPr>
    </w:p>
    <w:p w:rsidR="007A7FD4" w:rsidRPr="005B2844" w:rsidRDefault="00901A9A" w:rsidP="00CC390E">
      <w:pPr>
        <w:rPr>
          <w:szCs w:val="22"/>
        </w:rPr>
      </w:pPr>
      <w:r w:rsidRPr="005B2844">
        <w:rPr>
          <w:szCs w:val="22"/>
        </w:rPr>
        <w:t xml:space="preserve">Poiché non sono disponibili dati riguardanti l’uso di </w:t>
      </w:r>
      <w:proofErr w:type="spellStart"/>
      <w:r w:rsidRPr="005B2844">
        <w:rPr>
          <w:szCs w:val="22"/>
        </w:rPr>
        <w:t>MicardisPlus</w:t>
      </w:r>
      <w:proofErr w:type="spellEnd"/>
      <w:r w:rsidRPr="005B2844">
        <w:rPr>
          <w:szCs w:val="22"/>
        </w:rPr>
        <w:t xml:space="preserve"> durante l’allattamento, </w:t>
      </w:r>
      <w:proofErr w:type="spellStart"/>
      <w:r w:rsidRPr="005B2844">
        <w:rPr>
          <w:szCs w:val="22"/>
        </w:rPr>
        <w:t>MicardisPlus</w:t>
      </w:r>
      <w:proofErr w:type="spellEnd"/>
      <w:r w:rsidRPr="005B2844">
        <w:rPr>
          <w:szCs w:val="22"/>
        </w:rPr>
        <w:t xml:space="preserve"> non è raccomandato e sono da preferir</w:t>
      </w:r>
      <w:r w:rsidR="00512BFF" w:rsidRPr="005B2844">
        <w:rPr>
          <w:szCs w:val="22"/>
        </w:rPr>
        <w:t>e</w:t>
      </w:r>
      <w:r w:rsidRPr="005B2844">
        <w:rPr>
          <w:szCs w:val="22"/>
        </w:rPr>
        <w:t xml:space="preserve"> trattamenti alternativi con comprovato profilo di sicurezza per l’uso durante l’allattamento, specialmente in caso di allattamento di neonati e prematuri</w:t>
      </w:r>
      <w:r w:rsidR="00A70FCB" w:rsidRPr="005B2844">
        <w:rPr>
          <w:szCs w:val="22"/>
        </w:rPr>
        <w:t>.</w:t>
      </w:r>
    </w:p>
    <w:p w:rsidR="007A7FD4" w:rsidRPr="005B2844" w:rsidRDefault="007A7FD4" w:rsidP="00CC390E">
      <w:pPr>
        <w:rPr>
          <w:szCs w:val="22"/>
        </w:rPr>
      </w:pPr>
    </w:p>
    <w:p w:rsidR="007A7FD4" w:rsidRPr="005B2844" w:rsidRDefault="007A7FD4" w:rsidP="007A7FD4">
      <w:pPr>
        <w:rPr>
          <w:szCs w:val="22"/>
        </w:rPr>
      </w:pPr>
      <w:r w:rsidRPr="005B2844">
        <w:rPr>
          <w:szCs w:val="22"/>
        </w:rPr>
        <w:t>L’</w:t>
      </w:r>
      <w:proofErr w:type="spellStart"/>
      <w:r w:rsidRPr="005B2844">
        <w:rPr>
          <w:szCs w:val="22"/>
        </w:rPr>
        <w:t>idroclorotiazide</w:t>
      </w:r>
      <w:proofErr w:type="spellEnd"/>
      <w:r w:rsidRPr="005B2844">
        <w:rPr>
          <w:szCs w:val="22"/>
        </w:rPr>
        <w:t xml:space="preserve"> viene escreta nel latte materno umano in piccole quantità. I tiazidici ad alte dosi, causando intensa diuresi, possono inibire la produzione di latte. L’uso di </w:t>
      </w:r>
      <w:proofErr w:type="spellStart"/>
      <w:r w:rsidRPr="005B2844">
        <w:rPr>
          <w:szCs w:val="22"/>
        </w:rPr>
        <w:t>MicardisPlus</w:t>
      </w:r>
      <w:proofErr w:type="spellEnd"/>
      <w:r w:rsidRPr="005B2844">
        <w:rPr>
          <w:szCs w:val="22"/>
        </w:rPr>
        <w:t xml:space="preserve"> durante l’allattamento non è raccomandato. Se </w:t>
      </w:r>
      <w:proofErr w:type="spellStart"/>
      <w:r w:rsidRPr="005B2844">
        <w:rPr>
          <w:szCs w:val="22"/>
        </w:rPr>
        <w:t>MicardisPlus</w:t>
      </w:r>
      <w:proofErr w:type="spellEnd"/>
      <w:r w:rsidRPr="005B2844">
        <w:rPr>
          <w:szCs w:val="22"/>
        </w:rPr>
        <w:t xml:space="preserve"> viene utilizzato durante l’allattamento, si devono mantenere le dosi più basse possibili.</w:t>
      </w:r>
    </w:p>
    <w:p w:rsidR="003D4811" w:rsidRPr="005B2844" w:rsidRDefault="003D4811" w:rsidP="00CC390E">
      <w:pPr>
        <w:rPr>
          <w:szCs w:val="22"/>
        </w:rPr>
      </w:pPr>
    </w:p>
    <w:p w:rsidR="003D4811" w:rsidRPr="005B2844" w:rsidRDefault="003D4811" w:rsidP="002229F2">
      <w:pPr>
        <w:keepNext/>
        <w:rPr>
          <w:szCs w:val="22"/>
          <w:u w:val="single"/>
        </w:rPr>
      </w:pPr>
      <w:r w:rsidRPr="005B2844">
        <w:rPr>
          <w:szCs w:val="22"/>
          <w:u w:val="single"/>
        </w:rPr>
        <w:t>Fertilità</w:t>
      </w:r>
    </w:p>
    <w:p w:rsidR="005C3419" w:rsidRPr="005B2844" w:rsidRDefault="005C3419" w:rsidP="002229F2">
      <w:pPr>
        <w:keepNext/>
        <w:rPr>
          <w:szCs w:val="22"/>
          <w:u w:val="single"/>
        </w:rPr>
      </w:pPr>
    </w:p>
    <w:p w:rsidR="003D4811" w:rsidRPr="005B2844" w:rsidRDefault="003D4811" w:rsidP="00CC390E">
      <w:pPr>
        <w:rPr>
          <w:szCs w:val="22"/>
        </w:rPr>
      </w:pPr>
      <w:r w:rsidRPr="005B2844">
        <w:rPr>
          <w:szCs w:val="22"/>
        </w:rPr>
        <w:t xml:space="preserve">Negli studi preclinici, non è stato osservato alcun effetto di </w:t>
      </w:r>
      <w:proofErr w:type="spellStart"/>
      <w:r w:rsidR="00A8746C" w:rsidRPr="005B2844">
        <w:rPr>
          <w:szCs w:val="22"/>
        </w:rPr>
        <w:t>telmisartan</w:t>
      </w:r>
      <w:proofErr w:type="spellEnd"/>
      <w:r w:rsidR="00A8746C" w:rsidRPr="005B2844">
        <w:rPr>
          <w:szCs w:val="22"/>
        </w:rPr>
        <w:t xml:space="preserve"> e </w:t>
      </w:r>
      <w:proofErr w:type="spellStart"/>
      <w:r w:rsidR="00A8746C" w:rsidRPr="005B2844">
        <w:rPr>
          <w:szCs w:val="22"/>
        </w:rPr>
        <w:t>idroclorotiazide</w:t>
      </w:r>
      <w:proofErr w:type="spellEnd"/>
      <w:r w:rsidR="00A8746C" w:rsidRPr="005B2844">
        <w:rPr>
          <w:szCs w:val="22"/>
        </w:rPr>
        <w:t xml:space="preserve"> sulla fertilità maschile e </w:t>
      </w:r>
      <w:r w:rsidRPr="005B2844">
        <w:rPr>
          <w:szCs w:val="22"/>
        </w:rPr>
        <w:t>femminile</w:t>
      </w:r>
      <w:r w:rsidR="00A8746C" w:rsidRPr="005B2844">
        <w:rPr>
          <w:szCs w:val="22"/>
        </w:rPr>
        <w:t>.</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4.7</w:t>
      </w:r>
      <w:r w:rsidRPr="005B2844">
        <w:rPr>
          <w:b/>
          <w:szCs w:val="22"/>
        </w:rPr>
        <w:tab/>
        <w:t>Effetti sulla capacità di guidare veicoli e sull'uso di macchinari</w:t>
      </w:r>
    </w:p>
    <w:p w:rsidR="00A70FCB" w:rsidRPr="005B2844" w:rsidRDefault="00A70FCB" w:rsidP="002229F2">
      <w:pPr>
        <w:keepNext/>
        <w:rPr>
          <w:szCs w:val="22"/>
        </w:rPr>
      </w:pPr>
    </w:p>
    <w:p w:rsidR="00A70FCB" w:rsidRPr="005B2844" w:rsidRDefault="00823E0D" w:rsidP="005E749A">
      <w:pPr>
        <w:rPr>
          <w:szCs w:val="22"/>
        </w:rPr>
      </w:pPr>
      <w:proofErr w:type="spellStart"/>
      <w:r w:rsidRPr="005B2844">
        <w:rPr>
          <w:szCs w:val="22"/>
        </w:rPr>
        <w:t>MicardisP</w:t>
      </w:r>
      <w:r w:rsidR="00CB1AE9" w:rsidRPr="005B2844">
        <w:rPr>
          <w:szCs w:val="22"/>
        </w:rPr>
        <w:t>lu</w:t>
      </w:r>
      <w:r w:rsidRPr="005B2844">
        <w:rPr>
          <w:szCs w:val="22"/>
        </w:rPr>
        <w:t>s</w:t>
      </w:r>
      <w:proofErr w:type="spellEnd"/>
      <w:r w:rsidRPr="005B2844">
        <w:rPr>
          <w:szCs w:val="22"/>
        </w:rPr>
        <w:t xml:space="preserve"> può alterare la capacità di guidare veicoli e di usare macchinari. Durante l’assunzione di </w:t>
      </w:r>
      <w:proofErr w:type="spellStart"/>
      <w:r w:rsidRPr="005B2844">
        <w:rPr>
          <w:szCs w:val="22"/>
        </w:rPr>
        <w:t>MicardisPlus</w:t>
      </w:r>
      <w:proofErr w:type="spellEnd"/>
      <w:r w:rsidRPr="005B2844">
        <w:rPr>
          <w:szCs w:val="22"/>
        </w:rPr>
        <w:t xml:space="preserve"> possono occasionalmente verificarsi sonnolenza </w:t>
      </w:r>
      <w:r w:rsidR="00C519ED" w:rsidRPr="005B2844">
        <w:rPr>
          <w:szCs w:val="22"/>
        </w:rPr>
        <w:t>o</w:t>
      </w:r>
      <w:r w:rsidRPr="005B2844">
        <w:rPr>
          <w:szCs w:val="22"/>
        </w:rPr>
        <w:t xml:space="preserve"> vertigini</w:t>
      </w:r>
      <w:r w:rsidR="00A70FCB" w:rsidRPr="005B2844">
        <w:rPr>
          <w:szCs w:val="22"/>
        </w:rPr>
        <w:t>.</w:t>
      </w:r>
    </w:p>
    <w:p w:rsidR="00A70FCB" w:rsidRPr="005B2844" w:rsidRDefault="00A70FCB" w:rsidP="0072602F">
      <w:pPr>
        <w:rPr>
          <w:szCs w:val="22"/>
        </w:rPr>
      </w:pPr>
    </w:p>
    <w:p w:rsidR="00A70FCB" w:rsidRPr="005B2844" w:rsidRDefault="00A70FCB" w:rsidP="002229F2">
      <w:pPr>
        <w:keepNext/>
        <w:numPr>
          <w:ilvl w:val="1"/>
          <w:numId w:val="16"/>
        </w:numPr>
        <w:tabs>
          <w:tab w:val="left" w:pos="567"/>
        </w:tabs>
        <w:rPr>
          <w:b/>
          <w:szCs w:val="22"/>
        </w:rPr>
      </w:pPr>
      <w:r w:rsidRPr="005B2844">
        <w:rPr>
          <w:b/>
          <w:szCs w:val="22"/>
        </w:rPr>
        <w:t>Effetti indesiderati</w:t>
      </w:r>
    </w:p>
    <w:p w:rsidR="00A70FCB" w:rsidRPr="005B2844" w:rsidRDefault="00A70FCB" w:rsidP="002229F2">
      <w:pPr>
        <w:keepNext/>
        <w:rPr>
          <w:szCs w:val="22"/>
        </w:rPr>
      </w:pPr>
    </w:p>
    <w:p w:rsidR="00562860" w:rsidRPr="005B2844" w:rsidRDefault="00562860" w:rsidP="002229F2">
      <w:pPr>
        <w:pStyle w:val="BodyText2"/>
        <w:keepNext/>
        <w:tabs>
          <w:tab w:val="clear" w:pos="567"/>
        </w:tabs>
        <w:ind w:left="0" w:firstLine="0"/>
        <w:rPr>
          <w:szCs w:val="22"/>
        </w:rPr>
      </w:pPr>
      <w:r w:rsidRPr="005B2844">
        <w:rPr>
          <w:szCs w:val="22"/>
          <w:u w:val="single"/>
        </w:rPr>
        <w:t>Riassunto del profilo di sicurezza</w:t>
      </w:r>
    </w:p>
    <w:p w:rsidR="00562860" w:rsidRPr="005B2844" w:rsidRDefault="00562860" w:rsidP="002229F2">
      <w:pPr>
        <w:pStyle w:val="BodyText2"/>
        <w:keepNext/>
        <w:tabs>
          <w:tab w:val="clear" w:pos="567"/>
        </w:tabs>
        <w:rPr>
          <w:szCs w:val="22"/>
        </w:rPr>
      </w:pPr>
    </w:p>
    <w:p w:rsidR="00562860" w:rsidRPr="005B2844" w:rsidRDefault="005A48B3" w:rsidP="00562860">
      <w:pPr>
        <w:pStyle w:val="BodyText2"/>
        <w:tabs>
          <w:tab w:val="clear" w:pos="567"/>
        </w:tabs>
        <w:ind w:left="0" w:firstLine="0"/>
        <w:rPr>
          <w:szCs w:val="22"/>
        </w:rPr>
      </w:pPr>
      <w:r w:rsidRPr="005B2844">
        <w:rPr>
          <w:szCs w:val="22"/>
        </w:rPr>
        <w:t>La reazione avversa</w:t>
      </w:r>
      <w:r w:rsidR="00562860" w:rsidRPr="005B2844">
        <w:rPr>
          <w:szCs w:val="22"/>
        </w:rPr>
        <w:t xml:space="preserve"> più comunemente riportat</w:t>
      </w:r>
      <w:r w:rsidRPr="005B2844">
        <w:rPr>
          <w:szCs w:val="22"/>
        </w:rPr>
        <w:t>a</w:t>
      </w:r>
      <w:r w:rsidR="00562860" w:rsidRPr="005B2844">
        <w:rPr>
          <w:szCs w:val="22"/>
        </w:rPr>
        <w:t xml:space="preserve"> è il capogiro. Raramente si può verificare angioedema grave </w:t>
      </w:r>
      <w:r w:rsidRPr="005B2844">
        <w:rPr>
          <w:szCs w:val="22"/>
        </w:rPr>
        <w:t>(≥1/10.000, &lt;1/1.000)</w:t>
      </w:r>
      <w:r w:rsidR="00562860" w:rsidRPr="005B2844">
        <w:rPr>
          <w:szCs w:val="22"/>
        </w:rPr>
        <w:t>.</w:t>
      </w:r>
    </w:p>
    <w:p w:rsidR="00562860" w:rsidRPr="005B2844" w:rsidRDefault="00562860" w:rsidP="00562860">
      <w:pPr>
        <w:pStyle w:val="BodyText2"/>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 xml:space="preserve">L’incidenza complessiva </w:t>
      </w:r>
      <w:r w:rsidR="00A0733D" w:rsidRPr="005B2844">
        <w:rPr>
          <w:szCs w:val="22"/>
        </w:rPr>
        <w:t>delle reazioni avverse</w:t>
      </w:r>
      <w:r w:rsidRPr="005B2844">
        <w:rPr>
          <w:szCs w:val="22"/>
        </w:rPr>
        <w:t xml:space="preserve"> riportat</w:t>
      </w:r>
      <w:r w:rsidR="00A0733D" w:rsidRPr="005B2844">
        <w:rPr>
          <w:szCs w:val="22"/>
        </w:rPr>
        <w:t>e</w:t>
      </w:r>
      <w:r w:rsidRPr="005B2844">
        <w:rPr>
          <w:szCs w:val="22"/>
        </w:rPr>
        <w:t xml:space="preserve"> con </w:t>
      </w:r>
      <w:proofErr w:type="spellStart"/>
      <w:r w:rsidRPr="005B2844">
        <w:rPr>
          <w:szCs w:val="22"/>
        </w:rPr>
        <w:t>MicardisPlus</w:t>
      </w:r>
      <w:proofErr w:type="spellEnd"/>
      <w:r w:rsidRPr="005B2844">
        <w:rPr>
          <w:szCs w:val="22"/>
        </w:rPr>
        <w:t xml:space="preserve"> è risultat</w:t>
      </w:r>
      <w:r w:rsidR="00077597" w:rsidRPr="005B2844">
        <w:rPr>
          <w:szCs w:val="22"/>
        </w:rPr>
        <w:t>a</w:t>
      </w:r>
      <w:r w:rsidRPr="005B2844">
        <w:rPr>
          <w:szCs w:val="22"/>
        </w:rPr>
        <w:t xml:space="preserve"> confrontabile a quella riportata con </w:t>
      </w:r>
      <w:proofErr w:type="spellStart"/>
      <w:r w:rsidRPr="005B2844">
        <w:rPr>
          <w:szCs w:val="22"/>
        </w:rPr>
        <w:t>telmisartan</w:t>
      </w:r>
      <w:proofErr w:type="spellEnd"/>
      <w:r w:rsidRPr="005B2844">
        <w:rPr>
          <w:szCs w:val="22"/>
        </w:rPr>
        <w:t xml:space="preserve"> in monoterapia, in studi randomizzati controllati che hanno coinvolto 1.471 pazienti randomizzati per ricevere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(835) o </w:t>
      </w:r>
      <w:proofErr w:type="spellStart"/>
      <w:r w:rsidRPr="005B2844">
        <w:rPr>
          <w:szCs w:val="22"/>
        </w:rPr>
        <w:t>telmisartan</w:t>
      </w:r>
      <w:proofErr w:type="spellEnd"/>
      <w:r w:rsidRPr="005B2844">
        <w:rPr>
          <w:szCs w:val="22"/>
        </w:rPr>
        <w:t xml:space="preserve"> in monoterapia (636). Non è stata stabilita una relazione tra </w:t>
      </w:r>
      <w:r w:rsidR="00A0733D" w:rsidRPr="005B2844">
        <w:rPr>
          <w:szCs w:val="22"/>
        </w:rPr>
        <w:t>le reazioni avverse</w:t>
      </w:r>
      <w:r w:rsidRPr="005B2844">
        <w:rPr>
          <w:szCs w:val="22"/>
        </w:rPr>
        <w:t xml:space="preserve"> e la dose e il genere, l’età o la razza dei pazienti.</w:t>
      </w:r>
    </w:p>
    <w:p w:rsidR="00A70FCB" w:rsidRPr="005B2844" w:rsidRDefault="00A70FCB" w:rsidP="0072602F">
      <w:pPr>
        <w:pStyle w:val="BodyText2"/>
        <w:tabs>
          <w:tab w:val="clear" w:pos="567"/>
        </w:tabs>
        <w:ind w:left="0" w:firstLine="0"/>
        <w:rPr>
          <w:szCs w:val="22"/>
        </w:rPr>
      </w:pPr>
    </w:p>
    <w:p w:rsidR="00562860" w:rsidRPr="005B2844" w:rsidRDefault="00823E0D" w:rsidP="002229F2">
      <w:pPr>
        <w:pStyle w:val="BodyText2"/>
        <w:keepNext/>
        <w:tabs>
          <w:tab w:val="clear" w:pos="567"/>
        </w:tabs>
        <w:ind w:left="0" w:firstLine="0"/>
        <w:rPr>
          <w:szCs w:val="22"/>
        </w:rPr>
      </w:pPr>
      <w:r w:rsidRPr="005B2844">
        <w:rPr>
          <w:szCs w:val="22"/>
          <w:u w:val="single"/>
        </w:rPr>
        <w:t xml:space="preserve">Elenco riassuntivo </w:t>
      </w:r>
      <w:r w:rsidR="00562860" w:rsidRPr="005B2844">
        <w:rPr>
          <w:szCs w:val="22"/>
          <w:u w:val="single"/>
        </w:rPr>
        <w:t>delle reazioni avverse</w:t>
      </w:r>
    </w:p>
    <w:p w:rsidR="00562860" w:rsidRPr="005B2844" w:rsidRDefault="00562860"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 xml:space="preserve">Le reazioni avverse riportate in tutti gli studi clinici e verificatesi più frequentemente (p </w:t>
      </w:r>
      <w:r w:rsidRPr="005B2844">
        <w:rPr>
          <w:szCs w:val="22"/>
        </w:rPr>
        <w:sym w:font="Symbol" w:char="F0A3"/>
      </w:r>
      <w:r w:rsidRPr="005B2844">
        <w:rPr>
          <w:szCs w:val="22"/>
        </w:rPr>
        <w:t xml:space="preserve"> 0,05) con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che con il placebo sono di seguito riportate in accordo alla classificazione per sistem</w:t>
      </w:r>
      <w:r w:rsidR="0096213C" w:rsidRPr="005B2844">
        <w:rPr>
          <w:szCs w:val="22"/>
        </w:rPr>
        <w:t>i</w:t>
      </w:r>
      <w:r w:rsidRPr="005B2844">
        <w:rPr>
          <w:szCs w:val="22"/>
        </w:rPr>
        <w:t xml:space="preserve"> </w:t>
      </w:r>
      <w:r w:rsidR="0096213C" w:rsidRPr="005B2844">
        <w:rPr>
          <w:szCs w:val="22"/>
        </w:rPr>
        <w:t xml:space="preserve">e </w:t>
      </w:r>
      <w:r w:rsidRPr="005B2844">
        <w:rPr>
          <w:szCs w:val="22"/>
        </w:rPr>
        <w:t>organ</w:t>
      </w:r>
      <w:r w:rsidR="0096213C" w:rsidRPr="005B2844">
        <w:rPr>
          <w:szCs w:val="22"/>
        </w:rPr>
        <w:t>i</w:t>
      </w:r>
      <w:r w:rsidRPr="005B2844">
        <w:rPr>
          <w:szCs w:val="22"/>
        </w:rPr>
        <w:t>. Le reazioni avverse note per uno dei singoli componenti, che non sia</w:t>
      </w:r>
      <w:r w:rsidR="00A21B91" w:rsidRPr="005B2844">
        <w:rPr>
          <w:szCs w:val="22"/>
        </w:rPr>
        <w:t>no</w:t>
      </w:r>
      <w:r w:rsidRPr="005B2844">
        <w:rPr>
          <w:szCs w:val="22"/>
        </w:rPr>
        <w:t xml:space="preserve"> stat</w:t>
      </w:r>
      <w:r w:rsidR="00A21B91" w:rsidRPr="005B2844">
        <w:rPr>
          <w:szCs w:val="22"/>
        </w:rPr>
        <w:t>e</w:t>
      </w:r>
      <w:r w:rsidRPr="005B2844">
        <w:rPr>
          <w:szCs w:val="22"/>
        </w:rPr>
        <w:t xml:space="preserve"> osservat</w:t>
      </w:r>
      <w:r w:rsidR="00A21B91" w:rsidRPr="005B2844">
        <w:rPr>
          <w:szCs w:val="22"/>
        </w:rPr>
        <w:t>e</w:t>
      </w:r>
      <w:r w:rsidRPr="005B2844">
        <w:rPr>
          <w:szCs w:val="22"/>
        </w:rPr>
        <w:t xml:space="preserve"> negli studi clinici, </w:t>
      </w:r>
      <w:r w:rsidR="00A21B91" w:rsidRPr="005B2844">
        <w:rPr>
          <w:szCs w:val="22"/>
        </w:rPr>
        <w:t>possono</w:t>
      </w:r>
      <w:r w:rsidRPr="005B2844">
        <w:rPr>
          <w:szCs w:val="22"/>
        </w:rPr>
        <w:t xml:space="preserve"> verificarsi durante il trattamento con </w:t>
      </w:r>
      <w:proofErr w:type="spellStart"/>
      <w:r w:rsidRPr="005B2844">
        <w:rPr>
          <w:szCs w:val="22"/>
        </w:rPr>
        <w:t>MicardisPlus</w:t>
      </w:r>
      <w:proofErr w:type="spellEnd"/>
      <w:r w:rsidRPr="005B2844">
        <w:rPr>
          <w:szCs w:val="22"/>
        </w:rPr>
        <w:t>.</w:t>
      </w:r>
    </w:p>
    <w:p w:rsidR="00A70FCB" w:rsidRPr="005B2844" w:rsidRDefault="00A70FCB" w:rsidP="0072602F">
      <w:pPr>
        <w:pStyle w:val="BodyText2"/>
        <w:tabs>
          <w:tab w:val="clear" w:pos="567"/>
        </w:tabs>
        <w:ind w:left="0" w:firstLine="0"/>
        <w:rPr>
          <w:szCs w:val="22"/>
        </w:rPr>
      </w:pPr>
    </w:p>
    <w:p w:rsidR="00C3436F" w:rsidRPr="005B2844" w:rsidRDefault="00A70FCB" w:rsidP="0072602F">
      <w:pPr>
        <w:pStyle w:val="BodyText2"/>
        <w:tabs>
          <w:tab w:val="clear" w:pos="567"/>
        </w:tabs>
        <w:ind w:left="0" w:firstLine="0"/>
        <w:rPr>
          <w:szCs w:val="22"/>
        </w:rPr>
      </w:pPr>
      <w:r w:rsidRPr="005B2844">
        <w:rPr>
          <w:szCs w:val="22"/>
        </w:rPr>
        <w:t>Le reazioni avverse sono state classificate per frequenza ricorrendo alla seguente convenzione:</w:t>
      </w:r>
    </w:p>
    <w:p w:rsidR="00A70FCB" w:rsidRPr="005B2844" w:rsidRDefault="00A70FCB" w:rsidP="0072602F">
      <w:pPr>
        <w:pStyle w:val="BodyText2"/>
        <w:tabs>
          <w:tab w:val="clear" w:pos="567"/>
        </w:tabs>
        <w:ind w:left="0" w:firstLine="0"/>
        <w:rPr>
          <w:szCs w:val="22"/>
        </w:rPr>
      </w:pPr>
      <w:r w:rsidRPr="005B2844">
        <w:rPr>
          <w:szCs w:val="22"/>
        </w:rPr>
        <w:t>molto comune (≥1/10); comune (≥1/100, &lt;1/10); non comune (≥1/1.000, &lt;1/100); raro (≥ 1/10.000, &lt;1/1.000); molto raro (&lt;1/10.000)</w:t>
      </w:r>
      <w:r w:rsidR="001F61F1" w:rsidRPr="005B2844">
        <w:rPr>
          <w:szCs w:val="22"/>
        </w:rPr>
        <w:t>, non nota (la frequenza non può essere definita sulla base dei dati disponibili)</w:t>
      </w:r>
      <w:r w:rsidR="00F4631C" w:rsidRPr="005B2844">
        <w:rPr>
          <w:szCs w:val="22"/>
        </w:rPr>
        <w:t>.</w:t>
      </w:r>
    </w:p>
    <w:p w:rsidR="00A70FCB" w:rsidRPr="005B2844" w:rsidRDefault="00A70FCB" w:rsidP="0072602F">
      <w:pPr>
        <w:pStyle w:val="BodyText2"/>
        <w:tabs>
          <w:tab w:val="clear" w:pos="567"/>
        </w:tabs>
        <w:ind w:left="0" w:firstLine="0"/>
        <w:rPr>
          <w:szCs w:val="22"/>
        </w:rPr>
      </w:pPr>
    </w:p>
    <w:p w:rsidR="00BF7F94" w:rsidRPr="005B2844" w:rsidRDefault="00BF7F94" w:rsidP="000709BC">
      <w:pPr>
        <w:pStyle w:val="BodyText20"/>
        <w:keepNext/>
        <w:spacing w:line="240" w:lineRule="auto"/>
        <w:jc w:val="left"/>
        <w:rPr>
          <w:szCs w:val="22"/>
        </w:rPr>
      </w:pPr>
      <w:r w:rsidRPr="005B2844">
        <w:rPr>
          <w:szCs w:val="22"/>
        </w:rPr>
        <w:t>All’interno di ogni gruppo di frequenza, le reazioni avverse sono elencate in ordine decrescente di gravità.</w:t>
      </w:r>
    </w:p>
    <w:p w:rsidR="00BF7F94" w:rsidRPr="005B2844" w:rsidRDefault="00BF7F94" w:rsidP="0072602F">
      <w:pPr>
        <w:pStyle w:val="BodyText2"/>
        <w:tabs>
          <w:tab w:val="clear" w:pos="567"/>
        </w:tabs>
        <w:ind w:left="0" w:firstLine="0"/>
        <w:rPr>
          <w:szCs w:val="22"/>
        </w:rPr>
      </w:pPr>
    </w:p>
    <w:tbl>
      <w:tblPr>
        <w:tblW w:w="9747" w:type="dxa"/>
        <w:tblLayout w:type="fixed"/>
        <w:tblLook w:val="0000" w:firstRow="0" w:lastRow="0" w:firstColumn="0" w:lastColumn="0" w:noHBand="0" w:noVBand="0"/>
      </w:tblPr>
      <w:tblGrid>
        <w:gridCol w:w="5210"/>
        <w:gridCol w:w="4537"/>
      </w:tblGrid>
      <w:tr w:rsidR="00930497" w:rsidRPr="005B2844">
        <w:tblPrEx>
          <w:tblCellMar>
            <w:top w:w="0" w:type="dxa"/>
            <w:bottom w:w="0" w:type="dxa"/>
          </w:tblCellMar>
        </w:tblPrEx>
        <w:tc>
          <w:tcPr>
            <w:tcW w:w="9747" w:type="dxa"/>
            <w:gridSpan w:val="2"/>
          </w:tcPr>
          <w:p w:rsidR="00930497" w:rsidRPr="005B2844" w:rsidRDefault="00930497" w:rsidP="00EA3B29">
            <w:pPr>
              <w:keepNext/>
              <w:rPr>
                <w:szCs w:val="22"/>
              </w:rPr>
            </w:pPr>
            <w:r w:rsidRPr="005B2844">
              <w:rPr>
                <w:szCs w:val="22"/>
              </w:rPr>
              <w:t>Infezioni e infestazioni</w:t>
            </w:r>
          </w:p>
        </w:tc>
      </w:tr>
      <w:tr w:rsidR="00A70FCB" w:rsidRPr="005B2844">
        <w:tblPrEx>
          <w:tblCellMar>
            <w:top w:w="0" w:type="dxa"/>
            <w:bottom w:w="0" w:type="dxa"/>
          </w:tblCellMar>
        </w:tblPrEx>
        <w:tc>
          <w:tcPr>
            <w:tcW w:w="5210" w:type="dxa"/>
          </w:tcPr>
          <w:p w:rsidR="00A70FCB" w:rsidRPr="005B2844" w:rsidRDefault="00930497" w:rsidP="00EA3B29">
            <w:pPr>
              <w:keepNext/>
              <w:tabs>
                <w:tab w:val="left" w:pos="576"/>
              </w:tabs>
              <w:rPr>
                <w:szCs w:val="22"/>
              </w:rPr>
            </w:pPr>
            <w:r w:rsidRPr="005B2844">
              <w:rPr>
                <w:szCs w:val="22"/>
              </w:rPr>
              <w:tab/>
            </w:r>
            <w:r w:rsidR="00B7709A" w:rsidRPr="005B2844">
              <w:rPr>
                <w:szCs w:val="22"/>
              </w:rPr>
              <w:t>Raro</w:t>
            </w:r>
            <w:r w:rsidR="00A70FCB" w:rsidRPr="005B2844">
              <w:rPr>
                <w:szCs w:val="22"/>
              </w:rPr>
              <w:t>:</w:t>
            </w:r>
          </w:p>
          <w:p w:rsidR="00A70FCB" w:rsidRPr="005B2844" w:rsidRDefault="00930497" w:rsidP="00EA3B29">
            <w:pPr>
              <w:keepNext/>
              <w:rPr>
                <w:szCs w:val="22"/>
              </w:rPr>
            </w:pPr>
            <w:r w:rsidRPr="005B2844">
              <w:rPr>
                <w:szCs w:val="22"/>
              </w:rPr>
              <w:tab/>
            </w:r>
          </w:p>
        </w:tc>
        <w:tc>
          <w:tcPr>
            <w:tcW w:w="4537" w:type="dxa"/>
          </w:tcPr>
          <w:p w:rsidR="00B7709A" w:rsidRPr="005B2844" w:rsidRDefault="00D1012C" w:rsidP="00EA3B29">
            <w:pPr>
              <w:keepNext/>
              <w:rPr>
                <w:szCs w:val="22"/>
              </w:rPr>
            </w:pPr>
            <w:r w:rsidRPr="005B2844">
              <w:rPr>
                <w:szCs w:val="22"/>
              </w:rPr>
              <w:t>Bronchite</w:t>
            </w:r>
            <w:r w:rsidR="00562860" w:rsidRPr="005B2844">
              <w:rPr>
                <w:szCs w:val="22"/>
              </w:rPr>
              <w:t>, faringite, sinusite</w:t>
            </w:r>
          </w:p>
          <w:p w:rsidR="00A70FCB" w:rsidRPr="005B2844" w:rsidRDefault="00A70FCB" w:rsidP="00EA3B29">
            <w:pPr>
              <w:keepNext/>
              <w:rPr>
                <w:szCs w:val="22"/>
              </w:rPr>
            </w:pPr>
          </w:p>
        </w:tc>
      </w:tr>
      <w:tr w:rsidR="00100039" w:rsidRPr="005B2844" w:rsidTr="003A0EE4">
        <w:tblPrEx>
          <w:tblCellMar>
            <w:top w:w="0" w:type="dxa"/>
            <w:bottom w:w="0" w:type="dxa"/>
          </w:tblCellMar>
        </w:tblPrEx>
        <w:tc>
          <w:tcPr>
            <w:tcW w:w="9747" w:type="dxa"/>
            <w:gridSpan w:val="2"/>
          </w:tcPr>
          <w:p w:rsidR="00100039" w:rsidRPr="005B2844" w:rsidRDefault="00100039" w:rsidP="00801244">
            <w:pPr>
              <w:rPr>
                <w:szCs w:val="22"/>
              </w:rPr>
            </w:pPr>
            <w:r w:rsidRPr="005B2844">
              <w:rPr>
                <w:szCs w:val="22"/>
              </w:rPr>
              <w:t>Disturbi del sistema immunitario</w:t>
            </w:r>
          </w:p>
        </w:tc>
      </w:tr>
      <w:tr w:rsidR="00100039" w:rsidRPr="005B2844" w:rsidTr="003A0EE4">
        <w:tblPrEx>
          <w:tblCellMar>
            <w:top w:w="0" w:type="dxa"/>
            <w:bottom w:w="0" w:type="dxa"/>
          </w:tblCellMar>
        </w:tblPrEx>
        <w:tc>
          <w:tcPr>
            <w:tcW w:w="5210" w:type="dxa"/>
          </w:tcPr>
          <w:p w:rsidR="00100039" w:rsidRPr="005B2844" w:rsidRDefault="00100039" w:rsidP="00801244">
            <w:pPr>
              <w:tabs>
                <w:tab w:val="left" w:pos="576"/>
              </w:tabs>
              <w:rPr>
                <w:szCs w:val="22"/>
              </w:rPr>
            </w:pPr>
            <w:r w:rsidRPr="005B2844">
              <w:rPr>
                <w:szCs w:val="22"/>
              </w:rPr>
              <w:tab/>
              <w:t>Raro:</w:t>
            </w:r>
          </w:p>
          <w:p w:rsidR="00100039" w:rsidRPr="005B2844" w:rsidRDefault="00100039" w:rsidP="00EA3B29">
            <w:pPr>
              <w:keepNext/>
              <w:rPr>
                <w:szCs w:val="22"/>
              </w:rPr>
            </w:pPr>
          </w:p>
        </w:tc>
        <w:tc>
          <w:tcPr>
            <w:tcW w:w="4537" w:type="dxa"/>
          </w:tcPr>
          <w:p w:rsidR="00100039" w:rsidRPr="005B2844" w:rsidRDefault="00100039" w:rsidP="00801244">
            <w:pPr>
              <w:rPr>
                <w:szCs w:val="22"/>
              </w:rPr>
            </w:pPr>
            <w:r w:rsidRPr="005B2844">
              <w:rPr>
                <w:szCs w:val="22"/>
              </w:rPr>
              <w:t>Esacerbazione o attivazione di lupus eritematoso sistemico</w:t>
            </w:r>
            <w:r w:rsidRPr="005B2844">
              <w:rPr>
                <w:szCs w:val="22"/>
                <w:vertAlign w:val="superscript"/>
              </w:rPr>
              <w:t>1</w:t>
            </w:r>
          </w:p>
          <w:p w:rsidR="00100039" w:rsidRPr="005B2844" w:rsidRDefault="00100039" w:rsidP="00801244">
            <w:pPr>
              <w:rPr>
                <w:szCs w:val="22"/>
              </w:rPr>
            </w:pPr>
          </w:p>
        </w:tc>
      </w:tr>
      <w:tr w:rsidR="000C3E14" w:rsidRPr="005B2844">
        <w:tblPrEx>
          <w:tblCellMar>
            <w:top w:w="0" w:type="dxa"/>
            <w:bottom w:w="0" w:type="dxa"/>
          </w:tblCellMar>
        </w:tblPrEx>
        <w:tc>
          <w:tcPr>
            <w:tcW w:w="9747" w:type="dxa"/>
            <w:gridSpan w:val="2"/>
          </w:tcPr>
          <w:p w:rsidR="000C3E14" w:rsidRPr="005B2844" w:rsidRDefault="000C3E14" w:rsidP="0072602F">
            <w:pPr>
              <w:rPr>
                <w:szCs w:val="22"/>
              </w:rPr>
            </w:pPr>
            <w:r w:rsidRPr="005B2844">
              <w:rPr>
                <w:szCs w:val="22"/>
              </w:rPr>
              <w:t>Disturbi del metabolismo e della nutrizione</w:t>
            </w:r>
          </w:p>
        </w:tc>
      </w:tr>
      <w:tr w:rsidR="00A70FCB" w:rsidRPr="005B2844">
        <w:tblPrEx>
          <w:tblCellMar>
            <w:top w:w="0" w:type="dxa"/>
            <w:bottom w:w="0" w:type="dxa"/>
          </w:tblCellMar>
        </w:tblPrEx>
        <w:tc>
          <w:tcPr>
            <w:tcW w:w="5210" w:type="dxa"/>
          </w:tcPr>
          <w:p w:rsidR="00A70FCB" w:rsidRPr="005B2844" w:rsidRDefault="000C3E14" w:rsidP="0072602F">
            <w:pPr>
              <w:rPr>
                <w:szCs w:val="22"/>
              </w:rPr>
            </w:pPr>
            <w:r w:rsidRPr="005B2844">
              <w:rPr>
                <w:szCs w:val="22"/>
              </w:rPr>
              <w:tab/>
            </w:r>
            <w:r w:rsidR="00EA30CF" w:rsidRPr="005B2844">
              <w:rPr>
                <w:szCs w:val="22"/>
              </w:rPr>
              <w:t>Non c</w:t>
            </w:r>
            <w:r w:rsidR="00A70FCB" w:rsidRPr="005B2844">
              <w:rPr>
                <w:szCs w:val="22"/>
              </w:rPr>
              <w:t>omune:</w:t>
            </w:r>
          </w:p>
          <w:p w:rsidR="00A70FCB" w:rsidRPr="005B2844" w:rsidRDefault="000C3E14" w:rsidP="0072602F">
            <w:pPr>
              <w:rPr>
                <w:szCs w:val="22"/>
              </w:rPr>
            </w:pPr>
            <w:r w:rsidRPr="005B2844">
              <w:rPr>
                <w:szCs w:val="22"/>
              </w:rPr>
              <w:tab/>
            </w:r>
            <w:r w:rsidR="00EA30CF" w:rsidRPr="005B2844">
              <w:rPr>
                <w:szCs w:val="22"/>
              </w:rPr>
              <w:t>Raro</w:t>
            </w:r>
            <w:r w:rsidR="00A70FCB" w:rsidRPr="005B2844">
              <w:rPr>
                <w:szCs w:val="22"/>
              </w:rPr>
              <w:t>:</w:t>
            </w:r>
          </w:p>
        </w:tc>
        <w:tc>
          <w:tcPr>
            <w:tcW w:w="4537" w:type="dxa"/>
          </w:tcPr>
          <w:p w:rsidR="00A70FCB" w:rsidRPr="005B2844" w:rsidRDefault="00EA30CF" w:rsidP="0072602F">
            <w:pPr>
              <w:rPr>
                <w:szCs w:val="22"/>
              </w:rPr>
            </w:pPr>
            <w:r w:rsidRPr="005B2844">
              <w:rPr>
                <w:szCs w:val="22"/>
              </w:rPr>
              <w:t>I</w:t>
            </w:r>
            <w:r w:rsidR="00A70FCB" w:rsidRPr="005B2844">
              <w:rPr>
                <w:szCs w:val="22"/>
              </w:rPr>
              <w:t>po</w:t>
            </w:r>
            <w:r w:rsidR="002350AC" w:rsidRPr="005B2844">
              <w:rPr>
                <w:szCs w:val="22"/>
              </w:rPr>
              <w:t>kaliemia</w:t>
            </w:r>
          </w:p>
          <w:p w:rsidR="00A70FCB" w:rsidRPr="005B2844" w:rsidRDefault="004406A5" w:rsidP="0072602F">
            <w:pPr>
              <w:rPr>
                <w:szCs w:val="22"/>
              </w:rPr>
            </w:pPr>
            <w:r w:rsidRPr="005B2844">
              <w:rPr>
                <w:szCs w:val="22"/>
              </w:rPr>
              <w:t>I</w:t>
            </w:r>
            <w:r w:rsidR="00A70FCB" w:rsidRPr="005B2844">
              <w:rPr>
                <w:szCs w:val="22"/>
              </w:rPr>
              <w:t>peruricemia</w:t>
            </w:r>
            <w:r w:rsidR="00EA30CF" w:rsidRPr="005B2844">
              <w:rPr>
                <w:szCs w:val="22"/>
              </w:rPr>
              <w:t xml:space="preserve">, </w:t>
            </w:r>
            <w:proofErr w:type="spellStart"/>
            <w:r w:rsidR="00EA30CF" w:rsidRPr="005B2844">
              <w:rPr>
                <w:szCs w:val="22"/>
              </w:rPr>
              <w:t>ip</w:t>
            </w:r>
            <w:r w:rsidR="002D02AB" w:rsidRPr="005B2844">
              <w:rPr>
                <w:szCs w:val="22"/>
              </w:rPr>
              <w:t>o</w:t>
            </w:r>
            <w:r w:rsidR="00EA30CF" w:rsidRPr="005B2844">
              <w:rPr>
                <w:szCs w:val="22"/>
              </w:rPr>
              <w:t>natremia</w:t>
            </w:r>
            <w:proofErr w:type="spellEnd"/>
          </w:p>
          <w:p w:rsidR="00A70FCB" w:rsidRPr="005B2844" w:rsidRDefault="00A70FCB" w:rsidP="0072602F">
            <w:pPr>
              <w:rPr>
                <w:szCs w:val="22"/>
              </w:rPr>
            </w:pPr>
          </w:p>
        </w:tc>
      </w:tr>
      <w:tr w:rsidR="002740CF" w:rsidRPr="005B2844">
        <w:tblPrEx>
          <w:tblCellMar>
            <w:top w:w="0" w:type="dxa"/>
            <w:bottom w:w="0" w:type="dxa"/>
          </w:tblCellMar>
        </w:tblPrEx>
        <w:tc>
          <w:tcPr>
            <w:tcW w:w="9747" w:type="dxa"/>
            <w:gridSpan w:val="2"/>
          </w:tcPr>
          <w:p w:rsidR="002740CF" w:rsidRPr="005B2844" w:rsidRDefault="002740CF" w:rsidP="0072602F">
            <w:pPr>
              <w:rPr>
                <w:szCs w:val="22"/>
              </w:rPr>
            </w:pPr>
            <w:r w:rsidRPr="005B2844">
              <w:rPr>
                <w:szCs w:val="22"/>
              </w:rPr>
              <w:t>Disturbi psichiatrici</w:t>
            </w:r>
          </w:p>
        </w:tc>
      </w:tr>
      <w:tr w:rsidR="00A70FCB" w:rsidRPr="005B2844">
        <w:tblPrEx>
          <w:tblCellMar>
            <w:top w:w="0" w:type="dxa"/>
            <w:bottom w:w="0" w:type="dxa"/>
          </w:tblCellMar>
        </w:tblPrEx>
        <w:tc>
          <w:tcPr>
            <w:tcW w:w="5210" w:type="dxa"/>
          </w:tcPr>
          <w:p w:rsidR="00A70FCB" w:rsidRPr="005B2844" w:rsidRDefault="002740CF" w:rsidP="0072602F">
            <w:pPr>
              <w:rPr>
                <w:szCs w:val="22"/>
              </w:rPr>
            </w:pPr>
            <w:r w:rsidRPr="005B2844">
              <w:rPr>
                <w:szCs w:val="22"/>
              </w:rPr>
              <w:tab/>
            </w:r>
            <w:r w:rsidR="00110F69" w:rsidRPr="005B2844">
              <w:rPr>
                <w:szCs w:val="22"/>
              </w:rPr>
              <w:t>Non c</w:t>
            </w:r>
            <w:r w:rsidR="00A70FCB" w:rsidRPr="005B2844">
              <w:rPr>
                <w:szCs w:val="22"/>
              </w:rPr>
              <w:t>omune:</w:t>
            </w:r>
          </w:p>
          <w:p w:rsidR="00110F69" w:rsidRPr="005B2844" w:rsidRDefault="002740CF" w:rsidP="0072602F">
            <w:pPr>
              <w:rPr>
                <w:szCs w:val="22"/>
              </w:rPr>
            </w:pPr>
            <w:r w:rsidRPr="005B2844">
              <w:rPr>
                <w:szCs w:val="22"/>
              </w:rPr>
              <w:tab/>
            </w:r>
            <w:r w:rsidR="00110F69" w:rsidRPr="005B2844">
              <w:rPr>
                <w:szCs w:val="22"/>
              </w:rPr>
              <w:t>Raro:</w:t>
            </w:r>
          </w:p>
          <w:p w:rsidR="00110F69" w:rsidRPr="005B2844" w:rsidRDefault="00110F69" w:rsidP="0072602F">
            <w:pPr>
              <w:rPr>
                <w:szCs w:val="22"/>
              </w:rPr>
            </w:pPr>
          </w:p>
        </w:tc>
        <w:tc>
          <w:tcPr>
            <w:tcW w:w="4537" w:type="dxa"/>
          </w:tcPr>
          <w:p w:rsidR="00A70FCB" w:rsidRPr="005B2844" w:rsidRDefault="00A70FCB" w:rsidP="0072602F">
            <w:pPr>
              <w:rPr>
                <w:szCs w:val="22"/>
              </w:rPr>
            </w:pPr>
            <w:r w:rsidRPr="005B2844">
              <w:rPr>
                <w:szCs w:val="22"/>
              </w:rPr>
              <w:t>Ansia</w:t>
            </w:r>
          </w:p>
          <w:p w:rsidR="00A70FCB" w:rsidRPr="005B2844" w:rsidRDefault="00110F69" w:rsidP="0072602F">
            <w:pPr>
              <w:rPr>
                <w:szCs w:val="22"/>
              </w:rPr>
            </w:pPr>
            <w:r w:rsidRPr="005B2844">
              <w:rPr>
                <w:szCs w:val="22"/>
              </w:rPr>
              <w:t>Depressione</w:t>
            </w:r>
          </w:p>
        </w:tc>
      </w:tr>
      <w:tr w:rsidR="002740CF" w:rsidRPr="005B2844">
        <w:tblPrEx>
          <w:tblCellMar>
            <w:top w:w="0" w:type="dxa"/>
            <w:bottom w:w="0" w:type="dxa"/>
          </w:tblCellMar>
        </w:tblPrEx>
        <w:tc>
          <w:tcPr>
            <w:tcW w:w="9747" w:type="dxa"/>
            <w:gridSpan w:val="2"/>
          </w:tcPr>
          <w:p w:rsidR="002740CF" w:rsidRPr="005B2844" w:rsidRDefault="002740CF" w:rsidP="0072602F">
            <w:pPr>
              <w:rPr>
                <w:szCs w:val="22"/>
              </w:rPr>
            </w:pPr>
            <w:r w:rsidRPr="005B2844">
              <w:rPr>
                <w:szCs w:val="22"/>
              </w:rPr>
              <w:t>Patologie del sistema nervoso</w:t>
            </w:r>
          </w:p>
        </w:tc>
      </w:tr>
      <w:tr w:rsidR="00A70FCB" w:rsidRPr="005B2844">
        <w:tblPrEx>
          <w:tblCellMar>
            <w:top w:w="0" w:type="dxa"/>
            <w:bottom w:w="0" w:type="dxa"/>
          </w:tblCellMar>
        </w:tblPrEx>
        <w:tc>
          <w:tcPr>
            <w:tcW w:w="5210" w:type="dxa"/>
          </w:tcPr>
          <w:p w:rsidR="004406A5" w:rsidRPr="005B2844" w:rsidRDefault="002740CF" w:rsidP="0072602F">
            <w:pPr>
              <w:rPr>
                <w:szCs w:val="22"/>
              </w:rPr>
            </w:pPr>
            <w:r w:rsidRPr="005B2844">
              <w:rPr>
                <w:szCs w:val="22"/>
              </w:rPr>
              <w:tab/>
            </w:r>
            <w:r w:rsidR="004406A5" w:rsidRPr="005B2844">
              <w:rPr>
                <w:szCs w:val="22"/>
              </w:rPr>
              <w:t>Comune:</w:t>
            </w:r>
          </w:p>
          <w:p w:rsidR="0072055D" w:rsidRPr="005B2844" w:rsidRDefault="002740CF" w:rsidP="0072602F">
            <w:pPr>
              <w:rPr>
                <w:szCs w:val="22"/>
              </w:rPr>
            </w:pPr>
            <w:r w:rsidRPr="005B2844">
              <w:rPr>
                <w:szCs w:val="22"/>
              </w:rPr>
              <w:tab/>
            </w:r>
            <w:r w:rsidR="0072055D" w:rsidRPr="005B2844">
              <w:rPr>
                <w:szCs w:val="22"/>
              </w:rPr>
              <w:t>Non comune:</w:t>
            </w:r>
          </w:p>
          <w:p w:rsidR="00305DDD" w:rsidRPr="005B2844" w:rsidRDefault="002740CF" w:rsidP="0072602F">
            <w:pPr>
              <w:rPr>
                <w:szCs w:val="22"/>
              </w:rPr>
            </w:pPr>
            <w:r w:rsidRPr="005B2844">
              <w:rPr>
                <w:szCs w:val="22"/>
              </w:rPr>
              <w:tab/>
            </w:r>
            <w:r w:rsidR="00305DDD" w:rsidRPr="005B2844">
              <w:rPr>
                <w:szCs w:val="22"/>
              </w:rPr>
              <w:t>Raro:</w:t>
            </w:r>
          </w:p>
          <w:p w:rsidR="00A70FCB" w:rsidRPr="005B2844" w:rsidRDefault="00A70FCB" w:rsidP="0072602F">
            <w:pPr>
              <w:rPr>
                <w:szCs w:val="22"/>
              </w:rPr>
            </w:pPr>
          </w:p>
        </w:tc>
        <w:tc>
          <w:tcPr>
            <w:tcW w:w="4537" w:type="dxa"/>
          </w:tcPr>
          <w:p w:rsidR="004406A5" w:rsidRPr="005B2844" w:rsidRDefault="003B5864" w:rsidP="0072602F">
            <w:pPr>
              <w:rPr>
                <w:szCs w:val="22"/>
              </w:rPr>
            </w:pPr>
            <w:r w:rsidRPr="005B2844">
              <w:rPr>
                <w:szCs w:val="22"/>
              </w:rPr>
              <w:t>Capogiro</w:t>
            </w:r>
          </w:p>
          <w:p w:rsidR="00A70FCB" w:rsidRPr="005B2844" w:rsidRDefault="0072055D" w:rsidP="0072602F">
            <w:pPr>
              <w:rPr>
                <w:szCs w:val="22"/>
              </w:rPr>
            </w:pPr>
            <w:r w:rsidRPr="005B2844">
              <w:rPr>
                <w:szCs w:val="22"/>
              </w:rPr>
              <w:t xml:space="preserve">Sincope, </w:t>
            </w:r>
            <w:r w:rsidR="00305DDD" w:rsidRPr="005B2844">
              <w:rPr>
                <w:szCs w:val="22"/>
              </w:rPr>
              <w:t>parestesia</w:t>
            </w:r>
          </w:p>
          <w:p w:rsidR="00305DDD" w:rsidRPr="005B2844" w:rsidRDefault="00305DDD" w:rsidP="0072602F">
            <w:pPr>
              <w:rPr>
                <w:szCs w:val="22"/>
              </w:rPr>
            </w:pPr>
            <w:r w:rsidRPr="005B2844">
              <w:rPr>
                <w:szCs w:val="22"/>
              </w:rPr>
              <w:t>Insonnia, disturbi del sonno</w:t>
            </w:r>
          </w:p>
        </w:tc>
      </w:tr>
      <w:tr w:rsidR="002740CF" w:rsidRPr="005B2844">
        <w:tblPrEx>
          <w:tblCellMar>
            <w:top w:w="0" w:type="dxa"/>
            <w:bottom w:w="0" w:type="dxa"/>
          </w:tblCellMar>
        </w:tblPrEx>
        <w:tc>
          <w:tcPr>
            <w:tcW w:w="9747" w:type="dxa"/>
            <w:gridSpan w:val="2"/>
          </w:tcPr>
          <w:p w:rsidR="002740CF" w:rsidRPr="005B2844" w:rsidRDefault="002740CF" w:rsidP="0072602F">
            <w:pPr>
              <w:rPr>
                <w:szCs w:val="22"/>
              </w:rPr>
            </w:pPr>
            <w:bookmarkStart w:id="4" w:name="OLE_LINK18"/>
            <w:r w:rsidRPr="005B2844">
              <w:rPr>
                <w:noProof/>
                <w:szCs w:val="22"/>
              </w:rPr>
              <w:t>Patologie dell'occhio</w:t>
            </w:r>
          </w:p>
        </w:tc>
      </w:tr>
      <w:tr w:rsidR="008C3205" w:rsidRPr="005B2844">
        <w:tblPrEx>
          <w:tblCellMar>
            <w:top w:w="0" w:type="dxa"/>
            <w:bottom w:w="0" w:type="dxa"/>
          </w:tblCellMar>
        </w:tblPrEx>
        <w:tc>
          <w:tcPr>
            <w:tcW w:w="5210" w:type="dxa"/>
          </w:tcPr>
          <w:p w:rsidR="008C3205" w:rsidRPr="005B2844" w:rsidRDefault="002740CF" w:rsidP="0072602F">
            <w:pPr>
              <w:rPr>
                <w:noProof/>
                <w:szCs w:val="22"/>
              </w:rPr>
            </w:pPr>
            <w:r w:rsidRPr="005B2844">
              <w:rPr>
                <w:noProof/>
                <w:szCs w:val="22"/>
              </w:rPr>
              <w:tab/>
            </w:r>
            <w:r w:rsidR="008C3205" w:rsidRPr="005B2844">
              <w:rPr>
                <w:noProof/>
                <w:szCs w:val="22"/>
              </w:rPr>
              <w:t>Raro:</w:t>
            </w:r>
          </w:p>
          <w:p w:rsidR="002740CF" w:rsidRPr="005B2844" w:rsidRDefault="002740CF" w:rsidP="0072602F">
            <w:pPr>
              <w:rPr>
                <w:szCs w:val="22"/>
              </w:rPr>
            </w:pPr>
          </w:p>
        </w:tc>
        <w:tc>
          <w:tcPr>
            <w:tcW w:w="4537" w:type="dxa"/>
          </w:tcPr>
          <w:p w:rsidR="008C3205" w:rsidRPr="005B2844" w:rsidRDefault="008C3205" w:rsidP="0072602F">
            <w:pPr>
              <w:rPr>
                <w:szCs w:val="22"/>
              </w:rPr>
            </w:pPr>
            <w:r w:rsidRPr="005B2844">
              <w:rPr>
                <w:szCs w:val="22"/>
              </w:rPr>
              <w:t xml:space="preserve">Disturbo della vista, visione </w:t>
            </w:r>
            <w:r w:rsidR="00DF5AAD" w:rsidRPr="005B2844">
              <w:rPr>
                <w:szCs w:val="22"/>
              </w:rPr>
              <w:t>offuscata</w:t>
            </w:r>
          </w:p>
        </w:tc>
      </w:tr>
      <w:bookmarkEnd w:id="4"/>
      <w:tr w:rsidR="00BF4EB0" w:rsidRPr="005B2844">
        <w:tblPrEx>
          <w:tblCellMar>
            <w:top w:w="0" w:type="dxa"/>
            <w:bottom w:w="0" w:type="dxa"/>
          </w:tblCellMar>
        </w:tblPrEx>
        <w:tc>
          <w:tcPr>
            <w:tcW w:w="9747" w:type="dxa"/>
            <w:gridSpan w:val="2"/>
          </w:tcPr>
          <w:p w:rsidR="00BF4EB0" w:rsidRPr="005B2844" w:rsidRDefault="00BF4EB0" w:rsidP="0072602F">
            <w:pPr>
              <w:rPr>
                <w:szCs w:val="22"/>
              </w:rPr>
            </w:pPr>
            <w:r w:rsidRPr="005B2844">
              <w:rPr>
                <w:szCs w:val="22"/>
              </w:rPr>
              <w:t>Patologie dell’orecchio e del labirinto</w:t>
            </w:r>
          </w:p>
        </w:tc>
      </w:tr>
      <w:tr w:rsidR="004406A5" w:rsidRPr="005B2844">
        <w:tblPrEx>
          <w:tblCellMar>
            <w:top w:w="0" w:type="dxa"/>
            <w:bottom w:w="0" w:type="dxa"/>
          </w:tblCellMar>
        </w:tblPrEx>
        <w:tc>
          <w:tcPr>
            <w:tcW w:w="5210" w:type="dxa"/>
          </w:tcPr>
          <w:p w:rsidR="004406A5" w:rsidRPr="005B2844" w:rsidRDefault="00BF4EB0" w:rsidP="0072602F">
            <w:pPr>
              <w:rPr>
                <w:szCs w:val="22"/>
              </w:rPr>
            </w:pPr>
            <w:r w:rsidRPr="005B2844">
              <w:rPr>
                <w:szCs w:val="22"/>
              </w:rPr>
              <w:tab/>
            </w:r>
            <w:r w:rsidR="008C3205" w:rsidRPr="005B2844">
              <w:rPr>
                <w:szCs w:val="22"/>
              </w:rPr>
              <w:t>Non c</w:t>
            </w:r>
            <w:r w:rsidR="004406A5" w:rsidRPr="005B2844">
              <w:rPr>
                <w:szCs w:val="22"/>
              </w:rPr>
              <w:t>omune:</w:t>
            </w:r>
          </w:p>
          <w:p w:rsidR="00BF4EB0" w:rsidRPr="005B2844" w:rsidRDefault="00BF4EB0" w:rsidP="0072602F">
            <w:pPr>
              <w:rPr>
                <w:szCs w:val="22"/>
              </w:rPr>
            </w:pPr>
          </w:p>
        </w:tc>
        <w:tc>
          <w:tcPr>
            <w:tcW w:w="4537" w:type="dxa"/>
          </w:tcPr>
          <w:p w:rsidR="004406A5" w:rsidRPr="005B2844" w:rsidRDefault="004406A5" w:rsidP="0072602F">
            <w:pPr>
              <w:rPr>
                <w:szCs w:val="22"/>
              </w:rPr>
            </w:pPr>
            <w:r w:rsidRPr="005B2844">
              <w:rPr>
                <w:szCs w:val="22"/>
              </w:rPr>
              <w:t>Vertigini</w:t>
            </w:r>
          </w:p>
        </w:tc>
      </w:tr>
      <w:tr w:rsidR="00BF4EB0" w:rsidRPr="005B2844">
        <w:tblPrEx>
          <w:tblCellMar>
            <w:top w:w="0" w:type="dxa"/>
            <w:bottom w:w="0" w:type="dxa"/>
          </w:tblCellMar>
        </w:tblPrEx>
        <w:tc>
          <w:tcPr>
            <w:tcW w:w="9747" w:type="dxa"/>
            <w:gridSpan w:val="2"/>
          </w:tcPr>
          <w:p w:rsidR="00BF4EB0" w:rsidRPr="005B2844" w:rsidRDefault="00BF4EB0" w:rsidP="0072602F">
            <w:pPr>
              <w:rPr>
                <w:szCs w:val="22"/>
              </w:rPr>
            </w:pPr>
            <w:r w:rsidRPr="005B2844">
              <w:rPr>
                <w:szCs w:val="22"/>
              </w:rPr>
              <w:t>Patologie cardiache</w:t>
            </w:r>
          </w:p>
        </w:tc>
      </w:tr>
      <w:tr w:rsidR="00567BCB" w:rsidRPr="005B2844">
        <w:tblPrEx>
          <w:tblCellMar>
            <w:top w:w="0" w:type="dxa"/>
            <w:bottom w:w="0" w:type="dxa"/>
          </w:tblCellMar>
        </w:tblPrEx>
        <w:tc>
          <w:tcPr>
            <w:tcW w:w="5210" w:type="dxa"/>
          </w:tcPr>
          <w:p w:rsidR="00567BCB" w:rsidRPr="005B2844" w:rsidRDefault="00BF4EB0" w:rsidP="0072602F">
            <w:pPr>
              <w:rPr>
                <w:szCs w:val="22"/>
              </w:rPr>
            </w:pPr>
            <w:r w:rsidRPr="005B2844">
              <w:rPr>
                <w:szCs w:val="22"/>
              </w:rPr>
              <w:tab/>
            </w:r>
            <w:r w:rsidR="00567BCB" w:rsidRPr="005B2844">
              <w:rPr>
                <w:szCs w:val="22"/>
              </w:rPr>
              <w:t>Non comune:</w:t>
            </w:r>
          </w:p>
          <w:p w:rsidR="00BF4EB0" w:rsidRPr="005B2844" w:rsidRDefault="00BF4EB0" w:rsidP="0072602F">
            <w:pPr>
              <w:rPr>
                <w:szCs w:val="22"/>
              </w:rPr>
            </w:pPr>
          </w:p>
        </w:tc>
        <w:tc>
          <w:tcPr>
            <w:tcW w:w="4537" w:type="dxa"/>
          </w:tcPr>
          <w:p w:rsidR="00567BCB" w:rsidRPr="005B2844" w:rsidRDefault="00567BCB" w:rsidP="0072602F">
            <w:pPr>
              <w:rPr>
                <w:szCs w:val="22"/>
              </w:rPr>
            </w:pPr>
            <w:r w:rsidRPr="005B2844">
              <w:rPr>
                <w:szCs w:val="22"/>
              </w:rPr>
              <w:t>Tachicardia, aritmia</w:t>
            </w:r>
          </w:p>
        </w:tc>
      </w:tr>
      <w:tr w:rsidR="00BF4EB0" w:rsidRPr="005B2844">
        <w:tblPrEx>
          <w:tblCellMar>
            <w:top w:w="0" w:type="dxa"/>
            <w:bottom w:w="0" w:type="dxa"/>
          </w:tblCellMar>
        </w:tblPrEx>
        <w:tc>
          <w:tcPr>
            <w:tcW w:w="9747" w:type="dxa"/>
            <w:gridSpan w:val="2"/>
          </w:tcPr>
          <w:p w:rsidR="00BF4EB0" w:rsidRPr="005B2844" w:rsidRDefault="00BF4EB0" w:rsidP="0072602F">
            <w:pPr>
              <w:rPr>
                <w:szCs w:val="22"/>
              </w:rPr>
            </w:pPr>
            <w:r w:rsidRPr="005B2844">
              <w:rPr>
                <w:szCs w:val="22"/>
              </w:rPr>
              <w:t>Patologie vascolari</w:t>
            </w:r>
          </w:p>
        </w:tc>
      </w:tr>
      <w:tr w:rsidR="00BF4EB0" w:rsidRPr="005B2844">
        <w:tblPrEx>
          <w:tblCellMar>
            <w:top w:w="0" w:type="dxa"/>
            <w:bottom w:w="0" w:type="dxa"/>
          </w:tblCellMar>
        </w:tblPrEx>
        <w:tc>
          <w:tcPr>
            <w:tcW w:w="5210" w:type="dxa"/>
          </w:tcPr>
          <w:p w:rsidR="00BF4EB0" w:rsidRPr="005B2844" w:rsidRDefault="00BF4EB0" w:rsidP="0072602F">
            <w:pPr>
              <w:rPr>
                <w:szCs w:val="22"/>
              </w:rPr>
            </w:pPr>
            <w:r w:rsidRPr="005B2844">
              <w:rPr>
                <w:szCs w:val="22"/>
              </w:rPr>
              <w:tab/>
              <w:t>Non comune:</w:t>
            </w:r>
          </w:p>
          <w:p w:rsidR="001B2022" w:rsidRPr="005B2844" w:rsidRDefault="001B2022" w:rsidP="0072602F">
            <w:pPr>
              <w:rPr>
                <w:szCs w:val="22"/>
              </w:rPr>
            </w:pPr>
          </w:p>
        </w:tc>
        <w:tc>
          <w:tcPr>
            <w:tcW w:w="4537" w:type="dxa"/>
          </w:tcPr>
          <w:p w:rsidR="00BF4EB0" w:rsidRPr="005B2844" w:rsidRDefault="00BF4EB0" w:rsidP="0072602F">
            <w:pPr>
              <w:rPr>
                <w:szCs w:val="22"/>
              </w:rPr>
            </w:pPr>
            <w:r w:rsidRPr="005B2844">
              <w:rPr>
                <w:szCs w:val="22"/>
              </w:rPr>
              <w:t>Ipotensione, ipotensione ortostatica</w:t>
            </w:r>
          </w:p>
        </w:tc>
      </w:tr>
      <w:tr w:rsidR="001B2022" w:rsidRPr="005B2844">
        <w:tblPrEx>
          <w:tblCellMar>
            <w:top w:w="0" w:type="dxa"/>
            <w:bottom w:w="0" w:type="dxa"/>
          </w:tblCellMar>
        </w:tblPrEx>
        <w:tc>
          <w:tcPr>
            <w:tcW w:w="9747" w:type="dxa"/>
            <w:gridSpan w:val="2"/>
          </w:tcPr>
          <w:p w:rsidR="001B2022" w:rsidRPr="005B2844" w:rsidRDefault="001B2022" w:rsidP="0072602F">
            <w:pPr>
              <w:rPr>
                <w:szCs w:val="22"/>
              </w:rPr>
            </w:pPr>
            <w:r w:rsidRPr="005B2844">
              <w:rPr>
                <w:szCs w:val="22"/>
              </w:rPr>
              <w:t>Patologie respiratorie, toraciche e mediastiniche</w:t>
            </w:r>
          </w:p>
        </w:tc>
      </w:tr>
      <w:tr w:rsidR="001B2022" w:rsidRPr="005B2844">
        <w:tblPrEx>
          <w:tblCellMar>
            <w:top w:w="0" w:type="dxa"/>
            <w:bottom w:w="0" w:type="dxa"/>
          </w:tblCellMar>
        </w:tblPrEx>
        <w:tc>
          <w:tcPr>
            <w:tcW w:w="5210" w:type="dxa"/>
          </w:tcPr>
          <w:p w:rsidR="001B2022" w:rsidRPr="005B2844" w:rsidRDefault="001B2022" w:rsidP="0072602F">
            <w:pPr>
              <w:rPr>
                <w:szCs w:val="22"/>
              </w:rPr>
            </w:pPr>
            <w:r w:rsidRPr="005B2844">
              <w:rPr>
                <w:szCs w:val="22"/>
              </w:rPr>
              <w:tab/>
              <w:t>Non comune:</w:t>
            </w:r>
          </w:p>
          <w:p w:rsidR="001B2022" w:rsidRPr="005B2844" w:rsidRDefault="001B2022" w:rsidP="0072602F">
            <w:pPr>
              <w:rPr>
                <w:szCs w:val="22"/>
              </w:rPr>
            </w:pPr>
            <w:r w:rsidRPr="005B2844">
              <w:rPr>
                <w:szCs w:val="22"/>
              </w:rPr>
              <w:tab/>
              <w:t>Raro:</w:t>
            </w:r>
          </w:p>
        </w:tc>
        <w:tc>
          <w:tcPr>
            <w:tcW w:w="4537" w:type="dxa"/>
          </w:tcPr>
          <w:p w:rsidR="001B2022" w:rsidRPr="005B2844" w:rsidRDefault="001B2022" w:rsidP="0072602F">
            <w:pPr>
              <w:rPr>
                <w:szCs w:val="22"/>
              </w:rPr>
            </w:pPr>
            <w:r w:rsidRPr="005B2844">
              <w:rPr>
                <w:szCs w:val="22"/>
              </w:rPr>
              <w:t>Dispnea</w:t>
            </w:r>
          </w:p>
          <w:p w:rsidR="001B2022" w:rsidRPr="005B2844" w:rsidRDefault="009D5113" w:rsidP="0072602F">
            <w:pPr>
              <w:rPr>
                <w:szCs w:val="22"/>
              </w:rPr>
            </w:pPr>
            <w:r w:rsidRPr="005B2844">
              <w:rPr>
                <w:szCs w:val="22"/>
              </w:rPr>
              <w:t>Dis</w:t>
            </w:r>
            <w:r w:rsidR="00DF5AAD" w:rsidRPr="005B2844">
              <w:rPr>
                <w:szCs w:val="22"/>
              </w:rPr>
              <w:t>tress respirato</w:t>
            </w:r>
            <w:r w:rsidR="0082371D" w:rsidRPr="005B2844">
              <w:rPr>
                <w:szCs w:val="22"/>
              </w:rPr>
              <w:t>r</w:t>
            </w:r>
            <w:r w:rsidR="00DF5AAD" w:rsidRPr="005B2844">
              <w:rPr>
                <w:szCs w:val="22"/>
              </w:rPr>
              <w:t>io</w:t>
            </w:r>
            <w:r w:rsidRPr="005B2844">
              <w:rPr>
                <w:szCs w:val="22"/>
              </w:rPr>
              <w:t xml:space="preserve"> (polmonite ed edema polmonare inclusi)</w:t>
            </w:r>
          </w:p>
          <w:p w:rsidR="00541E4D" w:rsidRPr="005B2844" w:rsidRDefault="00541E4D" w:rsidP="0072602F">
            <w:pPr>
              <w:rPr>
                <w:szCs w:val="22"/>
              </w:rPr>
            </w:pPr>
          </w:p>
        </w:tc>
      </w:tr>
      <w:tr w:rsidR="00541E4D" w:rsidRPr="005B2844">
        <w:tblPrEx>
          <w:tblCellMar>
            <w:top w:w="0" w:type="dxa"/>
            <w:bottom w:w="0" w:type="dxa"/>
          </w:tblCellMar>
        </w:tblPrEx>
        <w:tc>
          <w:tcPr>
            <w:tcW w:w="9747" w:type="dxa"/>
            <w:gridSpan w:val="2"/>
          </w:tcPr>
          <w:p w:rsidR="00541E4D" w:rsidRPr="005B2844" w:rsidRDefault="00541E4D" w:rsidP="00D274A7">
            <w:pPr>
              <w:rPr>
                <w:szCs w:val="22"/>
              </w:rPr>
            </w:pPr>
            <w:r w:rsidRPr="005B2844">
              <w:rPr>
                <w:szCs w:val="22"/>
              </w:rPr>
              <w:t>Patologie gastrointestinali</w:t>
            </w:r>
          </w:p>
        </w:tc>
      </w:tr>
      <w:tr w:rsidR="001B2022" w:rsidRPr="005B2844">
        <w:tblPrEx>
          <w:tblCellMar>
            <w:top w:w="0" w:type="dxa"/>
            <w:bottom w:w="0" w:type="dxa"/>
          </w:tblCellMar>
        </w:tblPrEx>
        <w:tc>
          <w:tcPr>
            <w:tcW w:w="5210" w:type="dxa"/>
          </w:tcPr>
          <w:p w:rsidR="001B2022" w:rsidRPr="005B2844" w:rsidRDefault="00541E4D" w:rsidP="001B2022">
            <w:pPr>
              <w:rPr>
                <w:szCs w:val="22"/>
              </w:rPr>
            </w:pPr>
            <w:r w:rsidRPr="005B2844">
              <w:rPr>
                <w:szCs w:val="22"/>
              </w:rPr>
              <w:tab/>
              <w:t>Non c</w:t>
            </w:r>
            <w:r w:rsidR="001B2022" w:rsidRPr="005B2844">
              <w:rPr>
                <w:szCs w:val="22"/>
              </w:rPr>
              <w:t>omune:</w:t>
            </w:r>
          </w:p>
          <w:p w:rsidR="00E8357F" w:rsidRPr="005B2844" w:rsidRDefault="00E8357F" w:rsidP="001B2022">
            <w:pPr>
              <w:rPr>
                <w:szCs w:val="22"/>
              </w:rPr>
            </w:pPr>
            <w:r w:rsidRPr="005B2844">
              <w:rPr>
                <w:szCs w:val="22"/>
              </w:rPr>
              <w:tab/>
              <w:t>Raro:</w:t>
            </w:r>
          </w:p>
          <w:p w:rsidR="00E8357F" w:rsidRPr="005B2844" w:rsidRDefault="00E8357F" w:rsidP="00B603E7">
            <w:pPr>
              <w:rPr>
                <w:szCs w:val="22"/>
              </w:rPr>
            </w:pPr>
            <w:r w:rsidRPr="005B2844">
              <w:rPr>
                <w:szCs w:val="22"/>
              </w:rPr>
              <w:tab/>
            </w:r>
          </w:p>
        </w:tc>
        <w:tc>
          <w:tcPr>
            <w:tcW w:w="4537" w:type="dxa"/>
          </w:tcPr>
          <w:p w:rsidR="00541E4D" w:rsidRPr="005B2844" w:rsidRDefault="00541E4D" w:rsidP="001B2022">
            <w:pPr>
              <w:rPr>
                <w:szCs w:val="22"/>
              </w:rPr>
            </w:pPr>
            <w:r w:rsidRPr="005B2844">
              <w:rPr>
                <w:szCs w:val="22"/>
              </w:rPr>
              <w:t>Diarrea</w:t>
            </w:r>
            <w:r w:rsidR="00382454" w:rsidRPr="005B2844">
              <w:rPr>
                <w:szCs w:val="22"/>
              </w:rPr>
              <w:t>,</w:t>
            </w:r>
            <w:r w:rsidRPr="005B2844">
              <w:rPr>
                <w:szCs w:val="22"/>
              </w:rPr>
              <w:t xml:space="preserve"> </w:t>
            </w:r>
            <w:r w:rsidR="00B947C3" w:rsidRPr="005B2844">
              <w:rPr>
                <w:szCs w:val="22"/>
              </w:rPr>
              <w:t xml:space="preserve">bocca </w:t>
            </w:r>
            <w:r w:rsidRPr="005B2844">
              <w:rPr>
                <w:szCs w:val="22"/>
              </w:rPr>
              <w:t>secca, flatulenza</w:t>
            </w:r>
          </w:p>
          <w:p w:rsidR="00B603E7" w:rsidRPr="005B2844" w:rsidRDefault="001B2022" w:rsidP="00B603E7">
            <w:pPr>
              <w:rPr>
                <w:szCs w:val="22"/>
              </w:rPr>
            </w:pPr>
            <w:r w:rsidRPr="005B2844">
              <w:rPr>
                <w:szCs w:val="22"/>
              </w:rPr>
              <w:t xml:space="preserve">Dolore addominale, </w:t>
            </w:r>
            <w:r w:rsidR="00E8357F" w:rsidRPr="005B2844">
              <w:rPr>
                <w:szCs w:val="22"/>
              </w:rPr>
              <w:t xml:space="preserve">stipsi, </w:t>
            </w:r>
            <w:r w:rsidRPr="005B2844">
              <w:rPr>
                <w:szCs w:val="22"/>
              </w:rPr>
              <w:t xml:space="preserve">dispepsia, </w:t>
            </w:r>
            <w:r w:rsidR="00E8357F" w:rsidRPr="005B2844">
              <w:rPr>
                <w:szCs w:val="22"/>
              </w:rPr>
              <w:t>vomito</w:t>
            </w:r>
            <w:r w:rsidR="00B603E7" w:rsidRPr="005B2844">
              <w:rPr>
                <w:szCs w:val="22"/>
              </w:rPr>
              <w:t>, gastrite</w:t>
            </w:r>
          </w:p>
          <w:p w:rsidR="00C20D55" w:rsidRPr="005B2844" w:rsidRDefault="00C20D55" w:rsidP="00B603E7">
            <w:pPr>
              <w:rPr>
                <w:szCs w:val="22"/>
              </w:rPr>
            </w:pPr>
          </w:p>
        </w:tc>
      </w:tr>
      <w:tr w:rsidR="001F6C29" w:rsidRPr="005B2844">
        <w:tblPrEx>
          <w:tblCellMar>
            <w:top w:w="0" w:type="dxa"/>
            <w:bottom w:w="0" w:type="dxa"/>
          </w:tblCellMar>
        </w:tblPrEx>
        <w:tc>
          <w:tcPr>
            <w:tcW w:w="9747" w:type="dxa"/>
            <w:gridSpan w:val="2"/>
          </w:tcPr>
          <w:p w:rsidR="001F6C29" w:rsidRPr="005B2844" w:rsidRDefault="001F6C29" w:rsidP="0072602F">
            <w:pPr>
              <w:rPr>
                <w:szCs w:val="22"/>
              </w:rPr>
            </w:pPr>
            <w:r w:rsidRPr="005B2844">
              <w:rPr>
                <w:szCs w:val="22"/>
              </w:rPr>
              <w:t>Patologie epatobiliari</w:t>
            </w:r>
          </w:p>
        </w:tc>
      </w:tr>
      <w:tr w:rsidR="001F6C29" w:rsidRPr="005B2844">
        <w:tblPrEx>
          <w:tblCellMar>
            <w:top w:w="0" w:type="dxa"/>
            <w:bottom w:w="0" w:type="dxa"/>
          </w:tblCellMar>
        </w:tblPrEx>
        <w:tc>
          <w:tcPr>
            <w:tcW w:w="5210" w:type="dxa"/>
          </w:tcPr>
          <w:p w:rsidR="001F6C29" w:rsidRPr="005B2844" w:rsidRDefault="001F6C29" w:rsidP="0072602F">
            <w:pPr>
              <w:rPr>
                <w:szCs w:val="22"/>
              </w:rPr>
            </w:pPr>
            <w:r w:rsidRPr="005B2844">
              <w:rPr>
                <w:szCs w:val="22"/>
              </w:rPr>
              <w:tab/>
              <w:t>Raro:</w:t>
            </w:r>
          </w:p>
        </w:tc>
        <w:tc>
          <w:tcPr>
            <w:tcW w:w="4537" w:type="dxa"/>
          </w:tcPr>
          <w:p w:rsidR="001F6C29" w:rsidRPr="005B2844" w:rsidRDefault="001F6C29" w:rsidP="0072602F">
            <w:pPr>
              <w:rPr>
                <w:szCs w:val="22"/>
              </w:rPr>
            </w:pPr>
            <w:r w:rsidRPr="005B2844">
              <w:rPr>
                <w:szCs w:val="22"/>
              </w:rPr>
              <w:t>Funzionalità epatica alterata/disturbo epatico</w:t>
            </w:r>
            <w:r w:rsidR="008D758F" w:rsidRPr="005B2844">
              <w:rPr>
                <w:szCs w:val="22"/>
                <w:vertAlign w:val="superscript"/>
              </w:rPr>
              <w:t>2</w:t>
            </w:r>
          </w:p>
          <w:p w:rsidR="001F6C29" w:rsidRPr="005B2844" w:rsidRDefault="001F6C29" w:rsidP="0072602F">
            <w:pPr>
              <w:rPr>
                <w:szCs w:val="22"/>
              </w:rPr>
            </w:pPr>
          </w:p>
        </w:tc>
      </w:tr>
      <w:tr w:rsidR="001F6C29" w:rsidRPr="005B2844">
        <w:tblPrEx>
          <w:tblCellMar>
            <w:top w:w="0" w:type="dxa"/>
            <w:bottom w:w="0" w:type="dxa"/>
          </w:tblCellMar>
        </w:tblPrEx>
        <w:tc>
          <w:tcPr>
            <w:tcW w:w="9747" w:type="dxa"/>
            <w:gridSpan w:val="2"/>
          </w:tcPr>
          <w:p w:rsidR="001F6C29" w:rsidRPr="005B2844" w:rsidRDefault="001F6C29" w:rsidP="0072602F">
            <w:pPr>
              <w:rPr>
                <w:szCs w:val="22"/>
              </w:rPr>
            </w:pPr>
            <w:r w:rsidRPr="005B2844">
              <w:rPr>
                <w:szCs w:val="22"/>
              </w:rPr>
              <w:t>Patologie della cute e del tessuto sottocutaneo</w:t>
            </w:r>
          </w:p>
        </w:tc>
      </w:tr>
      <w:tr w:rsidR="004406A5" w:rsidRPr="005B2844">
        <w:tblPrEx>
          <w:tblCellMar>
            <w:top w:w="0" w:type="dxa"/>
            <w:bottom w:w="0" w:type="dxa"/>
          </w:tblCellMar>
        </w:tblPrEx>
        <w:tc>
          <w:tcPr>
            <w:tcW w:w="5210" w:type="dxa"/>
          </w:tcPr>
          <w:p w:rsidR="004406A5" w:rsidRPr="005B2844" w:rsidRDefault="001F6C29" w:rsidP="0072602F">
            <w:pPr>
              <w:rPr>
                <w:szCs w:val="22"/>
              </w:rPr>
            </w:pPr>
            <w:r w:rsidRPr="005B2844">
              <w:rPr>
                <w:szCs w:val="22"/>
              </w:rPr>
              <w:tab/>
              <w:t>Raro</w:t>
            </w:r>
            <w:r w:rsidR="004406A5" w:rsidRPr="005B2844">
              <w:rPr>
                <w:szCs w:val="22"/>
              </w:rPr>
              <w:t>:</w:t>
            </w:r>
          </w:p>
        </w:tc>
        <w:tc>
          <w:tcPr>
            <w:tcW w:w="4537" w:type="dxa"/>
          </w:tcPr>
          <w:p w:rsidR="004406A5" w:rsidRPr="005B2844" w:rsidRDefault="001F6C29" w:rsidP="0072602F">
            <w:pPr>
              <w:rPr>
                <w:szCs w:val="22"/>
              </w:rPr>
            </w:pPr>
            <w:r w:rsidRPr="005B2844">
              <w:rPr>
                <w:szCs w:val="22"/>
              </w:rPr>
              <w:t>Angioedema</w:t>
            </w:r>
            <w:r w:rsidR="008D758F" w:rsidRPr="005B2844">
              <w:rPr>
                <w:szCs w:val="22"/>
              </w:rPr>
              <w:t xml:space="preserve"> (anche </w:t>
            </w:r>
            <w:r w:rsidR="00133426" w:rsidRPr="005B2844">
              <w:rPr>
                <w:szCs w:val="22"/>
              </w:rPr>
              <w:t>con</w:t>
            </w:r>
            <w:r w:rsidR="008D758F" w:rsidRPr="005B2844">
              <w:rPr>
                <w:szCs w:val="22"/>
              </w:rPr>
              <w:t xml:space="preserve"> esito fatale)</w:t>
            </w:r>
            <w:r w:rsidRPr="005B2844">
              <w:rPr>
                <w:szCs w:val="22"/>
              </w:rPr>
              <w:t>, eritema, prurito,</w:t>
            </w:r>
            <w:r w:rsidR="008D758F" w:rsidRPr="005B2844">
              <w:rPr>
                <w:szCs w:val="22"/>
              </w:rPr>
              <w:t xml:space="preserve"> </w:t>
            </w:r>
            <w:r w:rsidR="00B947C3" w:rsidRPr="005B2844">
              <w:rPr>
                <w:szCs w:val="22"/>
              </w:rPr>
              <w:t>eruzione cutanea</w:t>
            </w:r>
            <w:r w:rsidRPr="005B2844">
              <w:rPr>
                <w:szCs w:val="22"/>
              </w:rPr>
              <w:t>, iperidrosi, orticaria</w:t>
            </w:r>
          </w:p>
          <w:p w:rsidR="004406A5" w:rsidRPr="005B2844" w:rsidRDefault="004406A5" w:rsidP="0072602F">
            <w:pPr>
              <w:rPr>
                <w:szCs w:val="22"/>
              </w:rPr>
            </w:pPr>
          </w:p>
        </w:tc>
      </w:tr>
      <w:tr w:rsidR="002F195A" w:rsidRPr="005B2844">
        <w:tblPrEx>
          <w:tblCellMar>
            <w:top w:w="0" w:type="dxa"/>
            <w:bottom w:w="0" w:type="dxa"/>
          </w:tblCellMar>
        </w:tblPrEx>
        <w:tc>
          <w:tcPr>
            <w:tcW w:w="9747" w:type="dxa"/>
            <w:gridSpan w:val="2"/>
          </w:tcPr>
          <w:p w:rsidR="002F195A" w:rsidRPr="005B2844" w:rsidRDefault="002F195A" w:rsidP="0072602F">
            <w:pPr>
              <w:rPr>
                <w:szCs w:val="22"/>
              </w:rPr>
            </w:pPr>
            <w:r w:rsidRPr="005B2844">
              <w:rPr>
                <w:szCs w:val="22"/>
              </w:rPr>
              <w:t>Patologie del sistema muscoloscheletrico e del tessuto connettivo</w:t>
            </w:r>
          </w:p>
        </w:tc>
      </w:tr>
      <w:tr w:rsidR="004406A5" w:rsidRPr="005B2844">
        <w:tblPrEx>
          <w:tblCellMar>
            <w:top w:w="0" w:type="dxa"/>
            <w:bottom w:w="0" w:type="dxa"/>
          </w:tblCellMar>
        </w:tblPrEx>
        <w:tc>
          <w:tcPr>
            <w:tcW w:w="5210" w:type="dxa"/>
          </w:tcPr>
          <w:p w:rsidR="004406A5" w:rsidRPr="005B2844" w:rsidRDefault="002F195A" w:rsidP="0072602F">
            <w:pPr>
              <w:rPr>
                <w:szCs w:val="22"/>
              </w:rPr>
            </w:pPr>
            <w:r w:rsidRPr="005B2844">
              <w:rPr>
                <w:szCs w:val="22"/>
              </w:rPr>
              <w:tab/>
              <w:t>Non c</w:t>
            </w:r>
            <w:r w:rsidR="004406A5" w:rsidRPr="005B2844">
              <w:rPr>
                <w:szCs w:val="22"/>
              </w:rPr>
              <w:t>omune:</w:t>
            </w:r>
          </w:p>
          <w:p w:rsidR="002F195A" w:rsidRPr="005B2844" w:rsidRDefault="002F195A" w:rsidP="0072602F">
            <w:pPr>
              <w:rPr>
                <w:szCs w:val="22"/>
              </w:rPr>
            </w:pPr>
            <w:r w:rsidRPr="005B2844">
              <w:rPr>
                <w:szCs w:val="22"/>
              </w:rPr>
              <w:tab/>
              <w:t>Raro:</w:t>
            </w:r>
          </w:p>
        </w:tc>
        <w:tc>
          <w:tcPr>
            <w:tcW w:w="4537" w:type="dxa"/>
          </w:tcPr>
          <w:p w:rsidR="004406A5" w:rsidRPr="005B2844" w:rsidRDefault="002F195A" w:rsidP="0072602F">
            <w:pPr>
              <w:rPr>
                <w:szCs w:val="22"/>
              </w:rPr>
            </w:pPr>
            <w:r w:rsidRPr="005B2844">
              <w:rPr>
                <w:szCs w:val="22"/>
              </w:rPr>
              <w:t>D</w:t>
            </w:r>
            <w:r w:rsidR="004406A5" w:rsidRPr="005B2844">
              <w:rPr>
                <w:szCs w:val="22"/>
              </w:rPr>
              <w:t>olore alla schiena, spasmi muscolari, mialgia</w:t>
            </w:r>
          </w:p>
          <w:p w:rsidR="002F195A" w:rsidRPr="005B2844" w:rsidRDefault="002F195A" w:rsidP="0072602F">
            <w:pPr>
              <w:rPr>
                <w:szCs w:val="22"/>
              </w:rPr>
            </w:pPr>
            <w:r w:rsidRPr="005B2844">
              <w:rPr>
                <w:szCs w:val="22"/>
              </w:rPr>
              <w:t>Artralgia, crampi muscolari, dolore agli arti</w:t>
            </w:r>
          </w:p>
          <w:p w:rsidR="00266C96" w:rsidRPr="005B2844" w:rsidRDefault="00266C96" w:rsidP="0072602F">
            <w:pPr>
              <w:rPr>
                <w:szCs w:val="22"/>
              </w:rPr>
            </w:pPr>
          </w:p>
        </w:tc>
      </w:tr>
      <w:tr w:rsidR="00266C96" w:rsidRPr="005B2844">
        <w:tblPrEx>
          <w:tblCellMar>
            <w:top w:w="0" w:type="dxa"/>
            <w:bottom w:w="0" w:type="dxa"/>
          </w:tblCellMar>
        </w:tblPrEx>
        <w:tc>
          <w:tcPr>
            <w:tcW w:w="9747" w:type="dxa"/>
            <w:gridSpan w:val="2"/>
          </w:tcPr>
          <w:p w:rsidR="00266C96" w:rsidRPr="005B2844" w:rsidRDefault="00266C96" w:rsidP="000709BC">
            <w:pPr>
              <w:keepNext/>
              <w:rPr>
                <w:szCs w:val="22"/>
              </w:rPr>
            </w:pPr>
            <w:r w:rsidRPr="005B2844">
              <w:rPr>
                <w:szCs w:val="22"/>
              </w:rPr>
              <w:t>Patologie dell’apparato riproduttivo e della mammella</w:t>
            </w:r>
          </w:p>
        </w:tc>
      </w:tr>
      <w:tr w:rsidR="004406A5" w:rsidRPr="005B2844">
        <w:tblPrEx>
          <w:tblCellMar>
            <w:top w:w="0" w:type="dxa"/>
            <w:bottom w:w="0" w:type="dxa"/>
          </w:tblCellMar>
        </w:tblPrEx>
        <w:tc>
          <w:tcPr>
            <w:tcW w:w="5210" w:type="dxa"/>
          </w:tcPr>
          <w:p w:rsidR="004406A5" w:rsidRPr="005B2844" w:rsidRDefault="00266C96" w:rsidP="0072602F">
            <w:pPr>
              <w:rPr>
                <w:szCs w:val="22"/>
              </w:rPr>
            </w:pPr>
            <w:r w:rsidRPr="005B2844">
              <w:rPr>
                <w:szCs w:val="22"/>
              </w:rPr>
              <w:tab/>
              <w:t>Non c</w:t>
            </w:r>
            <w:r w:rsidR="004406A5" w:rsidRPr="005B2844">
              <w:rPr>
                <w:szCs w:val="22"/>
              </w:rPr>
              <w:t>omune:</w:t>
            </w:r>
          </w:p>
          <w:p w:rsidR="004406A5" w:rsidRPr="005B2844" w:rsidRDefault="004406A5" w:rsidP="0072602F">
            <w:pPr>
              <w:rPr>
                <w:szCs w:val="22"/>
              </w:rPr>
            </w:pPr>
          </w:p>
        </w:tc>
        <w:tc>
          <w:tcPr>
            <w:tcW w:w="4537" w:type="dxa"/>
          </w:tcPr>
          <w:p w:rsidR="004406A5" w:rsidRPr="005B2844" w:rsidRDefault="004406A5" w:rsidP="0072602F">
            <w:pPr>
              <w:rPr>
                <w:szCs w:val="22"/>
              </w:rPr>
            </w:pPr>
            <w:r w:rsidRPr="005B2844">
              <w:rPr>
                <w:szCs w:val="22"/>
              </w:rPr>
              <w:t>Disfunzione erettile</w:t>
            </w:r>
          </w:p>
        </w:tc>
      </w:tr>
      <w:tr w:rsidR="00A75457" w:rsidRPr="005B2844">
        <w:tblPrEx>
          <w:tblCellMar>
            <w:top w:w="0" w:type="dxa"/>
            <w:bottom w:w="0" w:type="dxa"/>
          </w:tblCellMar>
        </w:tblPrEx>
        <w:tc>
          <w:tcPr>
            <w:tcW w:w="9747" w:type="dxa"/>
            <w:gridSpan w:val="2"/>
          </w:tcPr>
          <w:p w:rsidR="00A75457" w:rsidRPr="005B2844" w:rsidRDefault="00A75457" w:rsidP="0072602F">
            <w:pPr>
              <w:rPr>
                <w:szCs w:val="22"/>
              </w:rPr>
            </w:pPr>
            <w:r w:rsidRPr="005B2844">
              <w:rPr>
                <w:szCs w:val="22"/>
              </w:rPr>
              <w:t>Patologie sistemiche e condizioni relative alla sede di somministrazione</w:t>
            </w:r>
          </w:p>
        </w:tc>
      </w:tr>
      <w:tr w:rsidR="004406A5" w:rsidRPr="005B2844">
        <w:tblPrEx>
          <w:tblCellMar>
            <w:top w:w="0" w:type="dxa"/>
            <w:bottom w:w="0" w:type="dxa"/>
          </w:tblCellMar>
        </w:tblPrEx>
        <w:tc>
          <w:tcPr>
            <w:tcW w:w="5210" w:type="dxa"/>
          </w:tcPr>
          <w:p w:rsidR="004406A5" w:rsidRPr="005B2844" w:rsidRDefault="00A75457" w:rsidP="0072602F">
            <w:pPr>
              <w:rPr>
                <w:szCs w:val="22"/>
              </w:rPr>
            </w:pPr>
            <w:r w:rsidRPr="005B2844">
              <w:rPr>
                <w:szCs w:val="22"/>
              </w:rPr>
              <w:tab/>
              <w:t>Non c</w:t>
            </w:r>
            <w:r w:rsidR="004406A5" w:rsidRPr="005B2844">
              <w:rPr>
                <w:szCs w:val="22"/>
              </w:rPr>
              <w:t>omune:</w:t>
            </w:r>
          </w:p>
          <w:p w:rsidR="00A75457" w:rsidRPr="005B2844" w:rsidRDefault="00A75457" w:rsidP="0072602F">
            <w:pPr>
              <w:rPr>
                <w:szCs w:val="22"/>
              </w:rPr>
            </w:pPr>
            <w:r w:rsidRPr="005B2844">
              <w:rPr>
                <w:szCs w:val="22"/>
              </w:rPr>
              <w:tab/>
              <w:t>Raro:</w:t>
            </w:r>
          </w:p>
          <w:p w:rsidR="004406A5" w:rsidRPr="005B2844" w:rsidRDefault="004406A5" w:rsidP="0072602F">
            <w:pPr>
              <w:rPr>
                <w:szCs w:val="22"/>
              </w:rPr>
            </w:pPr>
          </w:p>
        </w:tc>
        <w:tc>
          <w:tcPr>
            <w:tcW w:w="4537" w:type="dxa"/>
          </w:tcPr>
          <w:p w:rsidR="00A75457" w:rsidRPr="005B2844" w:rsidRDefault="00A75457" w:rsidP="0072602F">
            <w:pPr>
              <w:rPr>
                <w:szCs w:val="22"/>
              </w:rPr>
            </w:pPr>
            <w:r w:rsidRPr="005B2844">
              <w:rPr>
                <w:szCs w:val="22"/>
              </w:rPr>
              <w:t>Dolore toracico</w:t>
            </w:r>
          </w:p>
          <w:p w:rsidR="004406A5" w:rsidRPr="005B2844" w:rsidRDefault="004406A5" w:rsidP="0072602F">
            <w:pPr>
              <w:rPr>
                <w:szCs w:val="22"/>
              </w:rPr>
            </w:pPr>
            <w:r w:rsidRPr="005B2844">
              <w:rPr>
                <w:szCs w:val="22"/>
              </w:rPr>
              <w:t xml:space="preserve">Malattia </w:t>
            </w:r>
            <w:r w:rsidR="003B5864" w:rsidRPr="005B2844">
              <w:rPr>
                <w:szCs w:val="22"/>
              </w:rPr>
              <w:t>simil-</w:t>
            </w:r>
            <w:r w:rsidRPr="005B2844">
              <w:rPr>
                <w:szCs w:val="22"/>
              </w:rPr>
              <w:t>influenzale, dolore</w:t>
            </w:r>
          </w:p>
        </w:tc>
      </w:tr>
      <w:tr w:rsidR="00A75457" w:rsidRPr="005B2844">
        <w:tblPrEx>
          <w:tblCellMar>
            <w:top w:w="0" w:type="dxa"/>
            <w:bottom w:w="0" w:type="dxa"/>
          </w:tblCellMar>
        </w:tblPrEx>
        <w:tc>
          <w:tcPr>
            <w:tcW w:w="9747" w:type="dxa"/>
            <w:gridSpan w:val="2"/>
          </w:tcPr>
          <w:p w:rsidR="00A75457" w:rsidRPr="005B2844" w:rsidRDefault="00A75457" w:rsidP="0072602F">
            <w:pPr>
              <w:rPr>
                <w:szCs w:val="22"/>
              </w:rPr>
            </w:pPr>
            <w:bookmarkStart w:id="5" w:name="OLE_LINK21"/>
            <w:r w:rsidRPr="005B2844">
              <w:rPr>
                <w:szCs w:val="22"/>
              </w:rPr>
              <w:t>Esami diagnostici</w:t>
            </w:r>
          </w:p>
        </w:tc>
      </w:tr>
      <w:tr w:rsidR="00A75457" w:rsidRPr="005B2844">
        <w:tblPrEx>
          <w:tblCellMar>
            <w:top w:w="0" w:type="dxa"/>
            <w:bottom w:w="0" w:type="dxa"/>
          </w:tblCellMar>
        </w:tblPrEx>
        <w:tc>
          <w:tcPr>
            <w:tcW w:w="5210" w:type="dxa"/>
          </w:tcPr>
          <w:p w:rsidR="00A75457" w:rsidRPr="005B2844" w:rsidRDefault="00A75457" w:rsidP="0072602F">
            <w:pPr>
              <w:rPr>
                <w:szCs w:val="22"/>
              </w:rPr>
            </w:pPr>
            <w:r w:rsidRPr="005B2844">
              <w:rPr>
                <w:szCs w:val="22"/>
              </w:rPr>
              <w:tab/>
              <w:t>Non comune:</w:t>
            </w:r>
          </w:p>
          <w:p w:rsidR="00A75457" w:rsidRPr="005B2844" w:rsidRDefault="00A75457" w:rsidP="0072602F">
            <w:pPr>
              <w:rPr>
                <w:szCs w:val="22"/>
              </w:rPr>
            </w:pPr>
            <w:r w:rsidRPr="005B2844">
              <w:rPr>
                <w:szCs w:val="22"/>
              </w:rPr>
              <w:tab/>
              <w:t>Raro:</w:t>
            </w:r>
          </w:p>
          <w:p w:rsidR="00A75457" w:rsidRPr="005B2844" w:rsidRDefault="00A75457" w:rsidP="0072602F">
            <w:pPr>
              <w:rPr>
                <w:szCs w:val="22"/>
              </w:rPr>
            </w:pPr>
          </w:p>
        </w:tc>
        <w:tc>
          <w:tcPr>
            <w:tcW w:w="4537" w:type="dxa"/>
          </w:tcPr>
          <w:p w:rsidR="00A75457" w:rsidRPr="005B2844" w:rsidRDefault="00A75457" w:rsidP="0072602F">
            <w:pPr>
              <w:rPr>
                <w:szCs w:val="22"/>
              </w:rPr>
            </w:pPr>
            <w:r w:rsidRPr="005B2844">
              <w:rPr>
                <w:szCs w:val="22"/>
              </w:rPr>
              <w:t xml:space="preserve">Aumento di acido urico </w:t>
            </w:r>
            <w:r w:rsidR="00B947C3" w:rsidRPr="005B2844">
              <w:rPr>
                <w:szCs w:val="22"/>
              </w:rPr>
              <w:t>ematico</w:t>
            </w:r>
          </w:p>
          <w:p w:rsidR="002D300D" w:rsidRPr="005B2844" w:rsidRDefault="00A75457" w:rsidP="0072602F">
            <w:pPr>
              <w:rPr>
                <w:szCs w:val="22"/>
              </w:rPr>
            </w:pPr>
            <w:r w:rsidRPr="005B2844">
              <w:rPr>
                <w:szCs w:val="22"/>
              </w:rPr>
              <w:t xml:space="preserve">Aumento della creatinina </w:t>
            </w:r>
            <w:bookmarkStart w:id="6" w:name="OLE_LINK25"/>
            <w:r w:rsidR="00B947C3" w:rsidRPr="005B2844">
              <w:rPr>
                <w:szCs w:val="22"/>
              </w:rPr>
              <w:t>ematica</w:t>
            </w:r>
            <w:bookmarkEnd w:id="6"/>
            <w:r w:rsidRPr="005B2844">
              <w:rPr>
                <w:szCs w:val="22"/>
              </w:rPr>
              <w:t xml:space="preserve">, aumento della creatina </w:t>
            </w:r>
            <w:proofErr w:type="spellStart"/>
            <w:r w:rsidRPr="005B2844">
              <w:rPr>
                <w:szCs w:val="22"/>
              </w:rPr>
              <w:t>fosfochinasi</w:t>
            </w:r>
            <w:proofErr w:type="spellEnd"/>
            <w:r w:rsidRPr="005B2844">
              <w:rPr>
                <w:szCs w:val="22"/>
              </w:rPr>
              <w:t xml:space="preserve"> </w:t>
            </w:r>
            <w:r w:rsidR="00B947C3" w:rsidRPr="005B2844">
              <w:rPr>
                <w:szCs w:val="22"/>
              </w:rPr>
              <w:t>ematica</w:t>
            </w:r>
            <w:r w:rsidRPr="005B2844">
              <w:rPr>
                <w:szCs w:val="22"/>
              </w:rPr>
              <w:t>, aumento degli enzimi epatici</w:t>
            </w:r>
          </w:p>
          <w:p w:rsidR="002D300D" w:rsidRPr="005B2844" w:rsidRDefault="002D300D" w:rsidP="0072602F">
            <w:pPr>
              <w:rPr>
                <w:szCs w:val="22"/>
              </w:rPr>
            </w:pPr>
          </w:p>
        </w:tc>
      </w:tr>
    </w:tbl>
    <w:bookmarkEnd w:id="5"/>
    <w:p w:rsidR="00FD02C5" w:rsidRPr="005B2844" w:rsidRDefault="00FD02C5" w:rsidP="0072602F">
      <w:pPr>
        <w:pStyle w:val="BodyText2"/>
        <w:tabs>
          <w:tab w:val="clear" w:pos="567"/>
        </w:tabs>
        <w:ind w:left="0" w:firstLine="0"/>
        <w:rPr>
          <w:szCs w:val="22"/>
        </w:rPr>
      </w:pPr>
      <w:r w:rsidRPr="005B2844">
        <w:rPr>
          <w:szCs w:val="22"/>
        </w:rPr>
        <w:t>1: Sulla base dell'esperienza successiva alla commercializzazione</w:t>
      </w:r>
    </w:p>
    <w:p w:rsidR="00A70FCB" w:rsidRPr="005B2844" w:rsidRDefault="00FD02C5" w:rsidP="0072602F">
      <w:pPr>
        <w:pStyle w:val="BodyText2"/>
        <w:tabs>
          <w:tab w:val="clear" w:pos="567"/>
        </w:tabs>
        <w:ind w:left="0" w:firstLine="0"/>
        <w:rPr>
          <w:szCs w:val="22"/>
        </w:rPr>
      </w:pPr>
      <w:r w:rsidRPr="005B2844">
        <w:rPr>
          <w:szCs w:val="22"/>
        </w:rPr>
        <w:t>2</w:t>
      </w:r>
      <w:r w:rsidR="00B603E7" w:rsidRPr="005B2844">
        <w:rPr>
          <w:szCs w:val="22"/>
        </w:rPr>
        <w:t xml:space="preserve">: Per ulteriore descrizione, vedere </w:t>
      </w:r>
      <w:proofErr w:type="spellStart"/>
      <w:r w:rsidR="00DD7AAB" w:rsidRPr="005B2844">
        <w:rPr>
          <w:szCs w:val="22"/>
        </w:rPr>
        <w:t>sotto</w:t>
      </w:r>
      <w:r w:rsidR="00B603E7" w:rsidRPr="005B2844">
        <w:rPr>
          <w:szCs w:val="22"/>
        </w:rPr>
        <w:t>paragrafo</w:t>
      </w:r>
      <w:proofErr w:type="spellEnd"/>
      <w:r w:rsidR="00B603E7" w:rsidRPr="005B2844">
        <w:rPr>
          <w:szCs w:val="22"/>
        </w:rPr>
        <w:t xml:space="preserve"> </w:t>
      </w:r>
      <w:r w:rsidR="004D0F06" w:rsidRPr="005B2844">
        <w:rPr>
          <w:szCs w:val="22"/>
        </w:rPr>
        <w:t>"</w:t>
      </w:r>
      <w:r w:rsidR="00DD7AAB" w:rsidRPr="005B2844">
        <w:rPr>
          <w:szCs w:val="22"/>
        </w:rPr>
        <w:t>Descrizione delle reazioni avverse selezionate</w:t>
      </w:r>
      <w:r w:rsidR="004D0F06" w:rsidRPr="005B2844">
        <w:rPr>
          <w:szCs w:val="22"/>
        </w:rPr>
        <w:t>"</w:t>
      </w:r>
    </w:p>
    <w:p w:rsidR="00B603E7" w:rsidRPr="005B2844" w:rsidRDefault="00B603E7" w:rsidP="0072602F">
      <w:pPr>
        <w:pStyle w:val="BodyText2"/>
        <w:tabs>
          <w:tab w:val="clear" w:pos="567"/>
        </w:tabs>
        <w:ind w:left="0" w:firstLine="0"/>
        <w:rPr>
          <w:szCs w:val="22"/>
        </w:rPr>
      </w:pPr>
    </w:p>
    <w:p w:rsidR="00A70FCB" w:rsidRPr="005B2844" w:rsidRDefault="00A70FCB" w:rsidP="002229F2">
      <w:pPr>
        <w:pStyle w:val="BodyText2"/>
        <w:keepNext/>
        <w:tabs>
          <w:tab w:val="clear" w:pos="567"/>
        </w:tabs>
        <w:ind w:left="0" w:firstLine="0"/>
        <w:rPr>
          <w:i/>
          <w:szCs w:val="22"/>
        </w:rPr>
      </w:pPr>
      <w:r w:rsidRPr="005B2844">
        <w:rPr>
          <w:i/>
          <w:szCs w:val="22"/>
        </w:rPr>
        <w:t>Ulteriori informazioni sui singoli componenti</w:t>
      </w:r>
    </w:p>
    <w:p w:rsidR="00DD7AAB" w:rsidRPr="005B2844" w:rsidRDefault="00DD7AAB" w:rsidP="002229F2">
      <w:pPr>
        <w:pStyle w:val="BodyText2"/>
        <w:keepNext/>
        <w:tabs>
          <w:tab w:val="clear" w:pos="567"/>
        </w:tabs>
        <w:ind w:left="0" w:firstLine="0"/>
        <w:rPr>
          <w:szCs w:val="22"/>
        </w:rPr>
      </w:pPr>
    </w:p>
    <w:p w:rsidR="00A70FCB" w:rsidRPr="005B2844" w:rsidRDefault="00191ED8" w:rsidP="0072602F">
      <w:pPr>
        <w:pStyle w:val="BodyText2"/>
        <w:tabs>
          <w:tab w:val="clear" w:pos="567"/>
        </w:tabs>
        <w:ind w:left="0" w:firstLine="0"/>
        <w:rPr>
          <w:szCs w:val="22"/>
        </w:rPr>
      </w:pPr>
      <w:r w:rsidRPr="005B2844">
        <w:rPr>
          <w:szCs w:val="22"/>
        </w:rPr>
        <w:t>Le reazioni avverse</w:t>
      </w:r>
      <w:r w:rsidR="00A70FCB" w:rsidRPr="005B2844">
        <w:rPr>
          <w:szCs w:val="22"/>
        </w:rPr>
        <w:t xml:space="preserve"> riportat</w:t>
      </w:r>
      <w:r w:rsidRPr="005B2844">
        <w:rPr>
          <w:szCs w:val="22"/>
        </w:rPr>
        <w:t>e</w:t>
      </w:r>
      <w:r w:rsidR="00A70FCB" w:rsidRPr="005B2844">
        <w:rPr>
          <w:szCs w:val="22"/>
        </w:rPr>
        <w:t xml:space="preserve"> in precedenza per uno dei singoli componenti </w:t>
      </w:r>
      <w:r w:rsidR="00560A96" w:rsidRPr="005B2844">
        <w:rPr>
          <w:szCs w:val="22"/>
        </w:rPr>
        <w:t>possono</w:t>
      </w:r>
      <w:r w:rsidR="00A70FCB" w:rsidRPr="005B2844">
        <w:rPr>
          <w:szCs w:val="22"/>
        </w:rPr>
        <w:t xml:space="preserve"> essere potenzial</w:t>
      </w:r>
      <w:r w:rsidR="00560A96" w:rsidRPr="005B2844">
        <w:rPr>
          <w:szCs w:val="22"/>
        </w:rPr>
        <w:t>i</w:t>
      </w:r>
      <w:r w:rsidR="00A70FCB" w:rsidRPr="005B2844">
        <w:rPr>
          <w:szCs w:val="22"/>
        </w:rPr>
        <w:t xml:space="preserve"> </w:t>
      </w:r>
      <w:r w:rsidRPr="005B2844">
        <w:rPr>
          <w:szCs w:val="22"/>
        </w:rPr>
        <w:t>reazion</w:t>
      </w:r>
      <w:r w:rsidR="00560A96" w:rsidRPr="005B2844">
        <w:rPr>
          <w:szCs w:val="22"/>
        </w:rPr>
        <w:t>i</w:t>
      </w:r>
      <w:r w:rsidRPr="005B2844">
        <w:rPr>
          <w:szCs w:val="22"/>
        </w:rPr>
        <w:t xml:space="preserve"> avvers</w:t>
      </w:r>
      <w:r w:rsidR="00560A96" w:rsidRPr="005B2844">
        <w:rPr>
          <w:szCs w:val="22"/>
        </w:rPr>
        <w:t>e</w:t>
      </w:r>
      <w:r w:rsidR="00A70FCB" w:rsidRPr="005B2844">
        <w:rPr>
          <w:szCs w:val="22"/>
        </w:rPr>
        <w:t xml:space="preserve"> associat</w:t>
      </w:r>
      <w:r w:rsidR="00560A96" w:rsidRPr="005B2844">
        <w:rPr>
          <w:szCs w:val="22"/>
        </w:rPr>
        <w:t>e</w:t>
      </w:r>
      <w:r w:rsidR="00A70FCB" w:rsidRPr="005B2844">
        <w:rPr>
          <w:szCs w:val="22"/>
        </w:rPr>
        <w:t xml:space="preserve"> a </w:t>
      </w:r>
      <w:proofErr w:type="spellStart"/>
      <w:r w:rsidR="00A70FCB" w:rsidRPr="005B2844">
        <w:rPr>
          <w:szCs w:val="22"/>
        </w:rPr>
        <w:t>MicardisPlus</w:t>
      </w:r>
      <w:proofErr w:type="spellEnd"/>
      <w:r w:rsidR="00A70FCB" w:rsidRPr="005B2844">
        <w:rPr>
          <w:szCs w:val="22"/>
        </w:rPr>
        <w:t>, anche se non osservat</w:t>
      </w:r>
      <w:r w:rsidR="00560A96" w:rsidRPr="005B2844">
        <w:rPr>
          <w:szCs w:val="22"/>
        </w:rPr>
        <w:t>e</w:t>
      </w:r>
      <w:r w:rsidR="00A70FCB" w:rsidRPr="005B2844">
        <w:rPr>
          <w:szCs w:val="22"/>
        </w:rPr>
        <w:t xml:space="preserve"> negli studi clinici</w:t>
      </w:r>
      <w:r w:rsidR="00560A96" w:rsidRPr="005B2844">
        <w:rPr>
          <w:szCs w:val="22"/>
        </w:rPr>
        <w:t xml:space="preserve"> con questo prodotto</w:t>
      </w:r>
      <w:r w:rsidR="00A70FCB" w:rsidRPr="005B2844">
        <w:rPr>
          <w:szCs w:val="22"/>
        </w:rPr>
        <w:t>.</w:t>
      </w:r>
    </w:p>
    <w:p w:rsidR="00A70FCB" w:rsidRPr="005B2844" w:rsidRDefault="00A70FCB" w:rsidP="0072602F">
      <w:pPr>
        <w:pStyle w:val="BodyText2"/>
        <w:tabs>
          <w:tab w:val="clear" w:pos="567"/>
        </w:tabs>
        <w:ind w:left="0" w:firstLine="0"/>
        <w:rPr>
          <w:szCs w:val="22"/>
        </w:rPr>
      </w:pPr>
    </w:p>
    <w:p w:rsidR="00A70FCB" w:rsidRPr="005B2844" w:rsidRDefault="00A70FCB" w:rsidP="002229F2">
      <w:pPr>
        <w:pStyle w:val="BodyText2"/>
        <w:keepNext/>
        <w:tabs>
          <w:tab w:val="clear" w:pos="567"/>
        </w:tabs>
        <w:ind w:left="0" w:firstLine="0"/>
        <w:rPr>
          <w:szCs w:val="22"/>
        </w:rPr>
      </w:pPr>
      <w:proofErr w:type="spellStart"/>
      <w:r w:rsidRPr="005B2844">
        <w:rPr>
          <w:szCs w:val="22"/>
          <w:u w:val="single"/>
        </w:rPr>
        <w:t>Telmisartan</w:t>
      </w:r>
      <w:proofErr w:type="spellEnd"/>
      <w:r w:rsidRPr="005B2844">
        <w:rPr>
          <w:szCs w:val="22"/>
        </w:rPr>
        <w:t>:</w:t>
      </w:r>
    </w:p>
    <w:p w:rsidR="00A70FCB" w:rsidRPr="005B2844" w:rsidRDefault="00191ED8" w:rsidP="0072602F">
      <w:pPr>
        <w:pStyle w:val="BodyText2"/>
        <w:tabs>
          <w:tab w:val="clear" w:pos="567"/>
        </w:tabs>
        <w:ind w:left="0" w:firstLine="0"/>
        <w:rPr>
          <w:szCs w:val="22"/>
        </w:rPr>
      </w:pPr>
      <w:r w:rsidRPr="005B2844">
        <w:rPr>
          <w:szCs w:val="22"/>
        </w:rPr>
        <w:t>Le reazioni avverse</w:t>
      </w:r>
      <w:r w:rsidR="00A70FCB" w:rsidRPr="005B2844">
        <w:rPr>
          <w:szCs w:val="22"/>
        </w:rPr>
        <w:t xml:space="preserve"> si sono verificat</w:t>
      </w:r>
      <w:r w:rsidRPr="005B2844">
        <w:rPr>
          <w:szCs w:val="22"/>
        </w:rPr>
        <w:t>e</w:t>
      </w:r>
      <w:r w:rsidR="00A70FCB" w:rsidRPr="005B2844">
        <w:rPr>
          <w:szCs w:val="22"/>
        </w:rPr>
        <w:t xml:space="preserve"> con frequenza simile nei pazienti trattati con </w:t>
      </w:r>
      <w:proofErr w:type="spellStart"/>
      <w:r w:rsidR="00A70FCB" w:rsidRPr="005B2844">
        <w:rPr>
          <w:szCs w:val="22"/>
        </w:rPr>
        <w:t>telmisartan</w:t>
      </w:r>
      <w:proofErr w:type="spellEnd"/>
      <w:r w:rsidR="00A70FCB" w:rsidRPr="005B2844">
        <w:rPr>
          <w:szCs w:val="22"/>
        </w:rPr>
        <w:t xml:space="preserve"> e nei pazienti trattati con placebo.</w:t>
      </w:r>
    </w:p>
    <w:p w:rsidR="00A70FCB" w:rsidRPr="005B2844" w:rsidRDefault="00A70FCB" w:rsidP="0072602F">
      <w:pPr>
        <w:pStyle w:val="BodyText2"/>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 xml:space="preserve">L’incidenza complessiva </w:t>
      </w:r>
      <w:r w:rsidR="00191ED8" w:rsidRPr="005B2844">
        <w:rPr>
          <w:szCs w:val="22"/>
        </w:rPr>
        <w:t>delle reazioni avverse</w:t>
      </w:r>
      <w:r w:rsidRPr="005B2844">
        <w:rPr>
          <w:szCs w:val="22"/>
        </w:rPr>
        <w:t xml:space="preserve"> riportat</w:t>
      </w:r>
      <w:r w:rsidR="00191ED8" w:rsidRPr="005B2844">
        <w:rPr>
          <w:szCs w:val="22"/>
        </w:rPr>
        <w:t>e</w:t>
      </w:r>
      <w:r w:rsidRPr="005B2844">
        <w:rPr>
          <w:szCs w:val="22"/>
        </w:rPr>
        <w:t xml:space="preserve"> con </w:t>
      </w:r>
      <w:proofErr w:type="spellStart"/>
      <w:r w:rsidRPr="005B2844">
        <w:rPr>
          <w:szCs w:val="22"/>
        </w:rPr>
        <w:t>telmisartan</w:t>
      </w:r>
      <w:proofErr w:type="spellEnd"/>
      <w:r w:rsidRPr="005B2844">
        <w:rPr>
          <w:szCs w:val="22"/>
        </w:rPr>
        <w:t xml:space="preserve"> (41,4%) è stata solitamente confrontabile a quella riportata con il placebo (43,9%) nel corso di studi controllati. Le seguenti reazioni avverse sono state raccolte da tutti gli studi clinici </w:t>
      </w:r>
      <w:r w:rsidR="002F35B8" w:rsidRPr="005B2844">
        <w:rPr>
          <w:szCs w:val="22"/>
        </w:rPr>
        <w:t xml:space="preserve">in pazienti trattati con </w:t>
      </w:r>
      <w:proofErr w:type="spellStart"/>
      <w:r w:rsidR="002F35B8" w:rsidRPr="005B2844">
        <w:rPr>
          <w:szCs w:val="22"/>
        </w:rPr>
        <w:t>telmisartan</w:t>
      </w:r>
      <w:proofErr w:type="spellEnd"/>
      <w:r w:rsidR="002F35B8" w:rsidRPr="005B2844">
        <w:rPr>
          <w:szCs w:val="22"/>
        </w:rPr>
        <w:t xml:space="preserve"> per l’ipertensione o in pazienti </w:t>
      </w:r>
      <w:r w:rsidR="00720835" w:rsidRPr="005B2844">
        <w:rPr>
          <w:szCs w:val="22"/>
        </w:rPr>
        <w:t>di</w:t>
      </w:r>
      <w:r w:rsidR="002F35B8" w:rsidRPr="005B2844">
        <w:rPr>
          <w:szCs w:val="22"/>
        </w:rPr>
        <w:t xml:space="preserve"> almeno 50 anni di età ad alto rischio di eventi cardiovascolari</w:t>
      </w:r>
      <w:r w:rsidRPr="005B2844">
        <w:rPr>
          <w:szCs w:val="22"/>
        </w:rPr>
        <w:t>.</w:t>
      </w:r>
    </w:p>
    <w:p w:rsidR="00426A6A" w:rsidRPr="005B2844" w:rsidRDefault="00426A6A">
      <w:pPr>
        <w:rPr>
          <w:szCs w:val="22"/>
        </w:rPr>
      </w:pPr>
    </w:p>
    <w:tbl>
      <w:tblPr>
        <w:tblW w:w="9747" w:type="dxa"/>
        <w:tblLayout w:type="fixed"/>
        <w:tblLook w:val="0000" w:firstRow="0" w:lastRow="0" w:firstColumn="0" w:lastColumn="0" w:noHBand="0" w:noVBand="0"/>
      </w:tblPr>
      <w:tblGrid>
        <w:gridCol w:w="5210"/>
        <w:gridCol w:w="4537"/>
      </w:tblGrid>
      <w:tr w:rsidR="00FF1A31" w:rsidRPr="005B2844">
        <w:tblPrEx>
          <w:tblCellMar>
            <w:top w:w="0" w:type="dxa"/>
            <w:bottom w:w="0" w:type="dxa"/>
          </w:tblCellMar>
        </w:tblPrEx>
        <w:tc>
          <w:tcPr>
            <w:tcW w:w="9747" w:type="dxa"/>
            <w:gridSpan w:val="2"/>
          </w:tcPr>
          <w:p w:rsidR="00FF1A31" w:rsidRPr="005B2844" w:rsidRDefault="00FF1A31" w:rsidP="0072602F">
            <w:pPr>
              <w:rPr>
                <w:szCs w:val="22"/>
              </w:rPr>
            </w:pPr>
            <w:r w:rsidRPr="005B2844">
              <w:rPr>
                <w:szCs w:val="22"/>
              </w:rPr>
              <w:t>Infezioni e infestazioni</w:t>
            </w:r>
          </w:p>
        </w:tc>
      </w:tr>
      <w:tr w:rsidR="004C366D" w:rsidRPr="005B2844">
        <w:tblPrEx>
          <w:tblCellMar>
            <w:top w:w="0" w:type="dxa"/>
            <w:bottom w:w="0" w:type="dxa"/>
          </w:tblCellMar>
        </w:tblPrEx>
        <w:tc>
          <w:tcPr>
            <w:tcW w:w="5210" w:type="dxa"/>
          </w:tcPr>
          <w:p w:rsidR="004C366D" w:rsidRPr="005B2844" w:rsidRDefault="00FF1A31" w:rsidP="0072602F">
            <w:pPr>
              <w:rPr>
                <w:szCs w:val="22"/>
              </w:rPr>
            </w:pPr>
            <w:r w:rsidRPr="005B2844">
              <w:rPr>
                <w:szCs w:val="22"/>
              </w:rPr>
              <w:tab/>
              <w:t xml:space="preserve">Non </w:t>
            </w:r>
            <w:r w:rsidR="00B603E7" w:rsidRPr="005B2844">
              <w:rPr>
                <w:szCs w:val="22"/>
              </w:rPr>
              <w:t>comune</w:t>
            </w:r>
            <w:r w:rsidR="004C366D" w:rsidRPr="005B2844">
              <w:rPr>
                <w:szCs w:val="22"/>
              </w:rPr>
              <w:t>:</w:t>
            </w:r>
          </w:p>
          <w:p w:rsidR="004C366D" w:rsidRPr="005B2844" w:rsidRDefault="004C366D" w:rsidP="0072602F">
            <w:pPr>
              <w:rPr>
                <w:szCs w:val="22"/>
              </w:rPr>
            </w:pPr>
          </w:p>
          <w:p w:rsidR="004C366D" w:rsidRPr="005B2844" w:rsidRDefault="00B603E7" w:rsidP="00B603E7">
            <w:pPr>
              <w:ind w:left="567"/>
              <w:rPr>
                <w:szCs w:val="22"/>
              </w:rPr>
            </w:pPr>
            <w:r w:rsidRPr="005B2844">
              <w:rPr>
                <w:szCs w:val="22"/>
              </w:rPr>
              <w:t>Raro:</w:t>
            </w:r>
          </w:p>
        </w:tc>
        <w:tc>
          <w:tcPr>
            <w:tcW w:w="4537" w:type="dxa"/>
          </w:tcPr>
          <w:p w:rsidR="00B603E7" w:rsidRPr="005B2844" w:rsidRDefault="00FF1A31" w:rsidP="0072602F">
            <w:pPr>
              <w:rPr>
                <w:szCs w:val="22"/>
              </w:rPr>
            </w:pPr>
            <w:r w:rsidRPr="005B2844">
              <w:rPr>
                <w:szCs w:val="22"/>
              </w:rPr>
              <w:t>Infezion</w:t>
            </w:r>
            <w:r w:rsidR="00A254E4" w:rsidRPr="005B2844">
              <w:rPr>
                <w:szCs w:val="22"/>
              </w:rPr>
              <w:t>i</w:t>
            </w:r>
            <w:r w:rsidRPr="005B2844">
              <w:rPr>
                <w:szCs w:val="22"/>
              </w:rPr>
              <w:t xml:space="preserve"> del tratto respiratorio superiore, </w:t>
            </w:r>
            <w:r w:rsidR="004C366D" w:rsidRPr="005B2844">
              <w:rPr>
                <w:szCs w:val="22"/>
              </w:rPr>
              <w:t>infezione del tratto urinario inclusa cistite</w:t>
            </w:r>
          </w:p>
          <w:p w:rsidR="004C366D" w:rsidRPr="005B2844" w:rsidRDefault="00B603E7" w:rsidP="0072602F">
            <w:pPr>
              <w:rPr>
                <w:szCs w:val="22"/>
              </w:rPr>
            </w:pPr>
            <w:r w:rsidRPr="005B2844">
              <w:rPr>
                <w:szCs w:val="22"/>
              </w:rPr>
              <w:t>S</w:t>
            </w:r>
            <w:r w:rsidR="0001419F" w:rsidRPr="005B2844">
              <w:rPr>
                <w:szCs w:val="22"/>
              </w:rPr>
              <w:t>epsi anche con esito fatale</w:t>
            </w:r>
            <w:r w:rsidR="00133426" w:rsidRPr="005B2844">
              <w:rPr>
                <w:szCs w:val="22"/>
                <w:vertAlign w:val="superscript"/>
              </w:rPr>
              <w:t>3</w:t>
            </w:r>
          </w:p>
          <w:p w:rsidR="004C366D" w:rsidRPr="005B2844" w:rsidRDefault="004C366D" w:rsidP="0072602F">
            <w:pPr>
              <w:rPr>
                <w:szCs w:val="22"/>
              </w:rPr>
            </w:pPr>
          </w:p>
        </w:tc>
      </w:tr>
      <w:tr w:rsidR="00A254E4" w:rsidRPr="005B2844">
        <w:tblPrEx>
          <w:tblCellMar>
            <w:top w:w="0" w:type="dxa"/>
            <w:bottom w:w="0" w:type="dxa"/>
          </w:tblCellMar>
        </w:tblPrEx>
        <w:tc>
          <w:tcPr>
            <w:tcW w:w="9747" w:type="dxa"/>
            <w:gridSpan w:val="2"/>
          </w:tcPr>
          <w:p w:rsidR="00A254E4" w:rsidRPr="005B2844" w:rsidRDefault="00A254E4" w:rsidP="0072602F">
            <w:pPr>
              <w:rPr>
                <w:szCs w:val="22"/>
              </w:rPr>
            </w:pPr>
            <w:r w:rsidRPr="005B2844">
              <w:rPr>
                <w:szCs w:val="22"/>
              </w:rPr>
              <w:t>Patologie del sistema emolinfopoietico</w:t>
            </w:r>
          </w:p>
        </w:tc>
      </w:tr>
      <w:tr w:rsidR="00A254E4" w:rsidRPr="005B2844">
        <w:tblPrEx>
          <w:tblCellMar>
            <w:top w:w="0" w:type="dxa"/>
            <w:bottom w:w="0" w:type="dxa"/>
          </w:tblCellMar>
        </w:tblPrEx>
        <w:tc>
          <w:tcPr>
            <w:tcW w:w="5210" w:type="dxa"/>
          </w:tcPr>
          <w:p w:rsidR="00A254E4" w:rsidRPr="005B2844" w:rsidRDefault="00A254E4" w:rsidP="00B603E7">
            <w:pPr>
              <w:rPr>
                <w:szCs w:val="22"/>
              </w:rPr>
            </w:pPr>
            <w:r w:rsidRPr="005B2844">
              <w:rPr>
                <w:szCs w:val="22"/>
              </w:rPr>
              <w:tab/>
              <w:t xml:space="preserve">Non </w:t>
            </w:r>
            <w:r w:rsidR="00B603E7" w:rsidRPr="005B2844">
              <w:rPr>
                <w:szCs w:val="22"/>
              </w:rPr>
              <w:t>comune</w:t>
            </w:r>
            <w:r w:rsidRPr="005B2844">
              <w:rPr>
                <w:szCs w:val="22"/>
              </w:rPr>
              <w:t>:</w:t>
            </w:r>
          </w:p>
          <w:p w:rsidR="00B603E7" w:rsidRPr="005B2844" w:rsidRDefault="00B603E7" w:rsidP="00B603E7">
            <w:pPr>
              <w:ind w:left="567"/>
              <w:rPr>
                <w:szCs w:val="22"/>
              </w:rPr>
            </w:pPr>
            <w:r w:rsidRPr="005B2844">
              <w:rPr>
                <w:szCs w:val="22"/>
              </w:rPr>
              <w:t>Raro:</w:t>
            </w:r>
          </w:p>
        </w:tc>
        <w:tc>
          <w:tcPr>
            <w:tcW w:w="4537" w:type="dxa"/>
          </w:tcPr>
          <w:p w:rsidR="00A254E4" w:rsidRPr="005B2844" w:rsidRDefault="00B603E7" w:rsidP="0072602F">
            <w:pPr>
              <w:rPr>
                <w:szCs w:val="22"/>
              </w:rPr>
            </w:pPr>
            <w:r w:rsidRPr="005B2844">
              <w:rPr>
                <w:szCs w:val="22"/>
              </w:rPr>
              <w:t>A</w:t>
            </w:r>
            <w:r w:rsidR="00A254E4" w:rsidRPr="005B2844">
              <w:rPr>
                <w:szCs w:val="22"/>
              </w:rPr>
              <w:t>nemia</w:t>
            </w:r>
          </w:p>
          <w:p w:rsidR="00B603E7" w:rsidRPr="005B2844" w:rsidRDefault="00B603E7" w:rsidP="0072602F">
            <w:pPr>
              <w:rPr>
                <w:szCs w:val="22"/>
              </w:rPr>
            </w:pPr>
            <w:r w:rsidRPr="005B2844">
              <w:rPr>
                <w:szCs w:val="22"/>
              </w:rPr>
              <w:t>Eosinofilia, trombocitopenia</w:t>
            </w:r>
          </w:p>
          <w:p w:rsidR="00A254E4" w:rsidRPr="005B2844" w:rsidRDefault="00A254E4" w:rsidP="0072602F">
            <w:pPr>
              <w:rPr>
                <w:szCs w:val="22"/>
              </w:rPr>
            </w:pPr>
          </w:p>
        </w:tc>
      </w:tr>
      <w:tr w:rsidR="00211290" w:rsidRPr="005B2844">
        <w:tblPrEx>
          <w:tblCellMar>
            <w:top w:w="0" w:type="dxa"/>
            <w:bottom w:w="0" w:type="dxa"/>
          </w:tblCellMar>
        </w:tblPrEx>
        <w:tc>
          <w:tcPr>
            <w:tcW w:w="9747" w:type="dxa"/>
            <w:gridSpan w:val="2"/>
          </w:tcPr>
          <w:p w:rsidR="00211290" w:rsidRPr="005B2844" w:rsidRDefault="00211290" w:rsidP="0072602F">
            <w:pPr>
              <w:rPr>
                <w:szCs w:val="22"/>
              </w:rPr>
            </w:pPr>
            <w:r w:rsidRPr="005B2844">
              <w:rPr>
                <w:szCs w:val="22"/>
              </w:rPr>
              <w:t>Disturbi del sistema immunitario</w:t>
            </w:r>
          </w:p>
        </w:tc>
      </w:tr>
      <w:tr w:rsidR="00211290" w:rsidRPr="005B2844">
        <w:tblPrEx>
          <w:tblCellMar>
            <w:top w:w="0" w:type="dxa"/>
            <w:bottom w:w="0" w:type="dxa"/>
          </w:tblCellMar>
        </w:tblPrEx>
        <w:tc>
          <w:tcPr>
            <w:tcW w:w="5210" w:type="dxa"/>
          </w:tcPr>
          <w:p w:rsidR="00211290" w:rsidRPr="005B2844" w:rsidRDefault="006B7ABC" w:rsidP="00B603E7">
            <w:pPr>
              <w:rPr>
                <w:szCs w:val="22"/>
              </w:rPr>
            </w:pPr>
            <w:r w:rsidRPr="005B2844">
              <w:rPr>
                <w:szCs w:val="22"/>
              </w:rPr>
              <w:tab/>
            </w:r>
            <w:r w:rsidR="00B603E7" w:rsidRPr="005B2844">
              <w:rPr>
                <w:szCs w:val="22"/>
              </w:rPr>
              <w:t>Raro</w:t>
            </w:r>
            <w:r w:rsidR="00211290" w:rsidRPr="005B2844">
              <w:rPr>
                <w:szCs w:val="22"/>
              </w:rPr>
              <w:t>:</w:t>
            </w:r>
          </w:p>
        </w:tc>
        <w:tc>
          <w:tcPr>
            <w:tcW w:w="4537" w:type="dxa"/>
          </w:tcPr>
          <w:p w:rsidR="00211290" w:rsidRPr="005B2844" w:rsidRDefault="00211290" w:rsidP="0072602F">
            <w:pPr>
              <w:rPr>
                <w:szCs w:val="22"/>
              </w:rPr>
            </w:pPr>
            <w:r w:rsidRPr="005B2844">
              <w:rPr>
                <w:szCs w:val="22"/>
              </w:rPr>
              <w:t xml:space="preserve">Ipersensibilità, </w:t>
            </w:r>
            <w:r w:rsidR="00D62918" w:rsidRPr="005B2844">
              <w:rPr>
                <w:szCs w:val="22"/>
              </w:rPr>
              <w:t>reazioni</w:t>
            </w:r>
            <w:r w:rsidRPr="005B2844">
              <w:rPr>
                <w:szCs w:val="22"/>
              </w:rPr>
              <w:t xml:space="preserve"> anafilattic</w:t>
            </w:r>
            <w:r w:rsidR="00D62918" w:rsidRPr="005B2844">
              <w:rPr>
                <w:szCs w:val="22"/>
              </w:rPr>
              <w:t>he</w:t>
            </w:r>
          </w:p>
          <w:p w:rsidR="00211290" w:rsidRPr="005B2844" w:rsidRDefault="00211290" w:rsidP="0072602F">
            <w:pPr>
              <w:rPr>
                <w:szCs w:val="22"/>
              </w:rPr>
            </w:pPr>
          </w:p>
        </w:tc>
      </w:tr>
      <w:tr w:rsidR="00694799" w:rsidRPr="005B2844">
        <w:tblPrEx>
          <w:tblCellMar>
            <w:top w:w="0" w:type="dxa"/>
            <w:bottom w:w="0" w:type="dxa"/>
          </w:tblCellMar>
        </w:tblPrEx>
        <w:tc>
          <w:tcPr>
            <w:tcW w:w="9747" w:type="dxa"/>
            <w:gridSpan w:val="2"/>
          </w:tcPr>
          <w:p w:rsidR="00694799" w:rsidRPr="005B2844" w:rsidRDefault="00694799" w:rsidP="00702E1C">
            <w:pPr>
              <w:rPr>
                <w:szCs w:val="22"/>
              </w:rPr>
            </w:pPr>
            <w:r w:rsidRPr="005B2844">
              <w:rPr>
                <w:szCs w:val="22"/>
              </w:rPr>
              <w:t>Disturbi del metabolismo e della nutrizione</w:t>
            </w:r>
          </w:p>
        </w:tc>
      </w:tr>
      <w:tr w:rsidR="00694799" w:rsidRPr="005B2844">
        <w:tblPrEx>
          <w:tblCellMar>
            <w:top w:w="0" w:type="dxa"/>
            <w:bottom w:w="0" w:type="dxa"/>
          </w:tblCellMar>
        </w:tblPrEx>
        <w:tc>
          <w:tcPr>
            <w:tcW w:w="5210" w:type="dxa"/>
          </w:tcPr>
          <w:p w:rsidR="00694799" w:rsidRPr="005B2844" w:rsidRDefault="006B7ABC" w:rsidP="00B603E7">
            <w:pPr>
              <w:rPr>
                <w:szCs w:val="22"/>
              </w:rPr>
            </w:pPr>
            <w:r w:rsidRPr="005B2844">
              <w:rPr>
                <w:szCs w:val="22"/>
              </w:rPr>
              <w:tab/>
              <w:t xml:space="preserve">Non </w:t>
            </w:r>
            <w:r w:rsidR="00B603E7" w:rsidRPr="005B2844">
              <w:rPr>
                <w:szCs w:val="22"/>
              </w:rPr>
              <w:t>comune</w:t>
            </w:r>
            <w:r w:rsidR="00694799" w:rsidRPr="005B2844">
              <w:rPr>
                <w:szCs w:val="22"/>
              </w:rPr>
              <w:t>:</w:t>
            </w:r>
          </w:p>
          <w:p w:rsidR="00B603E7" w:rsidRPr="005B2844" w:rsidRDefault="00B603E7" w:rsidP="00B603E7">
            <w:pPr>
              <w:ind w:left="567"/>
              <w:rPr>
                <w:szCs w:val="22"/>
              </w:rPr>
            </w:pPr>
            <w:r w:rsidRPr="005B2844">
              <w:rPr>
                <w:szCs w:val="22"/>
              </w:rPr>
              <w:t>Raro:</w:t>
            </w:r>
          </w:p>
          <w:p w:rsidR="00B603E7" w:rsidRPr="005B2844" w:rsidRDefault="00B603E7" w:rsidP="00B603E7">
            <w:pPr>
              <w:ind w:left="567"/>
              <w:rPr>
                <w:szCs w:val="22"/>
              </w:rPr>
            </w:pPr>
          </w:p>
        </w:tc>
        <w:tc>
          <w:tcPr>
            <w:tcW w:w="4537" w:type="dxa"/>
          </w:tcPr>
          <w:p w:rsidR="00694799" w:rsidRPr="005B2844" w:rsidRDefault="00694799" w:rsidP="0072602F">
            <w:pPr>
              <w:rPr>
                <w:szCs w:val="22"/>
              </w:rPr>
            </w:pPr>
            <w:proofErr w:type="spellStart"/>
            <w:r w:rsidRPr="005B2844">
              <w:rPr>
                <w:szCs w:val="22"/>
              </w:rPr>
              <w:t>Iperkaliemia</w:t>
            </w:r>
            <w:proofErr w:type="spellEnd"/>
          </w:p>
          <w:p w:rsidR="00694799" w:rsidRPr="005B2844" w:rsidRDefault="00B603E7" w:rsidP="0072602F">
            <w:pPr>
              <w:rPr>
                <w:szCs w:val="22"/>
              </w:rPr>
            </w:pPr>
            <w:r w:rsidRPr="005B2844">
              <w:rPr>
                <w:szCs w:val="22"/>
              </w:rPr>
              <w:t>Ipoglicemia (in pazienti diabetici)</w:t>
            </w:r>
          </w:p>
        </w:tc>
      </w:tr>
      <w:tr w:rsidR="0055476B" w:rsidRPr="005B2844">
        <w:tblPrEx>
          <w:tblCellMar>
            <w:top w:w="0" w:type="dxa"/>
            <w:bottom w:w="0" w:type="dxa"/>
          </w:tblCellMar>
        </w:tblPrEx>
        <w:tc>
          <w:tcPr>
            <w:tcW w:w="9747" w:type="dxa"/>
            <w:gridSpan w:val="2"/>
          </w:tcPr>
          <w:p w:rsidR="0055476B" w:rsidRPr="005B2844" w:rsidRDefault="0055476B" w:rsidP="007C28BB">
            <w:pPr>
              <w:keepNext/>
              <w:rPr>
                <w:szCs w:val="22"/>
              </w:rPr>
            </w:pPr>
            <w:r w:rsidRPr="005B2844">
              <w:rPr>
                <w:szCs w:val="22"/>
              </w:rPr>
              <w:t>Patologie cardiache</w:t>
            </w:r>
          </w:p>
        </w:tc>
      </w:tr>
      <w:tr w:rsidR="0055476B" w:rsidRPr="005B2844">
        <w:tblPrEx>
          <w:tblCellMar>
            <w:top w:w="0" w:type="dxa"/>
            <w:bottom w:w="0" w:type="dxa"/>
          </w:tblCellMar>
        </w:tblPrEx>
        <w:tc>
          <w:tcPr>
            <w:tcW w:w="5210" w:type="dxa"/>
          </w:tcPr>
          <w:p w:rsidR="0055476B" w:rsidRPr="005B2844" w:rsidRDefault="0055476B" w:rsidP="005C6B47">
            <w:pPr>
              <w:rPr>
                <w:szCs w:val="22"/>
              </w:rPr>
            </w:pPr>
            <w:r w:rsidRPr="005B2844">
              <w:rPr>
                <w:szCs w:val="22"/>
              </w:rPr>
              <w:tab/>
              <w:t xml:space="preserve">Non </w:t>
            </w:r>
            <w:r w:rsidR="005C6B47" w:rsidRPr="005B2844">
              <w:rPr>
                <w:szCs w:val="22"/>
              </w:rPr>
              <w:t>comune</w:t>
            </w:r>
            <w:r w:rsidRPr="005B2844">
              <w:rPr>
                <w:szCs w:val="22"/>
              </w:rPr>
              <w:t>:</w:t>
            </w:r>
          </w:p>
        </w:tc>
        <w:tc>
          <w:tcPr>
            <w:tcW w:w="4537" w:type="dxa"/>
          </w:tcPr>
          <w:p w:rsidR="0055476B" w:rsidRPr="005B2844" w:rsidRDefault="0055476B" w:rsidP="0072602F">
            <w:pPr>
              <w:rPr>
                <w:szCs w:val="22"/>
              </w:rPr>
            </w:pPr>
            <w:r w:rsidRPr="005B2844">
              <w:rPr>
                <w:szCs w:val="22"/>
              </w:rPr>
              <w:t>Bradicardia</w:t>
            </w:r>
          </w:p>
          <w:p w:rsidR="0055476B" w:rsidRPr="005B2844" w:rsidRDefault="0055476B" w:rsidP="0072602F">
            <w:pPr>
              <w:rPr>
                <w:szCs w:val="22"/>
              </w:rPr>
            </w:pPr>
          </w:p>
        </w:tc>
      </w:tr>
      <w:tr w:rsidR="005B28AC" w:rsidRPr="005B2844" w:rsidTr="00F0099F">
        <w:tblPrEx>
          <w:tblCellMar>
            <w:top w:w="0" w:type="dxa"/>
            <w:bottom w:w="0" w:type="dxa"/>
          </w:tblCellMar>
        </w:tblPrEx>
        <w:tc>
          <w:tcPr>
            <w:tcW w:w="9747" w:type="dxa"/>
            <w:gridSpan w:val="2"/>
          </w:tcPr>
          <w:p w:rsidR="005B28AC" w:rsidRPr="005B2844" w:rsidRDefault="005B28AC" w:rsidP="00F0099F">
            <w:pPr>
              <w:rPr>
                <w:szCs w:val="22"/>
              </w:rPr>
            </w:pPr>
            <w:r w:rsidRPr="005B2844">
              <w:rPr>
                <w:szCs w:val="22"/>
              </w:rPr>
              <w:t>Patologie del sistema nervoso</w:t>
            </w:r>
          </w:p>
        </w:tc>
      </w:tr>
      <w:tr w:rsidR="005B28AC" w:rsidRPr="005B2844" w:rsidTr="00F0099F">
        <w:tblPrEx>
          <w:tblCellMar>
            <w:top w:w="0" w:type="dxa"/>
            <w:bottom w:w="0" w:type="dxa"/>
          </w:tblCellMar>
        </w:tblPrEx>
        <w:tc>
          <w:tcPr>
            <w:tcW w:w="5210" w:type="dxa"/>
          </w:tcPr>
          <w:p w:rsidR="005B28AC" w:rsidRPr="005B2844" w:rsidRDefault="005B28AC" w:rsidP="00F0099F">
            <w:pPr>
              <w:rPr>
                <w:szCs w:val="22"/>
              </w:rPr>
            </w:pPr>
            <w:r w:rsidRPr="005B2844">
              <w:rPr>
                <w:szCs w:val="22"/>
              </w:rPr>
              <w:tab/>
              <w:t>Raro:</w:t>
            </w:r>
          </w:p>
        </w:tc>
        <w:tc>
          <w:tcPr>
            <w:tcW w:w="4537" w:type="dxa"/>
          </w:tcPr>
          <w:p w:rsidR="005B28AC" w:rsidRPr="005B2844" w:rsidRDefault="005B28AC" w:rsidP="00F0099F">
            <w:pPr>
              <w:rPr>
                <w:szCs w:val="22"/>
              </w:rPr>
            </w:pPr>
            <w:r w:rsidRPr="005B2844">
              <w:rPr>
                <w:szCs w:val="22"/>
              </w:rPr>
              <w:t>Sonnolenza</w:t>
            </w:r>
          </w:p>
          <w:p w:rsidR="005B28AC" w:rsidRPr="005B2844" w:rsidRDefault="005B28AC" w:rsidP="00F0099F">
            <w:pPr>
              <w:rPr>
                <w:szCs w:val="22"/>
              </w:rPr>
            </w:pPr>
          </w:p>
        </w:tc>
      </w:tr>
      <w:tr w:rsidR="005B28AC" w:rsidRPr="005B2844" w:rsidTr="00F0099F">
        <w:tblPrEx>
          <w:tblCellMar>
            <w:top w:w="0" w:type="dxa"/>
            <w:bottom w:w="0" w:type="dxa"/>
          </w:tblCellMar>
        </w:tblPrEx>
        <w:tc>
          <w:tcPr>
            <w:tcW w:w="9747" w:type="dxa"/>
            <w:gridSpan w:val="2"/>
          </w:tcPr>
          <w:p w:rsidR="005B28AC" w:rsidRPr="005B2844" w:rsidRDefault="005B28AC" w:rsidP="000709BC">
            <w:pPr>
              <w:keepNext/>
              <w:rPr>
                <w:szCs w:val="22"/>
              </w:rPr>
            </w:pPr>
            <w:r w:rsidRPr="005B2844">
              <w:rPr>
                <w:szCs w:val="22"/>
              </w:rPr>
              <w:t>Patologie respiratorie, toraciche e mediastiniche</w:t>
            </w:r>
          </w:p>
        </w:tc>
      </w:tr>
      <w:tr w:rsidR="005B28AC" w:rsidRPr="005B2844" w:rsidTr="00F0099F">
        <w:tblPrEx>
          <w:tblCellMar>
            <w:top w:w="0" w:type="dxa"/>
            <w:bottom w:w="0" w:type="dxa"/>
          </w:tblCellMar>
        </w:tblPrEx>
        <w:tc>
          <w:tcPr>
            <w:tcW w:w="5210" w:type="dxa"/>
          </w:tcPr>
          <w:p w:rsidR="005B28AC" w:rsidRPr="005B2844" w:rsidRDefault="005B28AC" w:rsidP="00F0099F">
            <w:pPr>
              <w:rPr>
                <w:szCs w:val="22"/>
              </w:rPr>
            </w:pPr>
            <w:r w:rsidRPr="005B2844">
              <w:rPr>
                <w:szCs w:val="22"/>
              </w:rPr>
              <w:tab/>
              <w:t>Non comune:</w:t>
            </w:r>
          </w:p>
          <w:p w:rsidR="005B28AC" w:rsidRPr="005B2844" w:rsidRDefault="005B28AC" w:rsidP="00F0099F">
            <w:pPr>
              <w:rPr>
                <w:szCs w:val="22"/>
              </w:rPr>
            </w:pPr>
            <w:r w:rsidRPr="005B2844">
              <w:rPr>
                <w:szCs w:val="22"/>
              </w:rPr>
              <w:tab/>
              <w:t>Molto raro:</w:t>
            </w:r>
          </w:p>
        </w:tc>
        <w:tc>
          <w:tcPr>
            <w:tcW w:w="4537" w:type="dxa"/>
          </w:tcPr>
          <w:p w:rsidR="005B28AC" w:rsidRPr="005B2844" w:rsidRDefault="005B28AC" w:rsidP="00F0099F">
            <w:pPr>
              <w:rPr>
                <w:szCs w:val="22"/>
              </w:rPr>
            </w:pPr>
            <w:r w:rsidRPr="005B2844">
              <w:rPr>
                <w:szCs w:val="22"/>
              </w:rPr>
              <w:t>Tosse</w:t>
            </w:r>
          </w:p>
          <w:p w:rsidR="005B28AC" w:rsidRPr="005B2844" w:rsidRDefault="005B28AC" w:rsidP="00F0099F">
            <w:pPr>
              <w:rPr>
                <w:szCs w:val="22"/>
              </w:rPr>
            </w:pPr>
            <w:r w:rsidRPr="005B2844">
              <w:rPr>
                <w:szCs w:val="22"/>
              </w:rPr>
              <w:t>Malattia polmonare interstiziale</w:t>
            </w:r>
            <w:r w:rsidRPr="005B2844">
              <w:rPr>
                <w:szCs w:val="22"/>
                <w:vertAlign w:val="superscript"/>
              </w:rPr>
              <w:t>3</w:t>
            </w:r>
          </w:p>
          <w:p w:rsidR="005B28AC" w:rsidRPr="005B2844" w:rsidRDefault="005B28AC" w:rsidP="00F0099F">
            <w:pPr>
              <w:rPr>
                <w:szCs w:val="22"/>
              </w:rPr>
            </w:pPr>
          </w:p>
        </w:tc>
      </w:tr>
      <w:tr w:rsidR="0004439A" w:rsidRPr="005B2844">
        <w:tblPrEx>
          <w:tblCellMar>
            <w:top w:w="0" w:type="dxa"/>
            <w:bottom w:w="0" w:type="dxa"/>
          </w:tblCellMar>
        </w:tblPrEx>
        <w:tc>
          <w:tcPr>
            <w:tcW w:w="9747" w:type="dxa"/>
            <w:gridSpan w:val="2"/>
          </w:tcPr>
          <w:p w:rsidR="0004439A" w:rsidRPr="005B2844" w:rsidRDefault="0004439A" w:rsidP="000709BC">
            <w:pPr>
              <w:keepNext/>
              <w:rPr>
                <w:szCs w:val="22"/>
              </w:rPr>
            </w:pPr>
            <w:r w:rsidRPr="005B2844">
              <w:rPr>
                <w:szCs w:val="22"/>
              </w:rPr>
              <w:t>Patologie gastrointestinali</w:t>
            </w:r>
          </w:p>
        </w:tc>
      </w:tr>
      <w:tr w:rsidR="00694799" w:rsidRPr="005B2844">
        <w:tblPrEx>
          <w:tblCellMar>
            <w:top w:w="0" w:type="dxa"/>
            <w:bottom w:w="0" w:type="dxa"/>
          </w:tblCellMar>
        </w:tblPrEx>
        <w:tc>
          <w:tcPr>
            <w:tcW w:w="5210" w:type="dxa"/>
          </w:tcPr>
          <w:p w:rsidR="00694799" w:rsidRPr="005B2844" w:rsidRDefault="006B7ABC" w:rsidP="005C6B47">
            <w:pPr>
              <w:rPr>
                <w:szCs w:val="22"/>
              </w:rPr>
            </w:pPr>
            <w:r w:rsidRPr="005B2844">
              <w:rPr>
                <w:szCs w:val="22"/>
              </w:rPr>
              <w:tab/>
            </w:r>
            <w:r w:rsidR="005C6B47" w:rsidRPr="005B2844">
              <w:rPr>
                <w:szCs w:val="22"/>
              </w:rPr>
              <w:t>Raro</w:t>
            </w:r>
            <w:r w:rsidR="00694799" w:rsidRPr="005B2844">
              <w:rPr>
                <w:szCs w:val="22"/>
              </w:rPr>
              <w:t>:</w:t>
            </w:r>
          </w:p>
        </w:tc>
        <w:tc>
          <w:tcPr>
            <w:tcW w:w="4537" w:type="dxa"/>
          </w:tcPr>
          <w:p w:rsidR="00C1575A" w:rsidRPr="005B2844" w:rsidRDefault="00694799" w:rsidP="0072602F">
            <w:pPr>
              <w:rPr>
                <w:szCs w:val="22"/>
              </w:rPr>
            </w:pPr>
            <w:r w:rsidRPr="005B2844">
              <w:rPr>
                <w:szCs w:val="22"/>
              </w:rPr>
              <w:t>Disturbo gastrico</w:t>
            </w:r>
          </w:p>
          <w:p w:rsidR="00694799" w:rsidRPr="005B2844" w:rsidRDefault="00694799" w:rsidP="0072602F">
            <w:pPr>
              <w:rPr>
                <w:szCs w:val="22"/>
              </w:rPr>
            </w:pPr>
          </w:p>
        </w:tc>
      </w:tr>
      <w:tr w:rsidR="00C1575A" w:rsidRPr="005B2844">
        <w:tblPrEx>
          <w:tblCellMar>
            <w:top w:w="0" w:type="dxa"/>
            <w:bottom w:w="0" w:type="dxa"/>
          </w:tblCellMar>
        </w:tblPrEx>
        <w:tc>
          <w:tcPr>
            <w:tcW w:w="9747" w:type="dxa"/>
            <w:gridSpan w:val="2"/>
          </w:tcPr>
          <w:p w:rsidR="00C1575A" w:rsidRPr="005B2844" w:rsidRDefault="00C1575A" w:rsidP="0072602F">
            <w:pPr>
              <w:rPr>
                <w:szCs w:val="22"/>
              </w:rPr>
            </w:pPr>
            <w:r w:rsidRPr="005B2844">
              <w:rPr>
                <w:szCs w:val="22"/>
              </w:rPr>
              <w:t>Patologie della cute e del tessuto sottocutaneo</w:t>
            </w:r>
          </w:p>
        </w:tc>
      </w:tr>
      <w:tr w:rsidR="00694799" w:rsidRPr="005B2844">
        <w:tblPrEx>
          <w:tblCellMar>
            <w:top w:w="0" w:type="dxa"/>
            <w:bottom w:w="0" w:type="dxa"/>
          </w:tblCellMar>
        </w:tblPrEx>
        <w:tc>
          <w:tcPr>
            <w:tcW w:w="5210" w:type="dxa"/>
          </w:tcPr>
          <w:p w:rsidR="00694799" w:rsidRPr="005B2844" w:rsidRDefault="006B7ABC" w:rsidP="0072602F">
            <w:pPr>
              <w:rPr>
                <w:szCs w:val="22"/>
              </w:rPr>
            </w:pPr>
            <w:r w:rsidRPr="005B2844">
              <w:rPr>
                <w:szCs w:val="22"/>
              </w:rPr>
              <w:tab/>
            </w:r>
            <w:r w:rsidR="005C6B47" w:rsidRPr="005B2844">
              <w:rPr>
                <w:szCs w:val="22"/>
              </w:rPr>
              <w:t>Raro</w:t>
            </w:r>
            <w:r w:rsidR="00694799" w:rsidRPr="005B2844">
              <w:rPr>
                <w:szCs w:val="22"/>
              </w:rPr>
              <w:t>:</w:t>
            </w:r>
          </w:p>
          <w:p w:rsidR="00694799" w:rsidRPr="005B2844" w:rsidRDefault="00694799" w:rsidP="0072602F">
            <w:pPr>
              <w:rPr>
                <w:szCs w:val="22"/>
              </w:rPr>
            </w:pPr>
          </w:p>
        </w:tc>
        <w:tc>
          <w:tcPr>
            <w:tcW w:w="4537" w:type="dxa"/>
          </w:tcPr>
          <w:p w:rsidR="00694799" w:rsidRPr="005B2844" w:rsidRDefault="00694799" w:rsidP="0072602F">
            <w:pPr>
              <w:rPr>
                <w:szCs w:val="22"/>
              </w:rPr>
            </w:pPr>
            <w:r w:rsidRPr="005B2844">
              <w:rPr>
                <w:szCs w:val="22"/>
              </w:rPr>
              <w:t>Eczema</w:t>
            </w:r>
            <w:r w:rsidR="00C1575A" w:rsidRPr="005B2844">
              <w:rPr>
                <w:szCs w:val="22"/>
              </w:rPr>
              <w:t>, eruzione</w:t>
            </w:r>
            <w:r w:rsidR="00DF5AAD" w:rsidRPr="005B2844">
              <w:rPr>
                <w:szCs w:val="22"/>
              </w:rPr>
              <w:t xml:space="preserve"> da farmaci</w:t>
            </w:r>
            <w:r w:rsidR="00C1575A" w:rsidRPr="005B2844">
              <w:rPr>
                <w:szCs w:val="22"/>
              </w:rPr>
              <w:t>, eruzione cutanea tossica</w:t>
            </w:r>
          </w:p>
          <w:p w:rsidR="00694799" w:rsidRPr="005B2844" w:rsidRDefault="00694799" w:rsidP="00C1575A">
            <w:pPr>
              <w:rPr>
                <w:szCs w:val="22"/>
              </w:rPr>
            </w:pPr>
          </w:p>
        </w:tc>
      </w:tr>
      <w:tr w:rsidR="002A3CA5" w:rsidRPr="005B2844">
        <w:tblPrEx>
          <w:tblCellMar>
            <w:top w:w="0" w:type="dxa"/>
            <w:bottom w:w="0" w:type="dxa"/>
          </w:tblCellMar>
        </w:tblPrEx>
        <w:tc>
          <w:tcPr>
            <w:tcW w:w="9747" w:type="dxa"/>
            <w:gridSpan w:val="2"/>
          </w:tcPr>
          <w:p w:rsidR="002A3CA5" w:rsidRPr="005B2844" w:rsidRDefault="002A3CA5" w:rsidP="0072602F">
            <w:pPr>
              <w:rPr>
                <w:szCs w:val="22"/>
              </w:rPr>
            </w:pPr>
            <w:r w:rsidRPr="005B2844">
              <w:rPr>
                <w:szCs w:val="22"/>
              </w:rPr>
              <w:t>Patologie del sistema muscoloscheletrico e del tessuto connettivo</w:t>
            </w:r>
          </w:p>
        </w:tc>
      </w:tr>
      <w:tr w:rsidR="00694799" w:rsidRPr="005B2844">
        <w:tblPrEx>
          <w:tblCellMar>
            <w:top w:w="0" w:type="dxa"/>
            <w:bottom w:w="0" w:type="dxa"/>
          </w:tblCellMar>
        </w:tblPrEx>
        <w:tc>
          <w:tcPr>
            <w:tcW w:w="5210" w:type="dxa"/>
          </w:tcPr>
          <w:p w:rsidR="00694799" w:rsidRPr="005B2844" w:rsidRDefault="006B7ABC" w:rsidP="0072602F">
            <w:pPr>
              <w:rPr>
                <w:szCs w:val="22"/>
              </w:rPr>
            </w:pPr>
            <w:r w:rsidRPr="005B2844">
              <w:rPr>
                <w:szCs w:val="22"/>
              </w:rPr>
              <w:tab/>
            </w:r>
            <w:r w:rsidR="005C6B47" w:rsidRPr="005B2844">
              <w:rPr>
                <w:szCs w:val="22"/>
              </w:rPr>
              <w:t>Raro</w:t>
            </w:r>
            <w:r w:rsidR="00694799" w:rsidRPr="005B2844">
              <w:rPr>
                <w:szCs w:val="22"/>
              </w:rPr>
              <w:t>:</w:t>
            </w:r>
          </w:p>
          <w:p w:rsidR="00694799" w:rsidRPr="005B2844" w:rsidRDefault="00694799" w:rsidP="002A3CA5">
            <w:pPr>
              <w:rPr>
                <w:szCs w:val="22"/>
              </w:rPr>
            </w:pPr>
          </w:p>
        </w:tc>
        <w:tc>
          <w:tcPr>
            <w:tcW w:w="4537" w:type="dxa"/>
          </w:tcPr>
          <w:p w:rsidR="00694799" w:rsidRPr="005B2844" w:rsidRDefault="002A3CA5" w:rsidP="0072602F">
            <w:pPr>
              <w:rPr>
                <w:szCs w:val="22"/>
              </w:rPr>
            </w:pPr>
            <w:r w:rsidRPr="005B2844">
              <w:rPr>
                <w:szCs w:val="22"/>
              </w:rPr>
              <w:t>Artrosi, dolore ai tendini</w:t>
            </w:r>
          </w:p>
        </w:tc>
      </w:tr>
      <w:tr w:rsidR="002A3CA5" w:rsidRPr="005B2844">
        <w:tblPrEx>
          <w:tblCellMar>
            <w:top w:w="0" w:type="dxa"/>
            <w:bottom w:w="0" w:type="dxa"/>
          </w:tblCellMar>
        </w:tblPrEx>
        <w:tc>
          <w:tcPr>
            <w:tcW w:w="9747" w:type="dxa"/>
            <w:gridSpan w:val="2"/>
          </w:tcPr>
          <w:p w:rsidR="002A3CA5" w:rsidRPr="005B2844" w:rsidRDefault="002A3CA5" w:rsidP="0072602F">
            <w:pPr>
              <w:rPr>
                <w:szCs w:val="22"/>
              </w:rPr>
            </w:pPr>
            <w:r w:rsidRPr="005B2844">
              <w:rPr>
                <w:szCs w:val="22"/>
              </w:rPr>
              <w:t>Patologie renali e urinarie</w:t>
            </w:r>
          </w:p>
        </w:tc>
      </w:tr>
      <w:tr w:rsidR="002A3CA5" w:rsidRPr="005B2844">
        <w:tblPrEx>
          <w:tblCellMar>
            <w:top w:w="0" w:type="dxa"/>
            <w:bottom w:w="0" w:type="dxa"/>
          </w:tblCellMar>
        </w:tblPrEx>
        <w:tc>
          <w:tcPr>
            <w:tcW w:w="5210" w:type="dxa"/>
          </w:tcPr>
          <w:p w:rsidR="002A3CA5" w:rsidRPr="005B2844" w:rsidRDefault="006B7ABC" w:rsidP="005C6B47">
            <w:pPr>
              <w:rPr>
                <w:szCs w:val="22"/>
              </w:rPr>
            </w:pPr>
            <w:r w:rsidRPr="005B2844">
              <w:rPr>
                <w:szCs w:val="22"/>
              </w:rPr>
              <w:tab/>
              <w:t xml:space="preserve">Non </w:t>
            </w:r>
            <w:r w:rsidR="005C6B47" w:rsidRPr="005B2844">
              <w:rPr>
                <w:szCs w:val="22"/>
              </w:rPr>
              <w:t>comune</w:t>
            </w:r>
            <w:r w:rsidR="002A3CA5" w:rsidRPr="005B2844">
              <w:rPr>
                <w:szCs w:val="22"/>
              </w:rPr>
              <w:t>:</w:t>
            </w:r>
          </w:p>
        </w:tc>
        <w:tc>
          <w:tcPr>
            <w:tcW w:w="4537" w:type="dxa"/>
          </w:tcPr>
          <w:p w:rsidR="002A3CA5" w:rsidRPr="005B2844" w:rsidRDefault="005C6B47" w:rsidP="002A3CA5">
            <w:pPr>
              <w:rPr>
                <w:szCs w:val="22"/>
              </w:rPr>
            </w:pPr>
            <w:r w:rsidRPr="005B2844">
              <w:rPr>
                <w:szCs w:val="22"/>
              </w:rPr>
              <w:t>C</w:t>
            </w:r>
            <w:r w:rsidR="002A3CA5" w:rsidRPr="005B2844">
              <w:rPr>
                <w:szCs w:val="22"/>
              </w:rPr>
              <w:t>ompromissione renale (inclusa insufficienza renale acuta)</w:t>
            </w:r>
          </w:p>
          <w:p w:rsidR="002A3CA5" w:rsidRPr="005B2844" w:rsidRDefault="002A3CA5" w:rsidP="0072602F">
            <w:pPr>
              <w:rPr>
                <w:szCs w:val="22"/>
              </w:rPr>
            </w:pPr>
          </w:p>
        </w:tc>
      </w:tr>
      <w:tr w:rsidR="00B9508C" w:rsidRPr="005B2844">
        <w:tblPrEx>
          <w:tblCellMar>
            <w:top w:w="0" w:type="dxa"/>
            <w:bottom w:w="0" w:type="dxa"/>
          </w:tblCellMar>
        </w:tblPrEx>
        <w:tc>
          <w:tcPr>
            <w:tcW w:w="9747" w:type="dxa"/>
            <w:gridSpan w:val="2"/>
          </w:tcPr>
          <w:p w:rsidR="00B9508C" w:rsidRPr="005B2844" w:rsidRDefault="00B9508C" w:rsidP="008D055B">
            <w:pPr>
              <w:rPr>
                <w:szCs w:val="22"/>
              </w:rPr>
            </w:pPr>
            <w:r w:rsidRPr="005B2844">
              <w:rPr>
                <w:szCs w:val="22"/>
              </w:rPr>
              <w:t>Patologie sistemiche e condizioni relative alla sede di somministrazione</w:t>
            </w:r>
          </w:p>
        </w:tc>
      </w:tr>
      <w:tr w:rsidR="00694799" w:rsidRPr="005B2844">
        <w:tblPrEx>
          <w:tblCellMar>
            <w:top w:w="0" w:type="dxa"/>
            <w:bottom w:w="0" w:type="dxa"/>
          </w:tblCellMar>
        </w:tblPrEx>
        <w:tc>
          <w:tcPr>
            <w:tcW w:w="5210" w:type="dxa"/>
          </w:tcPr>
          <w:p w:rsidR="00694799" w:rsidRPr="005B2844" w:rsidDel="00045727" w:rsidRDefault="006B7ABC" w:rsidP="005C6B47">
            <w:pPr>
              <w:rPr>
                <w:szCs w:val="22"/>
              </w:rPr>
            </w:pPr>
            <w:r w:rsidRPr="005B2844">
              <w:rPr>
                <w:szCs w:val="22"/>
              </w:rPr>
              <w:tab/>
              <w:t xml:space="preserve">Non </w:t>
            </w:r>
            <w:r w:rsidR="005C6B47" w:rsidRPr="005B2844">
              <w:rPr>
                <w:szCs w:val="22"/>
              </w:rPr>
              <w:t>comune</w:t>
            </w:r>
            <w:r w:rsidR="00694799" w:rsidRPr="005B2844">
              <w:rPr>
                <w:szCs w:val="22"/>
              </w:rPr>
              <w:t>:</w:t>
            </w:r>
          </w:p>
        </w:tc>
        <w:tc>
          <w:tcPr>
            <w:tcW w:w="4537" w:type="dxa"/>
          </w:tcPr>
          <w:p w:rsidR="00694799" w:rsidRPr="005B2844" w:rsidRDefault="00B9508C" w:rsidP="0072602F">
            <w:pPr>
              <w:rPr>
                <w:szCs w:val="22"/>
              </w:rPr>
            </w:pPr>
            <w:r w:rsidRPr="005B2844">
              <w:rPr>
                <w:szCs w:val="22"/>
              </w:rPr>
              <w:t>Astenia</w:t>
            </w:r>
          </w:p>
          <w:p w:rsidR="002D300D" w:rsidRPr="005B2844" w:rsidDel="00045727" w:rsidRDefault="002D300D" w:rsidP="0072602F">
            <w:pPr>
              <w:rPr>
                <w:szCs w:val="22"/>
              </w:rPr>
            </w:pPr>
          </w:p>
        </w:tc>
      </w:tr>
      <w:tr w:rsidR="003A4A93" w:rsidRPr="005B2844">
        <w:tblPrEx>
          <w:tblCellMar>
            <w:top w:w="0" w:type="dxa"/>
            <w:bottom w:w="0" w:type="dxa"/>
          </w:tblCellMar>
        </w:tblPrEx>
        <w:tc>
          <w:tcPr>
            <w:tcW w:w="9747" w:type="dxa"/>
            <w:gridSpan w:val="2"/>
          </w:tcPr>
          <w:p w:rsidR="003A4A93" w:rsidRPr="005B2844" w:rsidRDefault="003A4A93" w:rsidP="0072602F">
            <w:pPr>
              <w:rPr>
                <w:szCs w:val="22"/>
              </w:rPr>
            </w:pPr>
            <w:bookmarkStart w:id="7" w:name="OLE_LINK20"/>
            <w:r w:rsidRPr="005B2844">
              <w:rPr>
                <w:szCs w:val="22"/>
              </w:rPr>
              <w:t>Esami di</w:t>
            </w:r>
            <w:r w:rsidR="00F83252" w:rsidRPr="005B2844">
              <w:rPr>
                <w:szCs w:val="22"/>
              </w:rPr>
              <w:t>a</w:t>
            </w:r>
            <w:r w:rsidRPr="005B2844">
              <w:rPr>
                <w:szCs w:val="22"/>
              </w:rPr>
              <w:t>gnostici</w:t>
            </w:r>
          </w:p>
        </w:tc>
      </w:tr>
      <w:tr w:rsidR="003A4A93" w:rsidRPr="005B2844">
        <w:tblPrEx>
          <w:tblCellMar>
            <w:top w:w="0" w:type="dxa"/>
            <w:bottom w:w="0" w:type="dxa"/>
          </w:tblCellMar>
        </w:tblPrEx>
        <w:tc>
          <w:tcPr>
            <w:tcW w:w="5210" w:type="dxa"/>
          </w:tcPr>
          <w:p w:rsidR="003A4A93" w:rsidRPr="005B2844" w:rsidRDefault="003A4A93" w:rsidP="005C6B47">
            <w:pPr>
              <w:rPr>
                <w:szCs w:val="22"/>
              </w:rPr>
            </w:pPr>
            <w:r w:rsidRPr="005B2844">
              <w:rPr>
                <w:szCs w:val="22"/>
              </w:rPr>
              <w:tab/>
            </w:r>
            <w:r w:rsidR="005C6B47" w:rsidRPr="005B2844">
              <w:rPr>
                <w:szCs w:val="22"/>
              </w:rPr>
              <w:t>Raro</w:t>
            </w:r>
            <w:r w:rsidRPr="005B2844">
              <w:rPr>
                <w:szCs w:val="22"/>
              </w:rPr>
              <w:t>:</w:t>
            </w:r>
          </w:p>
        </w:tc>
        <w:tc>
          <w:tcPr>
            <w:tcW w:w="4537" w:type="dxa"/>
          </w:tcPr>
          <w:p w:rsidR="003A4A93" w:rsidRPr="005B2844" w:rsidRDefault="003A4A93" w:rsidP="0072602F">
            <w:pPr>
              <w:rPr>
                <w:szCs w:val="22"/>
              </w:rPr>
            </w:pPr>
            <w:r w:rsidRPr="005B2844">
              <w:rPr>
                <w:szCs w:val="22"/>
              </w:rPr>
              <w:t>Riduzione dell’emoglobina</w:t>
            </w:r>
          </w:p>
          <w:p w:rsidR="00354998" w:rsidRPr="005B2844" w:rsidRDefault="00354998" w:rsidP="0072602F">
            <w:pPr>
              <w:rPr>
                <w:szCs w:val="22"/>
              </w:rPr>
            </w:pPr>
          </w:p>
        </w:tc>
      </w:tr>
    </w:tbl>
    <w:bookmarkEnd w:id="7"/>
    <w:p w:rsidR="006609DE" w:rsidRPr="005B2844" w:rsidRDefault="002F56B0" w:rsidP="0072602F">
      <w:pPr>
        <w:pStyle w:val="BodyText2"/>
        <w:tabs>
          <w:tab w:val="clear" w:pos="567"/>
        </w:tabs>
        <w:ind w:left="0" w:firstLine="0"/>
        <w:rPr>
          <w:szCs w:val="22"/>
        </w:rPr>
      </w:pPr>
      <w:r w:rsidRPr="005B2844">
        <w:rPr>
          <w:szCs w:val="22"/>
        </w:rPr>
        <w:t>3</w:t>
      </w:r>
      <w:r w:rsidR="005C6B47" w:rsidRPr="005B2844">
        <w:rPr>
          <w:szCs w:val="22"/>
        </w:rPr>
        <w:t xml:space="preserve">: Per ulteriore descrizione, vedere </w:t>
      </w:r>
      <w:proofErr w:type="spellStart"/>
      <w:r w:rsidR="00F0099F" w:rsidRPr="005B2844">
        <w:rPr>
          <w:szCs w:val="22"/>
        </w:rPr>
        <w:t>sotto</w:t>
      </w:r>
      <w:r w:rsidR="005C6B47" w:rsidRPr="005B2844">
        <w:rPr>
          <w:szCs w:val="22"/>
        </w:rPr>
        <w:t>paragrafo</w:t>
      </w:r>
      <w:proofErr w:type="spellEnd"/>
      <w:r w:rsidR="005C6B47" w:rsidRPr="005B2844">
        <w:rPr>
          <w:szCs w:val="22"/>
        </w:rPr>
        <w:t xml:space="preserve"> </w:t>
      </w:r>
      <w:r w:rsidR="004D0F06" w:rsidRPr="005B2844">
        <w:rPr>
          <w:szCs w:val="22"/>
        </w:rPr>
        <w:t>"</w:t>
      </w:r>
      <w:r w:rsidR="00F0099F" w:rsidRPr="005B2844">
        <w:rPr>
          <w:szCs w:val="22"/>
        </w:rPr>
        <w:t>Descrizione delle reazioni avverse selezionate</w:t>
      </w:r>
      <w:r w:rsidR="004D0F06" w:rsidRPr="005B2844">
        <w:rPr>
          <w:szCs w:val="22"/>
        </w:rPr>
        <w:t>"</w:t>
      </w:r>
    </w:p>
    <w:p w:rsidR="0001419F" w:rsidRPr="005B2844" w:rsidRDefault="0001419F" w:rsidP="0072602F">
      <w:pPr>
        <w:pStyle w:val="BodyText2"/>
        <w:tabs>
          <w:tab w:val="clear" w:pos="567"/>
        </w:tabs>
        <w:ind w:left="0" w:firstLine="0"/>
        <w:rPr>
          <w:szCs w:val="22"/>
        </w:rPr>
      </w:pPr>
    </w:p>
    <w:p w:rsidR="00A70FCB" w:rsidRPr="005B2844" w:rsidRDefault="00A70FCB" w:rsidP="002229F2">
      <w:pPr>
        <w:pStyle w:val="BodyText2"/>
        <w:keepNext/>
        <w:tabs>
          <w:tab w:val="clear" w:pos="567"/>
        </w:tabs>
        <w:ind w:left="0" w:firstLine="0"/>
        <w:rPr>
          <w:szCs w:val="22"/>
        </w:rPr>
      </w:pPr>
      <w:proofErr w:type="spellStart"/>
      <w:r w:rsidRPr="005B2844">
        <w:rPr>
          <w:szCs w:val="22"/>
          <w:u w:val="single"/>
        </w:rPr>
        <w:t>Idroclorotiazide</w:t>
      </w:r>
      <w:proofErr w:type="spellEnd"/>
      <w:r w:rsidRPr="005B2844">
        <w:rPr>
          <w:szCs w:val="22"/>
        </w:rPr>
        <w:t>:</w:t>
      </w:r>
    </w:p>
    <w:p w:rsidR="00A70FCB" w:rsidRPr="005B2844" w:rsidRDefault="00A70FCB" w:rsidP="0072602F">
      <w:pPr>
        <w:pStyle w:val="BodyText2"/>
        <w:tabs>
          <w:tab w:val="clear" w:pos="567"/>
        </w:tabs>
        <w:ind w:left="0" w:firstLine="0"/>
        <w:rPr>
          <w:szCs w:val="22"/>
        </w:rPr>
      </w:pPr>
      <w:r w:rsidRPr="005B2844">
        <w:rPr>
          <w:szCs w:val="22"/>
        </w:rPr>
        <w:t>L'</w:t>
      </w:r>
      <w:proofErr w:type="spellStart"/>
      <w:r w:rsidRPr="005B2844">
        <w:rPr>
          <w:szCs w:val="22"/>
        </w:rPr>
        <w:t>idroclorotiazide</w:t>
      </w:r>
      <w:proofErr w:type="spellEnd"/>
      <w:r w:rsidRPr="005B2844">
        <w:rPr>
          <w:szCs w:val="22"/>
        </w:rPr>
        <w:t xml:space="preserve"> può causare o esacerbare l'ipovolemia che potrebbe determinare uno squilibrio elettrolitico (vedere </w:t>
      </w:r>
      <w:r w:rsidR="00306D16" w:rsidRPr="005B2844">
        <w:rPr>
          <w:szCs w:val="22"/>
        </w:rPr>
        <w:t xml:space="preserve">paragrafo </w:t>
      </w:r>
      <w:r w:rsidRPr="005B2844">
        <w:rPr>
          <w:szCs w:val="22"/>
        </w:rPr>
        <w:t>4.4).</w:t>
      </w:r>
    </w:p>
    <w:p w:rsidR="00A70FCB" w:rsidRPr="005B2844" w:rsidRDefault="00A70FCB" w:rsidP="0072602F">
      <w:pPr>
        <w:pStyle w:val="BodyText2"/>
        <w:tabs>
          <w:tab w:val="clear" w:pos="567"/>
        </w:tabs>
        <w:ind w:left="0" w:firstLine="0"/>
        <w:rPr>
          <w:szCs w:val="22"/>
        </w:rPr>
      </w:pPr>
    </w:p>
    <w:p w:rsidR="00A70FCB" w:rsidRPr="005B2844" w:rsidRDefault="006B7ABC" w:rsidP="0072602F">
      <w:pPr>
        <w:pStyle w:val="BodyText2"/>
        <w:tabs>
          <w:tab w:val="clear" w:pos="567"/>
        </w:tabs>
        <w:ind w:left="0" w:firstLine="0"/>
        <w:rPr>
          <w:szCs w:val="22"/>
        </w:rPr>
      </w:pPr>
      <w:r w:rsidRPr="005B2844">
        <w:rPr>
          <w:szCs w:val="22"/>
        </w:rPr>
        <w:t>Le reazioni</w:t>
      </w:r>
      <w:r w:rsidR="00A70FCB" w:rsidRPr="005B2844">
        <w:rPr>
          <w:szCs w:val="22"/>
        </w:rPr>
        <w:t xml:space="preserve"> avvers</w:t>
      </w:r>
      <w:r w:rsidRPr="005B2844">
        <w:rPr>
          <w:szCs w:val="22"/>
        </w:rPr>
        <w:t>e</w:t>
      </w:r>
      <w:r w:rsidR="00A70FCB" w:rsidRPr="005B2844">
        <w:rPr>
          <w:szCs w:val="22"/>
        </w:rPr>
        <w:t xml:space="preserve"> </w:t>
      </w:r>
      <w:r w:rsidR="005F7A07" w:rsidRPr="005B2844">
        <w:rPr>
          <w:szCs w:val="22"/>
        </w:rPr>
        <w:t xml:space="preserve">di frequenza non nota </w:t>
      </w:r>
      <w:r w:rsidR="00A70FCB" w:rsidRPr="005B2844">
        <w:rPr>
          <w:szCs w:val="22"/>
        </w:rPr>
        <w:t>riportat</w:t>
      </w:r>
      <w:r w:rsidR="00E66BB3" w:rsidRPr="005B2844">
        <w:rPr>
          <w:szCs w:val="22"/>
        </w:rPr>
        <w:t>e</w:t>
      </w:r>
      <w:r w:rsidR="00A70FCB" w:rsidRPr="005B2844">
        <w:rPr>
          <w:szCs w:val="22"/>
        </w:rPr>
        <w:t xml:space="preserve"> con l'uso di </w:t>
      </w:r>
      <w:proofErr w:type="spellStart"/>
      <w:r w:rsidR="00A70FCB" w:rsidRPr="005B2844">
        <w:rPr>
          <w:szCs w:val="22"/>
        </w:rPr>
        <w:t>idroclorotiazide</w:t>
      </w:r>
      <w:proofErr w:type="spellEnd"/>
      <w:r w:rsidR="00A70FCB" w:rsidRPr="005B2844">
        <w:rPr>
          <w:szCs w:val="22"/>
        </w:rPr>
        <w:t xml:space="preserve"> in monoterapia includono</w:t>
      </w:r>
      <w:r w:rsidR="008A50D4" w:rsidRPr="005B2844">
        <w:rPr>
          <w:szCs w:val="22"/>
        </w:rPr>
        <w:t>:</w:t>
      </w:r>
    </w:p>
    <w:p w:rsidR="00A70FCB" w:rsidRPr="005B2844" w:rsidRDefault="00A70FCB" w:rsidP="0072602F">
      <w:pPr>
        <w:pStyle w:val="BodyText2"/>
        <w:tabs>
          <w:tab w:val="clear" w:pos="567"/>
        </w:tabs>
        <w:ind w:left="0" w:firstLine="0"/>
        <w:rPr>
          <w:szCs w:val="22"/>
        </w:rPr>
      </w:pPr>
    </w:p>
    <w:tbl>
      <w:tblPr>
        <w:tblW w:w="9747" w:type="dxa"/>
        <w:tblLayout w:type="fixed"/>
        <w:tblLook w:val="0000" w:firstRow="0" w:lastRow="0" w:firstColumn="0" w:lastColumn="0" w:noHBand="0" w:noVBand="0"/>
      </w:tblPr>
      <w:tblGrid>
        <w:gridCol w:w="5210"/>
        <w:gridCol w:w="4537"/>
      </w:tblGrid>
      <w:tr w:rsidR="00201750" w:rsidRPr="005B2844" w:rsidTr="00F82465">
        <w:tblPrEx>
          <w:tblCellMar>
            <w:top w:w="0" w:type="dxa"/>
            <w:bottom w:w="0" w:type="dxa"/>
          </w:tblCellMar>
        </w:tblPrEx>
        <w:tc>
          <w:tcPr>
            <w:tcW w:w="9747" w:type="dxa"/>
            <w:gridSpan w:val="2"/>
          </w:tcPr>
          <w:p w:rsidR="00201750" w:rsidRPr="005B2844" w:rsidRDefault="00201750" w:rsidP="00452E35">
            <w:pPr>
              <w:keepNext/>
              <w:rPr>
                <w:szCs w:val="22"/>
              </w:rPr>
            </w:pPr>
            <w:r w:rsidRPr="005B2844">
              <w:rPr>
                <w:noProof/>
                <w:szCs w:val="22"/>
              </w:rPr>
              <w:t>Infezioni e infestazioni</w:t>
            </w:r>
          </w:p>
        </w:tc>
      </w:tr>
      <w:tr w:rsidR="00201750" w:rsidRPr="005B2844" w:rsidTr="00F82465">
        <w:tblPrEx>
          <w:tblCellMar>
            <w:top w:w="0" w:type="dxa"/>
            <w:bottom w:w="0" w:type="dxa"/>
          </w:tblCellMar>
        </w:tblPrEx>
        <w:tc>
          <w:tcPr>
            <w:tcW w:w="5210" w:type="dxa"/>
          </w:tcPr>
          <w:p w:rsidR="00201750" w:rsidRPr="005B2844" w:rsidRDefault="00201750" w:rsidP="00452E35">
            <w:pPr>
              <w:keepNext/>
              <w:rPr>
                <w:noProof/>
                <w:szCs w:val="22"/>
              </w:rPr>
            </w:pPr>
            <w:r w:rsidRPr="005B2844">
              <w:rPr>
                <w:noProof/>
                <w:szCs w:val="22"/>
              </w:rPr>
              <w:tab/>
              <w:t>Non nota:</w:t>
            </w:r>
          </w:p>
        </w:tc>
        <w:tc>
          <w:tcPr>
            <w:tcW w:w="4537" w:type="dxa"/>
          </w:tcPr>
          <w:p w:rsidR="00201750" w:rsidRPr="005B2844" w:rsidRDefault="00201750" w:rsidP="00201750">
            <w:pPr>
              <w:rPr>
                <w:szCs w:val="22"/>
              </w:rPr>
            </w:pPr>
            <w:r w:rsidRPr="005B2844">
              <w:rPr>
                <w:szCs w:val="22"/>
              </w:rPr>
              <w:t>Scialoadenite</w:t>
            </w:r>
          </w:p>
          <w:p w:rsidR="00201750" w:rsidRPr="005B2844" w:rsidRDefault="00201750" w:rsidP="0072602F">
            <w:pPr>
              <w:rPr>
                <w:szCs w:val="22"/>
              </w:rPr>
            </w:pPr>
          </w:p>
        </w:tc>
      </w:tr>
      <w:tr w:rsidR="00F82465" w:rsidRPr="005B2844" w:rsidTr="002433C6">
        <w:tblPrEx>
          <w:tblCellMar>
            <w:top w:w="0" w:type="dxa"/>
            <w:bottom w:w="0" w:type="dxa"/>
          </w:tblCellMar>
        </w:tblPrEx>
        <w:tc>
          <w:tcPr>
            <w:tcW w:w="9747" w:type="dxa"/>
            <w:gridSpan w:val="2"/>
          </w:tcPr>
          <w:p w:rsidR="00F82465" w:rsidRPr="005B2844" w:rsidRDefault="00F82465" w:rsidP="00C850EF">
            <w:pPr>
              <w:rPr>
                <w:szCs w:val="22"/>
              </w:rPr>
            </w:pPr>
            <w:r w:rsidRPr="005B2844">
              <w:rPr>
                <w:szCs w:val="22"/>
              </w:rPr>
              <w:t>Tumori benigni, maligni e non specificati (cisti e polipi compresi)</w:t>
            </w:r>
          </w:p>
        </w:tc>
      </w:tr>
      <w:tr w:rsidR="00F82465" w:rsidRPr="005B2844" w:rsidTr="002433C6">
        <w:tblPrEx>
          <w:tblCellMar>
            <w:top w:w="0" w:type="dxa"/>
            <w:bottom w:w="0" w:type="dxa"/>
          </w:tblCellMar>
        </w:tblPrEx>
        <w:tc>
          <w:tcPr>
            <w:tcW w:w="5210" w:type="dxa"/>
          </w:tcPr>
          <w:p w:rsidR="00F82465" w:rsidRPr="005B2844" w:rsidRDefault="00F82465" w:rsidP="002433C6">
            <w:pPr>
              <w:rPr>
                <w:szCs w:val="22"/>
              </w:rPr>
            </w:pPr>
            <w:r w:rsidRPr="005B2844">
              <w:rPr>
                <w:szCs w:val="22"/>
              </w:rPr>
              <w:tab/>
              <w:t>Non nota:</w:t>
            </w:r>
          </w:p>
        </w:tc>
        <w:tc>
          <w:tcPr>
            <w:tcW w:w="4537" w:type="dxa"/>
          </w:tcPr>
          <w:p w:rsidR="00F82465" w:rsidRPr="005B2844" w:rsidRDefault="00F82465" w:rsidP="00C850EF">
            <w:pPr>
              <w:rPr>
                <w:szCs w:val="22"/>
              </w:rPr>
            </w:pPr>
            <w:r w:rsidRPr="005B2844">
              <w:rPr>
                <w:szCs w:val="22"/>
              </w:rPr>
              <w:t xml:space="preserve">cancro cutaneo non melanoma (carcinoma </w:t>
            </w:r>
            <w:proofErr w:type="spellStart"/>
            <w:r w:rsidRPr="005B2844">
              <w:rPr>
                <w:szCs w:val="22"/>
              </w:rPr>
              <w:t>basocellulare</w:t>
            </w:r>
            <w:proofErr w:type="spellEnd"/>
            <w:r w:rsidRPr="005B2844">
              <w:rPr>
                <w:szCs w:val="22"/>
              </w:rPr>
              <w:t xml:space="preserve"> e carcinoma a cellule squamose)</w:t>
            </w:r>
          </w:p>
          <w:p w:rsidR="00C721D9" w:rsidRPr="005B2844" w:rsidRDefault="00C721D9" w:rsidP="00C850EF">
            <w:pPr>
              <w:rPr>
                <w:szCs w:val="22"/>
              </w:rPr>
            </w:pPr>
          </w:p>
        </w:tc>
      </w:tr>
      <w:tr w:rsidR="00201750" w:rsidRPr="005B2844" w:rsidTr="00F82465">
        <w:tblPrEx>
          <w:tblCellMar>
            <w:top w:w="0" w:type="dxa"/>
            <w:bottom w:w="0" w:type="dxa"/>
          </w:tblCellMar>
        </w:tblPrEx>
        <w:tc>
          <w:tcPr>
            <w:tcW w:w="9747" w:type="dxa"/>
            <w:gridSpan w:val="2"/>
          </w:tcPr>
          <w:p w:rsidR="00201750" w:rsidRPr="005B2844" w:rsidRDefault="00201750" w:rsidP="0072602F">
            <w:pPr>
              <w:rPr>
                <w:szCs w:val="22"/>
              </w:rPr>
            </w:pPr>
            <w:r w:rsidRPr="005B2844">
              <w:rPr>
                <w:szCs w:val="22"/>
              </w:rPr>
              <w:t>Patologie</w:t>
            </w:r>
            <w:r w:rsidRPr="005B2844">
              <w:rPr>
                <w:noProof/>
                <w:szCs w:val="22"/>
              </w:rPr>
              <w:t xml:space="preserve"> del sistema emolinfopoietico</w:t>
            </w:r>
          </w:p>
        </w:tc>
      </w:tr>
      <w:tr w:rsidR="000E010F" w:rsidRPr="005B2844" w:rsidTr="00F82465">
        <w:tblPrEx>
          <w:tblCellMar>
            <w:top w:w="0" w:type="dxa"/>
            <w:bottom w:w="0" w:type="dxa"/>
          </w:tblCellMar>
        </w:tblPrEx>
        <w:tc>
          <w:tcPr>
            <w:tcW w:w="5210" w:type="dxa"/>
          </w:tcPr>
          <w:p w:rsidR="000E010F" w:rsidRPr="005B2844" w:rsidRDefault="000E010F" w:rsidP="00201750">
            <w:pPr>
              <w:rPr>
                <w:szCs w:val="22"/>
              </w:rPr>
            </w:pPr>
            <w:r w:rsidRPr="005B2844">
              <w:rPr>
                <w:szCs w:val="22"/>
              </w:rPr>
              <w:tab/>
              <w:t>Raro</w:t>
            </w:r>
            <w:r w:rsidR="00CA68C0" w:rsidRPr="005B2844">
              <w:rPr>
                <w:szCs w:val="22"/>
              </w:rPr>
              <w:t>:</w:t>
            </w:r>
          </w:p>
        </w:tc>
        <w:tc>
          <w:tcPr>
            <w:tcW w:w="4537" w:type="dxa"/>
          </w:tcPr>
          <w:p w:rsidR="000E010F" w:rsidRPr="005B2844" w:rsidRDefault="000E010F" w:rsidP="0072602F">
            <w:pPr>
              <w:rPr>
                <w:szCs w:val="22"/>
              </w:rPr>
            </w:pPr>
            <w:r w:rsidRPr="005B2844">
              <w:rPr>
                <w:szCs w:val="22"/>
              </w:rPr>
              <w:t>Trombocitopenia (talvolta associata a porpora)</w:t>
            </w:r>
          </w:p>
        </w:tc>
      </w:tr>
      <w:tr w:rsidR="00CE031B" w:rsidRPr="005B2844" w:rsidTr="00F82465">
        <w:tblPrEx>
          <w:tblCellMar>
            <w:top w:w="0" w:type="dxa"/>
            <w:bottom w:w="0" w:type="dxa"/>
          </w:tblCellMar>
        </w:tblPrEx>
        <w:tc>
          <w:tcPr>
            <w:tcW w:w="5210" w:type="dxa"/>
          </w:tcPr>
          <w:p w:rsidR="00CE031B" w:rsidRPr="005B2844" w:rsidRDefault="00201750" w:rsidP="00201750">
            <w:pPr>
              <w:rPr>
                <w:szCs w:val="22"/>
              </w:rPr>
            </w:pPr>
            <w:r w:rsidRPr="005B2844">
              <w:rPr>
                <w:szCs w:val="22"/>
              </w:rPr>
              <w:tab/>
              <w:t>Non nota:</w:t>
            </w:r>
          </w:p>
        </w:tc>
        <w:tc>
          <w:tcPr>
            <w:tcW w:w="4537" w:type="dxa"/>
          </w:tcPr>
          <w:p w:rsidR="00CE031B" w:rsidRPr="005B2844" w:rsidRDefault="00CE031B" w:rsidP="0072602F">
            <w:pPr>
              <w:rPr>
                <w:szCs w:val="22"/>
              </w:rPr>
            </w:pPr>
            <w:r w:rsidRPr="005B2844">
              <w:rPr>
                <w:szCs w:val="22"/>
              </w:rPr>
              <w:t>Anemia aplastica, anemia emolitica, depressione del midollo osseo, leucopenia, neutropenia, agranulocitosi</w:t>
            </w:r>
          </w:p>
          <w:p w:rsidR="00CE031B" w:rsidRPr="005B2844" w:rsidRDefault="00CE031B" w:rsidP="0072602F">
            <w:pPr>
              <w:rPr>
                <w:szCs w:val="22"/>
              </w:rPr>
            </w:pPr>
          </w:p>
        </w:tc>
      </w:tr>
      <w:tr w:rsidR="00DD7B39" w:rsidRPr="005B2844" w:rsidTr="00F82465">
        <w:tblPrEx>
          <w:tblCellMar>
            <w:top w:w="0" w:type="dxa"/>
            <w:bottom w:w="0" w:type="dxa"/>
          </w:tblCellMar>
        </w:tblPrEx>
        <w:tc>
          <w:tcPr>
            <w:tcW w:w="9747" w:type="dxa"/>
            <w:gridSpan w:val="2"/>
          </w:tcPr>
          <w:p w:rsidR="00DD7B39" w:rsidRPr="005B2844" w:rsidRDefault="00DD7B39" w:rsidP="00DD7B39">
            <w:pPr>
              <w:rPr>
                <w:szCs w:val="22"/>
              </w:rPr>
            </w:pPr>
            <w:r w:rsidRPr="005B2844">
              <w:rPr>
                <w:szCs w:val="22"/>
              </w:rPr>
              <w:t>Disturbi del sistema immunitario</w:t>
            </w:r>
          </w:p>
        </w:tc>
      </w:tr>
      <w:tr w:rsidR="00DD7B39" w:rsidRPr="005B2844" w:rsidTr="00F82465">
        <w:tblPrEx>
          <w:tblCellMar>
            <w:top w:w="0" w:type="dxa"/>
            <w:bottom w:w="0" w:type="dxa"/>
          </w:tblCellMar>
        </w:tblPrEx>
        <w:tc>
          <w:tcPr>
            <w:tcW w:w="5210" w:type="dxa"/>
          </w:tcPr>
          <w:p w:rsidR="00DD7B39" w:rsidRPr="005B2844" w:rsidRDefault="00DD7B39" w:rsidP="0072602F">
            <w:pPr>
              <w:rPr>
                <w:szCs w:val="22"/>
              </w:rPr>
            </w:pPr>
            <w:r w:rsidRPr="005B2844">
              <w:rPr>
                <w:szCs w:val="22"/>
              </w:rPr>
              <w:tab/>
              <w:t>Non nota:</w:t>
            </w:r>
          </w:p>
        </w:tc>
        <w:tc>
          <w:tcPr>
            <w:tcW w:w="4537" w:type="dxa"/>
          </w:tcPr>
          <w:p w:rsidR="00DD7B39" w:rsidRPr="005B2844" w:rsidRDefault="00DD7B39" w:rsidP="00DD7B39">
            <w:pPr>
              <w:rPr>
                <w:szCs w:val="22"/>
              </w:rPr>
            </w:pPr>
            <w:r w:rsidRPr="005B2844">
              <w:rPr>
                <w:szCs w:val="22"/>
              </w:rPr>
              <w:t>Reazioni anafilattiche, ipersensibilità</w:t>
            </w:r>
          </w:p>
          <w:p w:rsidR="00DD7B39" w:rsidRPr="005B2844" w:rsidRDefault="00DD7B39" w:rsidP="0072602F">
            <w:pPr>
              <w:rPr>
                <w:szCs w:val="22"/>
              </w:rPr>
            </w:pPr>
          </w:p>
        </w:tc>
      </w:tr>
      <w:tr w:rsidR="00863677" w:rsidRPr="005B2844" w:rsidTr="00F82465">
        <w:tblPrEx>
          <w:tblCellMar>
            <w:top w:w="0" w:type="dxa"/>
            <w:bottom w:w="0" w:type="dxa"/>
          </w:tblCellMar>
        </w:tblPrEx>
        <w:tc>
          <w:tcPr>
            <w:tcW w:w="9747" w:type="dxa"/>
            <w:gridSpan w:val="2"/>
          </w:tcPr>
          <w:p w:rsidR="00863677" w:rsidRPr="005B2844" w:rsidRDefault="00863677" w:rsidP="0018018D">
            <w:pPr>
              <w:keepNext/>
              <w:rPr>
                <w:szCs w:val="22"/>
              </w:rPr>
            </w:pPr>
            <w:r w:rsidRPr="005B2844">
              <w:rPr>
                <w:szCs w:val="22"/>
              </w:rPr>
              <w:t>Patologie endocrine</w:t>
            </w:r>
          </w:p>
        </w:tc>
      </w:tr>
      <w:tr w:rsidR="00863677" w:rsidRPr="005B2844" w:rsidTr="00F82465">
        <w:tblPrEx>
          <w:tblCellMar>
            <w:top w:w="0" w:type="dxa"/>
            <w:bottom w:w="0" w:type="dxa"/>
          </w:tblCellMar>
        </w:tblPrEx>
        <w:tc>
          <w:tcPr>
            <w:tcW w:w="5210" w:type="dxa"/>
          </w:tcPr>
          <w:p w:rsidR="00863677" w:rsidRPr="005B2844" w:rsidRDefault="00863677" w:rsidP="0018018D">
            <w:pPr>
              <w:keepNext/>
              <w:rPr>
                <w:szCs w:val="22"/>
              </w:rPr>
            </w:pPr>
            <w:r w:rsidRPr="005B2844">
              <w:rPr>
                <w:szCs w:val="22"/>
              </w:rPr>
              <w:tab/>
              <w:t>Non nota:</w:t>
            </w:r>
          </w:p>
        </w:tc>
        <w:tc>
          <w:tcPr>
            <w:tcW w:w="4537" w:type="dxa"/>
          </w:tcPr>
          <w:p w:rsidR="00863677" w:rsidRPr="005B2844" w:rsidRDefault="00863677" w:rsidP="0018018D">
            <w:pPr>
              <w:keepNext/>
              <w:rPr>
                <w:szCs w:val="22"/>
              </w:rPr>
            </w:pPr>
            <w:r w:rsidRPr="005B2844">
              <w:rPr>
                <w:szCs w:val="22"/>
              </w:rPr>
              <w:t>Diabete mellito non adeguatamente controllato</w:t>
            </w:r>
          </w:p>
          <w:p w:rsidR="00E66BB3" w:rsidRPr="005B2844" w:rsidRDefault="00E66BB3" w:rsidP="0018018D">
            <w:pPr>
              <w:keepNext/>
              <w:rPr>
                <w:szCs w:val="22"/>
              </w:rPr>
            </w:pPr>
          </w:p>
        </w:tc>
      </w:tr>
      <w:tr w:rsidR="00863677" w:rsidRPr="005B2844" w:rsidTr="00F82465">
        <w:tblPrEx>
          <w:tblCellMar>
            <w:top w:w="0" w:type="dxa"/>
            <w:bottom w:w="0" w:type="dxa"/>
          </w:tblCellMar>
        </w:tblPrEx>
        <w:tc>
          <w:tcPr>
            <w:tcW w:w="9747" w:type="dxa"/>
            <w:gridSpan w:val="2"/>
          </w:tcPr>
          <w:p w:rsidR="00863677" w:rsidRPr="005B2844" w:rsidRDefault="00863677" w:rsidP="00863677">
            <w:pPr>
              <w:rPr>
                <w:szCs w:val="22"/>
              </w:rPr>
            </w:pPr>
            <w:r w:rsidRPr="005B2844">
              <w:rPr>
                <w:szCs w:val="22"/>
              </w:rPr>
              <w:t>Disturbi</w:t>
            </w:r>
            <w:r w:rsidRPr="005B2844">
              <w:rPr>
                <w:noProof/>
                <w:szCs w:val="22"/>
              </w:rPr>
              <w:t xml:space="preserve"> del metabolismo e della nutrizione</w:t>
            </w:r>
          </w:p>
        </w:tc>
      </w:tr>
      <w:tr w:rsidR="000E010F" w:rsidRPr="005B2844" w:rsidTr="00F82465">
        <w:tblPrEx>
          <w:tblCellMar>
            <w:top w:w="0" w:type="dxa"/>
            <w:bottom w:w="0" w:type="dxa"/>
          </w:tblCellMar>
        </w:tblPrEx>
        <w:tc>
          <w:tcPr>
            <w:tcW w:w="5210" w:type="dxa"/>
          </w:tcPr>
          <w:p w:rsidR="000E010F" w:rsidRPr="005B2844" w:rsidRDefault="000E010F" w:rsidP="0072602F">
            <w:pPr>
              <w:rPr>
                <w:noProof/>
                <w:szCs w:val="22"/>
              </w:rPr>
            </w:pPr>
            <w:r w:rsidRPr="005B2844">
              <w:rPr>
                <w:szCs w:val="22"/>
              </w:rPr>
              <w:tab/>
              <w:t>Comune</w:t>
            </w:r>
            <w:r w:rsidR="00CA68C0" w:rsidRPr="005B2844">
              <w:rPr>
                <w:szCs w:val="22"/>
              </w:rPr>
              <w:t>:</w:t>
            </w:r>
          </w:p>
        </w:tc>
        <w:tc>
          <w:tcPr>
            <w:tcW w:w="4537" w:type="dxa"/>
          </w:tcPr>
          <w:p w:rsidR="000E010F" w:rsidRPr="005B2844" w:rsidRDefault="000E010F" w:rsidP="000E010F">
            <w:pPr>
              <w:rPr>
                <w:szCs w:val="22"/>
              </w:rPr>
            </w:pPr>
            <w:proofErr w:type="spellStart"/>
            <w:r w:rsidRPr="005B2844">
              <w:rPr>
                <w:szCs w:val="22"/>
              </w:rPr>
              <w:t>Ipomagnesemia</w:t>
            </w:r>
            <w:proofErr w:type="spellEnd"/>
          </w:p>
        </w:tc>
      </w:tr>
      <w:tr w:rsidR="000E010F" w:rsidRPr="005B2844" w:rsidTr="00F82465">
        <w:tblPrEx>
          <w:tblCellMar>
            <w:top w:w="0" w:type="dxa"/>
            <w:bottom w:w="0" w:type="dxa"/>
          </w:tblCellMar>
        </w:tblPrEx>
        <w:tc>
          <w:tcPr>
            <w:tcW w:w="5210" w:type="dxa"/>
          </w:tcPr>
          <w:p w:rsidR="000E010F" w:rsidRPr="005B2844" w:rsidRDefault="000E010F" w:rsidP="0072602F">
            <w:pPr>
              <w:rPr>
                <w:noProof/>
                <w:szCs w:val="22"/>
              </w:rPr>
            </w:pPr>
            <w:r w:rsidRPr="005B2844">
              <w:rPr>
                <w:szCs w:val="22"/>
              </w:rPr>
              <w:tab/>
              <w:t>Raro</w:t>
            </w:r>
            <w:r w:rsidR="00CA68C0" w:rsidRPr="005B2844">
              <w:rPr>
                <w:szCs w:val="22"/>
              </w:rPr>
              <w:t>:</w:t>
            </w:r>
          </w:p>
        </w:tc>
        <w:tc>
          <w:tcPr>
            <w:tcW w:w="4537" w:type="dxa"/>
          </w:tcPr>
          <w:p w:rsidR="000E010F" w:rsidRPr="005B2844" w:rsidRDefault="000E010F" w:rsidP="00863677">
            <w:pPr>
              <w:rPr>
                <w:szCs w:val="22"/>
              </w:rPr>
            </w:pPr>
            <w:r w:rsidRPr="005B2844">
              <w:rPr>
                <w:szCs w:val="22"/>
              </w:rPr>
              <w:t>Ipercalcemia</w:t>
            </w:r>
          </w:p>
        </w:tc>
      </w:tr>
      <w:tr w:rsidR="000E010F" w:rsidRPr="005B2844" w:rsidTr="00F82465">
        <w:tblPrEx>
          <w:tblCellMar>
            <w:top w:w="0" w:type="dxa"/>
            <w:bottom w:w="0" w:type="dxa"/>
          </w:tblCellMar>
        </w:tblPrEx>
        <w:tc>
          <w:tcPr>
            <w:tcW w:w="5210" w:type="dxa"/>
          </w:tcPr>
          <w:p w:rsidR="000E010F" w:rsidRPr="005B2844" w:rsidRDefault="000E010F" w:rsidP="0072602F">
            <w:pPr>
              <w:rPr>
                <w:noProof/>
                <w:szCs w:val="22"/>
              </w:rPr>
            </w:pPr>
            <w:r w:rsidRPr="005B2844">
              <w:rPr>
                <w:szCs w:val="22"/>
              </w:rPr>
              <w:tab/>
              <w:t>Molto raro</w:t>
            </w:r>
            <w:r w:rsidR="00CA68C0" w:rsidRPr="005B2844">
              <w:rPr>
                <w:szCs w:val="22"/>
              </w:rPr>
              <w:t>:</w:t>
            </w:r>
          </w:p>
        </w:tc>
        <w:tc>
          <w:tcPr>
            <w:tcW w:w="4537" w:type="dxa"/>
          </w:tcPr>
          <w:p w:rsidR="000E010F" w:rsidRPr="005B2844" w:rsidRDefault="00CA68C0" w:rsidP="00863677">
            <w:pPr>
              <w:rPr>
                <w:szCs w:val="22"/>
              </w:rPr>
            </w:pPr>
            <w:r w:rsidRPr="005B2844">
              <w:rPr>
                <w:szCs w:val="22"/>
              </w:rPr>
              <w:t xml:space="preserve">Alcalosi </w:t>
            </w:r>
            <w:proofErr w:type="spellStart"/>
            <w:r w:rsidRPr="005B2844">
              <w:rPr>
                <w:szCs w:val="22"/>
              </w:rPr>
              <w:t>ipocloremica</w:t>
            </w:r>
            <w:proofErr w:type="spellEnd"/>
          </w:p>
        </w:tc>
      </w:tr>
      <w:tr w:rsidR="00863677" w:rsidRPr="005B2844" w:rsidTr="00F82465">
        <w:tblPrEx>
          <w:tblCellMar>
            <w:top w:w="0" w:type="dxa"/>
            <w:bottom w:w="0" w:type="dxa"/>
          </w:tblCellMar>
        </w:tblPrEx>
        <w:tc>
          <w:tcPr>
            <w:tcW w:w="5210" w:type="dxa"/>
          </w:tcPr>
          <w:p w:rsidR="00863677" w:rsidRPr="005B2844" w:rsidRDefault="00863677" w:rsidP="0072602F">
            <w:pPr>
              <w:rPr>
                <w:noProof/>
                <w:szCs w:val="22"/>
              </w:rPr>
            </w:pPr>
            <w:r w:rsidRPr="005B2844">
              <w:rPr>
                <w:noProof/>
                <w:szCs w:val="22"/>
              </w:rPr>
              <w:tab/>
              <w:t>Non nota:</w:t>
            </w:r>
          </w:p>
        </w:tc>
        <w:tc>
          <w:tcPr>
            <w:tcW w:w="4537" w:type="dxa"/>
          </w:tcPr>
          <w:p w:rsidR="00863677" w:rsidRPr="005B2844" w:rsidRDefault="00863677" w:rsidP="00863677">
            <w:pPr>
              <w:rPr>
                <w:szCs w:val="22"/>
              </w:rPr>
            </w:pPr>
            <w:r w:rsidRPr="005B2844">
              <w:rPr>
                <w:szCs w:val="22"/>
              </w:rPr>
              <w:t>Anoressia, appetito</w:t>
            </w:r>
            <w:r w:rsidR="00B947C3" w:rsidRPr="005B2844">
              <w:rPr>
                <w:szCs w:val="22"/>
              </w:rPr>
              <w:t xml:space="preserve"> ridotto</w:t>
            </w:r>
            <w:r w:rsidRPr="005B2844">
              <w:rPr>
                <w:szCs w:val="22"/>
              </w:rPr>
              <w:t>, squilibrio elettrolitico, ipercolesterolemia, iperglicemia, ipovolemia</w:t>
            </w:r>
          </w:p>
          <w:p w:rsidR="00863677" w:rsidRPr="005B2844" w:rsidRDefault="00863677" w:rsidP="0072602F">
            <w:pPr>
              <w:rPr>
                <w:szCs w:val="22"/>
              </w:rPr>
            </w:pPr>
          </w:p>
        </w:tc>
      </w:tr>
      <w:tr w:rsidR="00A0668B" w:rsidRPr="005B2844" w:rsidTr="00F82465">
        <w:tblPrEx>
          <w:tblCellMar>
            <w:top w:w="0" w:type="dxa"/>
            <w:bottom w:w="0" w:type="dxa"/>
          </w:tblCellMar>
        </w:tblPrEx>
        <w:tc>
          <w:tcPr>
            <w:tcW w:w="9747" w:type="dxa"/>
            <w:gridSpan w:val="2"/>
          </w:tcPr>
          <w:p w:rsidR="00A0668B" w:rsidRPr="005B2844" w:rsidRDefault="00A0668B" w:rsidP="00A0668B">
            <w:pPr>
              <w:rPr>
                <w:szCs w:val="22"/>
              </w:rPr>
            </w:pPr>
            <w:r w:rsidRPr="005B2844">
              <w:rPr>
                <w:noProof/>
                <w:szCs w:val="22"/>
              </w:rPr>
              <w:t>Disturbi psichiatrici</w:t>
            </w:r>
          </w:p>
        </w:tc>
      </w:tr>
      <w:tr w:rsidR="00A0668B" w:rsidRPr="005B2844" w:rsidTr="00F82465">
        <w:tblPrEx>
          <w:tblCellMar>
            <w:top w:w="0" w:type="dxa"/>
            <w:bottom w:w="0" w:type="dxa"/>
          </w:tblCellMar>
        </w:tblPrEx>
        <w:tc>
          <w:tcPr>
            <w:tcW w:w="5210" w:type="dxa"/>
          </w:tcPr>
          <w:p w:rsidR="00A0668B" w:rsidRPr="005B2844" w:rsidRDefault="00A0668B" w:rsidP="0072602F">
            <w:pPr>
              <w:rPr>
                <w:noProof/>
                <w:szCs w:val="22"/>
              </w:rPr>
            </w:pPr>
            <w:r w:rsidRPr="005B2844">
              <w:rPr>
                <w:noProof/>
                <w:szCs w:val="22"/>
              </w:rPr>
              <w:tab/>
              <w:t>Non nota:</w:t>
            </w:r>
          </w:p>
        </w:tc>
        <w:tc>
          <w:tcPr>
            <w:tcW w:w="4537" w:type="dxa"/>
          </w:tcPr>
          <w:p w:rsidR="00A0668B" w:rsidRPr="005B2844" w:rsidRDefault="00A0668B" w:rsidP="00A0668B">
            <w:pPr>
              <w:rPr>
                <w:szCs w:val="22"/>
              </w:rPr>
            </w:pPr>
            <w:r w:rsidRPr="005B2844">
              <w:rPr>
                <w:szCs w:val="22"/>
              </w:rPr>
              <w:t>Agitazione</w:t>
            </w:r>
          </w:p>
          <w:p w:rsidR="00A0668B" w:rsidRPr="005B2844" w:rsidRDefault="00A0668B" w:rsidP="0072602F">
            <w:pPr>
              <w:rPr>
                <w:szCs w:val="22"/>
              </w:rPr>
            </w:pPr>
          </w:p>
        </w:tc>
      </w:tr>
      <w:tr w:rsidR="008B6D53" w:rsidRPr="005B2844" w:rsidTr="00F82465">
        <w:tblPrEx>
          <w:tblCellMar>
            <w:top w:w="0" w:type="dxa"/>
            <w:bottom w:w="0" w:type="dxa"/>
          </w:tblCellMar>
        </w:tblPrEx>
        <w:tc>
          <w:tcPr>
            <w:tcW w:w="9747" w:type="dxa"/>
            <w:gridSpan w:val="2"/>
          </w:tcPr>
          <w:p w:rsidR="008B6D53" w:rsidRPr="005B2844" w:rsidRDefault="008B6D53" w:rsidP="000709BC">
            <w:pPr>
              <w:keepNext/>
              <w:rPr>
                <w:szCs w:val="22"/>
              </w:rPr>
            </w:pPr>
            <w:r w:rsidRPr="005B2844">
              <w:rPr>
                <w:noProof/>
                <w:szCs w:val="22"/>
              </w:rPr>
              <w:t>Patologie del sistema nervoso</w:t>
            </w:r>
          </w:p>
        </w:tc>
      </w:tr>
      <w:tr w:rsidR="00CA68C0" w:rsidRPr="005B2844" w:rsidTr="00F82465">
        <w:tblPrEx>
          <w:tblCellMar>
            <w:top w:w="0" w:type="dxa"/>
            <w:bottom w:w="0" w:type="dxa"/>
          </w:tblCellMar>
        </w:tblPrEx>
        <w:tc>
          <w:tcPr>
            <w:tcW w:w="5210" w:type="dxa"/>
          </w:tcPr>
          <w:p w:rsidR="00CA68C0" w:rsidRPr="005B2844" w:rsidRDefault="00CA68C0" w:rsidP="0072602F">
            <w:pPr>
              <w:rPr>
                <w:szCs w:val="22"/>
              </w:rPr>
            </w:pPr>
            <w:r w:rsidRPr="005B2844">
              <w:rPr>
                <w:szCs w:val="22"/>
              </w:rPr>
              <w:tab/>
              <w:t>Raro:</w:t>
            </w:r>
          </w:p>
        </w:tc>
        <w:tc>
          <w:tcPr>
            <w:tcW w:w="4537" w:type="dxa"/>
          </w:tcPr>
          <w:p w:rsidR="00CA68C0" w:rsidRPr="005B2844" w:rsidRDefault="00CA68C0" w:rsidP="00810C1C">
            <w:pPr>
              <w:rPr>
                <w:szCs w:val="22"/>
              </w:rPr>
            </w:pPr>
            <w:r w:rsidRPr="005B2844">
              <w:rPr>
                <w:szCs w:val="22"/>
              </w:rPr>
              <w:t>Cefalea</w:t>
            </w:r>
          </w:p>
        </w:tc>
      </w:tr>
      <w:tr w:rsidR="008B6D53" w:rsidRPr="005B2844" w:rsidTr="00F82465">
        <w:tblPrEx>
          <w:tblCellMar>
            <w:top w:w="0" w:type="dxa"/>
            <w:bottom w:w="0" w:type="dxa"/>
          </w:tblCellMar>
        </w:tblPrEx>
        <w:tc>
          <w:tcPr>
            <w:tcW w:w="5210" w:type="dxa"/>
          </w:tcPr>
          <w:p w:rsidR="008B6D53" w:rsidRPr="005B2844" w:rsidRDefault="008B6D53" w:rsidP="0072602F">
            <w:pPr>
              <w:rPr>
                <w:szCs w:val="22"/>
              </w:rPr>
            </w:pPr>
            <w:r w:rsidRPr="005B2844">
              <w:rPr>
                <w:szCs w:val="22"/>
              </w:rPr>
              <w:tab/>
              <w:t>Non nota:</w:t>
            </w:r>
          </w:p>
        </w:tc>
        <w:tc>
          <w:tcPr>
            <w:tcW w:w="4537" w:type="dxa"/>
          </w:tcPr>
          <w:p w:rsidR="008B6D53" w:rsidRPr="005B2844" w:rsidRDefault="00CA68C0" w:rsidP="00810C1C">
            <w:pPr>
              <w:rPr>
                <w:szCs w:val="22"/>
              </w:rPr>
            </w:pPr>
            <w:r w:rsidRPr="005B2844">
              <w:rPr>
                <w:szCs w:val="22"/>
              </w:rPr>
              <w:t>S</w:t>
            </w:r>
            <w:r w:rsidR="008B6D53" w:rsidRPr="005B2844">
              <w:rPr>
                <w:szCs w:val="22"/>
              </w:rPr>
              <w:t>tordimento</w:t>
            </w:r>
          </w:p>
          <w:p w:rsidR="008B6D53" w:rsidRPr="005B2844" w:rsidRDefault="008B6D53" w:rsidP="0072602F">
            <w:pPr>
              <w:rPr>
                <w:szCs w:val="22"/>
              </w:rPr>
            </w:pPr>
          </w:p>
        </w:tc>
      </w:tr>
      <w:tr w:rsidR="008B6D53" w:rsidRPr="005B2844" w:rsidTr="00F82465">
        <w:tblPrEx>
          <w:tblCellMar>
            <w:top w:w="0" w:type="dxa"/>
            <w:bottom w:w="0" w:type="dxa"/>
          </w:tblCellMar>
        </w:tblPrEx>
        <w:tc>
          <w:tcPr>
            <w:tcW w:w="9747" w:type="dxa"/>
            <w:gridSpan w:val="2"/>
          </w:tcPr>
          <w:p w:rsidR="008B6D53" w:rsidRPr="005B2844" w:rsidRDefault="008B6D53" w:rsidP="000709BC">
            <w:pPr>
              <w:keepNext/>
              <w:rPr>
                <w:szCs w:val="22"/>
              </w:rPr>
            </w:pPr>
            <w:r w:rsidRPr="005B2844">
              <w:rPr>
                <w:szCs w:val="22"/>
              </w:rPr>
              <w:t>Patologie dell’occhio</w:t>
            </w:r>
          </w:p>
        </w:tc>
      </w:tr>
      <w:tr w:rsidR="008B6D53" w:rsidRPr="005B2844" w:rsidTr="00F82465">
        <w:tblPrEx>
          <w:tblCellMar>
            <w:top w:w="0" w:type="dxa"/>
            <w:bottom w:w="0" w:type="dxa"/>
          </w:tblCellMar>
        </w:tblPrEx>
        <w:tc>
          <w:tcPr>
            <w:tcW w:w="5210" w:type="dxa"/>
          </w:tcPr>
          <w:p w:rsidR="008B6D53" w:rsidRPr="005B2844" w:rsidRDefault="008B6D53" w:rsidP="0072602F">
            <w:pPr>
              <w:rPr>
                <w:szCs w:val="22"/>
              </w:rPr>
            </w:pPr>
            <w:r w:rsidRPr="005B2844">
              <w:rPr>
                <w:szCs w:val="22"/>
              </w:rPr>
              <w:tab/>
              <w:t>Non nota:</w:t>
            </w:r>
          </w:p>
        </w:tc>
        <w:tc>
          <w:tcPr>
            <w:tcW w:w="4537" w:type="dxa"/>
          </w:tcPr>
          <w:p w:rsidR="008B6D53" w:rsidRPr="005B2844" w:rsidRDefault="008B6D53" w:rsidP="00810C1C">
            <w:pPr>
              <w:rPr>
                <w:szCs w:val="22"/>
              </w:rPr>
            </w:pPr>
            <w:r w:rsidRPr="005B2844">
              <w:rPr>
                <w:szCs w:val="22"/>
              </w:rPr>
              <w:t>Xantopsia</w:t>
            </w:r>
            <w:r w:rsidR="00F54043" w:rsidRPr="005B2844">
              <w:rPr>
                <w:szCs w:val="22"/>
              </w:rPr>
              <w:t>,</w:t>
            </w:r>
            <w:r w:rsidRPr="005B2844">
              <w:rPr>
                <w:szCs w:val="22"/>
              </w:rPr>
              <w:t xml:space="preserve"> </w:t>
            </w:r>
            <w:r w:rsidR="004A700A" w:rsidRPr="005B2844">
              <w:rPr>
                <w:szCs w:val="22"/>
              </w:rPr>
              <w:t xml:space="preserve">miopia acuta, </w:t>
            </w:r>
            <w:r w:rsidR="00F54043" w:rsidRPr="005B2844">
              <w:rPr>
                <w:szCs w:val="22"/>
              </w:rPr>
              <w:t xml:space="preserve">glaucoma </w:t>
            </w:r>
            <w:r w:rsidR="003C3106" w:rsidRPr="005B2844">
              <w:rPr>
                <w:szCs w:val="22"/>
              </w:rPr>
              <w:t xml:space="preserve">acuto </w:t>
            </w:r>
            <w:r w:rsidR="00F54043" w:rsidRPr="005B2844">
              <w:rPr>
                <w:szCs w:val="22"/>
              </w:rPr>
              <w:t>ad angolo chiuso</w:t>
            </w:r>
            <w:r w:rsidR="000E049D">
              <w:rPr>
                <w:szCs w:val="22"/>
              </w:rPr>
              <w:t xml:space="preserve">, effusione </w:t>
            </w:r>
            <w:proofErr w:type="spellStart"/>
            <w:r w:rsidR="000E049D">
              <w:rPr>
                <w:szCs w:val="22"/>
              </w:rPr>
              <w:t>coroidale</w:t>
            </w:r>
            <w:proofErr w:type="spellEnd"/>
          </w:p>
          <w:p w:rsidR="008B6D53" w:rsidRPr="005B2844" w:rsidRDefault="008B6D53" w:rsidP="0072602F">
            <w:pPr>
              <w:rPr>
                <w:szCs w:val="22"/>
              </w:rPr>
            </w:pPr>
          </w:p>
        </w:tc>
      </w:tr>
      <w:tr w:rsidR="00717F34" w:rsidRPr="005B2844" w:rsidTr="00F82465">
        <w:tblPrEx>
          <w:tblCellMar>
            <w:top w:w="0" w:type="dxa"/>
            <w:bottom w:w="0" w:type="dxa"/>
          </w:tblCellMar>
        </w:tblPrEx>
        <w:tc>
          <w:tcPr>
            <w:tcW w:w="9747" w:type="dxa"/>
            <w:gridSpan w:val="2"/>
          </w:tcPr>
          <w:p w:rsidR="00717F34" w:rsidRPr="005B2844" w:rsidRDefault="00717F34" w:rsidP="0072602F">
            <w:pPr>
              <w:rPr>
                <w:szCs w:val="22"/>
              </w:rPr>
            </w:pPr>
            <w:r w:rsidRPr="005B2844">
              <w:rPr>
                <w:szCs w:val="22"/>
              </w:rPr>
              <w:t>Patologie</w:t>
            </w:r>
            <w:r w:rsidRPr="005B2844">
              <w:rPr>
                <w:noProof/>
                <w:szCs w:val="22"/>
              </w:rPr>
              <w:t xml:space="preserve"> vascolari</w:t>
            </w:r>
          </w:p>
        </w:tc>
      </w:tr>
      <w:tr w:rsidR="00717F34" w:rsidRPr="005B2844" w:rsidTr="00F82465">
        <w:tblPrEx>
          <w:tblCellMar>
            <w:top w:w="0" w:type="dxa"/>
            <w:bottom w:w="0" w:type="dxa"/>
          </w:tblCellMar>
        </w:tblPrEx>
        <w:tc>
          <w:tcPr>
            <w:tcW w:w="5210" w:type="dxa"/>
          </w:tcPr>
          <w:p w:rsidR="00717F34" w:rsidRPr="005B2844" w:rsidRDefault="00717F34" w:rsidP="0072602F">
            <w:pPr>
              <w:rPr>
                <w:noProof/>
                <w:szCs w:val="22"/>
              </w:rPr>
            </w:pPr>
            <w:r w:rsidRPr="005B2844">
              <w:rPr>
                <w:noProof/>
                <w:szCs w:val="22"/>
              </w:rPr>
              <w:tab/>
              <w:t>Non nota:</w:t>
            </w:r>
          </w:p>
        </w:tc>
        <w:tc>
          <w:tcPr>
            <w:tcW w:w="4537" w:type="dxa"/>
          </w:tcPr>
          <w:p w:rsidR="00717F34" w:rsidRPr="005B2844" w:rsidRDefault="00DF5AAD" w:rsidP="00810C1C">
            <w:pPr>
              <w:rPr>
                <w:szCs w:val="22"/>
              </w:rPr>
            </w:pPr>
            <w:r w:rsidRPr="005B2844">
              <w:rPr>
                <w:szCs w:val="22"/>
              </w:rPr>
              <w:t>Vasculite necrotizzante</w:t>
            </w:r>
          </w:p>
          <w:p w:rsidR="00717F34" w:rsidRPr="005B2844" w:rsidRDefault="00717F34"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r w:rsidRPr="005B2844">
              <w:rPr>
                <w:noProof/>
                <w:szCs w:val="22"/>
              </w:rPr>
              <w:t>Patologie gastrointestinali</w:t>
            </w:r>
          </w:p>
        </w:tc>
      </w:tr>
      <w:tr w:rsidR="00CA68C0" w:rsidRPr="005B2844" w:rsidTr="00F82465">
        <w:tblPrEx>
          <w:tblCellMar>
            <w:top w:w="0" w:type="dxa"/>
            <w:bottom w:w="0" w:type="dxa"/>
          </w:tblCellMar>
        </w:tblPrEx>
        <w:tc>
          <w:tcPr>
            <w:tcW w:w="5210" w:type="dxa"/>
          </w:tcPr>
          <w:p w:rsidR="00CA68C0" w:rsidRPr="005B2844" w:rsidRDefault="00CA68C0" w:rsidP="00810C1C">
            <w:pPr>
              <w:rPr>
                <w:noProof/>
                <w:szCs w:val="22"/>
              </w:rPr>
            </w:pPr>
            <w:r w:rsidRPr="005B2844">
              <w:rPr>
                <w:szCs w:val="22"/>
              </w:rPr>
              <w:tab/>
              <w:t>Comune:</w:t>
            </w:r>
          </w:p>
        </w:tc>
        <w:tc>
          <w:tcPr>
            <w:tcW w:w="4537" w:type="dxa"/>
          </w:tcPr>
          <w:p w:rsidR="00CA68C0" w:rsidRPr="005B2844" w:rsidRDefault="00CA68C0" w:rsidP="00810C1C">
            <w:pPr>
              <w:rPr>
                <w:szCs w:val="22"/>
              </w:rPr>
            </w:pPr>
            <w:r w:rsidRPr="005B2844">
              <w:rPr>
                <w:szCs w:val="22"/>
              </w:rPr>
              <w:t>Nausea</w:t>
            </w:r>
          </w:p>
        </w:tc>
      </w:tr>
      <w:tr w:rsidR="009241D0" w:rsidRPr="005B2844" w:rsidTr="00F82465">
        <w:tblPrEx>
          <w:tblCellMar>
            <w:top w:w="0" w:type="dxa"/>
            <w:bottom w:w="0" w:type="dxa"/>
          </w:tblCellMar>
        </w:tblPrEx>
        <w:tc>
          <w:tcPr>
            <w:tcW w:w="5210" w:type="dxa"/>
          </w:tcPr>
          <w:p w:rsidR="009241D0" w:rsidRPr="005B2844" w:rsidRDefault="009241D0" w:rsidP="00810C1C">
            <w:pPr>
              <w:rPr>
                <w:noProof/>
                <w:szCs w:val="22"/>
              </w:rPr>
            </w:pPr>
            <w:r w:rsidRPr="005B2844">
              <w:rPr>
                <w:noProof/>
                <w:szCs w:val="22"/>
              </w:rPr>
              <w:tab/>
              <w:t>Non nota:</w:t>
            </w:r>
          </w:p>
        </w:tc>
        <w:tc>
          <w:tcPr>
            <w:tcW w:w="4537" w:type="dxa"/>
          </w:tcPr>
          <w:p w:rsidR="009241D0" w:rsidRPr="005B2844" w:rsidRDefault="00CA68C0" w:rsidP="00810C1C">
            <w:pPr>
              <w:rPr>
                <w:szCs w:val="22"/>
              </w:rPr>
            </w:pPr>
            <w:r w:rsidRPr="005B2844">
              <w:rPr>
                <w:szCs w:val="22"/>
              </w:rPr>
              <w:t>P</w:t>
            </w:r>
            <w:r w:rsidR="009241D0" w:rsidRPr="005B2844">
              <w:rPr>
                <w:szCs w:val="22"/>
              </w:rPr>
              <w:t>ancreatite, disturbo gastrico</w:t>
            </w:r>
          </w:p>
          <w:p w:rsidR="009241D0" w:rsidRPr="005B2844" w:rsidRDefault="009241D0" w:rsidP="00810C1C">
            <w:pPr>
              <w:rPr>
                <w:szCs w:val="22"/>
              </w:rPr>
            </w:pPr>
          </w:p>
        </w:tc>
      </w:tr>
      <w:tr w:rsidR="009241D0" w:rsidRPr="005B2844" w:rsidTr="00F82465">
        <w:tblPrEx>
          <w:tblCellMar>
            <w:top w:w="0" w:type="dxa"/>
            <w:bottom w:w="0" w:type="dxa"/>
          </w:tblCellMar>
        </w:tblPrEx>
        <w:trPr>
          <w:trHeight w:val="272"/>
        </w:trPr>
        <w:tc>
          <w:tcPr>
            <w:tcW w:w="9747" w:type="dxa"/>
            <w:gridSpan w:val="2"/>
          </w:tcPr>
          <w:p w:rsidR="009241D0" w:rsidRPr="005B2844" w:rsidRDefault="009241D0" w:rsidP="0072602F">
            <w:pPr>
              <w:rPr>
                <w:szCs w:val="22"/>
              </w:rPr>
            </w:pPr>
            <w:r w:rsidRPr="005B2844">
              <w:rPr>
                <w:noProof/>
                <w:szCs w:val="22"/>
              </w:rPr>
              <w:t>Patologie epatobiliari</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9241D0" w:rsidP="00810C1C">
            <w:pPr>
              <w:rPr>
                <w:szCs w:val="22"/>
              </w:rPr>
            </w:pPr>
            <w:r w:rsidRPr="005B2844">
              <w:rPr>
                <w:szCs w:val="22"/>
              </w:rPr>
              <w:t>Ittero epatocellulare, ittero colestatico</w:t>
            </w:r>
          </w:p>
          <w:p w:rsidR="009241D0" w:rsidRPr="005B2844" w:rsidRDefault="009241D0"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r w:rsidRPr="005B2844">
              <w:rPr>
                <w:noProof/>
                <w:szCs w:val="22"/>
              </w:rPr>
              <w:t>Patologie della cute e del tessuto sottocutaneo</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9241D0" w:rsidP="00810C1C">
            <w:pPr>
              <w:rPr>
                <w:szCs w:val="22"/>
              </w:rPr>
            </w:pPr>
            <w:r w:rsidRPr="005B2844">
              <w:rPr>
                <w:szCs w:val="22"/>
              </w:rPr>
              <w:t xml:space="preserve">Sindrome simil </w:t>
            </w:r>
            <w:r w:rsidR="000216D5" w:rsidRPr="005B2844">
              <w:rPr>
                <w:szCs w:val="22"/>
              </w:rPr>
              <w:t>l</w:t>
            </w:r>
            <w:r w:rsidRPr="005B2844">
              <w:rPr>
                <w:szCs w:val="22"/>
              </w:rPr>
              <w:t xml:space="preserve">upus eritematoso, reazioni di fotosensibilità, vasculite cutanea, </w:t>
            </w:r>
            <w:proofErr w:type="spellStart"/>
            <w:r w:rsidRPr="005B2844">
              <w:rPr>
                <w:szCs w:val="22"/>
              </w:rPr>
              <w:t>necrolisi</w:t>
            </w:r>
            <w:proofErr w:type="spellEnd"/>
            <w:r w:rsidRPr="005B2844">
              <w:rPr>
                <w:szCs w:val="22"/>
              </w:rPr>
              <w:t xml:space="preserve"> tossica epidermica</w:t>
            </w:r>
            <w:r w:rsidR="00823E0D" w:rsidRPr="005B2844">
              <w:rPr>
                <w:szCs w:val="22"/>
              </w:rPr>
              <w:t>, eritema multiforme</w:t>
            </w:r>
          </w:p>
          <w:p w:rsidR="009241D0" w:rsidRPr="005B2844" w:rsidRDefault="009241D0"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r w:rsidRPr="005B2844">
              <w:rPr>
                <w:noProof/>
                <w:szCs w:val="22"/>
              </w:rPr>
              <w:t>Patologie del sistema muscoloscheletrico e del tessuto connettivo</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B947C3" w:rsidP="0072602F">
            <w:pPr>
              <w:rPr>
                <w:szCs w:val="22"/>
              </w:rPr>
            </w:pPr>
            <w:r w:rsidRPr="005B2844">
              <w:rPr>
                <w:szCs w:val="22"/>
              </w:rPr>
              <w:t>Debolezza</w:t>
            </w:r>
          </w:p>
          <w:p w:rsidR="009241D0" w:rsidRPr="005B2844" w:rsidRDefault="009241D0"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r w:rsidRPr="005B2844">
              <w:rPr>
                <w:noProof/>
                <w:szCs w:val="22"/>
              </w:rPr>
              <w:t>Patologie renali e urinarie</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9241D0" w:rsidP="00810C1C">
            <w:pPr>
              <w:rPr>
                <w:szCs w:val="22"/>
              </w:rPr>
            </w:pPr>
            <w:r w:rsidRPr="005B2844">
              <w:rPr>
                <w:szCs w:val="22"/>
              </w:rPr>
              <w:t xml:space="preserve">Nefrite interstiziale, </w:t>
            </w:r>
            <w:r w:rsidR="00B947C3" w:rsidRPr="005B2844">
              <w:rPr>
                <w:szCs w:val="22"/>
              </w:rPr>
              <w:t>disfunzione</w:t>
            </w:r>
            <w:r w:rsidRPr="005B2844">
              <w:rPr>
                <w:szCs w:val="22"/>
              </w:rPr>
              <w:t xml:space="preserve"> renale, glicosuria</w:t>
            </w:r>
          </w:p>
          <w:p w:rsidR="009241D0" w:rsidRPr="005B2844" w:rsidRDefault="009241D0"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r w:rsidRPr="005B2844">
              <w:rPr>
                <w:noProof/>
                <w:szCs w:val="22"/>
              </w:rPr>
              <w:t>Patologie sistemiche e condizioni relative alla sede di somministrazione</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9241D0" w:rsidP="0072602F">
            <w:pPr>
              <w:rPr>
                <w:szCs w:val="22"/>
              </w:rPr>
            </w:pPr>
            <w:r w:rsidRPr="005B2844">
              <w:rPr>
                <w:szCs w:val="22"/>
              </w:rPr>
              <w:t>Piressia</w:t>
            </w:r>
          </w:p>
          <w:p w:rsidR="009241D0" w:rsidRPr="005B2844" w:rsidRDefault="009241D0" w:rsidP="0072602F">
            <w:pPr>
              <w:rPr>
                <w:szCs w:val="22"/>
              </w:rPr>
            </w:pPr>
          </w:p>
        </w:tc>
      </w:tr>
      <w:tr w:rsidR="009241D0" w:rsidRPr="005B2844" w:rsidTr="00F82465">
        <w:tblPrEx>
          <w:tblCellMar>
            <w:top w:w="0" w:type="dxa"/>
            <w:bottom w:w="0" w:type="dxa"/>
          </w:tblCellMar>
        </w:tblPrEx>
        <w:tc>
          <w:tcPr>
            <w:tcW w:w="9747" w:type="dxa"/>
            <w:gridSpan w:val="2"/>
          </w:tcPr>
          <w:p w:rsidR="009241D0" w:rsidRPr="005B2844" w:rsidRDefault="009241D0" w:rsidP="0072602F">
            <w:pPr>
              <w:rPr>
                <w:szCs w:val="22"/>
              </w:rPr>
            </w:pPr>
            <w:bookmarkStart w:id="8" w:name="OLE_LINK15"/>
            <w:r w:rsidRPr="005B2844">
              <w:rPr>
                <w:szCs w:val="22"/>
              </w:rPr>
              <w:t>Esami diagnostici</w:t>
            </w:r>
          </w:p>
        </w:tc>
      </w:tr>
      <w:tr w:rsidR="009241D0" w:rsidRPr="005B2844" w:rsidTr="00F82465">
        <w:tblPrEx>
          <w:tblCellMar>
            <w:top w:w="0" w:type="dxa"/>
            <w:bottom w:w="0" w:type="dxa"/>
          </w:tblCellMar>
        </w:tblPrEx>
        <w:tc>
          <w:tcPr>
            <w:tcW w:w="5210" w:type="dxa"/>
          </w:tcPr>
          <w:p w:rsidR="009241D0" w:rsidRPr="005B2844" w:rsidRDefault="009241D0" w:rsidP="0072602F">
            <w:pPr>
              <w:rPr>
                <w:noProof/>
                <w:szCs w:val="22"/>
              </w:rPr>
            </w:pPr>
            <w:r w:rsidRPr="005B2844">
              <w:rPr>
                <w:noProof/>
                <w:szCs w:val="22"/>
              </w:rPr>
              <w:tab/>
              <w:t>Non nota:</w:t>
            </w:r>
          </w:p>
        </w:tc>
        <w:tc>
          <w:tcPr>
            <w:tcW w:w="4537" w:type="dxa"/>
          </w:tcPr>
          <w:p w:rsidR="009241D0" w:rsidRPr="005B2844" w:rsidRDefault="009241D0" w:rsidP="0072602F">
            <w:pPr>
              <w:rPr>
                <w:szCs w:val="22"/>
              </w:rPr>
            </w:pPr>
            <w:r w:rsidRPr="005B2844">
              <w:rPr>
                <w:szCs w:val="22"/>
              </w:rPr>
              <w:t>Aumento dei trigliceridi</w:t>
            </w:r>
          </w:p>
          <w:p w:rsidR="00E66BB3" w:rsidRPr="005B2844" w:rsidRDefault="00E66BB3" w:rsidP="0072602F">
            <w:pPr>
              <w:rPr>
                <w:szCs w:val="22"/>
              </w:rPr>
            </w:pPr>
          </w:p>
        </w:tc>
      </w:tr>
      <w:bookmarkEnd w:id="8"/>
    </w:tbl>
    <w:p w:rsidR="00706A2C" w:rsidRPr="005B2844" w:rsidRDefault="00706A2C" w:rsidP="0072602F">
      <w:pPr>
        <w:pStyle w:val="BodyText2"/>
        <w:tabs>
          <w:tab w:val="clear" w:pos="567"/>
        </w:tabs>
        <w:ind w:left="0" w:firstLine="0"/>
        <w:rPr>
          <w:i/>
          <w:szCs w:val="22"/>
        </w:rPr>
      </w:pPr>
    </w:p>
    <w:p w:rsidR="00A70FCB" w:rsidRPr="005B2844" w:rsidRDefault="005C6B47" w:rsidP="002229F2">
      <w:pPr>
        <w:pStyle w:val="BodyText2"/>
        <w:keepNext/>
        <w:tabs>
          <w:tab w:val="clear" w:pos="567"/>
        </w:tabs>
        <w:ind w:left="0" w:firstLine="0"/>
        <w:rPr>
          <w:szCs w:val="22"/>
          <w:u w:val="single"/>
        </w:rPr>
      </w:pPr>
      <w:r w:rsidRPr="005B2844">
        <w:rPr>
          <w:szCs w:val="22"/>
          <w:u w:val="single"/>
        </w:rPr>
        <w:t>Descrizione delle reazioni avverse selezionate</w:t>
      </w:r>
    </w:p>
    <w:p w:rsidR="005C6B47" w:rsidRPr="005B2844" w:rsidRDefault="005C6B47" w:rsidP="002229F2">
      <w:pPr>
        <w:pStyle w:val="BodyText2"/>
        <w:keepNext/>
        <w:tabs>
          <w:tab w:val="clear" w:pos="567"/>
        </w:tabs>
        <w:ind w:left="0" w:firstLine="0"/>
        <w:rPr>
          <w:szCs w:val="22"/>
        </w:rPr>
      </w:pPr>
    </w:p>
    <w:p w:rsidR="005C6B47" w:rsidRPr="005B2844" w:rsidRDefault="005C6B47" w:rsidP="002229F2">
      <w:pPr>
        <w:pStyle w:val="BodyText2"/>
        <w:keepNext/>
        <w:tabs>
          <w:tab w:val="clear" w:pos="567"/>
        </w:tabs>
        <w:ind w:left="0" w:firstLine="0"/>
        <w:rPr>
          <w:szCs w:val="22"/>
          <w:u w:val="single"/>
        </w:rPr>
      </w:pPr>
      <w:r w:rsidRPr="005B2844">
        <w:rPr>
          <w:szCs w:val="22"/>
          <w:u w:val="single"/>
        </w:rPr>
        <w:t>Funzionalità epatica alterata / disturbo epatico</w:t>
      </w:r>
    </w:p>
    <w:p w:rsidR="005C6B47" w:rsidRPr="005B2844" w:rsidRDefault="005C6B47" w:rsidP="00E664AB">
      <w:pPr>
        <w:rPr>
          <w:szCs w:val="22"/>
        </w:rPr>
      </w:pPr>
      <w:r w:rsidRPr="005B2844">
        <w:rPr>
          <w:szCs w:val="22"/>
        </w:rPr>
        <w:t xml:space="preserve">La maggior parte dei casi di funzionalità epatica alterata / disturbo epatico registrati con </w:t>
      </w:r>
      <w:proofErr w:type="spellStart"/>
      <w:r w:rsidRPr="005B2844">
        <w:rPr>
          <w:szCs w:val="22"/>
        </w:rPr>
        <w:t>telmisartan</w:t>
      </w:r>
      <w:proofErr w:type="spellEnd"/>
      <w:r w:rsidRPr="005B2844">
        <w:rPr>
          <w:szCs w:val="22"/>
        </w:rPr>
        <w:t xml:space="preserve"> successivamente alla commercializzazione si sono verificati in pazienti giapponesi. I pazienti giapponesi sono più predisposti a manifestare queste reazioni avverse.</w:t>
      </w:r>
    </w:p>
    <w:p w:rsidR="005C6B47" w:rsidRPr="005B2844" w:rsidRDefault="005C6B47" w:rsidP="0072602F">
      <w:pPr>
        <w:pStyle w:val="BodyText2"/>
        <w:tabs>
          <w:tab w:val="clear" w:pos="567"/>
        </w:tabs>
        <w:ind w:left="0" w:firstLine="0"/>
        <w:rPr>
          <w:szCs w:val="22"/>
        </w:rPr>
      </w:pPr>
    </w:p>
    <w:p w:rsidR="005C6B47" w:rsidRPr="005B2844" w:rsidRDefault="005C6B47" w:rsidP="002229F2">
      <w:pPr>
        <w:pStyle w:val="BodyText2"/>
        <w:keepNext/>
        <w:tabs>
          <w:tab w:val="clear" w:pos="567"/>
        </w:tabs>
        <w:ind w:left="0" w:firstLine="0"/>
        <w:rPr>
          <w:szCs w:val="22"/>
          <w:u w:val="single"/>
        </w:rPr>
      </w:pPr>
      <w:r w:rsidRPr="005B2844">
        <w:rPr>
          <w:szCs w:val="22"/>
          <w:u w:val="single"/>
        </w:rPr>
        <w:t>Sepsi</w:t>
      </w:r>
    </w:p>
    <w:p w:rsidR="005C6B47" w:rsidRPr="005B2844" w:rsidRDefault="005C6B47" w:rsidP="00E664AB">
      <w:pPr>
        <w:rPr>
          <w:szCs w:val="22"/>
        </w:rPr>
      </w:pPr>
      <w:r w:rsidRPr="005B2844">
        <w:rPr>
          <w:szCs w:val="22"/>
        </w:rPr>
        <w:t xml:space="preserve">Nello studio </w:t>
      </w:r>
      <w:proofErr w:type="spellStart"/>
      <w:r w:rsidRPr="005B2844">
        <w:rPr>
          <w:szCs w:val="22"/>
        </w:rPr>
        <w:t>PRoFESS</w:t>
      </w:r>
      <w:proofErr w:type="spellEnd"/>
      <w:r w:rsidRPr="005B2844">
        <w:rPr>
          <w:szCs w:val="22"/>
        </w:rPr>
        <w:t xml:space="preserve"> è stata osservata un’aumentata incidenza di sepsi con </w:t>
      </w:r>
      <w:proofErr w:type="spellStart"/>
      <w:r w:rsidRPr="005B2844">
        <w:rPr>
          <w:szCs w:val="22"/>
        </w:rPr>
        <w:t>telmisartan</w:t>
      </w:r>
      <w:proofErr w:type="spellEnd"/>
      <w:r w:rsidRPr="005B2844">
        <w:rPr>
          <w:szCs w:val="22"/>
        </w:rPr>
        <w:t xml:space="preserve"> rispetto a placebo. L’evento può essere un risultato casuale o può essere correlato ad un meccanismo attualmente non noto (vedere paragrafo 5.1).</w:t>
      </w:r>
    </w:p>
    <w:p w:rsidR="005C6B47" w:rsidRPr="005B2844" w:rsidRDefault="005C6B47" w:rsidP="0072602F">
      <w:pPr>
        <w:pStyle w:val="BodyText2"/>
        <w:tabs>
          <w:tab w:val="clear" w:pos="567"/>
        </w:tabs>
        <w:ind w:left="0" w:firstLine="0"/>
        <w:rPr>
          <w:szCs w:val="22"/>
        </w:rPr>
      </w:pPr>
    </w:p>
    <w:p w:rsidR="00F0099F" w:rsidRPr="005B2844" w:rsidRDefault="00F0099F" w:rsidP="002229F2">
      <w:pPr>
        <w:pStyle w:val="BodyText2"/>
        <w:keepNext/>
        <w:tabs>
          <w:tab w:val="clear" w:pos="567"/>
        </w:tabs>
        <w:ind w:left="0" w:firstLine="0"/>
        <w:rPr>
          <w:szCs w:val="22"/>
          <w:u w:val="single"/>
        </w:rPr>
      </w:pPr>
      <w:r w:rsidRPr="005B2844">
        <w:rPr>
          <w:szCs w:val="22"/>
          <w:u w:val="single"/>
        </w:rPr>
        <w:t>Malattia polmonare interstiziale</w:t>
      </w:r>
    </w:p>
    <w:p w:rsidR="00F0099F" w:rsidRPr="005B2844" w:rsidRDefault="00F0099F" w:rsidP="0072602F">
      <w:pPr>
        <w:pStyle w:val="BodyText2"/>
        <w:tabs>
          <w:tab w:val="clear" w:pos="567"/>
        </w:tabs>
        <w:ind w:left="0" w:firstLine="0"/>
        <w:rPr>
          <w:szCs w:val="22"/>
        </w:rPr>
      </w:pPr>
      <w:r w:rsidRPr="005B2844">
        <w:rPr>
          <w:szCs w:val="22"/>
        </w:rPr>
        <w:t>Sono stati riportati casi di malattia polmonare interstiziale successiva</w:t>
      </w:r>
      <w:r w:rsidR="008F76EC" w:rsidRPr="005B2844">
        <w:rPr>
          <w:szCs w:val="22"/>
        </w:rPr>
        <w:t>mente</w:t>
      </w:r>
      <w:r w:rsidRPr="005B2844">
        <w:rPr>
          <w:szCs w:val="22"/>
        </w:rPr>
        <w:t xml:space="preserve"> alla commercializzazione</w:t>
      </w:r>
      <w:r w:rsidR="008F76EC" w:rsidRPr="005B2844">
        <w:rPr>
          <w:szCs w:val="22"/>
        </w:rPr>
        <w:t>,</w:t>
      </w:r>
      <w:r w:rsidRPr="005B2844">
        <w:rPr>
          <w:szCs w:val="22"/>
        </w:rPr>
        <w:t xml:space="preserve"> in associazione temporale con l’assunzione di </w:t>
      </w:r>
      <w:proofErr w:type="spellStart"/>
      <w:r w:rsidRPr="005B2844">
        <w:rPr>
          <w:szCs w:val="22"/>
        </w:rPr>
        <w:t>telmisartan</w:t>
      </w:r>
      <w:proofErr w:type="spellEnd"/>
      <w:r w:rsidRPr="005B2844">
        <w:rPr>
          <w:szCs w:val="22"/>
        </w:rPr>
        <w:t>. Tuttavia non è stata stabilita una relazione causale.</w:t>
      </w:r>
    </w:p>
    <w:p w:rsidR="003E5521" w:rsidRPr="005B2844" w:rsidRDefault="003E5521" w:rsidP="003E5521">
      <w:pPr>
        <w:pStyle w:val="BodyText2"/>
        <w:tabs>
          <w:tab w:val="clear" w:pos="567"/>
        </w:tabs>
        <w:rPr>
          <w:szCs w:val="22"/>
        </w:rPr>
      </w:pPr>
    </w:p>
    <w:p w:rsidR="00F82465" w:rsidRPr="005B2844" w:rsidRDefault="002433C6" w:rsidP="000709BC">
      <w:pPr>
        <w:pStyle w:val="BodyText2"/>
        <w:keepNext/>
        <w:tabs>
          <w:tab w:val="clear" w:pos="567"/>
        </w:tabs>
        <w:ind w:left="0" w:firstLine="0"/>
        <w:rPr>
          <w:szCs w:val="22"/>
          <w:u w:val="single"/>
        </w:rPr>
      </w:pPr>
      <w:r w:rsidRPr="005B2844">
        <w:rPr>
          <w:szCs w:val="22"/>
          <w:u w:val="single"/>
        </w:rPr>
        <w:t>Cancro cutaneo non melanoma</w:t>
      </w:r>
    </w:p>
    <w:p w:rsidR="00F82465" w:rsidRPr="005B2844" w:rsidRDefault="00F82465" w:rsidP="000709BC">
      <w:pPr>
        <w:pStyle w:val="BodyText2"/>
        <w:keepNext/>
        <w:tabs>
          <w:tab w:val="clear" w:pos="567"/>
        </w:tabs>
        <w:ind w:left="0" w:firstLine="0"/>
        <w:rPr>
          <w:szCs w:val="22"/>
        </w:rPr>
      </w:pPr>
      <w:r w:rsidRPr="005B2844">
        <w:rPr>
          <w:szCs w:val="22"/>
        </w:rPr>
        <w:t xml:space="preserve">Sulla base dei dati disponibili provenienti da studi epidemiologici, è stata osservata un’associazione tra HCTZ e NMSC, correlata alla dose </w:t>
      </w:r>
      <w:proofErr w:type="spellStart"/>
      <w:r w:rsidRPr="005B2844">
        <w:rPr>
          <w:szCs w:val="22"/>
        </w:rPr>
        <w:t>cumulativaassunta</w:t>
      </w:r>
      <w:proofErr w:type="spellEnd"/>
      <w:r w:rsidRPr="005B2844">
        <w:rPr>
          <w:szCs w:val="22"/>
        </w:rPr>
        <w:t xml:space="preserve"> (vedere anche i paragrafi </w:t>
      </w:r>
      <w:r w:rsidR="002433C6" w:rsidRPr="005B2844">
        <w:rPr>
          <w:szCs w:val="22"/>
        </w:rPr>
        <w:t>4.4. e 5.1).</w:t>
      </w:r>
    </w:p>
    <w:p w:rsidR="00F82465" w:rsidRPr="005B2844" w:rsidRDefault="00F82465" w:rsidP="000709BC">
      <w:pPr>
        <w:pStyle w:val="BodyText2"/>
        <w:keepNext/>
        <w:tabs>
          <w:tab w:val="clear" w:pos="567"/>
        </w:tabs>
        <w:ind w:left="0" w:firstLine="0"/>
        <w:rPr>
          <w:szCs w:val="22"/>
          <w:u w:val="single"/>
        </w:rPr>
      </w:pPr>
    </w:p>
    <w:p w:rsidR="003E5521" w:rsidRPr="005B2844" w:rsidRDefault="003E5521" w:rsidP="000709BC">
      <w:pPr>
        <w:pStyle w:val="BodyText2"/>
        <w:keepNext/>
        <w:tabs>
          <w:tab w:val="clear" w:pos="567"/>
        </w:tabs>
        <w:ind w:left="0" w:firstLine="0"/>
        <w:rPr>
          <w:szCs w:val="22"/>
          <w:u w:val="single"/>
        </w:rPr>
      </w:pPr>
      <w:r w:rsidRPr="005B2844">
        <w:rPr>
          <w:szCs w:val="22"/>
          <w:u w:val="single"/>
        </w:rPr>
        <w:t>Segnalazione delle reazioni avverse sospette</w:t>
      </w:r>
    </w:p>
    <w:p w:rsidR="003E5521" w:rsidRPr="005B2844" w:rsidRDefault="003E5521" w:rsidP="003E5521">
      <w:pPr>
        <w:pStyle w:val="BodyText2"/>
        <w:tabs>
          <w:tab w:val="clear" w:pos="567"/>
        </w:tabs>
        <w:ind w:left="0" w:firstLine="0"/>
        <w:rPr>
          <w:szCs w:val="22"/>
        </w:rPr>
      </w:pPr>
      <w:r w:rsidRPr="005B2844">
        <w:rPr>
          <w:szCs w:val="22"/>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5B2844">
        <w:rPr>
          <w:szCs w:val="22"/>
          <w:highlight w:val="lightGray"/>
        </w:rPr>
        <w:t>il sistema nazionale di segnalazione riportato nell’</w:t>
      </w:r>
      <w:hyperlink r:id="rId10" w:history="1">
        <w:r w:rsidR="00EB6206" w:rsidRPr="005B2844">
          <w:rPr>
            <w:rStyle w:val="Hyperlink"/>
            <w:szCs w:val="22"/>
            <w:highlight w:val="lightGray"/>
          </w:rPr>
          <w:t>a</w:t>
        </w:r>
        <w:r w:rsidRPr="005B2844">
          <w:rPr>
            <w:rStyle w:val="Hyperlink"/>
            <w:szCs w:val="22"/>
            <w:highlight w:val="lightGray"/>
          </w:rPr>
          <w:t>llegato V</w:t>
        </w:r>
      </w:hyperlink>
      <w:r w:rsidRPr="005B2844">
        <w:rPr>
          <w:szCs w:val="22"/>
        </w:rPr>
        <w:t>.</w:t>
      </w:r>
    </w:p>
    <w:p w:rsidR="00F0099F" w:rsidRPr="005B2844" w:rsidRDefault="00F0099F" w:rsidP="0072602F">
      <w:pPr>
        <w:pStyle w:val="BodyText2"/>
        <w:tabs>
          <w:tab w:val="clear" w:pos="567"/>
        </w:tabs>
        <w:ind w:left="0" w:firstLine="0"/>
        <w:rPr>
          <w:szCs w:val="22"/>
        </w:rPr>
      </w:pPr>
    </w:p>
    <w:p w:rsidR="00A70FCB" w:rsidRPr="005B2844" w:rsidRDefault="00A70FCB" w:rsidP="002229F2">
      <w:pPr>
        <w:keepNext/>
        <w:tabs>
          <w:tab w:val="left" w:pos="567"/>
        </w:tabs>
        <w:rPr>
          <w:b/>
          <w:szCs w:val="22"/>
        </w:rPr>
      </w:pPr>
      <w:r w:rsidRPr="005B2844">
        <w:rPr>
          <w:b/>
          <w:szCs w:val="22"/>
        </w:rPr>
        <w:t>4.9</w:t>
      </w:r>
      <w:r w:rsidRPr="005B2844">
        <w:rPr>
          <w:b/>
          <w:szCs w:val="22"/>
        </w:rPr>
        <w:tab/>
        <w:t>Sovradosaggio</w:t>
      </w:r>
    </w:p>
    <w:p w:rsidR="00A70FCB" w:rsidRPr="005B2844" w:rsidRDefault="00A70FCB" w:rsidP="002229F2">
      <w:pPr>
        <w:keepNext/>
        <w:rPr>
          <w:szCs w:val="22"/>
        </w:rPr>
      </w:pPr>
    </w:p>
    <w:p w:rsidR="009C0D91" w:rsidRPr="005B2844" w:rsidRDefault="00B737D2" w:rsidP="0072602F">
      <w:pPr>
        <w:rPr>
          <w:szCs w:val="22"/>
        </w:rPr>
      </w:pPr>
      <w:r w:rsidRPr="005B2844">
        <w:rPr>
          <w:szCs w:val="22"/>
        </w:rPr>
        <w:t>Le informazioni</w:t>
      </w:r>
      <w:r w:rsidR="009C0D91" w:rsidRPr="005B2844">
        <w:rPr>
          <w:szCs w:val="22"/>
        </w:rPr>
        <w:t xml:space="preserve"> disponibili </w:t>
      </w:r>
      <w:r w:rsidRPr="005B2844">
        <w:rPr>
          <w:szCs w:val="22"/>
        </w:rPr>
        <w:t xml:space="preserve">riguardo al </w:t>
      </w:r>
      <w:r w:rsidR="009C0D91" w:rsidRPr="005B2844">
        <w:rPr>
          <w:szCs w:val="22"/>
        </w:rPr>
        <w:t>sovradosaggio d</w:t>
      </w:r>
      <w:r w:rsidRPr="005B2844">
        <w:rPr>
          <w:szCs w:val="22"/>
        </w:rPr>
        <w:t>i</w:t>
      </w:r>
      <w:r w:rsidR="009C0D91" w:rsidRPr="005B2844">
        <w:rPr>
          <w:szCs w:val="22"/>
        </w:rPr>
        <w:t xml:space="preserve"> </w:t>
      </w:r>
      <w:proofErr w:type="spellStart"/>
      <w:r w:rsidR="009C0D91" w:rsidRPr="005B2844">
        <w:rPr>
          <w:szCs w:val="22"/>
        </w:rPr>
        <w:t>telmisartan</w:t>
      </w:r>
      <w:proofErr w:type="spellEnd"/>
      <w:r w:rsidR="009C0D91" w:rsidRPr="005B2844">
        <w:rPr>
          <w:szCs w:val="22"/>
        </w:rPr>
        <w:t xml:space="preserve"> nell’uomo</w:t>
      </w:r>
      <w:r w:rsidRPr="005B2844">
        <w:rPr>
          <w:szCs w:val="22"/>
        </w:rPr>
        <w:t xml:space="preserve"> sono limitate</w:t>
      </w:r>
      <w:r w:rsidR="009C0D91" w:rsidRPr="005B2844">
        <w:rPr>
          <w:szCs w:val="22"/>
        </w:rPr>
        <w:t>. Non è stata stabilita la quantità dell’</w:t>
      </w:r>
      <w:proofErr w:type="spellStart"/>
      <w:r w:rsidR="009C0D91" w:rsidRPr="005B2844">
        <w:rPr>
          <w:szCs w:val="22"/>
        </w:rPr>
        <w:t>idroclorotiazide</w:t>
      </w:r>
      <w:proofErr w:type="spellEnd"/>
      <w:r w:rsidR="009C0D91" w:rsidRPr="005B2844">
        <w:rPr>
          <w:szCs w:val="22"/>
        </w:rPr>
        <w:t xml:space="preserve"> che viene rimossa dall’emodialisi.</w:t>
      </w:r>
    </w:p>
    <w:p w:rsidR="009C0D91" w:rsidRPr="005B2844" w:rsidRDefault="009C0D91" w:rsidP="0072602F">
      <w:pPr>
        <w:rPr>
          <w:szCs w:val="22"/>
        </w:rPr>
      </w:pPr>
    </w:p>
    <w:p w:rsidR="0068303B" w:rsidRPr="005B2844" w:rsidRDefault="009C0D91" w:rsidP="008A1E96">
      <w:pPr>
        <w:keepNext/>
        <w:rPr>
          <w:szCs w:val="22"/>
        </w:rPr>
      </w:pPr>
      <w:r w:rsidRPr="005B2844">
        <w:rPr>
          <w:szCs w:val="22"/>
          <w:u w:val="single"/>
        </w:rPr>
        <w:t>Sintomi</w:t>
      </w:r>
    </w:p>
    <w:p w:rsidR="009C0D91" w:rsidRPr="005B2844" w:rsidRDefault="009C0D91" w:rsidP="0072602F">
      <w:pPr>
        <w:rPr>
          <w:szCs w:val="22"/>
        </w:rPr>
      </w:pPr>
      <w:r w:rsidRPr="005B2844">
        <w:rPr>
          <w:szCs w:val="22"/>
        </w:rPr>
        <w:t xml:space="preserve">Le manifestazioni più </w:t>
      </w:r>
      <w:r w:rsidR="00CC58EB" w:rsidRPr="005B2844">
        <w:rPr>
          <w:szCs w:val="22"/>
        </w:rPr>
        <w:t xml:space="preserve">rilevanti </w:t>
      </w:r>
      <w:r w:rsidRPr="005B2844">
        <w:rPr>
          <w:szCs w:val="22"/>
        </w:rPr>
        <w:t xml:space="preserve">legate al sovradosaggio di </w:t>
      </w:r>
      <w:proofErr w:type="spellStart"/>
      <w:r w:rsidRPr="005B2844">
        <w:rPr>
          <w:szCs w:val="22"/>
        </w:rPr>
        <w:t>telmisartan</w:t>
      </w:r>
      <w:proofErr w:type="spellEnd"/>
      <w:r w:rsidRPr="005B2844">
        <w:rPr>
          <w:szCs w:val="22"/>
        </w:rPr>
        <w:t xml:space="preserve"> sono </w:t>
      </w:r>
      <w:r w:rsidR="00CC58EB" w:rsidRPr="005B2844">
        <w:rPr>
          <w:szCs w:val="22"/>
        </w:rPr>
        <w:t xml:space="preserve">state </w:t>
      </w:r>
      <w:r w:rsidRPr="005B2844">
        <w:rPr>
          <w:szCs w:val="22"/>
        </w:rPr>
        <w:t xml:space="preserve">ipotensione e tachicardia; </w:t>
      </w:r>
      <w:r w:rsidR="00CC58EB" w:rsidRPr="005B2844">
        <w:rPr>
          <w:szCs w:val="22"/>
        </w:rPr>
        <w:t xml:space="preserve">sono stati riportati </w:t>
      </w:r>
      <w:r w:rsidRPr="005B2844">
        <w:rPr>
          <w:szCs w:val="22"/>
        </w:rPr>
        <w:t>anche bradicardia</w:t>
      </w:r>
      <w:r w:rsidR="00CC58EB" w:rsidRPr="005B2844">
        <w:rPr>
          <w:szCs w:val="22"/>
        </w:rPr>
        <w:t>, capogiro, vomito, aumento della creatinina sierica e insufficienza renale acuta</w:t>
      </w:r>
      <w:r w:rsidRPr="005B2844">
        <w:rPr>
          <w:szCs w:val="22"/>
        </w:rPr>
        <w:t>. Il sovradosaggio dell’</w:t>
      </w:r>
      <w:proofErr w:type="spellStart"/>
      <w:r w:rsidRPr="005B2844">
        <w:rPr>
          <w:szCs w:val="22"/>
        </w:rPr>
        <w:t>idroclorotiazide</w:t>
      </w:r>
      <w:proofErr w:type="spellEnd"/>
      <w:r w:rsidRPr="005B2844">
        <w:rPr>
          <w:szCs w:val="22"/>
        </w:rPr>
        <w:t xml:space="preserve"> è associato alla deplezione di elettroliti (ipo</w:t>
      </w:r>
      <w:r w:rsidR="00096E7E" w:rsidRPr="005B2844">
        <w:rPr>
          <w:szCs w:val="22"/>
        </w:rPr>
        <w:t>kalie</w:t>
      </w:r>
      <w:r w:rsidRPr="005B2844">
        <w:rPr>
          <w:szCs w:val="22"/>
        </w:rPr>
        <w:t xml:space="preserve">mia e </w:t>
      </w:r>
      <w:proofErr w:type="spellStart"/>
      <w:r w:rsidRPr="005B2844">
        <w:rPr>
          <w:szCs w:val="22"/>
        </w:rPr>
        <w:t>ipocloremia</w:t>
      </w:r>
      <w:proofErr w:type="spellEnd"/>
      <w:r w:rsidRPr="005B2844">
        <w:rPr>
          <w:szCs w:val="22"/>
        </w:rPr>
        <w:t xml:space="preserve">) e a </w:t>
      </w:r>
      <w:r w:rsidR="009471AD" w:rsidRPr="005B2844">
        <w:rPr>
          <w:szCs w:val="22"/>
        </w:rPr>
        <w:t xml:space="preserve">ipovolemia </w:t>
      </w:r>
      <w:r w:rsidRPr="005B2844">
        <w:rPr>
          <w:szCs w:val="22"/>
        </w:rPr>
        <w:t>causata dalla eccessiva diuresi. I segni e sintomi più comuni di sovradosaggio sono nausea e sonnolenza. L’ipo</w:t>
      </w:r>
      <w:r w:rsidR="00096E7E" w:rsidRPr="005B2844">
        <w:rPr>
          <w:szCs w:val="22"/>
        </w:rPr>
        <w:t>kali</w:t>
      </w:r>
      <w:r w:rsidRPr="005B2844">
        <w:rPr>
          <w:szCs w:val="22"/>
        </w:rPr>
        <w:t xml:space="preserve">emia può indurre spasmo muscolare e/o accentuare aritmie cardiache associate all’uso concomitante di glicosidi della digitale o </w:t>
      </w:r>
      <w:r w:rsidR="00DE7A10" w:rsidRPr="005B2844">
        <w:rPr>
          <w:szCs w:val="22"/>
        </w:rPr>
        <w:t xml:space="preserve">di </w:t>
      </w:r>
      <w:r w:rsidR="00B947C3" w:rsidRPr="005B2844">
        <w:rPr>
          <w:szCs w:val="22"/>
        </w:rPr>
        <w:t xml:space="preserve">alcuni </w:t>
      </w:r>
      <w:r w:rsidRPr="005B2844">
        <w:rPr>
          <w:szCs w:val="22"/>
        </w:rPr>
        <w:t>medicinali antiaritmici.</w:t>
      </w:r>
    </w:p>
    <w:p w:rsidR="009C0D91" w:rsidRPr="005B2844" w:rsidRDefault="009C0D91" w:rsidP="0072602F">
      <w:pPr>
        <w:rPr>
          <w:szCs w:val="22"/>
        </w:rPr>
      </w:pPr>
    </w:p>
    <w:p w:rsidR="0068303B" w:rsidRPr="005B2844" w:rsidRDefault="009C0D91" w:rsidP="008A1E96">
      <w:pPr>
        <w:keepNext/>
        <w:rPr>
          <w:szCs w:val="22"/>
        </w:rPr>
      </w:pPr>
      <w:r w:rsidRPr="005B2844">
        <w:rPr>
          <w:szCs w:val="22"/>
          <w:u w:val="single"/>
        </w:rPr>
        <w:t>Trattamento</w:t>
      </w:r>
    </w:p>
    <w:p w:rsidR="00A70FCB" w:rsidRPr="005B2844" w:rsidRDefault="009A2DAF" w:rsidP="0072602F">
      <w:pPr>
        <w:rPr>
          <w:szCs w:val="22"/>
        </w:rPr>
      </w:pPr>
      <w:proofErr w:type="spellStart"/>
      <w:r w:rsidRPr="005B2844">
        <w:rPr>
          <w:szCs w:val="22"/>
        </w:rPr>
        <w:t>Telmisartan</w:t>
      </w:r>
      <w:proofErr w:type="spellEnd"/>
      <w:r w:rsidRPr="005B2844">
        <w:rPr>
          <w:szCs w:val="22"/>
        </w:rPr>
        <w:t xml:space="preserve"> non viene rimosso dall’emodialisi. </w:t>
      </w:r>
      <w:r w:rsidR="00A70FCB" w:rsidRPr="005B2844">
        <w:rPr>
          <w:szCs w:val="22"/>
        </w:rPr>
        <w:t xml:space="preserve">Il paziente deve essere strettamente controllato e il trattamento deve essere sintomatico e di supporto. Il trattamento dipende dal tempo trascorso dall’ingestione e dalla gravità dei sintomi. Le misure suggerite includono induzione di </w:t>
      </w:r>
      <w:proofErr w:type="spellStart"/>
      <w:r w:rsidR="00A70FCB" w:rsidRPr="005B2844">
        <w:rPr>
          <w:szCs w:val="22"/>
        </w:rPr>
        <w:t>emesi</w:t>
      </w:r>
      <w:proofErr w:type="spellEnd"/>
      <w:r w:rsidR="00A70FCB" w:rsidRPr="005B2844">
        <w:rPr>
          <w:szCs w:val="22"/>
        </w:rPr>
        <w:t xml:space="preserve"> e/o lavanda gastrica. Il carbone attivo può essere utile nel trattamento del sovradosaggio. I livelli degli elettroliti sierici e della creatinina devono essere controllati frequentemente. Nel caso di ipotensione, il paziente deve essere posto in posizione supina e sali e fluidi devono </w:t>
      </w:r>
      <w:r w:rsidR="001A00BB" w:rsidRPr="005B2844">
        <w:rPr>
          <w:szCs w:val="22"/>
        </w:rPr>
        <w:t>essere reintegrati rapidamente.</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5.</w:t>
      </w:r>
      <w:r w:rsidRPr="005B2844">
        <w:rPr>
          <w:b/>
          <w:szCs w:val="22"/>
        </w:rPr>
        <w:tab/>
        <w:t>PROPRIETÀ FARMACOLOGICHE</w:t>
      </w:r>
    </w:p>
    <w:p w:rsidR="00A70FCB" w:rsidRPr="005B2844" w:rsidRDefault="00A70FCB" w:rsidP="002229F2">
      <w:pPr>
        <w:keepNext/>
        <w:rPr>
          <w:szCs w:val="22"/>
        </w:rPr>
      </w:pPr>
    </w:p>
    <w:p w:rsidR="00A70FCB" w:rsidRPr="005B2844" w:rsidRDefault="00A70FCB" w:rsidP="002229F2">
      <w:pPr>
        <w:keepNext/>
        <w:tabs>
          <w:tab w:val="left" w:pos="567"/>
        </w:tabs>
        <w:rPr>
          <w:b/>
          <w:szCs w:val="22"/>
        </w:rPr>
      </w:pPr>
      <w:r w:rsidRPr="005B2844">
        <w:rPr>
          <w:b/>
          <w:szCs w:val="22"/>
        </w:rPr>
        <w:t>5.1</w:t>
      </w:r>
      <w:r w:rsidRPr="005B2844">
        <w:rPr>
          <w:b/>
          <w:szCs w:val="22"/>
        </w:rPr>
        <w:tab/>
        <w:t>Proprietà farmacodinamiche</w:t>
      </w:r>
    </w:p>
    <w:p w:rsidR="00A70FCB" w:rsidRPr="005B2844" w:rsidRDefault="00A70FCB" w:rsidP="002229F2">
      <w:pPr>
        <w:pStyle w:val="BodyText20"/>
        <w:keepNext/>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 xml:space="preserve">Categoria </w:t>
      </w:r>
      <w:proofErr w:type="spellStart"/>
      <w:r w:rsidRPr="005B2844">
        <w:rPr>
          <w:szCs w:val="22"/>
        </w:rPr>
        <w:t>farmacoterapeutica</w:t>
      </w:r>
      <w:proofErr w:type="spellEnd"/>
      <w:r w:rsidRPr="005B2844">
        <w:rPr>
          <w:szCs w:val="22"/>
        </w:rPr>
        <w:t>: antagonisti dell’angiotensina II e diuretici, codice ATC: C09DA</w:t>
      </w:r>
      <w:r w:rsidR="00186E02" w:rsidRPr="005B2844">
        <w:rPr>
          <w:szCs w:val="22"/>
        </w:rPr>
        <w:t>07</w:t>
      </w:r>
      <w:r w:rsidRPr="005B2844">
        <w:rPr>
          <w:szCs w:val="22"/>
        </w:rPr>
        <w:t>.</w:t>
      </w:r>
    </w:p>
    <w:p w:rsidR="00A70FCB" w:rsidRPr="005B2844" w:rsidRDefault="00A70FCB" w:rsidP="0072602F">
      <w:pPr>
        <w:rPr>
          <w:szCs w:val="22"/>
        </w:rPr>
      </w:pPr>
    </w:p>
    <w:p w:rsidR="00A70FCB" w:rsidRPr="005B2844" w:rsidRDefault="00A70FCB" w:rsidP="0072602F">
      <w:pPr>
        <w:pStyle w:val="BodyText30"/>
        <w:widowControl/>
        <w:rPr>
          <w:szCs w:val="22"/>
          <w:lang w:val="it-IT"/>
        </w:rPr>
      </w:pPr>
      <w:proofErr w:type="spellStart"/>
      <w:r w:rsidRPr="005B2844">
        <w:rPr>
          <w:szCs w:val="22"/>
          <w:lang w:val="it-IT"/>
        </w:rPr>
        <w:t>MicardisPlus</w:t>
      </w:r>
      <w:proofErr w:type="spellEnd"/>
      <w:r w:rsidRPr="005B2844">
        <w:rPr>
          <w:szCs w:val="22"/>
          <w:lang w:val="it-IT"/>
        </w:rPr>
        <w:t xml:space="preserve"> è un’associazione di un antagonista del recettore dell’angiotensina II, il </w:t>
      </w:r>
      <w:proofErr w:type="spellStart"/>
      <w:r w:rsidRPr="005B2844">
        <w:rPr>
          <w:szCs w:val="22"/>
          <w:lang w:val="it-IT"/>
        </w:rPr>
        <w:t>telmisartan</w:t>
      </w:r>
      <w:proofErr w:type="spellEnd"/>
      <w:r w:rsidRPr="005B2844">
        <w:rPr>
          <w:szCs w:val="22"/>
          <w:lang w:val="it-IT"/>
        </w:rPr>
        <w:t>, e di un diuretico tiazidico, l’</w:t>
      </w:r>
      <w:proofErr w:type="spellStart"/>
      <w:r w:rsidRPr="005B2844">
        <w:rPr>
          <w:szCs w:val="22"/>
          <w:lang w:val="it-IT"/>
        </w:rPr>
        <w:t>idroclorotiazide</w:t>
      </w:r>
      <w:proofErr w:type="spellEnd"/>
      <w:r w:rsidRPr="005B2844">
        <w:rPr>
          <w:szCs w:val="22"/>
          <w:lang w:val="it-IT"/>
        </w:rPr>
        <w:t xml:space="preserve">. L’associazione di questi principi attivi esercita un effetto antipertensivo additivo, riducendo la pressione sanguigna in maggior misura rispetto a ciascuno dei due principi attivi utilizzati in monoterapia. </w:t>
      </w:r>
      <w:proofErr w:type="spellStart"/>
      <w:r w:rsidRPr="005B2844">
        <w:rPr>
          <w:szCs w:val="22"/>
          <w:lang w:val="it-IT"/>
        </w:rPr>
        <w:t>MicardisPlus</w:t>
      </w:r>
      <w:proofErr w:type="spellEnd"/>
      <w:r w:rsidRPr="005B2844">
        <w:rPr>
          <w:szCs w:val="22"/>
          <w:lang w:val="it-IT"/>
        </w:rPr>
        <w:t>, somministrato una volta al giorno al dosaggio terapeutico, produce una riduzione della pressione sanguigna efficace e graduale.</w:t>
      </w:r>
    </w:p>
    <w:p w:rsidR="00A70FCB" w:rsidRPr="005B2844" w:rsidRDefault="00A70FCB" w:rsidP="0072602F">
      <w:pPr>
        <w:pStyle w:val="BodyText30"/>
        <w:widowControl/>
        <w:rPr>
          <w:szCs w:val="22"/>
          <w:lang w:val="it-IT"/>
        </w:rPr>
      </w:pPr>
    </w:p>
    <w:p w:rsidR="00823E0D" w:rsidRPr="005B2844" w:rsidRDefault="00823E0D" w:rsidP="0018018D">
      <w:pPr>
        <w:pStyle w:val="BodyText30"/>
        <w:keepNext/>
        <w:widowControl/>
        <w:rPr>
          <w:szCs w:val="22"/>
          <w:u w:val="single"/>
          <w:lang w:val="it-IT"/>
        </w:rPr>
      </w:pPr>
      <w:r w:rsidRPr="005B2844">
        <w:rPr>
          <w:szCs w:val="22"/>
          <w:u w:val="single"/>
          <w:lang w:val="it-IT"/>
        </w:rPr>
        <w:t>Meccanismo d’azione</w:t>
      </w:r>
    </w:p>
    <w:p w:rsidR="00A70FCB" w:rsidRPr="005B2844" w:rsidRDefault="00A70FCB" w:rsidP="0018018D">
      <w:pPr>
        <w:pStyle w:val="BodyText30"/>
        <w:keepNext/>
        <w:widowControl/>
        <w:rPr>
          <w:szCs w:val="22"/>
          <w:lang w:val="it-IT"/>
        </w:rPr>
      </w:pPr>
      <w:proofErr w:type="spellStart"/>
      <w:r w:rsidRPr="005B2844">
        <w:rPr>
          <w:szCs w:val="22"/>
          <w:lang w:val="it-IT"/>
        </w:rPr>
        <w:t>Telmisartan</w:t>
      </w:r>
      <w:proofErr w:type="spellEnd"/>
      <w:r w:rsidRPr="005B2844">
        <w:rPr>
          <w:szCs w:val="22"/>
          <w:lang w:val="it-IT"/>
        </w:rPr>
        <w:t xml:space="preserve"> è un antagonista recettoriale specifico dell’angiotensina II sottotipo 1 (AT</w:t>
      </w:r>
      <w:r w:rsidRPr="005B2844">
        <w:rPr>
          <w:szCs w:val="22"/>
          <w:vertAlign w:val="subscript"/>
          <w:lang w:val="it-IT"/>
        </w:rPr>
        <w:t>1</w:t>
      </w:r>
      <w:r w:rsidRPr="005B2844">
        <w:rPr>
          <w:szCs w:val="22"/>
          <w:lang w:val="it-IT"/>
        </w:rPr>
        <w:t xml:space="preserve">) efficace per via orale. Il </w:t>
      </w:r>
      <w:proofErr w:type="spellStart"/>
      <w:r w:rsidRPr="005B2844">
        <w:rPr>
          <w:szCs w:val="22"/>
          <w:lang w:val="it-IT"/>
        </w:rPr>
        <w:t>telmisartan</w:t>
      </w:r>
      <w:proofErr w:type="spellEnd"/>
      <w:r w:rsidRPr="005B2844">
        <w:rPr>
          <w:szCs w:val="22"/>
          <w:lang w:val="it-IT"/>
        </w:rPr>
        <w:t xml:space="preserve"> spiazza con un’elevata affinità l’angiotensina II dal suo sito di legame con il recettore di sottotipo AT</w:t>
      </w:r>
      <w:r w:rsidRPr="005B2844">
        <w:rPr>
          <w:szCs w:val="22"/>
          <w:vertAlign w:val="subscript"/>
          <w:lang w:val="it-IT"/>
        </w:rPr>
        <w:t>1</w:t>
      </w:r>
      <w:r w:rsidRPr="005B2844">
        <w:rPr>
          <w:szCs w:val="22"/>
          <w:lang w:val="it-IT"/>
        </w:rPr>
        <w:t xml:space="preserve">, responsabile degli effetti noti dell’angiotensina II. Il </w:t>
      </w:r>
      <w:proofErr w:type="spellStart"/>
      <w:r w:rsidRPr="005B2844">
        <w:rPr>
          <w:szCs w:val="22"/>
          <w:lang w:val="it-IT"/>
        </w:rPr>
        <w:t>telmisartan</w:t>
      </w:r>
      <w:proofErr w:type="spellEnd"/>
      <w:r w:rsidRPr="005B2844">
        <w:rPr>
          <w:szCs w:val="22"/>
          <w:lang w:val="it-IT"/>
        </w:rPr>
        <w:t xml:space="preserve"> non mostra alcuna attività agonista parziale per il recettore AT</w:t>
      </w:r>
      <w:r w:rsidRPr="005B2844">
        <w:rPr>
          <w:szCs w:val="22"/>
          <w:vertAlign w:val="subscript"/>
          <w:lang w:val="it-IT"/>
        </w:rPr>
        <w:t>1</w:t>
      </w:r>
      <w:r w:rsidRPr="005B2844">
        <w:rPr>
          <w:szCs w:val="22"/>
          <w:lang w:val="it-IT"/>
        </w:rPr>
        <w:t xml:space="preserve">. Il </w:t>
      </w:r>
      <w:proofErr w:type="spellStart"/>
      <w:r w:rsidRPr="005B2844">
        <w:rPr>
          <w:szCs w:val="22"/>
          <w:lang w:val="it-IT"/>
        </w:rPr>
        <w:t>telmisartan</w:t>
      </w:r>
      <w:proofErr w:type="spellEnd"/>
      <w:r w:rsidRPr="005B2844">
        <w:rPr>
          <w:szCs w:val="22"/>
          <w:lang w:val="it-IT"/>
        </w:rPr>
        <w:t xml:space="preserve"> si lega selettivamente al recettore AT</w:t>
      </w:r>
      <w:r w:rsidRPr="005B2844">
        <w:rPr>
          <w:szCs w:val="22"/>
          <w:vertAlign w:val="subscript"/>
          <w:lang w:val="it-IT"/>
        </w:rPr>
        <w:t>1</w:t>
      </w:r>
      <w:r w:rsidRPr="005B2844">
        <w:rPr>
          <w:szCs w:val="22"/>
          <w:lang w:val="it-IT"/>
        </w:rPr>
        <w:t xml:space="preserve">. Tale legame è di lunga durata. Il </w:t>
      </w:r>
      <w:proofErr w:type="spellStart"/>
      <w:r w:rsidRPr="005B2844">
        <w:rPr>
          <w:szCs w:val="22"/>
          <w:lang w:val="it-IT"/>
        </w:rPr>
        <w:t>telmisartan</w:t>
      </w:r>
      <w:proofErr w:type="spellEnd"/>
      <w:r w:rsidRPr="005B2844">
        <w:rPr>
          <w:szCs w:val="22"/>
          <w:lang w:val="it-IT"/>
        </w:rPr>
        <w:t xml:space="preserve"> non mostra affinità per altri recettori, compresi l'AT</w:t>
      </w:r>
      <w:r w:rsidRPr="005B2844">
        <w:rPr>
          <w:szCs w:val="22"/>
          <w:vertAlign w:val="subscript"/>
          <w:lang w:val="it-IT"/>
        </w:rPr>
        <w:t>2</w:t>
      </w:r>
      <w:r w:rsidRPr="005B2844">
        <w:rPr>
          <w:szCs w:val="22"/>
          <w:lang w:val="it-IT"/>
        </w:rPr>
        <w:t xml:space="preserve"> e altri recettori AT meno caratterizzati. Non sono noti il ruolo funzionale di questi recettori, né l'effetto della loro possibile </w:t>
      </w:r>
      <w:proofErr w:type="spellStart"/>
      <w:r w:rsidRPr="005B2844">
        <w:rPr>
          <w:szCs w:val="22"/>
          <w:lang w:val="it-IT"/>
        </w:rPr>
        <w:t>sovrastimolazione</w:t>
      </w:r>
      <w:proofErr w:type="spellEnd"/>
      <w:r w:rsidRPr="005B2844">
        <w:rPr>
          <w:szCs w:val="22"/>
          <w:lang w:val="it-IT"/>
        </w:rPr>
        <w:t xml:space="preserve"> da parte dell'angiotensina II, i cui livelli sono aumentati dal </w:t>
      </w:r>
      <w:proofErr w:type="spellStart"/>
      <w:r w:rsidRPr="005B2844">
        <w:rPr>
          <w:szCs w:val="22"/>
          <w:lang w:val="it-IT"/>
        </w:rPr>
        <w:t>telmisartan</w:t>
      </w:r>
      <w:proofErr w:type="spellEnd"/>
      <w:r w:rsidRPr="005B2844">
        <w:rPr>
          <w:szCs w:val="22"/>
          <w:lang w:val="it-IT"/>
        </w:rPr>
        <w:t xml:space="preserve">. Il </w:t>
      </w:r>
      <w:proofErr w:type="spellStart"/>
      <w:r w:rsidRPr="005B2844">
        <w:rPr>
          <w:szCs w:val="22"/>
          <w:lang w:val="it-IT"/>
        </w:rPr>
        <w:t>telmisartan</w:t>
      </w:r>
      <w:proofErr w:type="spellEnd"/>
      <w:r w:rsidRPr="005B2844">
        <w:rPr>
          <w:szCs w:val="22"/>
          <w:lang w:val="it-IT"/>
        </w:rPr>
        <w:t xml:space="preserve"> determina una diminuzione dei livelli plasmatici di aldosterone. Il </w:t>
      </w:r>
      <w:proofErr w:type="spellStart"/>
      <w:r w:rsidRPr="005B2844">
        <w:rPr>
          <w:szCs w:val="22"/>
          <w:lang w:val="it-IT"/>
        </w:rPr>
        <w:t>telmisartan</w:t>
      </w:r>
      <w:proofErr w:type="spellEnd"/>
      <w:r w:rsidRPr="005B2844">
        <w:rPr>
          <w:szCs w:val="22"/>
          <w:lang w:val="it-IT"/>
        </w:rPr>
        <w:t xml:space="preserve"> non inibisce la renina plasmatica umana n</w:t>
      </w:r>
      <w:r w:rsidR="00B36048" w:rsidRPr="005B2844">
        <w:rPr>
          <w:szCs w:val="22"/>
          <w:lang w:val="it-IT"/>
        </w:rPr>
        <w:t>é</w:t>
      </w:r>
      <w:r w:rsidRPr="005B2844">
        <w:rPr>
          <w:szCs w:val="22"/>
          <w:lang w:val="it-IT"/>
        </w:rPr>
        <w:t xml:space="preserve"> blocca i canali ionici. Il </w:t>
      </w:r>
      <w:proofErr w:type="spellStart"/>
      <w:r w:rsidRPr="005B2844">
        <w:rPr>
          <w:szCs w:val="22"/>
          <w:lang w:val="it-IT"/>
        </w:rPr>
        <w:t>telmisartan</w:t>
      </w:r>
      <w:proofErr w:type="spellEnd"/>
      <w:r w:rsidRPr="005B2844">
        <w:rPr>
          <w:szCs w:val="22"/>
          <w:lang w:val="it-IT"/>
        </w:rPr>
        <w:t xml:space="preserve"> non inibisce l’enzima di conversione dell’angiotensina (</w:t>
      </w:r>
      <w:proofErr w:type="spellStart"/>
      <w:r w:rsidRPr="005B2844">
        <w:rPr>
          <w:szCs w:val="22"/>
          <w:lang w:val="it-IT"/>
        </w:rPr>
        <w:t>chininasi</w:t>
      </w:r>
      <w:proofErr w:type="spellEnd"/>
      <w:r w:rsidRPr="005B2844">
        <w:rPr>
          <w:szCs w:val="22"/>
          <w:lang w:val="it-IT"/>
        </w:rPr>
        <w:t xml:space="preserve"> II), enzima che degrada anche la bradichinina. Quindi, non è atteso un potenziamento degli eventi avversi mediati dalla bradichinina.</w:t>
      </w:r>
    </w:p>
    <w:p w:rsidR="00A70FCB" w:rsidRPr="005B2844" w:rsidRDefault="00A70FCB" w:rsidP="0072602F">
      <w:pPr>
        <w:rPr>
          <w:szCs w:val="22"/>
        </w:rPr>
      </w:pPr>
      <w:r w:rsidRPr="005B2844">
        <w:rPr>
          <w:szCs w:val="22"/>
        </w:rPr>
        <w:t xml:space="preserve">Una dose di </w:t>
      </w:r>
      <w:proofErr w:type="spellStart"/>
      <w:r w:rsidRPr="005B2844">
        <w:rPr>
          <w:szCs w:val="22"/>
        </w:rPr>
        <w:t>telmisartan</w:t>
      </w:r>
      <w:proofErr w:type="spellEnd"/>
      <w:r w:rsidRPr="005B2844">
        <w:rPr>
          <w:szCs w:val="22"/>
        </w:rPr>
        <w:t xml:space="preserve"> pari a 80</w:t>
      </w:r>
      <w:r w:rsidR="00BE5E64" w:rsidRPr="005B2844">
        <w:rPr>
          <w:szCs w:val="22"/>
        </w:rPr>
        <w:t> mg</w:t>
      </w:r>
      <w:r w:rsidRPr="005B2844">
        <w:rPr>
          <w:szCs w:val="22"/>
        </w:rPr>
        <w:t xml:space="preserve"> somministrata a volontari sani, determina un’inibizione quasi completa dell’aumento pressorio indotto dall’angiotensina II. L'effetto inibitorio si protrae per 24 ore ed è ancora misurabile fino a 48 ore.</w:t>
      </w:r>
    </w:p>
    <w:p w:rsidR="00A70FCB" w:rsidRPr="005B2844" w:rsidRDefault="00A70FCB" w:rsidP="0072602F">
      <w:pPr>
        <w:rPr>
          <w:szCs w:val="22"/>
        </w:rPr>
      </w:pPr>
    </w:p>
    <w:p w:rsidR="002A7574" w:rsidRPr="005B2844" w:rsidRDefault="002A7574" w:rsidP="005E749A">
      <w:pPr>
        <w:pStyle w:val="BodyText30"/>
        <w:widowControl/>
        <w:rPr>
          <w:szCs w:val="22"/>
          <w:lang w:val="it-IT"/>
        </w:rPr>
      </w:pPr>
      <w:proofErr w:type="spellStart"/>
      <w:r w:rsidRPr="005B2844">
        <w:rPr>
          <w:szCs w:val="22"/>
          <w:lang w:val="it-IT"/>
        </w:rPr>
        <w:t>Idroclorotiazide</w:t>
      </w:r>
      <w:proofErr w:type="spellEnd"/>
      <w:r w:rsidRPr="005B2844">
        <w:rPr>
          <w:szCs w:val="22"/>
          <w:lang w:val="it-IT"/>
        </w:rPr>
        <w:t xml:space="preserve"> è un diuretico tiazidico. Il meccanismo con cui i diuretici tiazidici esplicano il loro effetto antipertensivo non è completamente noto. I diuretici tiazidici </w:t>
      </w:r>
      <w:r w:rsidR="00971359" w:rsidRPr="005B2844">
        <w:rPr>
          <w:szCs w:val="22"/>
          <w:lang w:val="it-IT"/>
        </w:rPr>
        <w:t>hanno un effetto sui meccanismi</w:t>
      </w:r>
      <w:r w:rsidRPr="005B2844">
        <w:rPr>
          <w:szCs w:val="22"/>
          <w:lang w:val="it-IT"/>
        </w:rPr>
        <w:t xml:space="preserve"> </w:t>
      </w:r>
      <w:r w:rsidR="00971359" w:rsidRPr="005B2844">
        <w:rPr>
          <w:szCs w:val="22"/>
          <w:lang w:val="it-IT"/>
        </w:rPr>
        <w:t>del</w:t>
      </w:r>
      <w:r w:rsidRPr="005B2844">
        <w:rPr>
          <w:szCs w:val="22"/>
          <w:lang w:val="it-IT"/>
        </w:rPr>
        <w:t xml:space="preserve"> riassorbimento degli elettroliti a livello dei tubuli renali, incrementando direttamente l’escrezione di sodio e di cloro in quantità</w:t>
      </w:r>
      <w:r w:rsidR="00971359" w:rsidRPr="005B2844">
        <w:rPr>
          <w:szCs w:val="22"/>
          <w:lang w:val="it-IT"/>
        </w:rPr>
        <w:t xml:space="preserve"> quasi equivalenti</w:t>
      </w:r>
      <w:r w:rsidRPr="005B2844">
        <w:rPr>
          <w:szCs w:val="22"/>
          <w:lang w:val="it-IT"/>
        </w:rPr>
        <w:t>. L’effetto diuretico dell’</w:t>
      </w:r>
      <w:proofErr w:type="spellStart"/>
      <w:r w:rsidRPr="005B2844">
        <w:rPr>
          <w:szCs w:val="22"/>
          <w:lang w:val="it-IT"/>
        </w:rPr>
        <w:t>idroclorotiazide</w:t>
      </w:r>
      <w:proofErr w:type="spellEnd"/>
      <w:r w:rsidRPr="005B2844">
        <w:rPr>
          <w:szCs w:val="22"/>
          <w:lang w:val="it-IT"/>
        </w:rPr>
        <w:t xml:space="preserve"> riduce il volume plasmatico, aumenta l’attività della renina plasmatica, aumenta la secrezione di aldosterone, con conseguente incremento del potassio urinario e perdita di bicarbonato, e riduce il potassio sierico. Presumibilmente attraverso il blocco del sistema renina-angiotensina-aldosterone, la co-somministrazione di </w:t>
      </w:r>
      <w:proofErr w:type="spellStart"/>
      <w:r w:rsidRPr="005B2844">
        <w:rPr>
          <w:szCs w:val="22"/>
          <w:lang w:val="it-IT"/>
        </w:rPr>
        <w:t>telmisartan</w:t>
      </w:r>
      <w:proofErr w:type="spellEnd"/>
      <w:r w:rsidRPr="005B2844">
        <w:rPr>
          <w:szCs w:val="22"/>
          <w:lang w:val="it-IT"/>
        </w:rPr>
        <w:t xml:space="preserve"> tende a riequilibrare la perdita di potassio associata a questi diuretici. </w:t>
      </w:r>
      <w:r w:rsidR="00971359" w:rsidRPr="005B2844">
        <w:rPr>
          <w:szCs w:val="22"/>
          <w:lang w:val="it-IT"/>
        </w:rPr>
        <w:t>Con l’</w:t>
      </w:r>
      <w:proofErr w:type="spellStart"/>
      <w:r w:rsidR="00971359" w:rsidRPr="005B2844">
        <w:rPr>
          <w:szCs w:val="22"/>
          <w:lang w:val="it-IT"/>
        </w:rPr>
        <w:t>idroclorotiazide</w:t>
      </w:r>
      <w:proofErr w:type="spellEnd"/>
      <w:r w:rsidR="00971359" w:rsidRPr="005B2844">
        <w:rPr>
          <w:szCs w:val="22"/>
          <w:lang w:val="it-IT"/>
        </w:rPr>
        <w:t>, l</w:t>
      </w:r>
      <w:r w:rsidRPr="005B2844">
        <w:rPr>
          <w:szCs w:val="22"/>
          <w:lang w:val="it-IT"/>
        </w:rPr>
        <w:t>’effetto diuretico si manifesta entro 2 ore, raggiunge il suo massimo in circa 4 ore, mentre l’azione persiste per circa 6</w:t>
      </w:r>
      <w:r w:rsidR="00606CDE" w:rsidRPr="005B2844">
        <w:rPr>
          <w:szCs w:val="22"/>
          <w:lang w:val="it-IT"/>
        </w:rPr>
        <w:noBreakHyphen/>
      </w:r>
      <w:r w:rsidRPr="005B2844">
        <w:rPr>
          <w:szCs w:val="22"/>
          <w:lang w:val="it-IT"/>
        </w:rPr>
        <w:t>12 ore.</w:t>
      </w:r>
    </w:p>
    <w:p w:rsidR="002A7574" w:rsidRPr="005B2844" w:rsidRDefault="002A7574" w:rsidP="0072602F">
      <w:pPr>
        <w:rPr>
          <w:szCs w:val="22"/>
        </w:rPr>
      </w:pPr>
    </w:p>
    <w:p w:rsidR="002A7574" w:rsidRPr="005B2844" w:rsidRDefault="002A7574" w:rsidP="000709BC">
      <w:pPr>
        <w:keepNext/>
        <w:rPr>
          <w:szCs w:val="22"/>
          <w:u w:val="single"/>
        </w:rPr>
      </w:pPr>
      <w:r w:rsidRPr="005B2844">
        <w:rPr>
          <w:szCs w:val="22"/>
          <w:u w:val="single"/>
        </w:rPr>
        <w:t>Efficacia e sicurezza clinica</w:t>
      </w:r>
    </w:p>
    <w:p w:rsidR="002A7574" w:rsidRPr="005B2844" w:rsidRDefault="002A7574" w:rsidP="000709BC">
      <w:pPr>
        <w:keepNext/>
        <w:rPr>
          <w:szCs w:val="22"/>
        </w:rPr>
      </w:pPr>
    </w:p>
    <w:p w:rsidR="00823E0D" w:rsidRPr="005B2844" w:rsidRDefault="002A7574" w:rsidP="000709BC">
      <w:pPr>
        <w:keepNext/>
        <w:rPr>
          <w:szCs w:val="22"/>
        </w:rPr>
      </w:pPr>
      <w:r w:rsidRPr="005B2844">
        <w:rPr>
          <w:szCs w:val="22"/>
        </w:rPr>
        <w:t>Trattamento dell’ipertensione essenziale</w:t>
      </w:r>
    </w:p>
    <w:p w:rsidR="00A70FCB" w:rsidRPr="005B2844" w:rsidRDefault="00A70FCB" w:rsidP="0072602F">
      <w:pPr>
        <w:rPr>
          <w:szCs w:val="22"/>
        </w:rPr>
      </w:pPr>
      <w:r w:rsidRPr="005B2844">
        <w:rPr>
          <w:szCs w:val="22"/>
        </w:rPr>
        <w:t xml:space="preserve">L’attività antiipertensiva inizia a manifestarsi entro 3 ore dalla somministrazione della prima dose di </w:t>
      </w:r>
      <w:proofErr w:type="spellStart"/>
      <w:r w:rsidRPr="005B2844">
        <w:rPr>
          <w:szCs w:val="22"/>
        </w:rPr>
        <w:t>telmisartan</w:t>
      </w:r>
      <w:proofErr w:type="spellEnd"/>
      <w:r w:rsidRPr="005B2844">
        <w:rPr>
          <w:szCs w:val="22"/>
        </w:rPr>
        <w:t xml:space="preserve">. La massima riduzione dei valori pressori si ottiene generalmente dopo 4-8 settimane dall’inizio del trattamento e viene mantenuta nel corso della terapia a lungo termine. L'effetto antipertensivo si protrae costantemente per 24 ore dopo la somministrazione e include le ultime 4 ore prima della successiva somministrazione, come dimostrato dalle misurazioni continue nelle 24 ore della pressione sanguigna. Ciò è confermato da misurazioni eseguite al momento di massimo effetto e immediatamente prima dell’assunzione della dose successiva </w:t>
      </w:r>
      <w:r w:rsidR="008B2348" w:rsidRPr="005B2844">
        <w:rPr>
          <w:szCs w:val="22"/>
        </w:rPr>
        <w:t>(</w:t>
      </w:r>
      <w:r w:rsidRPr="005B2844">
        <w:rPr>
          <w:szCs w:val="22"/>
        </w:rPr>
        <w:t>negli studi clinici controllati verso placebo il rapporto valle/picco è risultato costantemente superiore all'80% dopo dosi di 40 o 80</w:t>
      </w:r>
      <w:r w:rsidR="00BE5E64" w:rsidRPr="005B2844">
        <w:rPr>
          <w:szCs w:val="22"/>
        </w:rPr>
        <w:t> mg</w:t>
      </w:r>
      <w:r w:rsidRPr="005B2844">
        <w:rPr>
          <w:szCs w:val="22"/>
        </w:rPr>
        <w:t xml:space="preserve"> di </w:t>
      </w:r>
      <w:proofErr w:type="spellStart"/>
      <w:r w:rsidRPr="005B2844">
        <w:rPr>
          <w:szCs w:val="22"/>
        </w:rPr>
        <w:t>telmisartan</w:t>
      </w:r>
      <w:proofErr w:type="spellEnd"/>
      <w:r w:rsidR="008B2348" w:rsidRPr="005B2844">
        <w:rPr>
          <w:szCs w:val="22"/>
        </w:rPr>
        <w:t>)</w:t>
      </w:r>
      <w:r w:rsidRPr="005B2844">
        <w:rPr>
          <w:szCs w:val="22"/>
        </w:rPr>
        <w:t>.</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Nei pazienti ipertesi il </w:t>
      </w:r>
      <w:proofErr w:type="spellStart"/>
      <w:r w:rsidRPr="005B2844">
        <w:rPr>
          <w:szCs w:val="22"/>
        </w:rPr>
        <w:t>telmisartan</w:t>
      </w:r>
      <w:proofErr w:type="spellEnd"/>
      <w:r w:rsidRPr="005B2844">
        <w:rPr>
          <w:szCs w:val="22"/>
        </w:rPr>
        <w:t xml:space="preserve"> riduce la pressione sia sistolica che diastolica senza influire sulla frequenza cardiaca. L'efficacia antipertensiva di </w:t>
      </w:r>
      <w:proofErr w:type="spellStart"/>
      <w:r w:rsidRPr="005B2844">
        <w:rPr>
          <w:szCs w:val="22"/>
        </w:rPr>
        <w:t>telmisartan</w:t>
      </w:r>
      <w:proofErr w:type="spellEnd"/>
      <w:r w:rsidRPr="005B2844">
        <w:rPr>
          <w:szCs w:val="22"/>
        </w:rPr>
        <w:t xml:space="preserve"> è paragonabile a quella di </w:t>
      </w:r>
      <w:r w:rsidR="00D307F8" w:rsidRPr="005B2844">
        <w:rPr>
          <w:szCs w:val="22"/>
        </w:rPr>
        <w:t xml:space="preserve">medicinali </w:t>
      </w:r>
      <w:r w:rsidRPr="005B2844">
        <w:rPr>
          <w:szCs w:val="22"/>
        </w:rPr>
        <w:t xml:space="preserve">rappresentativi di altre classi di antipertensivi (come dimostrato negli studi clinici che hanno confrontato </w:t>
      </w:r>
      <w:proofErr w:type="spellStart"/>
      <w:r w:rsidRPr="005B2844">
        <w:rPr>
          <w:szCs w:val="22"/>
        </w:rPr>
        <w:t>telmisartan</w:t>
      </w:r>
      <w:proofErr w:type="spellEnd"/>
      <w:r w:rsidRPr="005B2844">
        <w:rPr>
          <w:szCs w:val="22"/>
        </w:rPr>
        <w:t xml:space="preserve"> con </w:t>
      </w:r>
      <w:proofErr w:type="spellStart"/>
      <w:r w:rsidRPr="005B2844">
        <w:rPr>
          <w:szCs w:val="22"/>
        </w:rPr>
        <w:t>amlodipina</w:t>
      </w:r>
      <w:proofErr w:type="spellEnd"/>
      <w:r w:rsidRPr="005B2844">
        <w:rPr>
          <w:szCs w:val="22"/>
        </w:rPr>
        <w:t xml:space="preserve">, </w:t>
      </w:r>
      <w:proofErr w:type="spellStart"/>
      <w:r w:rsidRPr="005B2844">
        <w:rPr>
          <w:szCs w:val="22"/>
        </w:rPr>
        <w:t>atenololo</w:t>
      </w:r>
      <w:proofErr w:type="spellEnd"/>
      <w:r w:rsidRPr="005B2844">
        <w:rPr>
          <w:szCs w:val="22"/>
        </w:rPr>
        <w:t xml:space="preserve">, enalapril, </w:t>
      </w:r>
      <w:proofErr w:type="spellStart"/>
      <w:r w:rsidRPr="005B2844">
        <w:rPr>
          <w:szCs w:val="22"/>
        </w:rPr>
        <w:t>idroclorotiazide</w:t>
      </w:r>
      <w:proofErr w:type="spellEnd"/>
      <w:r w:rsidRPr="005B2844">
        <w:rPr>
          <w:szCs w:val="22"/>
        </w:rPr>
        <w:t xml:space="preserve"> e </w:t>
      </w:r>
      <w:proofErr w:type="spellStart"/>
      <w:r w:rsidRPr="005B2844">
        <w:rPr>
          <w:szCs w:val="22"/>
        </w:rPr>
        <w:t>lisinopril</w:t>
      </w:r>
      <w:proofErr w:type="spellEnd"/>
      <w:r w:rsidRPr="005B2844">
        <w:rPr>
          <w:szCs w:val="22"/>
        </w:rPr>
        <w:t>).</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Dopo una brusca interruzione del trattamento con </w:t>
      </w:r>
      <w:proofErr w:type="spellStart"/>
      <w:r w:rsidRPr="005B2844">
        <w:rPr>
          <w:szCs w:val="22"/>
        </w:rPr>
        <w:t>telmisartan</w:t>
      </w:r>
      <w:proofErr w:type="spellEnd"/>
      <w:r w:rsidRPr="005B2844">
        <w:rPr>
          <w:szCs w:val="22"/>
        </w:rPr>
        <w:t>, la pressione sanguigna ritorna gradualmente ai valori precedenti al trattamento durante un periodo di diversi giorni, senza un apparente effetto rebound.</w:t>
      </w:r>
    </w:p>
    <w:p w:rsidR="00A70FCB" w:rsidRPr="005B2844" w:rsidRDefault="00A70FCB" w:rsidP="0072602F">
      <w:pPr>
        <w:rPr>
          <w:szCs w:val="22"/>
        </w:rPr>
      </w:pPr>
      <w:r w:rsidRPr="005B2844">
        <w:rPr>
          <w:szCs w:val="22"/>
        </w:rPr>
        <w:t xml:space="preserve">L’incidenza di tosse secca è risultata significativamente inferiore nei pazienti trattati con </w:t>
      </w:r>
      <w:proofErr w:type="spellStart"/>
      <w:r w:rsidRPr="005B2844">
        <w:rPr>
          <w:szCs w:val="22"/>
        </w:rPr>
        <w:t>telmisartan</w:t>
      </w:r>
      <w:proofErr w:type="spellEnd"/>
      <w:r w:rsidRPr="005B2844">
        <w:rPr>
          <w:szCs w:val="22"/>
        </w:rPr>
        <w:t xml:space="preserve"> che in quelli trattati con ACE inibitori negli studi clinici che hanno confrontato direttamente i due </w:t>
      </w:r>
      <w:r w:rsidR="006F476C" w:rsidRPr="005B2844">
        <w:rPr>
          <w:szCs w:val="22"/>
        </w:rPr>
        <w:t>medicinali</w:t>
      </w:r>
      <w:r w:rsidRPr="005B2844">
        <w:rPr>
          <w:szCs w:val="22"/>
        </w:rPr>
        <w:t>.</w:t>
      </w:r>
    </w:p>
    <w:p w:rsidR="006E4BFF" w:rsidRPr="005B2844" w:rsidRDefault="006E4BFF" w:rsidP="006E4BFF">
      <w:pPr>
        <w:rPr>
          <w:szCs w:val="22"/>
        </w:rPr>
      </w:pPr>
    </w:p>
    <w:p w:rsidR="006E4BFF" w:rsidRPr="005B2844" w:rsidRDefault="006E4BFF" w:rsidP="009B38DE">
      <w:pPr>
        <w:keepNext/>
        <w:rPr>
          <w:szCs w:val="22"/>
        </w:rPr>
      </w:pPr>
      <w:r w:rsidRPr="005B2844">
        <w:rPr>
          <w:szCs w:val="22"/>
        </w:rPr>
        <w:t>Prevenzione cardiovascolare</w:t>
      </w:r>
    </w:p>
    <w:p w:rsidR="006E4BFF" w:rsidRPr="005B2844" w:rsidRDefault="006E4BFF" w:rsidP="006E4BFF">
      <w:pPr>
        <w:rPr>
          <w:szCs w:val="22"/>
        </w:rPr>
      </w:pPr>
      <w:r w:rsidRPr="005B2844">
        <w:rPr>
          <w:szCs w:val="22"/>
        </w:rPr>
        <w:t>ONTARGET (</w:t>
      </w:r>
      <w:proofErr w:type="spellStart"/>
      <w:r w:rsidRPr="005B2844">
        <w:rPr>
          <w:szCs w:val="22"/>
        </w:rPr>
        <w:t>ONgoing</w:t>
      </w:r>
      <w:proofErr w:type="spellEnd"/>
      <w:r w:rsidRPr="005B2844">
        <w:rPr>
          <w:szCs w:val="22"/>
        </w:rPr>
        <w:t xml:space="preserve"> </w:t>
      </w:r>
      <w:proofErr w:type="spellStart"/>
      <w:r w:rsidRPr="005B2844">
        <w:rPr>
          <w:szCs w:val="22"/>
        </w:rPr>
        <w:t>Telmisartan</w:t>
      </w:r>
      <w:proofErr w:type="spellEnd"/>
      <w:r w:rsidRPr="005B2844">
        <w:rPr>
          <w:szCs w:val="22"/>
        </w:rPr>
        <w:t xml:space="preserve"> Alone and in Combination with </w:t>
      </w:r>
      <w:proofErr w:type="spellStart"/>
      <w:r w:rsidRPr="005B2844">
        <w:rPr>
          <w:szCs w:val="22"/>
        </w:rPr>
        <w:t>Ramipril</w:t>
      </w:r>
      <w:proofErr w:type="spellEnd"/>
      <w:r w:rsidRPr="005B2844">
        <w:rPr>
          <w:szCs w:val="22"/>
        </w:rPr>
        <w:t xml:space="preserve"> Global Endpoint Trial) ha confrontato gli effetti di </w:t>
      </w:r>
      <w:proofErr w:type="spellStart"/>
      <w:r w:rsidRPr="005B2844">
        <w:rPr>
          <w:szCs w:val="22"/>
        </w:rPr>
        <w:t>telmisartan</w:t>
      </w:r>
      <w:proofErr w:type="spellEnd"/>
      <w:r w:rsidRPr="005B2844">
        <w:rPr>
          <w:szCs w:val="22"/>
        </w:rPr>
        <w:t xml:space="preserve">, di </w:t>
      </w:r>
      <w:proofErr w:type="spellStart"/>
      <w:r w:rsidRPr="005B2844">
        <w:rPr>
          <w:szCs w:val="22"/>
        </w:rPr>
        <w:t>ramipril</w:t>
      </w:r>
      <w:proofErr w:type="spellEnd"/>
      <w:r w:rsidRPr="005B2844">
        <w:rPr>
          <w:szCs w:val="22"/>
        </w:rPr>
        <w:t xml:space="preserve"> e dell’associazione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sugli </w:t>
      </w:r>
      <w:proofErr w:type="spellStart"/>
      <w:r w:rsidRPr="005B2844">
        <w:rPr>
          <w:szCs w:val="22"/>
        </w:rPr>
        <w:t>outcome</w:t>
      </w:r>
      <w:proofErr w:type="spellEnd"/>
      <w:r w:rsidRPr="005B2844">
        <w:rPr>
          <w:szCs w:val="22"/>
        </w:rPr>
        <w:t xml:space="preserve"> cardiovascolari in 25620 pazienti di almeno 55 anni di età con una storia di coronaropatia, ictus, TIA, arteriopatia periferica o diabete mellito di tipo 2 associato ad un’evidenza di danno degli organi bersaglio (ad es. retinopatia, ipertrofia ventricolare sinistra, macro- o microalbuminuria), che rappresentano una popolazione a rischio di eventi cardiovascolari.</w:t>
      </w:r>
    </w:p>
    <w:p w:rsidR="006E4BFF" w:rsidRPr="005B2844" w:rsidRDefault="006E4BFF" w:rsidP="006E4BFF">
      <w:pPr>
        <w:rPr>
          <w:szCs w:val="22"/>
        </w:rPr>
      </w:pPr>
    </w:p>
    <w:p w:rsidR="006E4BFF" w:rsidRPr="005B2844" w:rsidRDefault="006E4BFF" w:rsidP="006E4BFF">
      <w:pPr>
        <w:rPr>
          <w:szCs w:val="22"/>
        </w:rPr>
      </w:pPr>
      <w:r w:rsidRPr="005B2844">
        <w:rPr>
          <w:szCs w:val="22"/>
        </w:rPr>
        <w:t xml:space="preserve">I pazienti sono stati randomizzati ad uno dei tre seguenti gruppi di trattamento: </w:t>
      </w:r>
      <w:proofErr w:type="spellStart"/>
      <w:r w:rsidRPr="005B2844">
        <w:rPr>
          <w:szCs w:val="22"/>
        </w:rPr>
        <w:t>telmisartan</w:t>
      </w:r>
      <w:proofErr w:type="spellEnd"/>
      <w:r w:rsidRPr="005B2844">
        <w:rPr>
          <w:szCs w:val="22"/>
        </w:rPr>
        <w:t xml:space="preserve"> 80 mg (n = 8542), </w:t>
      </w:r>
      <w:proofErr w:type="spellStart"/>
      <w:r w:rsidRPr="005B2844">
        <w:rPr>
          <w:szCs w:val="22"/>
        </w:rPr>
        <w:t>ramipril</w:t>
      </w:r>
      <w:proofErr w:type="spellEnd"/>
      <w:r w:rsidRPr="005B2844">
        <w:rPr>
          <w:szCs w:val="22"/>
        </w:rPr>
        <w:t xml:space="preserve"> 10 mg (n = 8576) o l’associazione di </w:t>
      </w:r>
      <w:proofErr w:type="spellStart"/>
      <w:r w:rsidRPr="005B2844">
        <w:rPr>
          <w:szCs w:val="22"/>
        </w:rPr>
        <w:t>telmisartan</w:t>
      </w:r>
      <w:proofErr w:type="spellEnd"/>
      <w:r w:rsidRPr="005B2844">
        <w:rPr>
          <w:szCs w:val="22"/>
        </w:rPr>
        <w:t xml:space="preserve"> 80 mg e </w:t>
      </w:r>
      <w:proofErr w:type="spellStart"/>
      <w:r w:rsidRPr="005B2844">
        <w:rPr>
          <w:szCs w:val="22"/>
        </w:rPr>
        <w:t>ramipril</w:t>
      </w:r>
      <w:proofErr w:type="spellEnd"/>
      <w:r w:rsidRPr="005B2844">
        <w:rPr>
          <w:szCs w:val="22"/>
        </w:rPr>
        <w:t xml:space="preserve"> 10 mg (n = 8502) e seguiti per un periodo di osservazione medio di 4,5 anni. </w:t>
      </w:r>
    </w:p>
    <w:p w:rsidR="006E4BFF" w:rsidRPr="005B2844" w:rsidRDefault="006E4BFF" w:rsidP="006E4BFF">
      <w:pPr>
        <w:rPr>
          <w:szCs w:val="22"/>
        </w:rPr>
      </w:pPr>
    </w:p>
    <w:p w:rsidR="006E4BFF" w:rsidRPr="005B2844" w:rsidRDefault="006E4BFF" w:rsidP="006E4BFF">
      <w:pPr>
        <w:rPr>
          <w:szCs w:val="22"/>
        </w:rPr>
      </w:pPr>
      <w:proofErr w:type="spellStart"/>
      <w:r w:rsidRPr="005B2844">
        <w:rPr>
          <w:szCs w:val="22"/>
        </w:rPr>
        <w:t>Telmisartan</w:t>
      </w:r>
      <w:proofErr w:type="spellEnd"/>
      <w:r w:rsidRPr="005B2844">
        <w:rPr>
          <w:szCs w:val="22"/>
        </w:rPr>
        <w:t xml:space="preserve"> ha mostrato un’efficacia simile a </w:t>
      </w:r>
      <w:proofErr w:type="spellStart"/>
      <w:r w:rsidRPr="005B2844">
        <w:rPr>
          <w:szCs w:val="22"/>
        </w:rPr>
        <w:t>ramipril</w:t>
      </w:r>
      <w:proofErr w:type="spellEnd"/>
      <w:r w:rsidRPr="005B2844">
        <w:rPr>
          <w:szCs w:val="22"/>
        </w:rPr>
        <w:t xml:space="preserve"> nel ridurre l’endpoint composito primario di morte cardiovascolare, infarto miocardico non fatale, ictus non fatale o ospedalizzazione per insufficienza cardiaca congestizia. L’incidenza dell’endpoint primario è stata simile nei gruppi di </w:t>
      </w:r>
      <w:proofErr w:type="spellStart"/>
      <w:r w:rsidRPr="005B2844">
        <w:rPr>
          <w:szCs w:val="22"/>
        </w:rPr>
        <w:t>telmisartan</w:t>
      </w:r>
      <w:proofErr w:type="spellEnd"/>
      <w:r w:rsidRPr="005B2844">
        <w:rPr>
          <w:szCs w:val="22"/>
        </w:rPr>
        <w:t xml:space="preserve"> (16,7 %) e </w:t>
      </w:r>
      <w:proofErr w:type="spellStart"/>
      <w:r w:rsidRPr="005B2844">
        <w:rPr>
          <w:szCs w:val="22"/>
        </w:rPr>
        <w:t>ramipril</w:t>
      </w:r>
      <w:proofErr w:type="spellEnd"/>
      <w:r w:rsidRPr="005B2844">
        <w:rPr>
          <w:szCs w:val="22"/>
        </w:rPr>
        <w:t xml:space="preserve"> (16,5 %). L’hazard ratio per </w:t>
      </w:r>
      <w:proofErr w:type="spellStart"/>
      <w:r w:rsidRPr="005B2844">
        <w:rPr>
          <w:szCs w:val="22"/>
        </w:rPr>
        <w:t>telmisartan</w:t>
      </w:r>
      <w:proofErr w:type="spellEnd"/>
      <w:r w:rsidRPr="005B2844">
        <w:rPr>
          <w:szCs w:val="22"/>
        </w:rPr>
        <w:t xml:space="preserve"> verso </w:t>
      </w:r>
      <w:proofErr w:type="spellStart"/>
      <w:r w:rsidRPr="005B2844">
        <w:rPr>
          <w:szCs w:val="22"/>
        </w:rPr>
        <w:t>ramipril</w:t>
      </w:r>
      <w:proofErr w:type="spellEnd"/>
      <w:r w:rsidRPr="005B2844">
        <w:rPr>
          <w:szCs w:val="22"/>
        </w:rPr>
        <w:t xml:space="preserve"> è stato 1,01 (97,5 % CI 0,93 – 1,10, p (non inferiorità) = 0,0019 con un margine di 1,13). L’incidenza di mortalità per tutte le cause è stata dell’11,6 % e dell’11,8 % nei pazienti trattati con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rispettivamente.</w:t>
      </w:r>
    </w:p>
    <w:p w:rsidR="006E4BFF" w:rsidRPr="005B2844" w:rsidRDefault="006E4BFF" w:rsidP="006E4BFF">
      <w:pPr>
        <w:rPr>
          <w:szCs w:val="22"/>
        </w:rPr>
      </w:pPr>
    </w:p>
    <w:p w:rsidR="006E4BFF" w:rsidRPr="005B2844" w:rsidRDefault="006E4BFF" w:rsidP="006E4BFF">
      <w:pPr>
        <w:rPr>
          <w:szCs w:val="22"/>
        </w:rPr>
      </w:pPr>
      <w:proofErr w:type="spellStart"/>
      <w:r w:rsidRPr="005B2844">
        <w:rPr>
          <w:szCs w:val="22"/>
        </w:rPr>
        <w:t>Telmisartan</w:t>
      </w:r>
      <w:proofErr w:type="spellEnd"/>
      <w:r w:rsidRPr="005B2844">
        <w:rPr>
          <w:szCs w:val="22"/>
        </w:rPr>
        <w:t xml:space="preserve"> è risultato essere efficace quanto </w:t>
      </w:r>
      <w:proofErr w:type="spellStart"/>
      <w:r w:rsidRPr="005B2844">
        <w:rPr>
          <w:szCs w:val="22"/>
        </w:rPr>
        <w:t>ramipril</w:t>
      </w:r>
      <w:proofErr w:type="spellEnd"/>
      <w:r w:rsidRPr="005B2844">
        <w:rPr>
          <w:szCs w:val="22"/>
        </w:rPr>
        <w:t xml:space="preserve"> nell’endpoint secondario </w:t>
      </w:r>
      <w:proofErr w:type="spellStart"/>
      <w:r w:rsidRPr="005B2844">
        <w:rPr>
          <w:szCs w:val="22"/>
        </w:rPr>
        <w:t>pre</w:t>
      </w:r>
      <w:proofErr w:type="spellEnd"/>
      <w:r w:rsidRPr="005B2844">
        <w:rPr>
          <w:szCs w:val="22"/>
        </w:rPr>
        <w:t xml:space="preserve">-specificato di morte cardiovascolare, infarto miocardico non fatale e ictus non fatale [0,99 (97,5 % CI 0,90 – 1,08), p (non inferiorità) = 0,0004], endpoint primario nello studio di riferimento HOPE (The Heart </w:t>
      </w:r>
      <w:proofErr w:type="spellStart"/>
      <w:r w:rsidRPr="005B2844">
        <w:rPr>
          <w:szCs w:val="22"/>
        </w:rPr>
        <w:t>Outcomes</w:t>
      </w:r>
      <w:proofErr w:type="spellEnd"/>
      <w:r w:rsidRPr="005B2844">
        <w:rPr>
          <w:szCs w:val="22"/>
        </w:rPr>
        <w:t xml:space="preserve"> Prevention Evaluation Study), che aveva valutato l’effetto di </w:t>
      </w:r>
      <w:proofErr w:type="spellStart"/>
      <w:r w:rsidRPr="005B2844">
        <w:rPr>
          <w:szCs w:val="22"/>
        </w:rPr>
        <w:t>ramipril</w:t>
      </w:r>
      <w:proofErr w:type="spellEnd"/>
      <w:r w:rsidRPr="005B2844">
        <w:rPr>
          <w:szCs w:val="22"/>
        </w:rPr>
        <w:t xml:space="preserve"> verso placebo. </w:t>
      </w:r>
    </w:p>
    <w:p w:rsidR="006E4BFF" w:rsidRPr="005B2844" w:rsidRDefault="006E4BFF" w:rsidP="006E4BFF">
      <w:pPr>
        <w:rPr>
          <w:szCs w:val="22"/>
        </w:rPr>
      </w:pPr>
    </w:p>
    <w:p w:rsidR="006E4BFF" w:rsidRPr="005B2844" w:rsidRDefault="006E4BFF" w:rsidP="006E4BFF">
      <w:pPr>
        <w:rPr>
          <w:szCs w:val="22"/>
        </w:rPr>
      </w:pPr>
      <w:r w:rsidRPr="005B2844">
        <w:rPr>
          <w:szCs w:val="22"/>
        </w:rPr>
        <w:t xml:space="preserve">TRANSCEND ha randomizzato i pazienti intolleranti agli ACE-I, con criteri di inclusione simili a quelli di ONTARGET, a ricevere </w:t>
      </w:r>
      <w:proofErr w:type="spellStart"/>
      <w:r w:rsidRPr="005B2844">
        <w:rPr>
          <w:szCs w:val="22"/>
        </w:rPr>
        <w:t>telmisartan</w:t>
      </w:r>
      <w:proofErr w:type="spellEnd"/>
      <w:r w:rsidRPr="005B2844">
        <w:rPr>
          <w:szCs w:val="22"/>
        </w:rPr>
        <w:t xml:space="preserve"> 80 mg (n=2954) o placebo (n=2972), entrambi somministrati in aggiunta ad una terapia standard. La durata media del follow up è stata di 4 anni e 8 mesi. Non è stata riscontrata una differenza statisticamente significativa nell’incidenza dell’endpoint composito primario (morte cardiovascolare, infarto miocardico non fatale, ictus non fatale o ospedalizzazione per insufficienza cardiaca congestizia) [15,7 % nel gruppo di </w:t>
      </w:r>
      <w:proofErr w:type="spellStart"/>
      <w:r w:rsidRPr="005B2844">
        <w:rPr>
          <w:szCs w:val="22"/>
        </w:rPr>
        <w:t>telmisartan</w:t>
      </w:r>
      <w:proofErr w:type="spellEnd"/>
      <w:r w:rsidRPr="005B2844">
        <w:rPr>
          <w:szCs w:val="22"/>
        </w:rPr>
        <w:t xml:space="preserve"> e 17,0 % nel gruppo del placebo con un hazard ratio di 0,92 (95 % CI 0,81 – 1,05, p = 0,22)]. E’ stato evidenziato un beneficio di </w:t>
      </w:r>
      <w:proofErr w:type="spellStart"/>
      <w:r w:rsidRPr="005B2844">
        <w:rPr>
          <w:szCs w:val="22"/>
        </w:rPr>
        <w:t>telmisartan</w:t>
      </w:r>
      <w:proofErr w:type="spellEnd"/>
      <w:r w:rsidRPr="005B2844">
        <w:rPr>
          <w:szCs w:val="22"/>
        </w:rPr>
        <w:t xml:space="preserve"> rispetto al placebo nell’endpoint composito secondario </w:t>
      </w:r>
      <w:proofErr w:type="spellStart"/>
      <w:r w:rsidRPr="005B2844">
        <w:rPr>
          <w:szCs w:val="22"/>
        </w:rPr>
        <w:t>pre</w:t>
      </w:r>
      <w:proofErr w:type="spellEnd"/>
      <w:r w:rsidRPr="005B2844">
        <w:rPr>
          <w:szCs w:val="22"/>
        </w:rPr>
        <w:t>-specificato di morte cardiovascolare, infarto miocardico non fatale e ictus non fatale [0,87 (95 % CI 0,76 – 1,00, p = 0,048)]. Non vi è stata evidenza di beneficio sulla mortalità cardiovascolare</w:t>
      </w:r>
      <w:r w:rsidRPr="005B2844" w:rsidDel="00501CD9">
        <w:rPr>
          <w:szCs w:val="22"/>
        </w:rPr>
        <w:t xml:space="preserve"> </w:t>
      </w:r>
      <w:r w:rsidRPr="005B2844">
        <w:rPr>
          <w:szCs w:val="22"/>
        </w:rPr>
        <w:t>(hazard ratio 1,03, 95 % CI 0,85 – 1,24).</w:t>
      </w:r>
    </w:p>
    <w:p w:rsidR="006E4BFF" w:rsidRPr="005B2844" w:rsidRDefault="006E4BFF" w:rsidP="006E4BFF">
      <w:pPr>
        <w:rPr>
          <w:szCs w:val="22"/>
        </w:rPr>
      </w:pPr>
    </w:p>
    <w:p w:rsidR="006E4BFF" w:rsidRPr="005B2844" w:rsidRDefault="006E4BFF" w:rsidP="006E4BFF">
      <w:pPr>
        <w:rPr>
          <w:szCs w:val="22"/>
        </w:rPr>
      </w:pPr>
      <w:r w:rsidRPr="005B2844">
        <w:rPr>
          <w:szCs w:val="22"/>
        </w:rPr>
        <w:t xml:space="preserve">Nei pazienti trattati con </w:t>
      </w:r>
      <w:proofErr w:type="spellStart"/>
      <w:r w:rsidRPr="005B2844">
        <w:rPr>
          <w:szCs w:val="22"/>
        </w:rPr>
        <w:t>telmisartan</w:t>
      </w:r>
      <w:proofErr w:type="spellEnd"/>
      <w:r w:rsidRPr="005B2844">
        <w:rPr>
          <w:szCs w:val="22"/>
        </w:rPr>
        <w:t xml:space="preserve"> sono stati riportati meno frequentemente tosse e angioedema rispetto ai pazienti trattati con </w:t>
      </w:r>
      <w:proofErr w:type="spellStart"/>
      <w:r w:rsidRPr="005B2844">
        <w:rPr>
          <w:szCs w:val="22"/>
        </w:rPr>
        <w:t>ramipril</w:t>
      </w:r>
      <w:proofErr w:type="spellEnd"/>
      <w:r w:rsidRPr="005B2844">
        <w:rPr>
          <w:szCs w:val="22"/>
        </w:rPr>
        <w:t xml:space="preserve">, mentre l’ipotensione è stata riportata più frequentemente con </w:t>
      </w:r>
      <w:proofErr w:type="spellStart"/>
      <w:r w:rsidRPr="005B2844">
        <w:rPr>
          <w:szCs w:val="22"/>
        </w:rPr>
        <w:t>telmisartan</w:t>
      </w:r>
      <w:proofErr w:type="spellEnd"/>
      <w:r w:rsidRPr="005B2844">
        <w:rPr>
          <w:szCs w:val="22"/>
        </w:rPr>
        <w:t xml:space="preserve">. </w:t>
      </w:r>
    </w:p>
    <w:p w:rsidR="006E4BFF" w:rsidRPr="005B2844" w:rsidRDefault="006E4BFF" w:rsidP="006E4BFF">
      <w:pPr>
        <w:rPr>
          <w:szCs w:val="22"/>
        </w:rPr>
      </w:pPr>
    </w:p>
    <w:p w:rsidR="006E4BFF" w:rsidRPr="005B2844" w:rsidRDefault="006E4BFF" w:rsidP="006E4BFF">
      <w:pPr>
        <w:rPr>
          <w:szCs w:val="22"/>
        </w:rPr>
      </w:pPr>
      <w:r w:rsidRPr="005B2844">
        <w:rPr>
          <w:szCs w:val="22"/>
        </w:rPr>
        <w:t xml:space="preserve">L’associazione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non ha aggiunto alcun beneficio rispetto a </w:t>
      </w:r>
      <w:proofErr w:type="spellStart"/>
      <w:r w:rsidRPr="005B2844">
        <w:rPr>
          <w:szCs w:val="22"/>
        </w:rPr>
        <w:t>ramipril</w:t>
      </w:r>
      <w:proofErr w:type="spellEnd"/>
      <w:r w:rsidRPr="005B2844">
        <w:rPr>
          <w:szCs w:val="22"/>
        </w:rPr>
        <w:t xml:space="preserve"> o </w:t>
      </w:r>
      <w:proofErr w:type="spellStart"/>
      <w:r w:rsidRPr="005B2844">
        <w:rPr>
          <w:szCs w:val="22"/>
        </w:rPr>
        <w:t>telmisartan</w:t>
      </w:r>
      <w:proofErr w:type="spellEnd"/>
      <w:r w:rsidRPr="005B2844">
        <w:rPr>
          <w:szCs w:val="22"/>
        </w:rPr>
        <w:t xml:space="preserve"> in monoterapia. La mortalità CV e la mortalità per tutte le cause sono state numericamente superiori con l’associazione. Inoltre, vi è stata un’incidenza significativamente superiore di </w:t>
      </w:r>
      <w:proofErr w:type="spellStart"/>
      <w:r w:rsidRPr="005B2844">
        <w:rPr>
          <w:szCs w:val="22"/>
        </w:rPr>
        <w:t>iperkaliemia</w:t>
      </w:r>
      <w:proofErr w:type="spellEnd"/>
      <w:r w:rsidRPr="005B2844">
        <w:rPr>
          <w:szCs w:val="22"/>
        </w:rPr>
        <w:t xml:space="preserve">, insufficienza renale, ipotensione e sincope nel braccio trattato con l’associazione. Pertanto l’utilizzo di un’associazione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non è raccomandato in questa popolazione di pazienti.</w:t>
      </w:r>
    </w:p>
    <w:p w:rsidR="00A70FCB" w:rsidRPr="005B2844" w:rsidRDefault="00A70FCB" w:rsidP="0072602F">
      <w:pPr>
        <w:rPr>
          <w:szCs w:val="22"/>
        </w:rPr>
      </w:pPr>
    </w:p>
    <w:p w:rsidR="0001419F" w:rsidRPr="005B2844" w:rsidRDefault="00720835" w:rsidP="0072602F">
      <w:pPr>
        <w:rPr>
          <w:szCs w:val="22"/>
        </w:rPr>
      </w:pPr>
      <w:r w:rsidRPr="005B2844">
        <w:rPr>
          <w:szCs w:val="22"/>
        </w:rPr>
        <w:t xml:space="preserve">Nello studio “Prevention </w:t>
      </w:r>
      <w:proofErr w:type="spellStart"/>
      <w:r w:rsidRPr="005B2844">
        <w:rPr>
          <w:szCs w:val="22"/>
        </w:rPr>
        <w:t>Regimen</w:t>
      </w:r>
      <w:proofErr w:type="spellEnd"/>
      <w:r w:rsidRPr="005B2844">
        <w:rPr>
          <w:szCs w:val="22"/>
        </w:rPr>
        <w:t xml:space="preserve"> For </w:t>
      </w:r>
      <w:proofErr w:type="spellStart"/>
      <w:r w:rsidRPr="005B2844">
        <w:rPr>
          <w:szCs w:val="22"/>
        </w:rPr>
        <w:t>Effectively</w:t>
      </w:r>
      <w:proofErr w:type="spellEnd"/>
      <w:r w:rsidRPr="005B2844">
        <w:rPr>
          <w:szCs w:val="22"/>
        </w:rPr>
        <w:t xml:space="preserve"> </w:t>
      </w:r>
      <w:proofErr w:type="spellStart"/>
      <w:r w:rsidRPr="005B2844">
        <w:rPr>
          <w:szCs w:val="22"/>
        </w:rPr>
        <w:t>avoiding</w:t>
      </w:r>
      <w:proofErr w:type="spellEnd"/>
      <w:r w:rsidRPr="005B2844">
        <w:rPr>
          <w:szCs w:val="22"/>
        </w:rPr>
        <w:t xml:space="preserve"> Second </w:t>
      </w:r>
      <w:proofErr w:type="spellStart"/>
      <w:r w:rsidRPr="005B2844">
        <w:rPr>
          <w:szCs w:val="22"/>
        </w:rPr>
        <w:t>Strokes</w:t>
      </w:r>
      <w:proofErr w:type="spellEnd"/>
      <w:r w:rsidRPr="005B2844">
        <w:rPr>
          <w:szCs w:val="22"/>
        </w:rPr>
        <w:t>” (</w:t>
      </w:r>
      <w:proofErr w:type="spellStart"/>
      <w:r w:rsidRPr="005B2844">
        <w:rPr>
          <w:szCs w:val="22"/>
        </w:rPr>
        <w:t>PRoFESS</w:t>
      </w:r>
      <w:proofErr w:type="spellEnd"/>
      <w:r w:rsidRPr="005B2844">
        <w:rPr>
          <w:szCs w:val="22"/>
        </w:rPr>
        <w:t>) nei pazienti di almeno 50 anni che avevano recentemente avuto un</w:t>
      </w:r>
      <w:r w:rsidR="00C86ABC" w:rsidRPr="005B2844">
        <w:rPr>
          <w:szCs w:val="22"/>
        </w:rPr>
        <w:t xml:space="preserve"> ictus</w:t>
      </w:r>
      <w:r w:rsidRPr="005B2844">
        <w:rPr>
          <w:szCs w:val="22"/>
        </w:rPr>
        <w:t xml:space="preserve"> è stata </w:t>
      </w:r>
      <w:r w:rsidR="00C86ABC" w:rsidRPr="005B2844">
        <w:rPr>
          <w:szCs w:val="22"/>
        </w:rPr>
        <w:t>osservata</w:t>
      </w:r>
      <w:r w:rsidRPr="005B2844">
        <w:rPr>
          <w:szCs w:val="22"/>
        </w:rPr>
        <w:t xml:space="preserve"> un’</w:t>
      </w:r>
      <w:r w:rsidR="001148A4" w:rsidRPr="005B2844">
        <w:rPr>
          <w:szCs w:val="22"/>
        </w:rPr>
        <w:t xml:space="preserve">aumentata </w:t>
      </w:r>
      <w:r w:rsidRPr="005B2844">
        <w:rPr>
          <w:szCs w:val="22"/>
        </w:rPr>
        <w:t xml:space="preserve">incidenza di sepsi con </w:t>
      </w:r>
      <w:proofErr w:type="spellStart"/>
      <w:r w:rsidRPr="005B2844">
        <w:rPr>
          <w:szCs w:val="22"/>
        </w:rPr>
        <w:t>telmisartan</w:t>
      </w:r>
      <w:proofErr w:type="spellEnd"/>
      <w:r w:rsidRPr="005B2844">
        <w:rPr>
          <w:szCs w:val="22"/>
        </w:rPr>
        <w:t xml:space="preserve"> rispetto a placebo,</w:t>
      </w:r>
      <w:r w:rsidR="008A2C19" w:rsidRPr="005B2844">
        <w:rPr>
          <w:szCs w:val="22"/>
        </w:rPr>
        <w:t xml:space="preserve"> 0,70% verso 0,49% [RR 1,43 (95</w:t>
      </w:r>
      <w:r w:rsidRPr="005B2844">
        <w:rPr>
          <w:szCs w:val="22"/>
        </w:rPr>
        <w:t>%</w:t>
      </w:r>
      <w:r w:rsidR="001148A4" w:rsidRPr="005B2844">
        <w:rPr>
          <w:szCs w:val="22"/>
        </w:rPr>
        <w:t xml:space="preserve"> </w:t>
      </w:r>
      <w:r w:rsidRPr="005B2844">
        <w:rPr>
          <w:szCs w:val="22"/>
        </w:rPr>
        <w:t>intervallo di confidenza 1,00 – 2,06)]; l’incidenza dei casi fatali di sepsi era aumentata per i pazienti in tr</w:t>
      </w:r>
      <w:r w:rsidR="008A2C19" w:rsidRPr="005B2844">
        <w:rPr>
          <w:szCs w:val="22"/>
        </w:rPr>
        <w:t xml:space="preserve">attamento con </w:t>
      </w:r>
      <w:proofErr w:type="spellStart"/>
      <w:r w:rsidR="008A2C19" w:rsidRPr="005B2844">
        <w:rPr>
          <w:szCs w:val="22"/>
        </w:rPr>
        <w:t>telmisartan</w:t>
      </w:r>
      <w:proofErr w:type="spellEnd"/>
      <w:r w:rsidR="008A2C19" w:rsidRPr="005B2844">
        <w:rPr>
          <w:szCs w:val="22"/>
        </w:rPr>
        <w:t xml:space="preserve"> (0,33</w:t>
      </w:r>
      <w:r w:rsidRPr="005B2844">
        <w:rPr>
          <w:szCs w:val="22"/>
        </w:rPr>
        <w:t>%) rispetto ai pazienti i</w:t>
      </w:r>
      <w:r w:rsidR="008A2C19" w:rsidRPr="005B2844">
        <w:rPr>
          <w:szCs w:val="22"/>
        </w:rPr>
        <w:t>n trattamento con placebo (0,16</w:t>
      </w:r>
      <w:r w:rsidRPr="005B2844">
        <w:rPr>
          <w:szCs w:val="22"/>
        </w:rPr>
        <w:t>%)</w:t>
      </w:r>
      <w:r w:rsidR="001148A4" w:rsidRPr="005B2844">
        <w:rPr>
          <w:szCs w:val="22"/>
        </w:rPr>
        <w:t xml:space="preserve"> </w:t>
      </w:r>
      <w:r w:rsidR="008A2C19" w:rsidRPr="005B2844">
        <w:rPr>
          <w:szCs w:val="22"/>
        </w:rPr>
        <w:t>[RR 2,07 (95</w:t>
      </w:r>
      <w:r w:rsidRPr="005B2844">
        <w:rPr>
          <w:szCs w:val="22"/>
        </w:rPr>
        <w:t>%</w:t>
      </w:r>
      <w:r w:rsidR="001148A4" w:rsidRPr="005B2844">
        <w:rPr>
          <w:szCs w:val="22"/>
        </w:rPr>
        <w:t xml:space="preserve"> </w:t>
      </w:r>
      <w:r w:rsidRPr="005B2844">
        <w:rPr>
          <w:szCs w:val="22"/>
        </w:rPr>
        <w:t>intervallo di confidenza 1,14 – 3,76)]. L’</w:t>
      </w:r>
      <w:r w:rsidR="001148A4" w:rsidRPr="005B2844">
        <w:rPr>
          <w:szCs w:val="22"/>
        </w:rPr>
        <w:t>aumentata</w:t>
      </w:r>
      <w:r w:rsidRPr="005B2844">
        <w:rPr>
          <w:szCs w:val="22"/>
        </w:rPr>
        <w:t xml:space="preserve"> incidenza </w:t>
      </w:r>
      <w:r w:rsidR="00C86ABC" w:rsidRPr="005B2844">
        <w:rPr>
          <w:szCs w:val="22"/>
        </w:rPr>
        <w:t xml:space="preserve">di sepsi </w:t>
      </w:r>
      <w:r w:rsidRPr="005B2844">
        <w:rPr>
          <w:szCs w:val="22"/>
        </w:rPr>
        <w:t xml:space="preserve">osservata </w:t>
      </w:r>
      <w:r w:rsidR="00C86ABC" w:rsidRPr="005B2844">
        <w:rPr>
          <w:szCs w:val="22"/>
        </w:rPr>
        <w:t>in associazione</w:t>
      </w:r>
      <w:r w:rsidRPr="005B2844">
        <w:rPr>
          <w:szCs w:val="22"/>
        </w:rPr>
        <w:t xml:space="preserve"> all’uso di </w:t>
      </w:r>
      <w:proofErr w:type="spellStart"/>
      <w:r w:rsidRPr="005B2844">
        <w:rPr>
          <w:szCs w:val="22"/>
        </w:rPr>
        <w:t>telmisartan</w:t>
      </w:r>
      <w:proofErr w:type="spellEnd"/>
      <w:r w:rsidRPr="005B2844">
        <w:rPr>
          <w:szCs w:val="22"/>
        </w:rPr>
        <w:t xml:space="preserve"> può essere un risultato </w:t>
      </w:r>
      <w:r w:rsidR="001148A4" w:rsidRPr="005B2844">
        <w:rPr>
          <w:szCs w:val="22"/>
        </w:rPr>
        <w:t>casuale</w:t>
      </w:r>
      <w:r w:rsidRPr="005B2844">
        <w:rPr>
          <w:szCs w:val="22"/>
        </w:rPr>
        <w:t xml:space="preserve"> o correlato ad un meccanismo attualmente </w:t>
      </w:r>
      <w:r w:rsidR="00C86ABC" w:rsidRPr="005B2844">
        <w:rPr>
          <w:szCs w:val="22"/>
        </w:rPr>
        <w:t>non noto</w:t>
      </w:r>
      <w:r w:rsidRPr="005B2844">
        <w:rPr>
          <w:szCs w:val="22"/>
        </w:rPr>
        <w:t>.</w:t>
      </w:r>
    </w:p>
    <w:p w:rsidR="0001419F" w:rsidRPr="005B2844" w:rsidRDefault="0001419F" w:rsidP="0072602F">
      <w:pPr>
        <w:rPr>
          <w:szCs w:val="22"/>
        </w:rPr>
      </w:pPr>
    </w:p>
    <w:p w:rsidR="00E7657F" w:rsidRPr="005B2844" w:rsidRDefault="00E7657F" w:rsidP="00E7657F">
      <w:pPr>
        <w:rPr>
          <w:szCs w:val="22"/>
        </w:rPr>
      </w:pPr>
      <w:r w:rsidRPr="005B2844">
        <w:rPr>
          <w:szCs w:val="22"/>
        </w:rPr>
        <w:t>Due grandi studi randomizzati e controllati (ONTARGET (</w:t>
      </w:r>
      <w:proofErr w:type="spellStart"/>
      <w:r w:rsidRPr="005B2844">
        <w:rPr>
          <w:szCs w:val="22"/>
        </w:rPr>
        <w:t>ONgoing</w:t>
      </w:r>
      <w:proofErr w:type="spellEnd"/>
      <w:r w:rsidRPr="005B2844">
        <w:rPr>
          <w:szCs w:val="22"/>
        </w:rPr>
        <w:t xml:space="preserve"> </w:t>
      </w:r>
      <w:proofErr w:type="spellStart"/>
      <w:r w:rsidRPr="005B2844">
        <w:rPr>
          <w:szCs w:val="22"/>
        </w:rPr>
        <w:t>Telmisartan</w:t>
      </w:r>
      <w:proofErr w:type="spellEnd"/>
      <w:r w:rsidRPr="005B2844">
        <w:rPr>
          <w:szCs w:val="22"/>
        </w:rPr>
        <w:t xml:space="preserve"> Alone and in combination with </w:t>
      </w:r>
      <w:proofErr w:type="spellStart"/>
      <w:r w:rsidRPr="005B2844">
        <w:rPr>
          <w:szCs w:val="22"/>
        </w:rPr>
        <w:t>Ramipril</w:t>
      </w:r>
      <w:proofErr w:type="spellEnd"/>
      <w:r w:rsidRPr="005B2844">
        <w:rPr>
          <w:szCs w:val="22"/>
        </w:rPr>
        <w:t xml:space="preserve"> Global Endpoint Trial) e VA </w:t>
      </w:r>
      <w:proofErr w:type="spellStart"/>
      <w:r w:rsidRPr="005B2844">
        <w:rPr>
          <w:szCs w:val="22"/>
        </w:rPr>
        <w:t>Nephron</w:t>
      </w:r>
      <w:proofErr w:type="spellEnd"/>
      <w:r w:rsidRPr="005B2844">
        <w:rPr>
          <w:szCs w:val="22"/>
        </w:rPr>
        <w:t xml:space="preserve">-D (The </w:t>
      </w:r>
      <w:proofErr w:type="spellStart"/>
      <w:r w:rsidRPr="005B2844">
        <w:rPr>
          <w:szCs w:val="22"/>
        </w:rPr>
        <w:t>Veterans</w:t>
      </w:r>
      <w:proofErr w:type="spellEnd"/>
      <w:r w:rsidRPr="005B2844">
        <w:rPr>
          <w:szCs w:val="22"/>
        </w:rPr>
        <w:t xml:space="preserve"> Affairs </w:t>
      </w:r>
      <w:proofErr w:type="spellStart"/>
      <w:r w:rsidRPr="005B2844">
        <w:rPr>
          <w:szCs w:val="22"/>
        </w:rPr>
        <w:t>Nephropathy</w:t>
      </w:r>
      <w:proofErr w:type="spellEnd"/>
      <w:r w:rsidRPr="005B2844">
        <w:rPr>
          <w:szCs w:val="22"/>
        </w:rPr>
        <w:t xml:space="preserve"> in </w:t>
      </w:r>
      <w:proofErr w:type="spellStart"/>
      <w:r w:rsidRPr="005B2844">
        <w:rPr>
          <w:szCs w:val="22"/>
        </w:rPr>
        <w:t>Diabetes</w:t>
      </w:r>
      <w:proofErr w:type="spellEnd"/>
      <w:r w:rsidRPr="005B2844">
        <w:rPr>
          <w:szCs w:val="22"/>
        </w:rPr>
        <w:t>)) hanno esaminato l’uso della combinazione di un ACE-inibitore con un antagonista del recettore dell’angiotensina II.</w:t>
      </w:r>
    </w:p>
    <w:p w:rsidR="00E7657F" w:rsidRPr="005B2844" w:rsidRDefault="00E7657F" w:rsidP="00E7657F">
      <w:pPr>
        <w:rPr>
          <w:szCs w:val="22"/>
        </w:rPr>
      </w:pPr>
      <w:r w:rsidRPr="005B2844">
        <w:rPr>
          <w:szCs w:val="22"/>
        </w:rPr>
        <w:t>ONTARGET è stato uno studio condotto in pazienti con anamnesi di patologia cardiovascolare o cerebrovascolare, o diabete mellito tipo 2 associato all’evidenza di danno d’organo. Per informazioni più dettagliate vedere sopra alla voce “Prevenzione cardiovascolare”.</w:t>
      </w:r>
    </w:p>
    <w:p w:rsidR="00E7657F" w:rsidRPr="005B2844" w:rsidRDefault="00E7657F" w:rsidP="00E7657F">
      <w:pPr>
        <w:rPr>
          <w:szCs w:val="22"/>
        </w:rPr>
      </w:pPr>
      <w:r w:rsidRPr="005B2844">
        <w:rPr>
          <w:szCs w:val="22"/>
        </w:rPr>
        <w:t>VA NEPHRON-D è stato uno studio condotto in pazienti con diabete mellito tipo 2 e nefropatia diabetica.</w:t>
      </w:r>
    </w:p>
    <w:p w:rsidR="00E7657F" w:rsidRPr="005B2844" w:rsidRDefault="00E7657F" w:rsidP="00E7657F">
      <w:pPr>
        <w:rPr>
          <w:szCs w:val="22"/>
        </w:rPr>
      </w:pPr>
      <w:r w:rsidRPr="005B2844">
        <w:rPr>
          <w:szCs w:val="22"/>
        </w:rPr>
        <w:t xml:space="preserve">Questi studi non hanno dimostrato alcun significativo effetto benefico sugli esiti e sulla mortalità renale e/o cardiovascolare, mentre è stato osservato un aumento del rischio di </w:t>
      </w:r>
      <w:proofErr w:type="spellStart"/>
      <w:r w:rsidRPr="005B2844">
        <w:rPr>
          <w:szCs w:val="22"/>
        </w:rPr>
        <w:t>iperpotassiemia</w:t>
      </w:r>
      <w:proofErr w:type="spellEnd"/>
      <w:r w:rsidRPr="005B2844">
        <w:rPr>
          <w:szCs w:val="22"/>
        </w:rPr>
        <w:t>, danno renale acuto e/o ipotensione rispetto alla monoterapia. Questi risultati sono pertinenti anche per gli altri ACE-inibitori e per gli antagonisti del recettore dell’angiotensina II, date le loro simili proprietà farmacodinamiche.</w:t>
      </w:r>
    </w:p>
    <w:p w:rsidR="00E7657F" w:rsidRPr="005B2844" w:rsidRDefault="00E7657F" w:rsidP="00E7657F">
      <w:pPr>
        <w:rPr>
          <w:szCs w:val="22"/>
        </w:rPr>
      </w:pPr>
      <w:r w:rsidRPr="005B2844">
        <w:rPr>
          <w:szCs w:val="22"/>
        </w:rPr>
        <w:t>Gli ACE-inibitori e gli antagonisti del recettore dell’angiotensina II non devono quindi essere usati contemporaneamente in pazienti con nefropatia diabetica.</w:t>
      </w:r>
    </w:p>
    <w:p w:rsidR="00E7657F" w:rsidRPr="005B2844" w:rsidRDefault="00E7657F" w:rsidP="00E7657F">
      <w:pPr>
        <w:rPr>
          <w:szCs w:val="22"/>
        </w:rPr>
      </w:pPr>
    </w:p>
    <w:p w:rsidR="00E7657F" w:rsidRPr="005B2844" w:rsidRDefault="00E7657F" w:rsidP="00E7657F">
      <w:pPr>
        <w:rPr>
          <w:szCs w:val="22"/>
        </w:rPr>
      </w:pPr>
      <w:r w:rsidRPr="005B2844">
        <w:rPr>
          <w:szCs w:val="22"/>
        </w:rPr>
        <w:t>ALTITUDE (</w:t>
      </w:r>
      <w:proofErr w:type="spellStart"/>
      <w:r w:rsidRPr="005B2844">
        <w:rPr>
          <w:szCs w:val="22"/>
        </w:rPr>
        <w:t>Aliskiren</w:t>
      </w:r>
      <w:proofErr w:type="spellEnd"/>
      <w:r w:rsidRPr="005B2844">
        <w:rPr>
          <w:szCs w:val="22"/>
        </w:rPr>
        <w:t xml:space="preserve"> Trial in </w:t>
      </w:r>
      <w:proofErr w:type="spellStart"/>
      <w:r w:rsidRPr="005B2844">
        <w:rPr>
          <w:szCs w:val="22"/>
        </w:rPr>
        <w:t>Type</w:t>
      </w:r>
      <w:proofErr w:type="spellEnd"/>
      <w:r w:rsidRPr="005B2844">
        <w:rPr>
          <w:szCs w:val="22"/>
        </w:rPr>
        <w:t xml:space="preserve"> 2 </w:t>
      </w:r>
      <w:proofErr w:type="spellStart"/>
      <w:r w:rsidRPr="005B2844">
        <w:rPr>
          <w:szCs w:val="22"/>
        </w:rPr>
        <w:t>Diabetes</w:t>
      </w:r>
      <w:proofErr w:type="spellEnd"/>
      <w:r w:rsidRPr="005B2844">
        <w:rPr>
          <w:szCs w:val="22"/>
        </w:rPr>
        <w:t xml:space="preserve"> Using </w:t>
      </w:r>
      <w:proofErr w:type="spellStart"/>
      <w:r w:rsidRPr="005B2844">
        <w:rPr>
          <w:szCs w:val="22"/>
        </w:rPr>
        <w:t>Cardiovascular</w:t>
      </w:r>
      <w:proofErr w:type="spellEnd"/>
      <w:r w:rsidRPr="005B2844">
        <w:rPr>
          <w:szCs w:val="22"/>
        </w:rPr>
        <w:t xml:space="preserve"> and </w:t>
      </w:r>
      <w:proofErr w:type="spellStart"/>
      <w:r w:rsidRPr="005B2844">
        <w:rPr>
          <w:szCs w:val="22"/>
        </w:rPr>
        <w:t>Renal</w:t>
      </w:r>
      <w:proofErr w:type="spellEnd"/>
      <w:r w:rsidRPr="005B2844">
        <w:rPr>
          <w:szCs w:val="22"/>
        </w:rPr>
        <w:t xml:space="preserve"> Disease Endpoints) è stato uno studio volto a verificare il vantaggio di aggiungere </w:t>
      </w:r>
      <w:proofErr w:type="spellStart"/>
      <w:r w:rsidRPr="005B2844">
        <w:rPr>
          <w:szCs w:val="22"/>
        </w:rPr>
        <w:t>aliskiren</w:t>
      </w:r>
      <w:proofErr w:type="spellEnd"/>
      <w:r w:rsidRPr="005B2844">
        <w:rPr>
          <w:szCs w:val="22"/>
        </w:rPr>
        <w:t xml:space="preserve">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w:t>
      </w:r>
      <w:proofErr w:type="spellStart"/>
      <w:r w:rsidRPr="005B2844">
        <w:rPr>
          <w:szCs w:val="22"/>
        </w:rPr>
        <w:t>aliskiren</w:t>
      </w:r>
      <w:proofErr w:type="spellEnd"/>
      <w:r w:rsidRPr="005B2844">
        <w:rPr>
          <w:szCs w:val="22"/>
        </w:rPr>
        <w:t xml:space="preserve"> rispetto al gruppo placebo e gli eventi avversi e gli eventi avversi gravi di interesse (</w:t>
      </w:r>
      <w:proofErr w:type="spellStart"/>
      <w:r w:rsidRPr="005B2844">
        <w:rPr>
          <w:szCs w:val="22"/>
        </w:rPr>
        <w:t>iperpotassiemia</w:t>
      </w:r>
      <w:proofErr w:type="spellEnd"/>
      <w:r w:rsidRPr="005B2844">
        <w:rPr>
          <w:szCs w:val="22"/>
        </w:rPr>
        <w:t xml:space="preserve">, ipotensione e disfunzione renale) sono stati riportati più frequentemente nel gruppo </w:t>
      </w:r>
      <w:proofErr w:type="spellStart"/>
      <w:r w:rsidRPr="005B2844">
        <w:rPr>
          <w:szCs w:val="22"/>
        </w:rPr>
        <w:t>aliskiren</w:t>
      </w:r>
      <w:proofErr w:type="spellEnd"/>
      <w:r w:rsidRPr="005B2844">
        <w:rPr>
          <w:szCs w:val="22"/>
        </w:rPr>
        <w:t xml:space="preserve"> rispetto al gruppo placebo.</w:t>
      </w:r>
    </w:p>
    <w:p w:rsidR="00E7657F" w:rsidRPr="005B2844" w:rsidRDefault="00E7657F" w:rsidP="0072602F">
      <w:pPr>
        <w:rPr>
          <w:szCs w:val="22"/>
        </w:rPr>
      </w:pPr>
    </w:p>
    <w:p w:rsidR="00A70FCB" w:rsidRPr="005B2844" w:rsidRDefault="00A70FCB" w:rsidP="0072602F">
      <w:pPr>
        <w:rPr>
          <w:szCs w:val="22"/>
        </w:rPr>
      </w:pPr>
      <w:r w:rsidRPr="005B2844">
        <w:rPr>
          <w:szCs w:val="22"/>
        </w:rPr>
        <w:t>Studi epidemiologici hanno dimostrato che il trattamento a lungo termine con l’</w:t>
      </w:r>
      <w:proofErr w:type="spellStart"/>
      <w:r w:rsidRPr="005B2844">
        <w:rPr>
          <w:szCs w:val="22"/>
        </w:rPr>
        <w:t>idroclorotiazide</w:t>
      </w:r>
      <w:proofErr w:type="spellEnd"/>
      <w:r w:rsidRPr="005B2844">
        <w:rPr>
          <w:szCs w:val="22"/>
        </w:rPr>
        <w:t xml:space="preserve"> riduce il rischio di mortalità e morbilità cardiovascolare.</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Gli effetti della associazione fissa </w:t>
      </w: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r w:rsidRPr="005B2844">
        <w:rPr>
          <w:szCs w:val="22"/>
        </w:rPr>
        <w:t xml:space="preserve"> sulla mortalità e sulla morbilità cardiovascolare sono attualmente sconosciuti.</w:t>
      </w:r>
    </w:p>
    <w:p w:rsidR="00A70FCB" w:rsidRPr="005B2844" w:rsidRDefault="00A70FCB" w:rsidP="0072602F">
      <w:pPr>
        <w:rPr>
          <w:szCs w:val="22"/>
        </w:rPr>
      </w:pPr>
    </w:p>
    <w:p w:rsidR="00F82465" w:rsidRPr="005B2844" w:rsidRDefault="00F82465" w:rsidP="000709BC">
      <w:pPr>
        <w:keepNext/>
        <w:rPr>
          <w:szCs w:val="22"/>
        </w:rPr>
      </w:pPr>
      <w:r w:rsidRPr="005B2844">
        <w:rPr>
          <w:szCs w:val="22"/>
        </w:rPr>
        <w:t>Cancro cutaneo non melanoma</w:t>
      </w:r>
    </w:p>
    <w:p w:rsidR="00F82465" w:rsidRPr="005B2844" w:rsidRDefault="00F82465" w:rsidP="00F62E30">
      <w:pPr>
        <w:keepNext/>
        <w:rPr>
          <w:szCs w:val="22"/>
        </w:rPr>
      </w:pPr>
      <w:r w:rsidRPr="005B2844">
        <w:rPr>
          <w:szCs w:val="22"/>
        </w:rPr>
        <w:t xml:space="preserve">Sulla base dei dati disponibili provenienti da studi epidemiologici, è stata osservata un’associazione tra HCTZ e NMSC correlata alla dose </w:t>
      </w:r>
      <w:proofErr w:type="spellStart"/>
      <w:r w:rsidRPr="005B2844">
        <w:rPr>
          <w:szCs w:val="22"/>
        </w:rPr>
        <w:t>cumulativaassunta</w:t>
      </w:r>
      <w:proofErr w:type="spellEnd"/>
      <w:r w:rsidRPr="005B2844">
        <w:rPr>
          <w:szCs w:val="22"/>
        </w:rPr>
        <w:t xml:space="preserve"> Uno studio ha incluso una popolazione comprendente 71</w:t>
      </w:r>
      <w:r w:rsidR="00F62E30">
        <w:rPr>
          <w:szCs w:val="22"/>
        </w:rPr>
        <w:t> </w:t>
      </w:r>
      <w:r w:rsidRPr="005B2844">
        <w:rPr>
          <w:szCs w:val="22"/>
        </w:rPr>
        <w:t>533 casi di BCC e 8</w:t>
      </w:r>
      <w:r w:rsidR="00F62E30">
        <w:rPr>
          <w:szCs w:val="22"/>
        </w:rPr>
        <w:t> </w:t>
      </w:r>
      <w:r w:rsidRPr="005B2844">
        <w:rPr>
          <w:szCs w:val="22"/>
        </w:rPr>
        <w:t>629 casi di SCC co</w:t>
      </w:r>
      <w:r w:rsidR="00F62E30">
        <w:rPr>
          <w:szCs w:val="22"/>
        </w:rPr>
        <w:t>nfrontati rispettivamente con 1 </w:t>
      </w:r>
      <w:r w:rsidRPr="005B2844">
        <w:rPr>
          <w:szCs w:val="22"/>
        </w:rPr>
        <w:t>430</w:t>
      </w:r>
      <w:r w:rsidR="00F62E30">
        <w:rPr>
          <w:szCs w:val="22"/>
        </w:rPr>
        <w:t> </w:t>
      </w:r>
      <w:r w:rsidRPr="005B2844">
        <w:rPr>
          <w:szCs w:val="22"/>
        </w:rPr>
        <w:t>833 e 172</w:t>
      </w:r>
      <w:r w:rsidR="00F62E30">
        <w:rPr>
          <w:szCs w:val="22"/>
        </w:rPr>
        <w:t> </w:t>
      </w:r>
      <w:r w:rsidRPr="005B2844">
        <w:rPr>
          <w:szCs w:val="22"/>
        </w:rPr>
        <w:t>462 soggetti nella popolazione di controllo. Un elevato utilizzo di HCTZ (dose cumulativa ≥50</w:t>
      </w:r>
      <w:r w:rsidR="002A215B" w:rsidRPr="005B2844">
        <w:rPr>
          <w:szCs w:val="22"/>
        </w:rPr>
        <w:t> </w:t>
      </w:r>
      <w:r w:rsidRPr="005B2844">
        <w:rPr>
          <w:szCs w:val="22"/>
        </w:rPr>
        <w:t>000 mg) è stato associato a un OR (</w:t>
      </w:r>
      <w:proofErr w:type="spellStart"/>
      <w:r w:rsidRPr="005B2844">
        <w:rPr>
          <w:szCs w:val="22"/>
        </w:rPr>
        <w:t>odds</w:t>
      </w:r>
      <w:proofErr w:type="spellEnd"/>
      <w:r w:rsidRPr="005B2844">
        <w:rPr>
          <w:szCs w:val="22"/>
        </w:rPr>
        <w:t xml:space="preserve"> ratio) aggiustato per confondenti pari a 1,29 (95 % CI: 1,23-1,35) per il BCC e pari a 3,98 (95 % CI: 3,68-4,31) per l’SCC. È stata osservata un’evidente relazione tra dose cumulativa assunta e risposta sia per il BCC che per l’SCC. Un altro studio ha dimostrato una possibile associazione tra il cancro delle labbra (SCC) e l’esposizione all’HCTZ,: 633 casi di cancro </w:t>
      </w:r>
      <w:r w:rsidR="00F62E30">
        <w:rPr>
          <w:szCs w:val="22"/>
        </w:rPr>
        <w:t>delle labbra confrontati con 63 </w:t>
      </w:r>
      <w:r w:rsidRPr="005B2844">
        <w:rPr>
          <w:szCs w:val="22"/>
        </w:rPr>
        <w:t>067 soggetti nella popolazione di controllo, utilizzando una strategia di campionamento dei soggetti a rischio (</w:t>
      </w:r>
      <w:r w:rsidRPr="005B2844">
        <w:rPr>
          <w:i/>
          <w:iCs/>
          <w:szCs w:val="22"/>
        </w:rPr>
        <w:t>risk-set sampling</w:t>
      </w:r>
      <w:r w:rsidRPr="005B2844">
        <w:rPr>
          <w:szCs w:val="22"/>
        </w:rPr>
        <w:t>). È stata dimostrata una relazione tra la risposta e la dose cumulativa con un OR aggiustato di 2,1 (95 % CI: 1,7-2,6), aumentato fino a 3,9 (3,0-4,9) in caso di un utilizzo elevato (~25</w:t>
      </w:r>
      <w:r w:rsidR="002A215B" w:rsidRPr="005B2844">
        <w:rPr>
          <w:szCs w:val="22"/>
        </w:rPr>
        <w:t> </w:t>
      </w:r>
      <w:r w:rsidRPr="005B2844">
        <w:rPr>
          <w:szCs w:val="22"/>
        </w:rPr>
        <w:t>000 mg) e fino a 7,7 (5,7- 10,5) con la massima dose cumulativa assunta (~100</w:t>
      </w:r>
      <w:r w:rsidR="002A215B" w:rsidRPr="005B2844">
        <w:rPr>
          <w:szCs w:val="22"/>
        </w:rPr>
        <w:t> </w:t>
      </w:r>
      <w:r w:rsidRPr="005B2844">
        <w:rPr>
          <w:szCs w:val="22"/>
        </w:rPr>
        <w:t xml:space="preserve">000 mg) (vedere anche il paragrafo 4.4). </w:t>
      </w:r>
    </w:p>
    <w:p w:rsidR="00F82465" w:rsidRPr="005B2844" w:rsidRDefault="00F82465" w:rsidP="000709BC">
      <w:pPr>
        <w:keepNext/>
        <w:rPr>
          <w:szCs w:val="22"/>
        </w:rPr>
      </w:pPr>
    </w:p>
    <w:p w:rsidR="002A7574" w:rsidRPr="005B2844" w:rsidRDefault="002A7574" w:rsidP="000709BC">
      <w:pPr>
        <w:keepNext/>
        <w:rPr>
          <w:szCs w:val="22"/>
          <w:u w:val="single"/>
        </w:rPr>
      </w:pPr>
      <w:r w:rsidRPr="005B2844">
        <w:rPr>
          <w:szCs w:val="22"/>
          <w:u w:val="single"/>
        </w:rPr>
        <w:t>Popolazione pediatrica</w:t>
      </w:r>
    </w:p>
    <w:p w:rsidR="002A7574" w:rsidRPr="005B2844" w:rsidRDefault="002A7574" w:rsidP="0072602F">
      <w:pPr>
        <w:rPr>
          <w:szCs w:val="22"/>
        </w:rPr>
      </w:pPr>
      <w:r w:rsidRPr="005B2844">
        <w:rPr>
          <w:szCs w:val="22"/>
        </w:rPr>
        <w:t xml:space="preserve">L’Agenzia europea dei medicinali ha previsto l’esonero dall’obbligo di presentare i risultati degli studi con </w:t>
      </w:r>
      <w:proofErr w:type="spellStart"/>
      <w:r w:rsidRPr="005B2844">
        <w:rPr>
          <w:szCs w:val="22"/>
        </w:rPr>
        <w:t>MicardisPlus</w:t>
      </w:r>
      <w:proofErr w:type="spellEnd"/>
      <w:r w:rsidRPr="005B2844">
        <w:rPr>
          <w:szCs w:val="22"/>
        </w:rPr>
        <w:t xml:space="preserve"> in tutti i sottogruppi della popolazione pediatrica per l’ipertensione</w:t>
      </w:r>
      <w:r w:rsidRPr="005B2844">
        <w:rPr>
          <w:color w:val="008000"/>
          <w:szCs w:val="22"/>
        </w:rPr>
        <w:t xml:space="preserve"> </w:t>
      </w:r>
      <w:r w:rsidR="00341486" w:rsidRPr="005B2844">
        <w:rPr>
          <w:szCs w:val="22"/>
        </w:rPr>
        <w:t>(vedere paragrafo </w:t>
      </w:r>
      <w:r w:rsidRPr="005B2844">
        <w:rPr>
          <w:szCs w:val="22"/>
        </w:rPr>
        <w:t>4.2 per informazioni sull’uso pediatrico).</w:t>
      </w:r>
    </w:p>
    <w:p w:rsidR="002A7574" w:rsidRPr="005B2844" w:rsidRDefault="002A7574" w:rsidP="0072602F">
      <w:pPr>
        <w:rPr>
          <w:szCs w:val="22"/>
        </w:rPr>
      </w:pPr>
    </w:p>
    <w:p w:rsidR="00A70FCB" w:rsidRPr="005B2844" w:rsidRDefault="00A70FCB" w:rsidP="002229F2">
      <w:pPr>
        <w:keepNext/>
        <w:tabs>
          <w:tab w:val="left" w:pos="567"/>
        </w:tabs>
        <w:rPr>
          <w:b/>
          <w:szCs w:val="22"/>
        </w:rPr>
      </w:pPr>
      <w:r w:rsidRPr="005B2844">
        <w:rPr>
          <w:b/>
          <w:szCs w:val="22"/>
        </w:rPr>
        <w:t>5.2</w:t>
      </w:r>
      <w:r w:rsidRPr="005B2844">
        <w:rPr>
          <w:b/>
          <w:szCs w:val="22"/>
        </w:rPr>
        <w:tab/>
        <w:t>Proprietà farmacocinetiche</w:t>
      </w:r>
    </w:p>
    <w:p w:rsidR="00A70FCB" w:rsidRPr="005B2844" w:rsidRDefault="00A70FCB" w:rsidP="002229F2">
      <w:pPr>
        <w:keepNext/>
        <w:rPr>
          <w:szCs w:val="22"/>
        </w:rPr>
      </w:pPr>
    </w:p>
    <w:p w:rsidR="00A70FCB" w:rsidRPr="005B2844" w:rsidRDefault="00A70FCB" w:rsidP="0072602F">
      <w:pPr>
        <w:rPr>
          <w:szCs w:val="22"/>
        </w:rPr>
      </w:pPr>
      <w:r w:rsidRPr="005B2844">
        <w:rPr>
          <w:szCs w:val="22"/>
        </w:rPr>
        <w:t xml:space="preserve">La somministrazione concomitante di </w:t>
      </w:r>
      <w:proofErr w:type="spellStart"/>
      <w:r w:rsidRPr="005B2844">
        <w:rPr>
          <w:szCs w:val="22"/>
        </w:rPr>
        <w:t>idroclorotiazide</w:t>
      </w:r>
      <w:proofErr w:type="spellEnd"/>
      <w:r w:rsidRPr="005B2844">
        <w:rPr>
          <w:szCs w:val="22"/>
        </w:rPr>
        <w:t xml:space="preserve"> e di </w:t>
      </w:r>
      <w:proofErr w:type="spellStart"/>
      <w:r w:rsidRPr="005B2844">
        <w:rPr>
          <w:szCs w:val="22"/>
        </w:rPr>
        <w:t>telmisartan</w:t>
      </w:r>
      <w:proofErr w:type="spellEnd"/>
      <w:r w:rsidRPr="005B2844">
        <w:rPr>
          <w:szCs w:val="22"/>
        </w:rPr>
        <w:t xml:space="preserve"> non ha</w:t>
      </w:r>
      <w:r w:rsidR="006A6659" w:rsidRPr="005B2844">
        <w:rPr>
          <w:szCs w:val="22"/>
        </w:rPr>
        <w:t xml:space="preserve"> effetti sulla farmacocinetica </w:t>
      </w:r>
      <w:r w:rsidRPr="005B2844">
        <w:rPr>
          <w:szCs w:val="22"/>
        </w:rPr>
        <w:t>di ciascun</w:t>
      </w:r>
      <w:r w:rsidR="00AB476D" w:rsidRPr="005B2844">
        <w:rPr>
          <w:szCs w:val="22"/>
        </w:rPr>
        <w:t>a</w:t>
      </w:r>
      <w:r w:rsidRPr="005B2844">
        <w:rPr>
          <w:szCs w:val="22"/>
        </w:rPr>
        <w:t xml:space="preserve"> de</w:t>
      </w:r>
      <w:r w:rsidR="00AB476D" w:rsidRPr="005B2844">
        <w:rPr>
          <w:szCs w:val="22"/>
        </w:rPr>
        <w:t>lle</w:t>
      </w:r>
      <w:r w:rsidRPr="005B2844">
        <w:rPr>
          <w:szCs w:val="22"/>
        </w:rPr>
        <w:t xml:space="preserve"> due </w:t>
      </w:r>
      <w:r w:rsidR="00AB476D" w:rsidRPr="005B2844">
        <w:rPr>
          <w:szCs w:val="22"/>
        </w:rPr>
        <w:t>sostanze</w:t>
      </w:r>
      <w:r w:rsidR="007B4813" w:rsidRPr="005B2844">
        <w:rPr>
          <w:szCs w:val="22"/>
        </w:rPr>
        <w:t xml:space="preserve"> </w:t>
      </w:r>
      <w:r w:rsidRPr="005B2844">
        <w:rPr>
          <w:szCs w:val="22"/>
        </w:rPr>
        <w:t>nei soggetti sani.</w:t>
      </w:r>
    </w:p>
    <w:p w:rsidR="00A70FCB" w:rsidRPr="005B2844" w:rsidRDefault="00A70FCB" w:rsidP="0072602F">
      <w:pPr>
        <w:rPr>
          <w:szCs w:val="22"/>
        </w:rPr>
      </w:pPr>
    </w:p>
    <w:p w:rsidR="00336D0F" w:rsidRPr="005B2844" w:rsidRDefault="00A70FCB" w:rsidP="002229F2">
      <w:pPr>
        <w:pStyle w:val="BodyText20"/>
        <w:keepNext/>
        <w:spacing w:line="240" w:lineRule="auto"/>
        <w:jc w:val="left"/>
        <w:rPr>
          <w:szCs w:val="22"/>
        </w:rPr>
      </w:pPr>
      <w:r w:rsidRPr="005B2844">
        <w:rPr>
          <w:szCs w:val="22"/>
          <w:u w:val="single"/>
        </w:rPr>
        <w:t>Assorbimento</w:t>
      </w:r>
    </w:p>
    <w:p w:rsidR="00A70FCB" w:rsidRPr="005B2844" w:rsidRDefault="00A70FCB" w:rsidP="0072602F">
      <w:pPr>
        <w:pStyle w:val="BodyText20"/>
        <w:spacing w:line="240" w:lineRule="auto"/>
        <w:jc w:val="left"/>
        <w:rPr>
          <w:szCs w:val="22"/>
        </w:rPr>
      </w:pPr>
      <w:proofErr w:type="spellStart"/>
      <w:r w:rsidRPr="005B2844">
        <w:rPr>
          <w:szCs w:val="22"/>
        </w:rPr>
        <w:t>Telmisartan</w:t>
      </w:r>
      <w:proofErr w:type="spellEnd"/>
      <w:r w:rsidRPr="005B2844">
        <w:rPr>
          <w:szCs w:val="22"/>
        </w:rPr>
        <w:t xml:space="preserve">: </w:t>
      </w:r>
      <w:r w:rsidR="0089131A" w:rsidRPr="005B2844">
        <w:rPr>
          <w:szCs w:val="22"/>
        </w:rPr>
        <w:t>D</w:t>
      </w:r>
      <w:r w:rsidRPr="005B2844">
        <w:rPr>
          <w:szCs w:val="22"/>
        </w:rPr>
        <w:t xml:space="preserve">opo somministrazione orale le concentrazioni massime di </w:t>
      </w:r>
      <w:proofErr w:type="spellStart"/>
      <w:r w:rsidRPr="005B2844">
        <w:rPr>
          <w:szCs w:val="22"/>
        </w:rPr>
        <w:t>telmisartan</w:t>
      </w:r>
      <w:proofErr w:type="spellEnd"/>
      <w:r w:rsidRPr="005B2844">
        <w:rPr>
          <w:szCs w:val="22"/>
        </w:rPr>
        <w:t xml:space="preserve"> sono raggiunte in 0,5-1,5 ore. La biodisponibilità assoluta di dosi di </w:t>
      </w:r>
      <w:proofErr w:type="spellStart"/>
      <w:r w:rsidRPr="005B2844">
        <w:rPr>
          <w:szCs w:val="22"/>
        </w:rPr>
        <w:t>telmisartan</w:t>
      </w:r>
      <w:proofErr w:type="spellEnd"/>
      <w:r w:rsidRPr="005B2844">
        <w:rPr>
          <w:szCs w:val="22"/>
        </w:rPr>
        <w:t xml:space="preserve"> pari a 40 mg e </w:t>
      </w:r>
      <w:r w:rsidR="008A2C19" w:rsidRPr="005B2844">
        <w:rPr>
          <w:szCs w:val="22"/>
        </w:rPr>
        <w:t>160 mg è rispettivamente del 42% e del 58</w:t>
      </w:r>
      <w:r w:rsidRPr="005B2844">
        <w:rPr>
          <w:szCs w:val="22"/>
        </w:rPr>
        <w:t xml:space="preserve">%. Il cibo riduce lievemente la biodisponibilità di </w:t>
      </w:r>
      <w:proofErr w:type="spellStart"/>
      <w:r w:rsidRPr="005B2844">
        <w:rPr>
          <w:szCs w:val="22"/>
        </w:rPr>
        <w:t>telmisartan</w:t>
      </w:r>
      <w:proofErr w:type="spellEnd"/>
      <w:r w:rsidRPr="005B2844">
        <w:rPr>
          <w:szCs w:val="22"/>
        </w:rPr>
        <w:t>, con una riduzione dell’area sotto la curva delle concentrazioni plasmatich</w:t>
      </w:r>
      <w:r w:rsidR="008A2C19" w:rsidRPr="005B2844">
        <w:rPr>
          <w:szCs w:val="22"/>
        </w:rPr>
        <w:t>e/tempo (AUC) compresa tra il 6% con una dose di 40 mg e il 19</w:t>
      </w:r>
      <w:r w:rsidRPr="005B2844">
        <w:rPr>
          <w:szCs w:val="22"/>
        </w:rPr>
        <w:t xml:space="preserve">% circa con una dose di 160 mg. Entro 3 ore dalla somministrazione le concentrazioni plasmatiche risultano simili sia che il </w:t>
      </w:r>
      <w:proofErr w:type="spellStart"/>
      <w:r w:rsidRPr="005B2844">
        <w:rPr>
          <w:szCs w:val="22"/>
        </w:rPr>
        <w:t>telmisartan</w:t>
      </w:r>
      <w:proofErr w:type="spellEnd"/>
      <w:r w:rsidRPr="005B2844">
        <w:rPr>
          <w:szCs w:val="22"/>
        </w:rPr>
        <w:t xml:space="preserve"> venga assunto a digiuno che con un pasto. Non si ritiene che la lieve riduzione nell’AUC causi una riduzione dell’efficacia terapeutica. Il </w:t>
      </w:r>
      <w:proofErr w:type="spellStart"/>
      <w:r w:rsidRPr="005B2844">
        <w:rPr>
          <w:szCs w:val="22"/>
        </w:rPr>
        <w:t>telmisartan</w:t>
      </w:r>
      <w:proofErr w:type="spellEnd"/>
      <w:r w:rsidRPr="005B2844">
        <w:rPr>
          <w:szCs w:val="22"/>
        </w:rPr>
        <w:t xml:space="preserve"> a dosi ripetute non si accumula in modo significativo nel plasma.</w:t>
      </w:r>
    </w:p>
    <w:p w:rsidR="00A70FCB" w:rsidRPr="005B2844" w:rsidRDefault="00A70FCB" w:rsidP="0072602F">
      <w:pPr>
        <w:rPr>
          <w:szCs w:val="22"/>
        </w:rPr>
      </w:pPr>
      <w:proofErr w:type="spellStart"/>
      <w:r w:rsidRPr="005B2844">
        <w:rPr>
          <w:szCs w:val="22"/>
        </w:rPr>
        <w:t>Idroclorotiazide</w:t>
      </w:r>
      <w:proofErr w:type="spellEnd"/>
      <w:r w:rsidRPr="005B2844">
        <w:rPr>
          <w:szCs w:val="22"/>
        </w:rPr>
        <w:t>:</w:t>
      </w:r>
      <w:r w:rsidRPr="005B2844">
        <w:rPr>
          <w:i/>
          <w:szCs w:val="22"/>
        </w:rPr>
        <w:t xml:space="preserve"> </w:t>
      </w:r>
      <w:r w:rsidR="0089131A" w:rsidRPr="005B2844">
        <w:rPr>
          <w:szCs w:val="22"/>
        </w:rPr>
        <w:t>D</w:t>
      </w:r>
      <w:r w:rsidRPr="005B2844">
        <w:rPr>
          <w:szCs w:val="22"/>
        </w:rPr>
        <w:t xml:space="preserve">opo somministrazione orale di </w:t>
      </w:r>
      <w:proofErr w:type="spellStart"/>
      <w:r w:rsidRPr="005B2844">
        <w:rPr>
          <w:szCs w:val="22"/>
        </w:rPr>
        <w:t>MicardisPlus</w:t>
      </w:r>
      <w:proofErr w:type="spellEnd"/>
      <w:r w:rsidRPr="005B2844">
        <w:rPr>
          <w:szCs w:val="22"/>
        </w:rPr>
        <w:t xml:space="preserve"> le concentrazioni massime di </w:t>
      </w:r>
      <w:proofErr w:type="spellStart"/>
      <w:r w:rsidRPr="005B2844">
        <w:rPr>
          <w:szCs w:val="22"/>
        </w:rPr>
        <w:t>idroclorotiazide</w:t>
      </w:r>
      <w:proofErr w:type="spellEnd"/>
      <w:r w:rsidRPr="005B2844">
        <w:rPr>
          <w:szCs w:val="22"/>
        </w:rPr>
        <w:t xml:space="preserve"> sono raggiunte in circa 1</w:t>
      </w:r>
      <w:r w:rsidR="000D2DE7" w:rsidRPr="005B2844">
        <w:rPr>
          <w:szCs w:val="22"/>
        </w:rPr>
        <w:t>,0</w:t>
      </w:r>
      <w:r w:rsidRPr="005B2844">
        <w:rPr>
          <w:szCs w:val="22"/>
        </w:rPr>
        <w:t>-3</w:t>
      </w:r>
      <w:r w:rsidR="000D2DE7" w:rsidRPr="005B2844">
        <w:rPr>
          <w:szCs w:val="22"/>
        </w:rPr>
        <w:t>,0</w:t>
      </w:r>
      <w:r w:rsidRPr="005B2844">
        <w:rPr>
          <w:szCs w:val="22"/>
        </w:rPr>
        <w:t xml:space="preserve"> ore. Sulla base dell’escrezione renale cumulativa di </w:t>
      </w:r>
      <w:proofErr w:type="spellStart"/>
      <w:r w:rsidRPr="005B2844">
        <w:rPr>
          <w:szCs w:val="22"/>
        </w:rPr>
        <w:t>idroclorotiazide</w:t>
      </w:r>
      <w:proofErr w:type="spellEnd"/>
      <w:r w:rsidRPr="005B2844">
        <w:rPr>
          <w:szCs w:val="22"/>
        </w:rPr>
        <w:t xml:space="preserve"> la bio</w:t>
      </w:r>
      <w:r w:rsidR="008A2C19" w:rsidRPr="005B2844">
        <w:rPr>
          <w:szCs w:val="22"/>
        </w:rPr>
        <w:t>disponibilità assoluta è del 60</w:t>
      </w:r>
      <w:r w:rsidRPr="005B2844">
        <w:rPr>
          <w:szCs w:val="22"/>
        </w:rPr>
        <w:t>% circa.</w:t>
      </w:r>
    </w:p>
    <w:p w:rsidR="00A70FCB" w:rsidRPr="005B2844" w:rsidRDefault="00A70FCB" w:rsidP="0072602F">
      <w:pPr>
        <w:rPr>
          <w:szCs w:val="22"/>
        </w:rPr>
      </w:pPr>
    </w:p>
    <w:p w:rsidR="00336D0F" w:rsidRPr="005B2844" w:rsidRDefault="00A70FCB" w:rsidP="002229F2">
      <w:pPr>
        <w:pStyle w:val="BodyText20"/>
        <w:keepNext/>
        <w:spacing w:line="240" w:lineRule="auto"/>
        <w:jc w:val="left"/>
        <w:rPr>
          <w:szCs w:val="22"/>
        </w:rPr>
      </w:pPr>
      <w:r w:rsidRPr="005B2844">
        <w:rPr>
          <w:szCs w:val="22"/>
          <w:u w:val="single"/>
        </w:rPr>
        <w:t>Distribuzione</w:t>
      </w:r>
    </w:p>
    <w:p w:rsidR="00A70FCB" w:rsidRPr="005B2844" w:rsidRDefault="00A70FCB" w:rsidP="0072602F">
      <w:pPr>
        <w:pStyle w:val="BodyText20"/>
        <w:spacing w:line="240" w:lineRule="auto"/>
        <w:jc w:val="left"/>
        <w:rPr>
          <w:szCs w:val="22"/>
        </w:rPr>
      </w:pPr>
      <w:proofErr w:type="spellStart"/>
      <w:r w:rsidRPr="005B2844">
        <w:rPr>
          <w:szCs w:val="22"/>
        </w:rPr>
        <w:t>Telmisartan</w:t>
      </w:r>
      <w:proofErr w:type="spellEnd"/>
      <w:r w:rsidRPr="005B2844">
        <w:rPr>
          <w:szCs w:val="22"/>
        </w:rPr>
        <w:t xml:space="preserve"> si lega fortemente al</w:t>
      </w:r>
      <w:r w:rsidR="008A2C19" w:rsidRPr="005B2844">
        <w:rPr>
          <w:szCs w:val="22"/>
        </w:rPr>
        <w:t>le proteine plasmatiche (&gt; 99,5</w:t>
      </w:r>
      <w:r w:rsidRPr="005B2844">
        <w:rPr>
          <w:szCs w:val="22"/>
        </w:rPr>
        <w:t xml:space="preserve">%), in particolare all’albumina e alla glicoproteina acida alfa-1. Il volume </w:t>
      </w:r>
      <w:r w:rsidR="00602094" w:rsidRPr="005B2844">
        <w:rPr>
          <w:szCs w:val="22"/>
        </w:rPr>
        <w:t>apparente</w:t>
      </w:r>
      <w:r w:rsidRPr="005B2844">
        <w:rPr>
          <w:szCs w:val="22"/>
        </w:rPr>
        <w:t xml:space="preserve"> di distribuzione per il </w:t>
      </w:r>
      <w:proofErr w:type="spellStart"/>
      <w:r w:rsidRPr="005B2844">
        <w:rPr>
          <w:szCs w:val="22"/>
        </w:rPr>
        <w:t>telmisartan</w:t>
      </w:r>
      <w:proofErr w:type="spellEnd"/>
      <w:r w:rsidRPr="005B2844">
        <w:rPr>
          <w:szCs w:val="22"/>
        </w:rPr>
        <w:t xml:space="preserve"> è di circa 500 l indicativo di un ulteriore legame tessutale.</w:t>
      </w:r>
    </w:p>
    <w:p w:rsidR="00A70FCB" w:rsidRPr="005B2844" w:rsidRDefault="00A70FCB" w:rsidP="0072602F">
      <w:pPr>
        <w:rPr>
          <w:szCs w:val="22"/>
        </w:rPr>
      </w:pPr>
      <w:proofErr w:type="spellStart"/>
      <w:r w:rsidRPr="005B2844">
        <w:rPr>
          <w:szCs w:val="22"/>
        </w:rPr>
        <w:t>Idroclorotiazide</w:t>
      </w:r>
      <w:proofErr w:type="spellEnd"/>
      <w:r w:rsidRPr="005B2844">
        <w:rPr>
          <w:szCs w:val="22"/>
        </w:rPr>
        <w:t xml:space="preserve"> si lega per </w:t>
      </w:r>
      <w:r w:rsidR="008A2C19" w:rsidRPr="005B2844">
        <w:rPr>
          <w:szCs w:val="22"/>
        </w:rPr>
        <w:t>il 68</w:t>
      </w:r>
      <w:r w:rsidRPr="005B2844">
        <w:rPr>
          <w:szCs w:val="22"/>
        </w:rPr>
        <w:t xml:space="preserve">% alle proteine plasmatiche e il suo volume </w:t>
      </w:r>
      <w:r w:rsidR="00602094" w:rsidRPr="005B2844">
        <w:rPr>
          <w:szCs w:val="22"/>
        </w:rPr>
        <w:t>apparente</w:t>
      </w:r>
      <w:r w:rsidRPr="005B2844">
        <w:rPr>
          <w:szCs w:val="22"/>
        </w:rPr>
        <w:t xml:space="preserve"> di distribuzione è 0,83-1,14  l/kg.</w:t>
      </w:r>
    </w:p>
    <w:p w:rsidR="00A70FCB" w:rsidRPr="005B2844" w:rsidRDefault="00A70FCB" w:rsidP="0072602F">
      <w:pPr>
        <w:rPr>
          <w:i/>
          <w:szCs w:val="22"/>
        </w:rPr>
      </w:pPr>
    </w:p>
    <w:p w:rsidR="00336D0F" w:rsidRPr="005B2844" w:rsidRDefault="00A70FCB" w:rsidP="002229F2">
      <w:pPr>
        <w:pStyle w:val="BodyText20"/>
        <w:keepNext/>
        <w:spacing w:line="240" w:lineRule="auto"/>
        <w:jc w:val="left"/>
        <w:rPr>
          <w:szCs w:val="22"/>
        </w:rPr>
      </w:pPr>
      <w:r w:rsidRPr="005B2844">
        <w:rPr>
          <w:szCs w:val="22"/>
          <w:u w:val="single"/>
        </w:rPr>
        <w:t>Biotrasformazione</w:t>
      </w:r>
    </w:p>
    <w:p w:rsidR="00E646BD" w:rsidRPr="005B2844" w:rsidRDefault="00A70FCB" w:rsidP="0072602F">
      <w:pPr>
        <w:pStyle w:val="BodyText20"/>
        <w:spacing w:line="240" w:lineRule="auto"/>
        <w:jc w:val="left"/>
        <w:rPr>
          <w:szCs w:val="22"/>
        </w:rPr>
      </w:pPr>
      <w:r w:rsidRPr="005B2844">
        <w:rPr>
          <w:szCs w:val="22"/>
        </w:rPr>
        <w:t xml:space="preserve">Il </w:t>
      </w:r>
      <w:proofErr w:type="spellStart"/>
      <w:r w:rsidRPr="005B2844">
        <w:rPr>
          <w:szCs w:val="22"/>
        </w:rPr>
        <w:t>telmisartan</w:t>
      </w:r>
      <w:proofErr w:type="spellEnd"/>
      <w:r w:rsidRPr="005B2844">
        <w:rPr>
          <w:szCs w:val="22"/>
        </w:rPr>
        <w:t xml:space="preserve"> è metabolizzato mediante coniugazione che forma un </w:t>
      </w:r>
      <w:proofErr w:type="spellStart"/>
      <w:r w:rsidRPr="005B2844">
        <w:rPr>
          <w:szCs w:val="22"/>
        </w:rPr>
        <w:t>acilglucuronide</w:t>
      </w:r>
      <w:proofErr w:type="spellEnd"/>
      <w:r w:rsidRPr="005B2844">
        <w:rPr>
          <w:szCs w:val="22"/>
        </w:rPr>
        <w:t xml:space="preserve"> farmacologicamente inattivo. Il glucuronide del composto precursore è l’unico metabolita che è stato identificato nell’uomo. Dopo una dose singola di </w:t>
      </w:r>
      <w:proofErr w:type="spellStart"/>
      <w:r w:rsidRPr="005B2844">
        <w:rPr>
          <w:szCs w:val="22"/>
        </w:rPr>
        <w:t>telmisartan</w:t>
      </w:r>
      <w:proofErr w:type="spellEnd"/>
      <w:r w:rsidRPr="005B2844">
        <w:rPr>
          <w:szCs w:val="22"/>
        </w:rPr>
        <w:t xml:space="preserve"> marcato con </w:t>
      </w:r>
      <w:r w:rsidRPr="005B2844">
        <w:rPr>
          <w:szCs w:val="22"/>
          <w:vertAlign w:val="superscript"/>
        </w:rPr>
        <w:t>14</w:t>
      </w:r>
      <w:r w:rsidRPr="005B2844">
        <w:rPr>
          <w:szCs w:val="22"/>
        </w:rPr>
        <w:t>C il glu</w:t>
      </w:r>
      <w:r w:rsidR="008A2C19" w:rsidRPr="005B2844">
        <w:rPr>
          <w:szCs w:val="22"/>
        </w:rPr>
        <w:t>curonide rappresenta circa l’11</w:t>
      </w:r>
      <w:r w:rsidRPr="005B2844">
        <w:rPr>
          <w:szCs w:val="22"/>
        </w:rPr>
        <w:t xml:space="preserve">% della radioattività misurata nel plasma. Gli isoenzimi del citocromo P450 non sono coinvolti nel metabolismo del </w:t>
      </w:r>
      <w:proofErr w:type="spellStart"/>
      <w:r w:rsidRPr="005B2844">
        <w:rPr>
          <w:szCs w:val="22"/>
        </w:rPr>
        <w:t>telmisartan</w:t>
      </w:r>
      <w:proofErr w:type="spellEnd"/>
      <w:r w:rsidRPr="005B2844">
        <w:rPr>
          <w:szCs w:val="22"/>
        </w:rPr>
        <w:t xml:space="preserve">. </w:t>
      </w:r>
    </w:p>
    <w:p w:rsidR="00A70FCB" w:rsidRPr="005B2844" w:rsidRDefault="00E646BD" w:rsidP="0072602F">
      <w:pPr>
        <w:pStyle w:val="BodyText20"/>
        <w:spacing w:line="240" w:lineRule="auto"/>
        <w:jc w:val="left"/>
        <w:rPr>
          <w:szCs w:val="22"/>
        </w:rPr>
      </w:pPr>
      <w:r w:rsidRPr="005B2844">
        <w:rPr>
          <w:szCs w:val="22"/>
        </w:rPr>
        <w:t>L’</w:t>
      </w:r>
      <w:proofErr w:type="spellStart"/>
      <w:r w:rsidRPr="005B2844">
        <w:rPr>
          <w:szCs w:val="22"/>
        </w:rPr>
        <w:t>idroclorotiazide</w:t>
      </w:r>
      <w:proofErr w:type="spellEnd"/>
      <w:r w:rsidRPr="005B2844">
        <w:rPr>
          <w:szCs w:val="22"/>
        </w:rPr>
        <w:t xml:space="preserve"> non è metabolizzata nell’uomo.</w:t>
      </w:r>
    </w:p>
    <w:p w:rsidR="00E646BD" w:rsidRPr="005B2844" w:rsidRDefault="00E646BD" w:rsidP="0072602F">
      <w:pPr>
        <w:rPr>
          <w:szCs w:val="22"/>
        </w:rPr>
      </w:pPr>
    </w:p>
    <w:p w:rsidR="00E646BD" w:rsidRPr="005B2844" w:rsidRDefault="00E646BD" w:rsidP="002229F2">
      <w:pPr>
        <w:keepNext/>
        <w:rPr>
          <w:szCs w:val="22"/>
          <w:u w:val="single"/>
        </w:rPr>
      </w:pPr>
      <w:r w:rsidRPr="005B2844">
        <w:rPr>
          <w:szCs w:val="22"/>
          <w:u w:val="single"/>
        </w:rPr>
        <w:t>Eliminazione</w:t>
      </w:r>
    </w:p>
    <w:p w:rsidR="00E646BD" w:rsidRPr="005B2844" w:rsidRDefault="00E646BD" w:rsidP="0072602F">
      <w:pPr>
        <w:rPr>
          <w:szCs w:val="22"/>
        </w:rPr>
      </w:pPr>
      <w:proofErr w:type="spellStart"/>
      <w:r w:rsidRPr="005B2844">
        <w:rPr>
          <w:szCs w:val="22"/>
        </w:rPr>
        <w:t>Telmisartan</w:t>
      </w:r>
      <w:proofErr w:type="spellEnd"/>
      <w:r w:rsidRPr="005B2844">
        <w:rPr>
          <w:szCs w:val="22"/>
        </w:rPr>
        <w:t xml:space="preserve">: </w:t>
      </w:r>
      <w:r w:rsidR="0089131A" w:rsidRPr="005B2844">
        <w:rPr>
          <w:szCs w:val="22"/>
        </w:rPr>
        <w:t>I</w:t>
      </w:r>
      <w:r w:rsidRPr="005B2844">
        <w:rPr>
          <w:szCs w:val="22"/>
        </w:rPr>
        <w:t xml:space="preserve">n seguito a somministrazione sia endovenosa che orale di </w:t>
      </w:r>
      <w:proofErr w:type="spellStart"/>
      <w:r w:rsidRPr="005B2844">
        <w:rPr>
          <w:szCs w:val="22"/>
        </w:rPr>
        <w:t>telmisartan</w:t>
      </w:r>
      <w:proofErr w:type="spellEnd"/>
      <w:r w:rsidRPr="005B2844">
        <w:rPr>
          <w:szCs w:val="22"/>
        </w:rPr>
        <w:t xml:space="preserve"> marcato con </w:t>
      </w:r>
      <w:r w:rsidRPr="005B2844">
        <w:rPr>
          <w:szCs w:val="22"/>
          <w:vertAlign w:val="superscript"/>
        </w:rPr>
        <w:t>14</w:t>
      </w:r>
      <w:r w:rsidRPr="005B2844">
        <w:rPr>
          <w:szCs w:val="22"/>
        </w:rPr>
        <w:t>C</w:t>
      </w:r>
      <w:r w:rsidRPr="005B2844">
        <w:rPr>
          <w:szCs w:val="22"/>
          <w:vertAlign w:val="superscript"/>
        </w:rPr>
        <w:t xml:space="preserve"> </w:t>
      </w:r>
      <w:r w:rsidRPr="005B2844">
        <w:rPr>
          <w:szCs w:val="22"/>
        </w:rPr>
        <w:t xml:space="preserve"> la maggior parte della dose somministrata (&gt; 97%) è stata eliminata nelle feci attraverso escrezione biliare. Solo piccole quantità sono state trovate nelle urine. La clearance plasmatica totale di </w:t>
      </w:r>
      <w:proofErr w:type="spellStart"/>
      <w:r w:rsidRPr="005B2844">
        <w:rPr>
          <w:szCs w:val="22"/>
        </w:rPr>
        <w:t>telmisartan</w:t>
      </w:r>
      <w:proofErr w:type="spellEnd"/>
      <w:r w:rsidRPr="005B2844">
        <w:rPr>
          <w:szCs w:val="22"/>
        </w:rPr>
        <w:t xml:space="preserve"> dopo somministrazione orale è &gt; 1.500 ml/min. L’emivita terminale di eliminazione è </w:t>
      </w:r>
      <w:r w:rsidR="0089131A" w:rsidRPr="005B2844">
        <w:rPr>
          <w:szCs w:val="22"/>
        </w:rPr>
        <w:t xml:space="preserve">stata </w:t>
      </w:r>
      <w:r w:rsidRPr="005B2844">
        <w:rPr>
          <w:szCs w:val="22"/>
        </w:rPr>
        <w:t>&gt;20 ore.</w:t>
      </w:r>
    </w:p>
    <w:p w:rsidR="00A70FCB" w:rsidRPr="005B2844" w:rsidRDefault="00E646BD" w:rsidP="0072602F">
      <w:pPr>
        <w:rPr>
          <w:szCs w:val="22"/>
        </w:rPr>
      </w:pPr>
      <w:r w:rsidRPr="005B2844">
        <w:rPr>
          <w:szCs w:val="22"/>
        </w:rPr>
        <w:t>L’</w:t>
      </w:r>
      <w:proofErr w:type="spellStart"/>
      <w:r w:rsidRPr="005B2844">
        <w:rPr>
          <w:szCs w:val="22"/>
        </w:rPr>
        <w:t>idroclorotiazide</w:t>
      </w:r>
      <w:proofErr w:type="spellEnd"/>
      <w:r w:rsidRPr="005B2844">
        <w:rPr>
          <w:szCs w:val="22"/>
        </w:rPr>
        <w:t xml:space="preserve"> è escreta quasi completamente immodificata nelle urine.</w:t>
      </w:r>
      <w:r w:rsidR="008A2C19" w:rsidRPr="005B2844">
        <w:rPr>
          <w:szCs w:val="22"/>
        </w:rPr>
        <w:t xml:space="preserve"> Circa il 60</w:t>
      </w:r>
      <w:r w:rsidR="00A70FCB" w:rsidRPr="005B2844">
        <w:rPr>
          <w:szCs w:val="22"/>
        </w:rPr>
        <w:t>% della dose orale viene eliminata entro 48 ore. La clearance renale è circa 250-300  ml/min. L’emivita terminale di eliminazione dell’</w:t>
      </w:r>
      <w:proofErr w:type="spellStart"/>
      <w:r w:rsidR="00A70FCB" w:rsidRPr="005B2844">
        <w:rPr>
          <w:szCs w:val="22"/>
        </w:rPr>
        <w:t>idroclorotiazide</w:t>
      </w:r>
      <w:proofErr w:type="spellEnd"/>
      <w:r w:rsidR="00A70FCB" w:rsidRPr="005B2844">
        <w:rPr>
          <w:szCs w:val="22"/>
        </w:rPr>
        <w:t xml:space="preserve"> è 10-15 ore.</w:t>
      </w:r>
    </w:p>
    <w:p w:rsidR="00336D0F" w:rsidRPr="005B2844" w:rsidRDefault="00336D0F" w:rsidP="0072602F">
      <w:pPr>
        <w:rPr>
          <w:szCs w:val="22"/>
        </w:rPr>
      </w:pPr>
    </w:p>
    <w:p w:rsidR="002A7574" w:rsidRPr="005B2844" w:rsidRDefault="002A7574" w:rsidP="000709BC">
      <w:pPr>
        <w:keepNext/>
        <w:rPr>
          <w:szCs w:val="22"/>
          <w:u w:val="single"/>
        </w:rPr>
      </w:pPr>
      <w:r w:rsidRPr="005B2844">
        <w:rPr>
          <w:szCs w:val="22"/>
          <w:u w:val="single"/>
        </w:rPr>
        <w:t>Linearità/Non linearità</w:t>
      </w:r>
    </w:p>
    <w:p w:rsidR="002A7574" w:rsidRPr="005B2844" w:rsidRDefault="002A7574" w:rsidP="005E749A">
      <w:pPr>
        <w:rPr>
          <w:szCs w:val="22"/>
        </w:rPr>
      </w:pPr>
      <w:proofErr w:type="spellStart"/>
      <w:r w:rsidRPr="005B2844">
        <w:rPr>
          <w:szCs w:val="22"/>
        </w:rPr>
        <w:t>Telmisartan</w:t>
      </w:r>
      <w:proofErr w:type="spellEnd"/>
      <w:r w:rsidRPr="005B2844">
        <w:rPr>
          <w:szCs w:val="22"/>
        </w:rPr>
        <w:t xml:space="preserve">: La farmacocinetica di </w:t>
      </w:r>
      <w:proofErr w:type="spellStart"/>
      <w:r w:rsidRPr="005B2844">
        <w:rPr>
          <w:szCs w:val="22"/>
        </w:rPr>
        <w:t>telmisartan</w:t>
      </w:r>
      <w:proofErr w:type="spellEnd"/>
      <w:r w:rsidRPr="005B2844">
        <w:rPr>
          <w:szCs w:val="22"/>
        </w:rPr>
        <w:t xml:space="preserve"> somministrato per via orale non è lineare nell’intervallo </w:t>
      </w:r>
      <w:r w:rsidR="00F05080" w:rsidRPr="005B2844">
        <w:rPr>
          <w:szCs w:val="22"/>
        </w:rPr>
        <w:t xml:space="preserve">di dosi da </w:t>
      </w:r>
      <w:r w:rsidRPr="005B2844">
        <w:rPr>
          <w:szCs w:val="22"/>
        </w:rPr>
        <w:t>20</w:t>
      </w:r>
      <w:r w:rsidR="00014B59" w:rsidRPr="005B2844">
        <w:rPr>
          <w:szCs w:val="22"/>
        </w:rPr>
        <w:t> </w:t>
      </w:r>
      <w:r w:rsidR="00F05080" w:rsidRPr="005B2844">
        <w:rPr>
          <w:szCs w:val="22"/>
        </w:rPr>
        <w:t>a</w:t>
      </w:r>
      <w:r w:rsidR="00014B59" w:rsidRPr="005B2844">
        <w:rPr>
          <w:szCs w:val="22"/>
        </w:rPr>
        <w:t> </w:t>
      </w:r>
      <w:r w:rsidRPr="005B2844">
        <w:rPr>
          <w:szCs w:val="22"/>
        </w:rPr>
        <w:t xml:space="preserve">160 mg, con aumenti </w:t>
      </w:r>
      <w:r w:rsidR="00962BA2" w:rsidRPr="005B2844">
        <w:rPr>
          <w:szCs w:val="22"/>
        </w:rPr>
        <w:t xml:space="preserve">più che proporzionali </w:t>
      </w:r>
      <w:r w:rsidRPr="005B2844">
        <w:rPr>
          <w:szCs w:val="22"/>
        </w:rPr>
        <w:t>delle concentrazioni plasmatiche (C</w:t>
      </w:r>
      <w:r w:rsidRPr="005B2844">
        <w:rPr>
          <w:szCs w:val="22"/>
          <w:vertAlign w:val="subscript"/>
        </w:rPr>
        <w:t>max</w:t>
      </w:r>
      <w:r w:rsidRPr="005B2844">
        <w:rPr>
          <w:szCs w:val="22"/>
        </w:rPr>
        <w:t xml:space="preserve"> e AUC) all’aumentare delle dosi.</w:t>
      </w:r>
    </w:p>
    <w:p w:rsidR="002A7574" w:rsidRPr="005B2844" w:rsidRDefault="002A7574" w:rsidP="0072602F">
      <w:pPr>
        <w:rPr>
          <w:szCs w:val="22"/>
        </w:rPr>
      </w:pPr>
      <w:proofErr w:type="spellStart"/>
      <w:r w:rsidRPr="005B2844">
        <w:rPr>
          <w:szCs w:val="22"/>
        </w:rPr>
        <w:t>Idroclorotiazide</w:t>
      </w:r>
      <w:proofErr w:type="spellEnd"/>
      <w:r w:rsidRPr="005B2844">
        <w:rPr>
          <w:szCs w:val="22"/>
        </w:rPr>
        <w:t xml:space="preserve"> mostra una farmacocinetica lineare.</w:t>
      </w:r>
    </w:p>
    <w:p w:rsidR="002A7574" w:rsidRPr="005B2844" w:rsidRDefault="002A7574" w:rsidP="0072602F">
      <w:pPr>
        <w:rPr>
          <w:szCs w:val="22"/>
        </w:rPr>
      </w:pPr>
    </w:p>
    <w:p w:rsidR="005601FD" w:rsidRPr="005B2844" w:rsidRDefault="005601FD" w:rsidP="002229F2">
      <w:pPr>
        <w:pStyle w:val="BodyText20"/>
        <w:keepNext/>
        <w:spacing w:line="240" w:lineRule="auto"/>
        <w:jc w:val="left"/>
        <w:rPr>
          <w:szCs w:val="22"/>
        </w:rPr>
      </w:pPr>
      <w:r w:rsidRPr="005B2844">
        <w:rPr>
          <w:szCs w:val="22"/>
          <w:u w:val="single"/>
        </w:rPr>
        <w:t>A</w:t>
      </w:r>
      <w:r w:rsidR="00A70FCB" w:rsidRPr="005B2844">
        <w:rPr>
          <w:szCs w:val="22"/>
          <w:u w:val="single"/>
        </w:rPr>
        <w:t>nziani</w:t>
      </w:r>
    </w:p>
    <w:p w:rsidR="00A70FCB" w:rsidRPr="005B2844" w:rsidRDefault="00A70FCB" w:rsidP="0072602F">
      <w:pPr>
        <w:pStyle w:val="BodyText20"/>
        <w:spacing w:line="240" w:lineRule="auto"/>
        <w:jc w:val="left"/>
        <w:rPr>
          <w:szCs w:val="22"/>
        </w:rPr>
      </w:pPr>
      <w:r w:rsidRPr="005B2844">
        <w:rPr>
          <w:szCs w:val="22"/>
        </w:rPr>
        <w:t xml:space="preserve">La farmacocinetica del </w:t>
      </w:r>
      <w:proofErr w:type="spellStart"/>
      <w:r w:rsidRPr="005B2844">
        <w:rPr>
          <w:szCs w:val="22"/>
        </w:rPr>
        <w:t>telmisartan</w:t>
      </w:r>
      <w:proofErr w:type="spellEnd"/>
      <w:r w:rsidRPr="005B2844">
        <w:rPr>
          <w:szCs w:val="22"/>
        </w:rPr>
        <w:t xml:space="preserve"> non differisce nei pazienti anziani rispetto ai soggetti di età inferiore a 65 anni.</w:t>
      </w:r>
    </w:p>
    <w:p w:rsidR="00A70FCB" w:rsidRPr="005B2844" w:rsidRDefault="00A70FCB" w:rsidP="0072602F">
      <w:pPr>
        <w:rPr>
          <w:szCs w:val="22"/>
        </w:rPr>
      </w:pPr>
    </w:p>
    <w:p w:rsidR="005601FD" w:rsidRPr="005B2844" w:rsidRDefault="00A70FCB" w:rsidP="002229F2">
      <w:pPr>
        <w:pStyle w:val="BodyText20"/>
        <w:keepNext/>
        <w:spacing w:line="240" w:lineRule="auto"/>
        <w:jc w:val="left"/>
        <w:rPr>
          <w:szCs w:val="22"/>
        </w:rPr>
      </w:pPr>
      <w:r w:rsidRPr="005B2844">
        <w:rPr>
          <w:szCs w:val="22"/>
          <w:u w:val="single"/>
        </w:rPr>
        <w:t>Sesso</w:t>
      </w:r>
    </w:p>
    <w:p w:rsidR="00A70FCB" w:rsidRPr="005B2844" w:rsidRDefault="00A70FCB" w:rsidP="00B8759F">
      <w:pPr>
        <w:pStyle w:val="BodyText20"/>
        <w:spacing w:line="240" w:lineRule="auto"/>
        <w:jc w:val="left"/>
        <w:rPr>
          <w:szCs w:val="22"/>
        </w:rPr>
      </w:pPr>
      <w:r w:rsidRPr="005B2844">
        <w:rPr>
          <w:szCs w:val="22"/>
        </w:rPr>
        <w:t xml:space="preserve">Le concentrazioni plasmatiche di </w:t>
      </w:r>
      <w:proofErr w:type="spellStart"/>
      <w:r w:rsidRPr="005B2844">
        <w:rPr>
          <w:szCs w:val="22"/>
        </w:rPr>
        <w:t>telmisartan</w:t>
      </w:r>
      <w:proofErr w:type="spellEnd"/>
      <w:r w:rsidRPr="005B2844">
        <w:rPr>
          <w:szCs w:val="22"/>
        </w:rPr>
        <w:t xml:space="preserve"> sono generalmente 2-3 volte superiori nelle donne che negli uomini. Tuttavia negli studi clinici non sono stati riscontrati nelle donne aumenti significativi nella risposta al trattamento o nell’incidenza dell’ipotensione ortostatica. Non è stato necessario un aggiustamento posologico. Le concentrazioni plasmatiche di </w:t>
      </w:r>
      <w:proofErr w:type="spellStart"/>
      <w:r w:rsidRPr="005B2844">
        <w:rPr>
          <w:szCs w:val="22"/>
        </w:rPr>
        <w:t>idroclorotiazide</w:t>
      </w:r>
      <w:proofErr w:type="spellEnd"/>
      <w:r w:rsidRPr="005B2844">
        <w:rPr>
          <w:szCs w:val="22"/>
        </w:rPr>
        <w:t xml:space="preserve"> sono tendenzialmente più alte nelle donne che negli uomini. Ciò non è considerato di importanza clinica.</w:t>
      </w:r>
    </w:p>
    <w:p w:rsidR="00B8759F" w:rsidRPr="005B2844" w:rsidRDefault="00B8759F" w:rsidP="00B8759F">
      <w:pPr>
        <w:pStyle w:val="BodyText20"/>
        <w:spacing w:line="240" w:lineRule="auto"/>
        <w:jc w:val="left"/>
        <w:rPr>
          <w:szCs w:val="22"/>
        </w:rPr>
      </w:pPr>
    </w:p>
    <w:p w:rsidR="005601FD" w:rsidRPr="005B2844" w:rsidRDefault="005601FD" w:rsidP="002229F2">
      <w:pPr>
        <w:pStyle w:val="BodyText20"/>
        <w:keepNext/>
        <w:spacing w:line="240" w:lineRule="auto"/>
        <w:jc w:val="left"/>
        <w:rPr>
          <w:szCs w:val="22"/>
        </w:rPr>
      </w:pPr>
      <w:r w:rsidRPr="005B2844">
        <w:rPr>
          <w:szCs w:val="22"/>
          <w:u w:val="single"/>
        </w:rPr>
        <w:t>D</w:t>
      </w:r>
      <w:r w:rsidR="00A70FCB" w:rsidRPr="005B2844">
        <w:rPr>
          <w:szCs w:val="22"/>
          <w:u w:val="single"/>
        </w:rPr>
        <w:t>isfunzioni renali</w:t>
      </w:r>
    </w:p>
    <w:p w:rsidR="00A70FCB" w:rsidRPr="005B2844" w:rsidRDefault="00A70FCB" w:rsidP="00B8759F">
      <w:pPr>
        <w:pStyle w:val="BodyText20"/>
        <w:spacing w:line="240" w:lineRule="auto"/>
        <w:jc w:val="left"/>
        <w:rPr>
          <w:szCs w:val="22"/>
        </w:rPr>
      </w:pPr>
      <w:r w:rsidRPr="005B2844">
        <w:rPr>
          <w:szCs w:val="22"/>
        </w:rPr>
        <w:t xml:space="preserve">L’escrezione renale non contribuisce alla clearance di </w:t>
      </w:r>
      <w:proofErr w:type="spellStart"/>
      <w:r w:rsidRPr="005B2844">
        <w:rPr>
          <w:szCs w:val="22"/>
        </w:rPr>
        <w:t>telmisartan</w:t>
      </w:r>
      <w:proofErr w:type="spellEnd"/>
      <w:r w:rsidRPr="005B2844">
        <w:rPr>
          <w:szCs w:val="22"/>
        </w:rPr>
        <w:t>. Non è necessario un aggiustamento posologico in pazienti con funzionalità renale ridotta, sulla base dell’esperienza limitata ai pazienti con disfunzione renale da lieve a moderata (clearance della creatinina di 30-60 ml/</w:t>
      </w:r>
      <w:proofErr w:type="spellStart"/>
      <w:r w:rsidRPr="005B2844">
        <w:rPr>
          <w:szCs w:val="22"/>
        </w:rPr>
        <w:t>min</w:t>
      </w:r>
      <w:proofErr w:type="spellEnd"/>
      <w:r w:rsidRPr="005B2844">
        <w:rPr>
          <w:szCs w:val="22"/>
        </w:rPr>
        <w:t>, media circa 50 ml/</w:t>
      </w:r>
      <w:proofErr w:type="spellStart"/>
      <w:r w:rsidRPr="005B2844">
        <w:rPr>
          <w:szCs w:val="22"/>
        </w:rPr>
        <w:t>min</w:t>
      </w:r>
      <w:proofErr w:type="spellEnd"/>
      <w:r w:rsidRPr="005B2844">
        <w:rPr>
          <w:szCs w:val="22"/>
        </w:rPr>
        <w:t xml:space="preserve">). Il </w:t>
      </w:r>
      <w:proofErr w:type="spellStart"/>
      <w:r w:rsidRPr="005B2844">
        <w:rPr>
          <w:szCs w:val="22"/>
        </w:rPr>
        <w:t>telmisartan</w:t>
      </w:r>
      <w:proofErr w:type="spellEnd"/>
      <w:r w:rsidRPr="005B2844">
        <w:rPr>
          <w:szCs w:val="22"/>
        </w:rPr>
        <w:t xml:space="preserve"> non è eliminato dal sangue con l’emodialisi. Nei pazienti con funzionalità renale compromessa la velocità di eliminazione dell’</w:t>
      </w:r>
      <w:proofErr w:type="spellStart"/>
      <w:r w:rsidRPr="005B2844">
        <w:rPr>
          <w:szCs w:val="22"/>
        </w:rPr>
        <w:t>idroclorotiazide</w:t>
      </w:r>
      <w:proofErr w:type="spellEnd"/>
      <w:r w:rsidRPr="005B2844">
        <w:rPr>
          <w:szCs w:val="22"/>
        </w:rPr>
        <w:t xml:space="preserve"> è ridotta. In uno studio condotto in pazienti con una clearance media della creatinina pari a 90 ml/</w:t>
      </w:r>
      <w:proofErr w:type="spellStart"/>
      <w:r w:rsidRPr="005B2844">
        <w:rPr>
          <w:szCs w:val="22"/>
        </w:rPr>
        <w:t>min</w:t>
      </w:r>
      <w:proofErr w:type="spellEnd"/>
      <w:r w:rsidRPr="005B2844">
        <w:rPr>
          <w:szCs w:val="22"/>
        </w:rPr>
        <w:t xml:space="preserve"> l’emivita di eliminazione dell’</w:t>
      </w:r>
      <w:proofErr w:type="spellStart"/>
      <w:r w:rsidRPr="005B2844">
        <w:rPr>
          <w:szCs w:val="22"/>
        </w:rPr>
        <w:t>idroclorotiazide</w:t>
      </w:r>
      <w:proofErr w:type="spellEnd"/>
      <w:r w:rsidRPr="005B2844">
        <w:rPr>
          <w:szCs w:val="22"/>
        </w:rPr>
        <w:t xml:space="preserve"> era aumentata. In pazienti funzionalmente </w:t>
      </w:r>
      <w:proofErr w:type="spellStart"/>
      <w:r w:rsidRPr="005B2844">
        <w:rPr>
          <w:szCs w:val="22"/>
        </w:rPr>
        <w:t>anefrici</w:t>
      </w:r>
      <w:proofErr w:type="spellEnd"/>
      <w:r w:rsidRPr="005B2844">
        <w:rPr>
          <w:szCs w:val="22"/>
        </w:rPr>
        <w:t xml:space="preserve"> l’emivita di eliminazione è circa di 34 ore.</w:t>
      </w:r>
    </w:p>
    <w:p w:rsidR="00B8759F" w:rsidRPr="005B2844" w:rsidRDefault="00B8759F" w:rsidP="00B8759F">
      <w:pPr>
        <w:pStyle w:val="BodyText20"/>
        <w:spacing w:line="240" w:lineRule="auto"/>
        <w:jc w:val="left"/>
        <w:rPr>
          <w:szCs w:val="22"/>
        </w:rPr>
      </w:pPr>
    </w:p>
    <w:p w:rsidR="005601FD" w:rsidRPr="005B2844" w:rsidRDefault="005601FD" w:rsidP="002229F2">
      <w:pPr>
        <w:pStyle w:val="BodyText20"/>
        <w:keepNext/>
        <w:spacing w:line="240" w:lineRule="auto"/>
        <w:jc w:val="left"/>
        <w:rPr>
          <w:szCs w:val="22"/>
        </w:rPr>
      </w:pPr>
      <w:r w:rsidRPr="005B2844">
        <w:rPr>
          <w:szCs w:val="22"/>
          <w:u w:val="single"/>
        </w:rPr>
        <w:t>D</w:t>
      </w:r>
      <w:r w:rsidR="00A70FCB" w:rsidRPr="005B2844">
        <w:rPr>
          <w:szCs w:val="22"/>
          <w:u w:val="single"/>
        </w:rPr>
        <w:t>isfunzioni epatiche</w:t>
      </w:r>
    </w:p>
    <w:p w:rsidR="00A70FCB" w:rsidRPr="005B2844" w:rsidRDefault="00A70FCB" w:rsidP="0072602F">
      <w:pPr>
        <w:pStyle w:val="BodyText20"/>
        <w:spacing w:line="240" w:lineRule="auto"/>
        <w:jc w:val="left"/>
        <w:rPr>
          <w:szCs w:val="22"/>
        </w:rPr>
      </w:pPr>
      <w:r w:rsidRPr="005B2844">
        <w:rPr>
          <w:szCs w:val="22"/>
        </w:rPr>
        <w:t>Negli studi di farmacocinetica in pazienti con insufficienza epatica è stato osservato un aumento nella biodisponibili</w:t>
      </w:r>
      <w:r w:rsidR="008A2C19" w:rsidRPr="005B2844">
        <w:rPr>
          <w:szCs w:val="22"/>
        </w:rPr>
        <w:t>tà assoluta fino a quasi il 100</w:t>
      </w:r>
      <w:r w:rsidRPr="005B2844">
        <w:rPr>
          <w:szCs w:val="22"/>
        </w:rPr>
        <w:t>%. Nei pazienti con disfunzioni epatiche l'emivita di eliminazione non varia.</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5.3</w:t>
      </w:r>
      <w:r w:rsidRPr="005B2844">
        <w:rPr>
          <w:b/>
          <w:szCs w:val="22"/>
        </w:rPr>
        <w:tab/>
        <w:t>Dati preclinici di sicurezza</w:t>
      </w:r>
    </w:p>
    <w:p w:rsidR="00A70FCB" w:rsidRPr="005B2844" w:rsidRDefault="00A70FCB" w:rsidP="002229F2">
      <w:pPr>
        <w:keepNext/>
        <w:rPr>
          <w:szCs w:val="22"/>
        </w:rPr>
      </w:pPr>
    </w:p>
    <w:p w:rsidR="00A70FCB" w:rsidRPr="005B2844" w:rsidRDefault="00A70FCB" w:rsidP="0072602F">
      <w:pPr>
        <w:rPr>
          <w:szCs w:val="22"/>
        </w:rPr>
      </w:pPr>
      <w:r w:rsidRPr="005B2844">
        <w:rPr>
          <w:szCs w:val="22"/>
        </w:rPr>
        <w:t xml:space="preserve">Negli studi preclinici di sicurezza condotti con la co-somministrazione di </w:t>
      </w:r>
      <w:proofErr w:type="spellStart"/>
      <w:r w:rsidRPr="005B2844">
        <w:rPr>
          <w:szCs w:val="22"/>
        </w:rPr>
        <w:t>telmisartan</w:t>
      </w:r>
      <w:proofErr w:type="spellEnd"/>
      <w:r w:rsidRPr="005B2844">
        <w:rPr>
          <w:szCs w:val="22"/>
        </w:rPr>
        <w:t xml:space="preserve"> ed </w:t>
      </w:r>
      <w:proofErr w:type="spellStart"/>
      <w:r w:rsidRPr="005B2844">
        <w:rPr>
          <w:szCs w:val="22"/>
        </w:rPr>
        <w:t>idroclorotiazide</w:t>
      </w:r>
      <w:proofErr w:type="spellEnd"/>
      <w:r w:rsidRPr="005B2844">
        <w:rPr>
          <w:szCs w:val="22"/>
        </w:rPr>
        <w:t xml:space="preserve"> in ratti e cani normotesi, dosi tali da determinare un’esposizione confrontabile a quella del range di dosi da impiegarsi nella terapia clinica non hanno evidenziato ulteriori dati che non fossero già stati osservati con la somministrazione dei singoli </w:t>
      </w:r>
      <w:r w:rsidR="006F476C" w:rsidRPr="005B2844">
        <w:rPr>
          <w:szCs w:val="22"/>
        </w:rPr>
        <w:t>medicinali</w:t>
      </w:r>
      <w:r w:rsidRPr="005B2844">
        <w:rPr>
          <w:szCs w:val="22"/>
        </w:rPr>
        <w:t>. Non sono stati riscontrati risultati tossicologici significativi per l’uso terapeutico nell’uomo.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Dati tossicologici noti anche negli studi preclinici condotti con ACE inibitori e antagonisti dell'angiotensina II sono stati: una riduzione dei parametri eritrocitari (eritrociti, emoglobina, ematocrito), alterazioni nell’emodinamica renale (aumento di azotemia e </w:t>
      </w:r>
      <w:proofErr w:type="spellStart"/>
      <w:r w:rsidRPr="005B2844">
        <w:rPr>
          <w:szCs w:val="22"/>
        </w:rPr>
        <w:t>creatininemia</w:t>
      </w:r>
      <w:proofErr w:type="spellEnd"/>
      <w:r w:rsidRPr="005B2844">
        <w:rPr>
          <w:szCs w:val="22"/>
        </w:rPr>
        <w:t xml:space="preserve">), aumento dell’attività della renina plasmatica, ipertrofia/iperplasia delle cellule iuxtaglomerulari renali e lesione della mucosa gastrica. Le lesioni gastriche potrebbero essere prevenute/migliorate somministrando supplementi salini orali e raggruppando più animali per gabbia. Nel cane sono state osservate dilatazione ed atrofia dei tubuli renali. Si ritiene che questi risultati siano dovuti all’attività farmacologica del </w:t>
      </w:r>
      <w:proofErr w:type="spellStart"/>
      <w:r w:rsidRPr="005B2844">
        <w:rPr>
          <w:szCs w:val="22"/>
        </w:rPr>
        <w:t>telmisartan</w:t>
      </w:r>
      <w:proofErr w:type="spellEnd"/>
      <w:r w:rsidRPr="005B2844">
        <w:rPr>
          <w:szCs w:val="22"/>
        </w:rPr>
        <w:t>.</w:t>
      </w:r>
    </w:p>
    <w:p w:rsidR="00AB5D2F" w:rsidRPr="005B2844" w:rsidRDefault="00AB5D2F" w:rsidP="0072602F">
      <w:pPr>
        <w:rPr>
          <w:szCs w:val="22"/>
        </w:rPr>
      </w:pPr>
    </w:p>
    <w:p w:rsidR="00A70FCB" w:rsidRPr="005B2844" w:rsidRDefault="00AB5D2F" w:rsidP="0072602F">
      <w:pPr>
        <w:rPr>
          <w:szCs w:val="22"/>
        </w:rPr>
      </w:pPr>
      <w:r w:rsidRPr="005B2844">
        <w:rPr>
          <w:szCs w:val="22"/>
        </w:rPr>
        <w:t xml:space="preserve">Non è </w:t>
      </w:r>
      <w:r w:rsidR="004A58C6" w:rsidRPr="005B2844">
        <w:rPr>
          <w:szCs w:val="22"/>
        </w:rPr>
        <w:t>stata osservata una chiara</w:t>
      </w:r>
      <w:r w:rsidRPr="005B2844">
        <w:rPr>
          <w:szCs w:val="22"/>
        </w:rPr>
        <w:t xml:space="preserve"> evidenza di un effetto teratogeno, </w:t>
      </w:r>
      <w:r w:rsidR="004A58C6" w:rsidRPr="005B2844">
        <w:rPr>
          <w:szCs w:val="22"/>
        </w:rPr>
        <w:t>tuttavia</w:t>
      </w:r>
      <w:r w:rsidRPr="005B2844">
        <w:rPr>
          <w:szCs w:val="22"/>
        </w:rPr>
        <w:t xml:space="preserve"> a dosi tossiche di </w:t>
      </w:r>
      <w:proofErr w:type="spellStart"/>
      <w:r w:rsidRPr="005B2844">
        <w:rPr>
          <w:szCs w:val="22"/>
        </w:rPr>
        <w:t>telmisartan</w:t>
      </w:r>
      <w:proofErr w:type="spellEnd"/>
      <w:r w:rsidRPr="005B2844">
        <w:rPr>
          <w:szCs w:val="22"/>
        </w:rPr>
        <w:t xml:space="preserve"> sono stati osservati effetti sullo sviluppo postnatale della prole, quali minore peso corporeo e</w:t>
      </w:r>
      <w:r w:rsidR="004A58C6" w:rsidRPr="005B2844">
        <w:rPr>
          <w:szCs w:val="22"/>
        </w:rPr>
        <w:t xml:space="preserve"> apertura ritardata degli occhi.</w:t>
      </w:r>
    </w:p>
    <w:p w:rsidR="00A70FCB" w:rsidRPr="005B2844" w:rsidRDefault="00A70FCB" w:rsidP="0072602F">
      <w:pPr>
        <w:rPr>
          <w:szCs w:val="22"/>
        </w:rPr>
      </w:pPr>
      <w:r w:rsidRPr="005B2844">
        <w:rPr>
          <w:szCs w:val="22"/>
        </w:rPr>
        <w:t xml:space="preserve">Con il </w:t>
      </w:r>
      <w:proofErr w:type="spellStart"/>
      <w:r w:rsidRPr="005B2844">
        <w:rPr>
          <w:szCs w:val="22"/>
        </w:rPr>
        <w:t>telmisartan</w:t>
      </w:r>
      <w:proofErr w:type="spellEnd"/>
      <w:r w:rsidRPr="005B2844">
        <w:rPr>
          <w:szCs w:val="22"/>
        </w:rPr>
        <w:t xml:space="preserve"> non vi è stata alcuna evidenza di mutagenesi, né di attività </w:t>
      </w:r>
      <w:proofErr w:type="spellStart"/>
      <w:r w:rsidRPr="005B2844">
        <w:rPr>
          <w:szCs w:val="22"/>
        </w:rPr>
        <w:t>clastogena</w:t>
      </w:r>
      <w:proofErr w:type="spellEnd"/>
      <w:r w:rsidRPr="005B2844">
        <w:rPr>
          <w:szCs w:val="22"/>
        </w:rPr>
        <w:t xml:space="preserve"> rilevante negli studi in vitro, né di cancerogenicità nel ratto e nel topo. Gli studi condotti con </w:t>
      </w:r>
      <w:proofErr w:type="spellStart"/>
      <w:r w:rsidRPr="005B2844">
        <w:rPr>
          <w:szCs w:val="22"/>
        </w:rPr>
        <w:t>idroclorotiazide</w:t>
      </w:r>
      <w:proofErr w:type="spellEnd"/>
      <w:r w:rsidRPr="005B2844">
        <w:rPr>
          <w:szCs w:val="22"/>
        </w:rPr>
        <w:t xml:space="preserve"> hanno mostrato evidenza equivoca di effetti genotossici o carcinogeni in alcuni modelli sperimentali. Tuttavia, l’ampia esperienza nell’uomo sull’utilizzo dell’</w:t>
      </w:r>
      <w:proofErr w:type="spellStart"/>
      <w:r w:rsidRPr="005B2844">
        <w:rPr>
          <w:szCs w:val="22"/>
        </w:rPr>
        <w:t>idroclorotiazide</w:t>
      </w:r>
      <w:proofErr w:type="spellEnd"/>
      <w:r w:rsidRPr="005B2844">
        <w:rPr>
          <w:szCs w:val="22"/>
        </w:rPr>
        <w:t xml:space="preserve"> non ha mostrato l’esistenza di una correlazione tra il suo uso e l’aumento di neoplasie.</w:t>
      </w:r>
    </w:p>
    <w:p w:rsidR="00A70FCB" w:rsidRPr="005B2844" w:rsidRDefault="00A70FCB" w:rsidP="0072602F">
      <w:pPr>
        <w:rPr>
          <w:szCs w:val="22"/>
        </w:rPr>
      </w:pPr>
      <w:r w:rsidRPr="005B2844">
        <w:rPr>
          <w:szCs w:val="22"/>
        </w:rPr>
        <w:t xml:space="preserve">Per il potenziale </w:t>
      </w:r>
      <w:proofErr w:type="spellStart"/>
      <w:r w:rsidRPr="005B2844">
        <w:rPr>
          <w:szCs w:val="22"/>
        </w:rPr>
        <w:t>fetotossico</w:t>
      </w:r>
      <w:proofErr w:type="spellEnd"/>
      <w:r w:rsidRPr="005B2844">
        <w:rPr>
          <w:szCs w:val="22"/>
        </w:rPr>
        <w:t xml:space="preserve"> dell’associazione </w:t>
      </w: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r w:rsidRPr="005B2844">
        <w:rPr>
          <w:szCs w:val="22"/>
        </w:rPr>
        <w:t xml:space="preserve">, vedere </w:t>
      </w:r>
      <w:r w:rsidR="00824196" w:rsidRPr="005B2844">
        <w:rPr>
          <w:szCs w:val="22"/>
        </w:rPr>
        <w:t xml:space="preserve">paragrafo </w:t>
      </w:r>
      <w:r w:rsidRPr="005B2844">
        <w:rPr>
          <w:szCs w:val="22"/>
        </w:rPr>
        <w:t>4.6.</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6.</w:t>
      </w:r>
      <w:r w:rsidRPr="005B2844">
        <w:rPr>
          <w:b/>
          <w:szCs w:val="22"/>
        </w:rPr>
        <w:tab/>
        <w:t>INFORMAZIONI FARMACEUTICHE</w:t>
      </w:r>
    </w:p>
    <w:p w:rsidR="00A70FCB" w:rsidRPr="005B2844" w:rsidRDefault="00A70FCB" w:rsidP="002229F2">
      <w:pPr>
        <w:keepNext/>
        <w:rPr>
          <w:szCs w:val="22"/>
        </w:rPr>
      </w:pPr>
    </w:p>
    <w:p w:rsidR="00A70FCB" w:rsidRPr="005B2844" w:rsidRDefault="00A70FCB" w:rsidP="002229F2">
      <w:pPr>
        <w:keepNext/>
        <w:tabs>
          <w:tab w:val="left" w:pos="567"/>
        </w:tabs>
        <w:rPr>
          <w:b/>
          <w:szCs w:val="22"/>
        </w:rPr>
      </w:pPr>
      <w:r w:rsidRPr="005B2844">
        <w:rPr>
          <w:b/>
          <w:szCs w:val="22"/>
        </w:rPr>
        <w:t>6.1</w:t>
      </w:r>
      <w:r w:rsidRPr="005B2844">
        <w:rPr>
          <w:b/>
          <w:szCs w:val="22"/>
        </w:rPr>
        <w:tab/>
        <w:t>Elenco degli eccipienti</w:t>
      </w:r>
    </w:p>
    <w:p w:rsidR="00A70FCB" w:rsidRPr="005B2844" w:rsidRDefault="00A70FCB" w:rsidP="002229F2">
      <w:pPr>
        <w:pStyle w:val="BodyText2"/>
        <w:keepNext/>
        <w:tabs>
          <w:tab w:val="clear" w:pos="567"/>
        </w:tabs>
        <w:ind w:left="0" w:firstLine="0"/>
        <w:rPr>
          <w:szCs w:val="22"/>
        </w:rPr>
      </w:pPr>
    </w:p>
    <w:p w:rsidR="00A70FCB" w:rsidRPr="005B2844" w:rsidRDefault="00A70FCB" w:rsidP="0072602F">
      <w:pPr>
        <w:pStyle w:val="BodyText2"/>
        <w:tabs>
          <w:tab w:val="clear" w:pos="567"/>
        </w:tabs>
        <w:ind w:left="0" w:firstLine="0"/>
        <w:rPr>
          <w:szCs w:val="22"/>
        </w:rPr>
      </w:pPr>
      <w:r w:rsidRPr="005B2844">
        <w:rPr>
          <w:szCs w:val="22"/>
        </w:rPr>
        <w:t>Lattosio monoidrato</w:t>
      </w:r>
    </w:p>
    <w:p w:rsidR="00A70FCB" w:rsidRPr="005B2844" w:rsidRDefault="009A1B2E" w:rsidP="0072602F">
      <w:pPr>
        <w:pStyle w:val="BodyText2"/>
        <w:tabs>
          <w:tab w:val="clear" w:pos="567"/>
        </w:tabs>
        <w:ind w:left="0" w:firstLine="0"/>
        <w:rPr>
          <w:szCs w:val="22"/>
        </w:rPr>
      </w:pPr>
      <w:r w:rsidRPr="005B2844">
        <w:rPr>
          <w:szCs w:val="22"/>
        </w:rPr>
        <w:t>M</w:t>
      </w:r>
      <w:r w:rsidR="00A70FCB" w:rsidRPr="005B2844">
        <w:rPr>
          <w:szCs w:val="22"/>
        </w:rPr>
        <w:t>agnesio stearato</w:t>
      </w:r>
    </w:p>
    <w:p w:rsidR="00A70FCB" w:rsidRPr="005B2844" w:rsidRDefault="009A1B2E" w:rsidP="0072602F">
      <w:pPr>
        <w:pStyle w:val="BodyText2"/>
        <w:tabs>
          <w:tab w:val="clear" w:pos="567"/>
        </w:tabs>
        <w:ind w:left="0" w:firstLine="0"/>
        <w:rPr>
          <w:szCs w:val="22"/>
        </w:rPr>
      </w:pPr>
      <w:r w:rsidRPr="005B2844">
        <w:rPr>
          <w:szCs w:val="22"/>
        </w:rPr>
        <w:t>A</w:t>
      </w:r>
      <w:r w:rsidR="00A70FCB" w:rsidRPr="005B2844">
        <w:rPr>
          <w:szCs w:val="22"/>
        </w:rPr>
        <w:t>mido di mais</w:t>
      </w:r>
    </w:p>
    <w:p w:rsidR="00A70FCB" w:rsidRPr="005B2844" w:rsidRDefault="009A1B2E" w:rsidP="0072602F">
      <w:pPr>
        <w:pStyle w:val="BodyText2"/>
        <w:tabs>
          <w:tab w:val="clear" w:pos="567"/>
        </w:tabs>
        <w:ind w:left="0" w:firstLine="0"/>
        <w:rPr>
          <w:szCs w:val="22"/>
        </w:rPr>
      </w:pPr>
      <w:proofErr w:type="spellStart"/>
      <w:r w:rsidRPr="005B2844">
        <w:rPr>
          <w:szCs w:val="22"/>
        </w:rPr>
        <w:t>M</w:t>
      </w:r>
      <w:r w:rsidR="00A70FCB" w:rsidRPr="005B2844">
        <w:rPr>
          <w:szCs w:val="22"/>
        </w:rPr>
        <w:t>eglumina</w:t>
      </w:r>
      <w:proofErr w:type="spellEnd"/>
    </w:p>
    <w:p w:rsidR="00A70FCB" w:rsidRPr="005B2844" w:rsidRDefault="009A1B2E" w:rsidP="0072602F">
      <w:pPr>
        <w:pStyle w:val="BodyText2"/>
        <w:tabs>
          <w:tab w:val="clear" w:pos="567"/>
        </w:tabs>
        <w:ind w:left="0" w:firstLine="0"/>
        <w:rPr>
          <w:szCs w:val="22"/>
        </w:rPr>
      </w:pPr>
      <w:r w:rsidRPr="005B2844">
        <w:rPr>
          <w:szCs w:val="22"/>
        </w:rPr>
        <w:t>C</w:t>
      </w:r>
      <w:r w:rsidR="00A70FCB" w:rsidRPr="005B2844">
        <w:rPr>
          <w:szCs w:val="22"/>
        </w:rPr>
        <w:t>ellulosa microcristallina</w:t>
      </w:r>
    </w:p>
    <w:p w:rsidR="00A70FCB" w:rsidRPr="005B2844" w:rsidRDefault="005D049B" w:rsidP="0072602F">
      <w:pPr>
        <w:pStyle w:val="BodyText2"/>
        <w:tabs>
          <w:tab w:val="clear" w:pos="567"/>
        </w:tabs>
        <w:ind w:left="0" w:firstLine="0"/>
        <w:rPr>
          <w:szCs w:val="22"/>
        </w:rPr>
      </w:pPr>
      <w:r w:rsidRPr="005B2844">
        <w:rPr>
          <w:szCs w:val="22"/>
        </w:rPr>
        <w:t>P</w:t>
      </w:r>
      <w:r w:rsidR="00A70FCB" w:rsidRPr="005B2844">
        <w:rPr>
          <w:szCs w:val="22"/>
        </w:rPr>
        <w:t>ovidone (K25)</w:t>
      </w:r>
    </w:p>
    <w:p w:rsidR="00A70FCB" w:rsidRPr="005B2844" w:rsidRDefault="005D049B" w:rsidP="0072602F">
      <w:pPr>
        <w:pStyle w:val="BodyText2"/>
        <w:tabs>
          <w:tab w:val="clear" w:pos="567"/>
        </w:tabs>
        <w:ind w:left="0" w:firstLine="0"/>
        <w:rPr>
          <w:szCs w:val="22"/>
        </w:rPr>
      </w:pPr>
      <w:r w:rsidRPr="005B2844">
        <w:rPr>
          <w:szCs w:val="22"/>
        </w:rPr>
        <w:t>F</w:t>
      </w:r>
      <w:r w:rsidR="00A70FCB" w:rsidRPr="005B2844">
        <w:rPr>
          <w:szCs w:val="22"/>
        </w:rPr>
        <w:t>erro ossido rosso (E172)</w:t>
      </w:r>
    </w:p>
    <w:p w:rsidR="00A70FCB" w:rsidRPr="005B2844" w:rsidRDefault="005D049B" w:rsidP="0072602F">
      <w:pPr>
        <w:pStyle w:val="BodyText2"/>
        <w:tabs>
          <w:tab w:val="clear" w:pos="567"/>
        </w:tabs>
        <w:ind w:left="0" w:firstLine="0"/>
        <w:rPr>
          <w:szCs w:val="22"/>
        </w:rPr>
      </w:pPr>
      <w:r w:rsidRPr="005B2844">
        <w:rPr>
          <w:szCs w:val="22"/>
        </w:rPr>
        <w:t>S</w:t>
      </w:r>
      <w:r w:rsidR="00A70FCB" w:rsidRPr="005B2844">
        <w:rPr>
          <w:szCs w:val="22"/>
        </w:rPr>
        <w:t>odio idrossido</w:t>
      </w:r>
    </w:p>
    <w:p w:rsidR="00A70FCB" w:rsidRPr="005B2844" w:rsidRDefault="005D049B" w:rsidP="0072602F">
      <w:pPr>
        <w:pStyle w:val="BodyText2"/>
        <w:tabs>
          <w:tab w:val="clear" w:pos="567"/>
        </w:tabs>
        <w:ind w:left="0" w:firstLine="0"/>
        <w:rPr>
          <w:szCs w:val="22"/>
        </w:rPr>
      </w:pPr>
      <w:proofErr w:type="spellStart"/>
      <w:r w:rsidRPr="005B2844">
        <w:rPr>
          <w:szCs w:val="22"/>
        </w:rPr>
        <w:t>C</w:t>
      </w:r>
      <w:r w:rsidR="00A70FCB" w:rsidRPr="005B2844">
        <w:rPr>
          <w:szCs w:val="22"/>
        </w:rPr>
        <w:t>arbossimetilamido</w:t>
      </w:r>
      <w:proofErr w:type="spellEnd"/>
      <w:r w:rsidR="00A70FCB" w:rsidRPr="005B2844">
        <w:rPr>
          <w:szCs w:val="22"/>
        </w:rPr>
        <w:t xml:space="preserve"> sodico (tipo A)</w:t>
      </w:r>
    </w:p>
    <w:p w:rsidR="00A70FCB" w:rsidRPr="005B2844" w:rsidRDefault="005D049B" w:rsidP="0072602F">
      <w:pPr>
        <w:pStyle w:val="BodyText2"/>
        <w:tabs>
          <w:tab w:val="clear" w:pos="567"/>
        </w:tabs>
        <w:ind w:left="0" w:firstLine="0"/>
        <w:rPr>
          <w:szCs w:val="22"/>
        </w:rPr>
      </w:pPr>
      <w:r w:rsidRPr="005B2844">
        <w:rPr>
          <w:szCs w:val="22"/>
        </w:rPr>
        <w:t>S</w:t>
      </w:r>
      <w:r w:rsidR="00A70FCB" w:rsidRPr="005B2844">
        <w:rPr>
          <w:szCs w:val="22"/>
        </w:rPr>
        <w:t>orbitolo (E420).</w:t>
      </w:r>
    </w:p>
    <w:p w:rsidR="00A70FCB" w:rsidRPr="005B2844" w:rsidRDefault="00A70FCB" w:rsidP="0072602F">
      <w:pPr>
        <w:pStyle w:val="BodyText2"/>
        <w:tabs>
          <w:tab w:val="clear" w:pos="567"/>
        </w:tabs>
        <w:ind w:left="0" w:firstLine="0"/>
        <w:rPr>
          <w:szCs w:val="22"/>
        </w:rPr>
      </w:pPr>
    </w:p>
    <w:p w:rsidR="00A70FCB" w:rsidRPr="005B2844" w:rsidRDefault="00A70FCB" w:rsidP="002229F2">
      <w:pPr>
        <w:keepNext/>
        <w:tabs>
          <w:tab w:val="left" w:pos="567"/>
        </w:tabs>
        <w:rPr>
          <w:b/>
          <w:szCs w:val="22"/>
        </w:rPr>
      </w:pPr>
      <w:r w:rsidRPr="005B2844">
        <w:rPr>
          <w:b/>
          <w:szCs w:val="22"/>
        </w:rPr>
        <w:t>6.2</w:t>
      </w:r>
      <w:r w:rsidRPr="005B2844">
        <w:rPr>
          <w:b/>
          <w:szCs w:val="22"/>
        </w:rPr>
        <w:tab/>
        <w:t>Incompatibilità</w:t>
      </w:r>
    </w:p>
    <w:p w:rsidR="00A70FCB" w:rsidRPr="005B2844" w:rsidRDefault="00A70FCB" w:rsidP="002229F2">
      <w:pPr>
        <w:keepNext/>
        <w:rPr>
          <w:szCs w:val="22"/>
        </w:rPr>
      </w:pPr>
    </w:p>
    <w:p w:rsidR="00A70FCB" w:rsidRPr="005B2844" w:rsidRDefault="00A70FCB" w:rsidP="0072602F">
      <w:pPr>
        <w:rPr>
          <w:szCs w:val="22"/>
        </w:rPr>
      </w:pPr>
      <w:r w:rsidRPr="005B2844">
        <w:rPr>
          <w:szCs w:val="22"/>
        </w:rPr>
        <w:t>Non pertinente.</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6.3</w:t>
      </w:r>
      <w:r w:rsidRPr="005B2844">
        <w:rPr>
          <w:b/>
          <w:szCs w:val="22"/>
        </w:rPr>
        <w:tab/>
        <w:t>Periodo di validità</w:t>
      </w:r>
    </w:p>
    <w:p w:rsidR="00A70FCB" w:rsidRPr="005B2844" w:rsidRDefault="00A70FCB" w:rsidP="002229F2">
      <w:pPr>
        <w:keepNext/>
        <w:rPr>
          <w:szCs w:val="22"/>
        </w:rPr>
      </w:pPr>
    </w:p>
    <w:p w:rsidR="00A70FCB" w:rsidRPr="005B2844" w:rsidRDefault="00A70FCB" w:rsidP="0072602F">
      <w:pPr>
        <w:rPr>
          <w:szCs w:val="22"/>
        </w:rPr>
      </w:pPr>
      <w:r w:rsidRPr="005B2844">
        <w:rPr>
          <w:szCs w:val="22"/>
        </w:rPr>
        <w:t>3 anni</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6.4</w:t>
      </w:r>
      <w:r w:rsidRPr="005B2844">
        <w:rPr>
          <w:b/>
          <w:szCs w:val="22"/>
        </w:rPr>
        <w:tab/>
      </w:r>
      <w:r w:rsidR="00CD7B30" w:rsidRPr="005B2844">
        <w:rPr>
          <w:b/>
          <w:szCs w:val="22"/>
        </w:rPr>
        <w:t>P</w:t>
      </w:r>
      <w:r w:rsidRPr="005B2844">
        <w:rPr>
          <w:b/>
          <w:szCs w:val="22"/>
        </w:rPr>
        <w:t xml:space="preserve">recauzioni </w:t>
      </w:r>
      <w:r w:rsidR="00CD7B30" w:rsidRPr="005B2844">
        <w:rPr>
          <w:b/>
          <w:szCs w:val="22"/>
        </w:rPr>
        <w:t xml:space="preserve">particolari </w:t>
      </w:r>
      <w:r w:rsidRPr="005B2844">
        <w:rPr>
          <w:b/>
          <w:szCs w:val="22"/>
        </w:rPr>
        <w:t>per la conservazione</w:t>
      </w:r>
    </w:p>
    <w:p w:rsidR="00A70FCB" w:rsidRPr="005B2844" w:rsidRDefault="00A70FCB" w:rsidP="002229F2">
      <w:pPr>
        <w:keepNext/>
        <w:rPr>
          <w:szCs w:val="22"/>
        </w:rPr>
      </w:pPr>
    </w:p>
    <w:p w:rsidR="00A70FCB" w:rsidRPr="005B2844" w:rsidRDefault="00E13094" w:rsidP="0072602F">
      <w:pPr>
        <w:rPr>
          <w:szCs w:val="22"/>
        </w:rPr>
      </w:pPr>
      <w:r w:rsidRPr="005B2844">
        <w:rPr>
          <w:noProof/>
          <w:szCs w:val="22"/>
        </w:rPr>
        <w:t xml:space="preserve">Questo medicinale non richiede alcuna </w:t>
      </w:r>
      <w:r w:rsidR="00DB0799" w:rsidRPr="005B2844">
        <w:rPr>
          <w:noProof/>
          <w:szCs w:val="22"/>
        </w:rPr>
        <w:t>temperatura</w:t>
      </w:r>
      <w:r w:rsidRPr="005B2844">
        <w:rPr>
          <w:noProof/>
          <w:szCs w:val="22"/>
        </w:rPr>
        <w:t xml:space="preserve"> particolare di conservazione. </w:t>
      </w:r>
      <w:r w:rsidR="00A70FCB" w:rsidRPr="005B2844">
        <w:rPr>
          <w:szCs w:val="22"/>
        </w:rPr>
        <w:t xml:space="preserve">Conservare nella confezione originale per </w:t>
      </w:r>
      <w:r w:rsidR="00A16272" w:rsidRPr="005B2844">
        <w:rPr>
          <w:szCs w:val="22"/>
        </w:rPr>
        <w:t>proteggere il medicinale</w:t>
      </w:r>
      <w:r w:rsidR="00A70FCB" w:rsidRPr="005B2844">
        <w:rPr>
          <w:szCs w:val="22"/>
        </w:rPr>
        <w:t xml:space="preserve"> dall’umidità</w:t>
      </w:r>
      <w:r w:rsidR="003648EA" w:rsidRPr="005B2844">
        <w:rPr>
          <w:szCs w:val="22"/>
        </w:rPr>
        <w:t>.</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6.5</w:t>
      </w:r>
      <w:r w:rsidRPr="005B2844">
        <w:rPr>
          <w:b/>
          <w:szCs w:val="22"/>
        </w:rPr>
        <w:tab/>
        <w:t>Natura e contenuto del contenitore</w:t>
      </w:r>
    </w:p>
    <w:p w:rsidR="00A70FCB" w:rsidRPr="005B2844" w:rsidRDefault="00A70FCB" w:rsidP="002229F2">
      <w:pPr>
        <w:pStyle w:val="BodyText3"/>
        <w:keepNext/>
        <w:jc w:val="left"/>
        <w:rPr>
          <w:szCs w:val="22"/>
          <w:lang w:val="it-IT"/>
        </w:rPr>
      </w:pPr>
    </w:p>
    <w:p w:rsidR="003853A5" w:rsidRPr="005B2844" w:rsidRDefault="003853A5" w:rsidP="0072602F">
      <w:pPr>
        <w:pStyle w:val="BodyText3"/>
        <w:jc w:val="left"/>
        <w:rPr>
          <w:szCs w:val="22"/>
          <w:lang w:val="it-IT"/>
        </w:rPr>
      </w:pPr>
      <w:r w:rsidRPr="005B2844">
        <w:rPr>
          <w:szCs w:val="22"/>
          <w:lang w:val="it-IT"/>
        </w:rPr>
        <w:t>Blister di alluminio/alluminio (PA/Al/PVC/Al o PA/PA/Al/PVC/Al). Un blister contiene 7 o 10 compresse.</w:t>
      </w:r>
    </w:p>
    <w:p w:rsidR="003853A5" w:rsidRPr="005B2844" w:rsidRDefault="003853A5" w:rsidP="0072602F">
      <w:pPr>
        <w:pStyle w:val="BodyText3"/>
        <w:jc w:val="left"/>
        <w:rPr>
          <w:szCs w:val="22"/>
          <w:lang w:val="it-IT"/>
        </w:rPr>
      </w:pPr>
    </w:p>
    <w:p w:rsidR="00DB0799" w:rsidRPr="005B2844" w:rsidRDefault="003853A5" w:rsidP="0072602F">
      <w:pPr>
        <w:pStyle w:val="BodyText3"/>
        <w:jc w:val="left"/>
        <w:rPr>
          <w:szCs w:val="22"/>
          <w:lang w:val="it-IT"/>
        </w:rPr>
      </w:pPr>
      <w:r w:rsidRPr="005B2844">
        <w:rPr>
          <w:szCs w:val="22"/>
          <w:lang w:val="it-IT"/>
        </w:rPr>
        <w:t xml:space="preserve">Confezioni: </w:t>
      </w:r>
    </w:p>
    <w:p w:rsidR="00DB0799" w:rsidRPr="005B2844" w:rsidRDefault="003853A5" w:rsidP="00DB0799">
      <w:pPr>
        <w:pStyle w:val="BodyText3"/>
        <w:numPr>
          <w:ilvl w:val="0"/>
          <w:numId w:val="17"/>
        </w:numPr>
        <w:ind w:left="567" w:hanging="567"/>
        <w:jc w:val="left"/>
        <w:rPr>
          <w:szCs w:val="22"/>
          <w:lang w:val="it-IT"/>
        </w:rPr>
      </w:pPr>
      <w:r w:rsidRPr="005B2844">
        <w:rPr>
          <w:szCs w:val="22"/>
          <w:lang w:val="it-IT"/>
        </w:rPr>
        <w:t xml:space="preserve">Blister con 14, 28, 56, 84 o 98 compresse o </w:t>
      </w:r>
      <w:bookmarkStart w:id="9" w:name="OLE_LINK11"/>
    </w:p>
    <w:p w:rsidR="003853A5" w:rsidRPr="005B2844" w:rsidRDefault="00DB0799" w:rsidP="00DB0799">
      <w:pPr>
        <w:pStyle w:val="BodyText3"/>
        <w:numPr>
          <w:ilvl w:val="0"/>
          <w:numId w:val="17"/>
        </w:numPr>
        <w:ind w:left="567" w:hanging="567"/>
        <w:jc w:val="left"/>
        <w:rPr>
          <w:szCs w:val="22"/>
          <w:lang w:val="it-IT"/>
        </w:rPr>
      </w:pPr>
      <w:r w:rsidRPr="005B2844">
        <w:rPr>
          <w:szCs w:val="22"/>
          <w:lang w:val="it-IT"/>
        </w:rPr>
        <w:t>B</w:t>
      </w:r>
      <w:r w:rsidR="003853A5" w:rsidRPr="005B2844">
        <w:rPr>
          <w:szCs w:val="22"/>
          <w:lang w:val="it-IT"/>
        </w:rPr>
        <w:t>lister divisibile per dose unitaria con 28 x 1</w:t>
      </w:r>
      <w:r w:rsidR="00AA0919" w:rsidRPr="005B2844">
        <w:rPr>
          <w:szCs w:val="22"/>
          <w:lang w:val="it-IT"/>
        </w:rPr>
        <w:t>, 30 x 1 o 90 x 1</w:t>
      </w:r>
      <w:r w:rsidR="003853A5" w:rsidRPr="005B2844">
        <w:rPr>
          <w:szCs w:val="22"/>
          <w:lang w:val="it-IT"/>
        </w:rPr>
        <w:t xml:space="preserve"> compresse.</w:t>
      </w:r>
    </w:p>
    <w:bookmarkEnd w:id="9"/>
    <w:p w:rsidR="00A70FCB" w:rsidRPr="005B2844" w:rsidRDefault="00A70FCB" w:rsidP="0072602F">
      <w:pPr>
        <w:rPr>
          <w:szCs w:val="22"/>
        </w:rPr>
      </w:pPr>
    </w:p>
    <w:p w:rsidR="00A70FCB" w:rsidRPr="005B2844" w:rsidRDefault="00A133EA" w:rsidP="0072602F">
      <w:pPr>
        <w:rPr>
          <w:szCs w:val="22"/>
        </w:rPr>
      </w:pPr>
      <w:r w:rsidRPr="005B2844">
        <w:rPr>
          <w:szCs w:val="22"/>
        </w:rPr>
        <w:t xml:space="preserve">È </w:t>
      </w:r>
      <w:r w:rsidR="00A70FCB" w:rsidRPr="005B2844">
        <w:rPr>
          <w:szCs w:val="22"/>
        </w:rPr>
        <w:t>possibile che non tu</w:t>
      </w:r>
      <w:r w:rsidR="002D1C47" w:rsidRPr="005B2844">
        <w:rPr>
          <w:szCs w:val="22"/>
        </w:rPr>
        <w:t>t</w:t>
      </w:r>
      <w:r w:rsidR="00A70FCB" w:rsidRPr="005B2844">
        <w:rPr>
          <w:szCs w:val="22"/>
        </w:rPr>
        <w:t>te le confezioni siano commercializzate</w:t>
      </w:r>
      <w:r w:rsidR="00E9721A" w:rsidRPr="005B2844">
        <w:rPr>
          <w:szCs w:val="22"/>
        </w:rPr>
        <w:t>.</w:t>
      </w: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6.6</w:t>
      </w:r>
      <w:r w:rsidRPr="005B2844">
        <w:rPr>
          <w:b/>
          <w:szCs w:val="22"/>
        </w:rPr>
        <w:tab/>
      </w:r>
      <w:r w:rsidR="003648EA" w:rsidRPr="005B2844">
        <w:rPr>
          <w:b/>
          <w:szCs w:val="22"/>
        </w:rPr>
        <w:t>Precauzioni particolari per lo smaltimento</w:t>
      </w:r>
      <w:r w:rsidR="0083054D" w:rsidRPr="005B2844">
        <w:rPr>
          <w:b/>
          <w:szCs w:val="22"/>
        </w:rPr>
        <w:t xml:space="preserve"> e la manipolazione</w:t>
      </w:r>
    </w:p>
    <w:p w:rsidR="00A70FCB" w:rsidRPr="005B2844" w:rsidRDefault="00A70FCB" w:rsidP="002229F2">
      <w:pPr>
        <w:keepNext/>
        <w:rPr>
          <w:szCs w:val="22"/>
        </w:rPr>
      </w:pPr>
    </w:p>
    <w:p w:rsidR="0083054D" w:rsidRPr="005B2844" w:rsidRDefault="0083054D" w:rsidP="0072602F">
      <w:pPr>
        <w:rPr>
          <w:szCs w:val="22"/>
        </w:rPr>
      </w:pPr>
      <w:proofErr w:type="spellStart"/>
      <w:r w:rsidRPr="005B2844">
        <w:rPr>
          <w:szCs w:val="22"/>
        </w:rPr>
        <w:t>MicardisPlus</w:t>
      </w:r>
      <w:proofErr w:type="spellEnd"/>
      <w:r w:rsidRPr="005B2844">
        <w:rPr>
          <w:szCs w:val="22"/>
        </w:rPr>
        <w:t xml:space="preserve"> deve essere conservato nel blister sigillato a causa delle caratteristiche igroscopiche delle compresse. Le compresse devono essere estratte dal blister poco prima della somministrazione.</w:t>
      </w:r>
    </w:p>
    <w:p w:rsidR="00A70FCB" w:rsidRPr="005B2844" w:rsidRDefault="00A70FCB" w:rsidP="0072602F">
      <w:pPr>
        <w:rPr>
          <w:szCs w:val="22"/>
        </w:rPr>
      </w:pPr>
      <w:r w:rsidRPr="005B2844">
        <w:rPr>
          <w:szCs w:val="22"/>
        </w:rPr>
        <w:t>Occasionalmente è stato osservato che lo strato esterno del blister può separarsi dallo strato interno tra gli alveoli. Se ciò si verificasse, non è necessario prendere alcuna precauzione.</w:t>
      </w:r>
    </w:p>
    <w:p w:rsidR="00A70FCB" w:rsidRPr="005B2844" w:rsidRDefault="00A70FCB" w:rsidP="0072602F">
      <w:pPr>
        <w:rPr>
          <w:szCs w:val="22"/>
        </w:rPr>
      </w:pPr>
    </w:p>
    <w:p w:rsidR="002A7574" w:rsidRPr="005B2844" w:rsidRDefault="002A7574" w:rsidP="0072602F">
      <w:pPr>
        <w:rPr>
          <w:szCs w:val="22"/>
        </w:rPr>
      </w:pPr>
      <w:r w:rsidRPr="005B2844">
        <w:rPr>
          <w:szCs w:val="22"/>
        </w:rPr>
        <w:t>Il medicinale non utilizzato e i rifiuti derivati da tale medicinale devono essere smaltiti in conformità alla normativa locale vigente.</w:t>
      </w:r>
    </w:p>
    <w:p w:rsidR="002A7574" w:rsidRPr="005B2844" w:rsidRDefault="002A7574"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7.</w:t>
      </w:r>
      <w:r w:rsidRPr="005B2844">
        <w:rPr>
          <w:b/>
          <w:szCs w:val="22"/>
        </w:rPr>
        <w:tab/>
        <w:t>TITOLARE DELL</w:t>
      </w:r>
      <w:r w:rsidR="00945B54" w:rsidRPr="005B2844">
        <w:rPr>
          <w:b/>
          <w:szCs w:val="22"/>
        </w:rPr>
        <w:t>’</w:t>
      </w:r>
      <w:r w:rsidRPr="005B2844">
        <w:rPr>
          <w:b/>
          <w:szCs w:val="22"/>
        </w:rPr>
        <w:t>AUTORIZZAZIONE ALL</w:t>
      </w:r>
      <w:r w:rsidR="00945B54" w:rsidRPr="005B2844">
        <w:rPr>
          <w:b/>
          <w:szCs w:val="22"/>
        </w:rPr>
        <w:t>’</w:t>
      </w:r>
      <w:r w:rsidRPr="005B2844">
        <w:rPr>
          <w:b/>
          <w:szCs w:val="22"/>
        </w:rPr>
        <w:t>IMMISSIONE IN COMMERCIO</w:t>
      </w:r>
    </w:p>
    <w:p w:rsidR="00A70FCB" w:rsidRPr="005B2844" w:rsidRDefault="00A70FCB" w:rsidP="002229F2">
      <w:pPr>
        <w:keepNext/>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International GmbH</w:t>
      </w:r>
    </w:p>
    <w:p w:rsidR="00A70FCB" w:rsidRPr="005B2844" w:rsidRDefault="00A70FCB" w:rsidP="0072602F">
      <w:pPr>
        <w:rPr>
          <w:szCs w:val="22"/>
        </w:rPr>
      </w:pPr>
      <w:proofErr w:type="spellStart"/>
      <w:r w:rsidRPr="005B2844">
        <w:rPr>
          <w:szCs w:val="22"/>
        </w:rPr>
        <w:t>Binger</w:t>
      </w:r>
      <w:proofErr w:type="spellEnd"/>
      <w:r w:rsidRPr="005B2844">
        <w:rPr>
          <w:szCs w:val="22"/>
        </w:rPr>
        <w:t xml:space="preserve"> </w:t>
      </w:r>
      <w:proofErr w:type="spellStart"/>
      <w:r w:rsidRPr="005B2844">
        <w:rPr>
          <w:szCs w:val="22"/>
        </w:rPr>
        <w:t>Str</w:t>
      </w:r>
      <w:proofErr w:type="spellEnd"/>
      <w:r w:rsidR="00894FE0" w:rsidRPr="005B2844">
        <w:rPr>
          <w:szCs w:val="22"/>
        </w:rPr>
        <w:t>.</w:t>
      </w:r>
      <w:r w:rsidRPr="005B2844">
        <w:rPr>
          <w:szCs w:val="22"/>
        </w:rPr>
        <w:t xml:space="preserve"> 173 </w:t>
      </w:r>
    </w:p>
    <w:p w:rsidR="00A70FCB" w:rsidRPr="005B2844" w:rsidRDefault="00A70FCB" w:rsidP="0072602F">
      <w:pPr>
        <w:rPr>
          <w:szCs w:val="22"/>
        </w:rPr>
      </w:pPr>
      <w:r w:rsidRPr="005B2844">
        <w:rPr>
          <w:szCs w:val="22"/>
        </w:rPr>
        <w:t xml:space="preserve">D-55216 </w:t>
      </w:r>
      <w:proofErr w:type="spellStart"/>
      <w:r w:rsidRPr="005B2844">
        <w:rPr>
          <w:szCs w:val="22"/>
        </w:rPr>
        <w:t>Ingelheim</w:t>
      </w:r>
      <w:proofErr w:type="spellEnd"/>
      <w:r w:rsidRPr="005B2844">
        <w:rPr>
          <w:szCs w:val="22"/>
        </w:rPr>
        <w:t xml:space="preserve"> </w:t>
      </w:r>
      <w:proofErr w:type="spellStart"/>
      <w:r w:rsidR="00993E77" w:rsidRPr="005B2844">
        <w:rPr>
          <w:szCs w:val="22"/>
        </w:rPr>
        <w:t>am</w:t>
      </w:r>
      <w:proofErr w:type="spellEnd"/>
      <w:r w:rsidR="00993E77" w:rsidRPr="005B2844">
        <w:rPr>
          <w:szCs w:val="22"/>
        </w:rPr>
        <w:t xml:space="preserve"> </w:t>
      </w:r>
      <w:proofErr w:type="spellStart"/>
      <w:r w:rsidRPr="005B2844">
        <w:rPr>
          <w:szCs w:val="22"/>
        </w:rPr>
        <w:t>Rhein</w:t>
      </w:r>
      <w:proofErr w:type="spellEnd"/>
    </w:p>
    <w:p w:rsidR="00A70FCB" w:rsidRPr="005B2844" w:rsidRDefault="00A70FCB" w:rsidP="0072602F">
      <w:pPr>
        <w:rPr>
          <w:szCs w:val="22"/>
        </w:rPr>
      </w:pPr>
      <w:r w:rsidRPr="005B2844">
        <w:rPr>
          <w:szCs w:val="22"/>
        </w:rPr>
        <w:t>Germania</w:t>
      </w:r>
    </w:p>
    <w:p w:rsidR="00A70FCB" w:rsidRPr="005B2844" w:rsidRDefault="00A70FCB" w:rsidP="0072602F">
      <w:pPr>
        <w:rPr>
          <w:szCs w:val="22"/>
        </w:rPr>
      </w:pPr>
    </w:p>
    <w:p w:rsidR="00A70FCB" w:rsidRPr="005B2844" w:rsidRDefault="00A70FCB" w:rsidP="0072602F">
      <w:pPr>
        <w:rPr>
          <w:szCs w:val="22"/>
        </w:rPr>
      </w:pPr>
    </w:p>
    <w:p w:rsidR="00A70FCB" w:rsidRPr="005B2844" w:rsidRDefault="00A80B4F" w:rsidP="002229F2">
      <w:pPr>
        <w:keepNext/>
        <w:tabs>
          <w:tab w:val="left" w:pos="567"/>
        </w:tabs>
        <w:rPr>
          <w:b/>
          <w:szCs w:val="22"/>
        </w:rPr>
      </w:pPr>
      <w:r w:rsidRPr="005B2844">
        <w:rPr>
          <w:b/>
          <w:szCs w:val="22"/>
        </w:rPr>
        <w:t>8.</w:t>
      </w:r>
      <w:r w:rsidRPr="005B2844">
        <w:rPr>
          <w:b/>
          <w:szCs w:val="22"/>
        </w:rPr>
        <w:tab/>
      </w:r>
      <w:r w:rsidR="00A70FCB" w:rsidRPr="005B2844">
        <w:rPr>
          <w:b/>
          <w:szCs w:val="22"/>
        </w:rPr>
        <w:t>NUMER</w:t>
      </w:r>
      <w:r w:rsidR="00333BE9" w:rsidRPr="005B2844">
        <w:rPr>
          <w:b/>
          <w:szCs w:val="22"/>
        </w:rPr>
        <w:t>O(</w:t>
      </w:r>
      <w:r w:rsidR="00A70FCB" w:rsidRPr="005B2844">
        <w:rPr>
          <w:b/>
          <w:szCs w:val="22"/>
        </w:rPr>
        <w:t>I</w:t>
      </w:r>
      <w:r w:rsidR="00333BE9" w:rsidRPr="005B2844">
        <w:rPr>
          <w:b/>
          <w:szCs w:val="22"/>
        </w:rPr>
        <w:t>)</w:t>
      </w:r>
      <w:r w:rsidR="00A70FCB" w:rsidRPr="005B2844">
        <w:rPr>
          <w:b/>
          <w:szCs w:val="22"/>
        </w:rPr>
        <w:t xml:space="preserve"> DELL</w:t>
      </w:r>
      <w:r w:rsidR="003648EA" w:rsidRPr="005B2844">
        <w:rPr>
          <w:b/>
          <w:szCs w:val="22"/>
        </w:rPr>
        <w:t>’</w:t>
      </w:r>
      <w:r w:rsidR="00A70FCB" w:rsidRPr="005B2844">
        <w:rPr>
          <w:b/>
          <w:szCs w:val="22"/>
        </w:rPr>
        <w:t>AUTORIZZAZION</w:t>
      </w:r>
      <w:r w:rsidR="003648EA" w:rsidRPr="005B2844">
        <w:rPr>
          <w:b/>
          <w:szCs w:val="22"/>
        </w:rPr>
        <w:t>E</w:t>
      </w:r>
      <w:r w:rsidR="00A70FCB" w:rsidRPr="005B2844">
        <w:rPr>
          <w:b/>
          <w:szCs w:val="22"/>
        </w:rPr>
        <w:t xml:space="preserve"> ALL’IMMISSIONE IN COMMERCIO</w:t>
      </w:r>
    </w:p>
    <w:p w:rsidR="00A70FCB" w:rsidRPr="005B2844" w:rsidRDefault="00A70FCB" w:rsidP="002229F2">
      <w:pPr>
        <w:keepNext/>
        <w:rPr>
          <w:szCs w:val="22"/>
        </w:rPr>
      </w:pPr>
    </w:p>
    <w:p w:rsidR="002B611D" w:rsidRPr="005B2844" w:rsidRDefault="002B611D" w:rsidP="002229F2">
      <w:pPr>
        <w:keepNext/>
        <w:rPr>
          <w:szCs w:val="22"/>
          <w:u w:val="single"/>
        </w:rPr>
      </w:pPr>
      <w:proofErr w:type="spellStart"/>
      <w:r w:rsidRPr="005B2844">
        <w:rPr>
          <w:szCs w:val="22"/>
          <w:u w:val="single"/>
        </w:rPr>
        <w:t>MicardisPlus</w:t>
      </w:r>
      <w:proofErr w:type="spellEnd"/>
      <w:r w:rsidRPr="005B2844">
        <w:rPr>
          <w:szCs w:val="22"/>
          <w:u w:val="single"/>
        </w:rPr>
        <w:t xml:space="preserve"> 40 mg/12,5 mg compresse</w:t>
      </w:r>
    </w:p>
    <w:p w:rsidR="00A70FCB" w:rsidRPr="005B2844" w:rsidRDefault="00A70FCB" w:rsidP="005E749A">
      <w:pPr>
        <w:rPr>
          <w:szCs w:val="22"/>
        </w:rPr>
      </w:pPr>
      <w:r w:rsidRPr="005B2844">
        <w:rPr>
          <w:szCs w:val="22"/>
        </w:rPr>
        <w:t>EU/1/02/213/001-005</w:t>
      </w:r>
      <w:r w:rsidR="002B611D" w:rsidRPr="005B2844">
        <w:rPr>
          <w:szCs w:val="22"/>
        </w:rPr>
        <w:t>, 011, 013</w:t>
      </w:r>
      <w:r w:rsidR="00767E98" w:rsidRPr="005B2844">
        <w:rPr>
          <w:szCs w:val="22"/>
        </w:rPr>
        <w:noBreakHyphen/>
      </w:r>
      <w:r w:rsidR="002B611D" w:rsidRPr="005B2844">
        <w:rPr>
          <w:szCs w:val="22"/>
        </w:rPr>
        <w:t>014</w:t>
      </w:r>
    </w:p>
    <w:p w:rsidR="002B611D" w:rsidRPr="005B2844" w:rsidRDefault="002B611D" w:rsidP="0072602F">
      <w:pPr>
        <w:rPr>
          <w:szCs w:val="22"/>
        </w:rPr>
      </w:pPr>
    </w:p>
    <w:p w:rsidR="002B611D" w:rsidRPr="005B2844" w:rsidRDefault="002B611D" w:rsidP="0072602F">
      <w:pPr>
        <w:rPr>
          <w:szCs w:val="22"/>
          <w:u w:val="single"/>
        </w:rPr>
      </w:pPr>
      <w:proofErr w:type="spellStart"/>
      <w:r w:rsidRPr="005B2844">
        <w:rPr>
          <w:szCs w:val="22"/>
          <w:u w:val="single"/>
        </w:rPr>
        <w:t>MicardisPlus</w:t>
      </w:r>
      <w:proofErr w:type="spellEnd"/>
      <w:r w:rsidRPr="005B2844">
        <w:rPr>
          <w:szCs w:val="22"/>
          <w:u w:val="single"/>
        </w:rPr>
        <w:t xml:space="preserve"> 80 mg/12,5 mg compresse</w:t>
      </w:r>
    </w:p>
    <w:p w:rsidR="00430C3A" w:rsidRPr="005B2844" w:rsidRDefault="002B611D" w:rsidP="005E749A">
      <w:pPr>
        <w:rPr>
          <w:szCs w:val="22"/>
        </w:rPr>
      </w:pPr>
      <w:r w:rsidRPr="005B2844">
        <w:rPr>
          <w:szCs w:val="22"/>
        </w:rPr>
        <w:t>EU/1/0</w:t>
      </w:r>
      <w:r w:rsidR="00FD549D" w:rsidRPr="005B2844">
        <w:rPr>
          <w:szCs w:val="22"/>
        </w:rPr>
        <w:t>2</w:t>
      </w:r>
      <w:r w:rsidRPr="005B2844">
        <w:rPr>
          <w:szCs w:val="22"/>
        </w:rPr>
        <w:t>/213/006-010, 012, 015</w:t>
      </w:r>
      <w:r w:rsidR="00767E98" w:rsidRPr="005B2844">
        <w:rPr>
          <w:szCs w:val="22"/>
        </w:rPr>
        <w:noBreakHyphen/>
      </w:r>
      <w:r w:rsidRPr="005B2844">
        <w:rPr>
          <w:szCs w:val="22"/>
        </w:rPr>
        <w:t>016</w:t>
      </w:r>
    </w:p>
    <w:p w:rsidR="00430C3A" w:rsidRPr="005B2844" w:rsidRDefault="00430C3A" w:rsidP="0072602F">
      <w:pPr>
        <w:rPr>
          <w:szCs w:val="22"/>
        </w:rPr>
      </w:pPr>
    </w:p>
    <w:p w:rsidR="00A70FCB" w:rsidRPr="005B2844" w:rsidRDefault="00A70FCB" w:rsidP="0072602F">
      <w:pPr>
        <w:rPr>
          <w:szCs w:val="22"/>
        </w:rPr>
      </w:pPr>
    </w:p>
    <w:p w:rsidR="00A70FCB" w:rsidRPr="005B2844" w:rsidRDefault="00A70FCB" w:rsidP="002229F2">
      <w:pPr>
        <w:keepNext/>
        <w:tabs>
          <w:tab w:val="left" w:pos="567"/>
        </w:tabs>
        <w:rPr>
          <w:b/>
          <w:szCs w:val="22"/>
        </w:rPr>
      </w:pPr>
      <w:r w:rsidRPr="005B2844">
        <w:rPr>
          <w:b/>
          <w:szCs w:val="22"/>
        </w:rPr>
        <w:t>9.</w:t>
      </w:r>
      <w:r w:rsidRPr="005B2844">
        <w:rPr>
          <w:b/>
          <w:szCs w:val="22"/>
        </w:rPr>
        <w:tab/>
        <w:t>DATA DELLA PRIMA AUTORIZZAZIONE/RINNOVO DELL</w:t>
      </w:r>
      <w:r w:rsidR="002C4BE9" w:rsidRPr="005B2844">
        <w:rPr>
          <w:b/>
          <w:szCs w:val="22"/>
        </w:rPr>
        <w:t>’</w:t>
      </w:r>
      <w:r w:rsidRPr="005B2844">
        <w:rPr>
          <w:b/>
          <w:szCs w:val="22"/>
        </w:rPr>
        <w:t>AUTORIZZAZIONE</w:t>
      </w:r>
    </w:p>
    <w:p w:rsidR="00A70FCB" w:rsidRPr="005B2844" w:rsidRDefault="00A70FCB" w:rsidP="002229F2">
      <w:pPr>
        <w:keepNext/>
        <w:rPr>
          <w:szCs w:val="22"/>
        </w:rPr>
      </w:pPr>
    </w:p>
    <w:p w:rsidR="00E84209" w:rsidRPr="005B2844" w:rsidRDefault="00E84209" w:rsidP="0072602F">
      <w:pPr>
        <w:rPr>
          <w:snapToGrid w:val="0"/>
          <w:szCs w:val="22"/>
          <w:lang w:eastAsia="de-DE"/>
        </w:rPr>
      </w:pPr>
      <w:r w:rsidRPr="005B2844">
        <w:rPr>
          <w:snapToGrid w:val="0"/>
          <w:szCs w:val="22"/>
          <w:lang w:eastAsia="de-DE"/>
        </w:rPr>
        <w:t>Data della prima autorizzazione: 19 Aprile 2002</w:t>
      </w:r>
    </w:p>
    <w:p w:rsidR="00E84209" w:rsidRPr="005B2844" w:rsidRDefault="00E84209" w:rsidP="0072602F">
      <w:pPr>
        <w:rPr>
          <w:snapToGrid w:val="0"/>
          <w:szCs w:val="22"/>
          <w:lang w:eastAsia="de-DE"/>
        </w:rPr>
      </w:pPr>
      <w:r w:rsidRPr="005B2844">
        <w:rPr>
          <w:snapToGrid w:val="0"/>
          <w:szCs w:val="22"/>
          <w:lang w:eastAsia="de-DE"/>
        </w:rPr>
        <w:t>Data del rinnovo</w:t>
      </w:r>
      <w:r w:rsidR="00333BE9" w:rsidRPr="005B2844">
        <w:rPr>
          <w:snapToGrid w:val="0"/>
          <w:szCs w:val="22"/>
          <w:lang w:eastAsia="de-DE"/>
        </w:rPr>
        <w:t xml:space="preserve"> più recente</w:t>
      </w:r>
      <w:r w:rsidRPr="005B2844">
        <w:rPr>
          <w:snapToGrid w:val="0"/>
          <w:szCs w:val="22"/>
          <w:lang w:eastAsia="de-DE"/>
        </w:rPr>
        <w:t xml:space="preserve">: </w:t>
      </w:r>
      <w:r w:rsidR="00555A51" w:rsidRPr="005B2844">
        <w:rPr>
          <w:snapToGrid w:val="0"/>
          <w:szCs w:val="22"/>
          <w:lang w:eastAsia="de-DE"/>
        </w:rPr>
        <w:t>23</w:t>
      </w:r>
      <w:r w:rsidRPr="005B2844">
        <w:rPr>
          <w:snapToGrid w:val="0"/>
          <w:szCs w:val="22"/>
          <w:lang w:eastAsia="de-DE"/>
        </w:rPr>
        <w:t xml:space="preserve"> Aprile 2007</w:t>
      </w:r>
    </w:p>
    <w:p w:rsidR="00A70FCB" w:rsidRPr="005B2844" w:rsidRDefault="00A70FCB" w:rsidP="0072602F">
      <w:pPr>
        <w:rPr>
          <w:szCs w:val="22"/>
        </w:rPr>
      </w:pPr>
    </w:p>
    <w:p w:rsidR="00A70FCB" w:rsidRPr="005B2844" w:rsidRDefault="00A70FCB" w:rsidP="0072602F">
      <w:pPr>
        <w:rPr>
          <w:szCs w:val="22"/>
        </w:rPr>
      </w:pPr>
    </w:p>
    <w:p w:rsidR="00A70FCB" w:rsidRPr="005B2844" w:rsidRDefault="00A80B4F" w:rsidP="002229F2">
      <w:pPr>
        <w:keepNext/>
        <w:tabs>
          <w:tab w:val="left" w:pos="567"/>
        </w:tabs>
        <w:rPr>
          <w:b/>
          <w:szCs w:val="22"/>
        </w:rPr>
      </w:pPr>
      <w:r w:rsidRPr="005B2844">
        <w:rPr>
          <w:b/>
          <w:szCs w:val="22"/>
        </w:rPr>
        <w:t>10.</w:t>
      </w:r>
      <w:r w:rsidRPr="005B2844">
        <w:rPr>
          <w:b/>
          <w:szCs w:val="22"/>
        </w:rPr>
        <w:tab/>
      </w:r>
      <w:r w:rsidR="00A70FCB" w:rsidRPr="005B2844">
        <w:rPr>
          <w:b/>
          <w:szCs w:val="22"/>
        </w:rPr>
        <w:t>DATA DI REVISIONE DEL TESTO</w:t>
      </w:r>
    </w:p>
    <w:p w:rsidR="003648EA" w:rsidRPr="005B2844" w:rsidRDefault="003648EA" w:rsidP="002229F2">
      <w:pPr>
        <w:keepNext/>
        <w:tabs>
          <w:tab w:val="left" w:pos="567"/>
        </w:tabs>
        <w:rPr>
          <w:b/>
          <w:szCs w:val="22"/>
        </w:rPr>
      </w:pPr>
      <w:bookmarkStart w:id="10" w:name="OLE_LINK8"/>
    </w:p>
    <w:p w:rsidR="003648EA" w:rsidRPr="005B2844" w:rsidRDefault="003648EA" w:rsidP="0072602F">
      <w:pPr>
        <w:suppressAutoHyphens/>
        <w:rPr>
          <w:szCs w:val="22"/>
        </w:rPr>
      </w:pPr>
      <w:r w:rsidRPr="005B2844">
        <w:rPr>
          <w:noProof/>
          <w:szCs w:val="22"/>
        </w:rPr>
        <w:t>Informazioni più dettagliate su questo medicinale sono disponibili sul sito web dell</w:t>
      </w:r>
      <w:r w:rsidR="002B6A37" w:rsidRPr="005B2844">
        <w:rPr>
          <w:noProof/>
          <w:szCs w:val="22"/>
        </w:rPr>
        <w:t>’</w:t>
      </w:r>
      <w:r w:rsidRPr="005B2844">
        <w:rPr>
          <w:noProof/>
          <w:szCs w:val="22"/>
        </w:rPr>
        <w:t xml:space="preserve">Agenzia </w:t>
      </w:r>
      <w:r w:rsidR="00180EA4" w:rsidRPr="005B2844">
        <w:rPr>
          <w:noProof/>
          <w:szCs w:val="22"/>
        </w:rPr>
        <w:t>e</w:t>
      </w:r>
      <w:r w:rsidRPr="005B2844">
        <w:rPr>
          <w:noProof/>
          <w:szCs w:val="22"/>
        </w:rPr>
        <w:t xml:space="preserve">uropea dei </w:t>
      </w:r>
      <w:r w:rsidR="00180EA4" w:rsidRPr="005B2844">
        <w:rPr>
          <w:noProof/>
          <w:szCs w:val="22"/>
        </w:rPr>
        <w:t>m</w:t>
      </w:r>
      <w:r w:rsidRPr="005B2844">
        <w:rPr>
          <w:noProof/>
          <w:szCs w:val="22"/>
        </w:rPr>
        <w:t>edicinali</w:t>
      </w:r>
      <w:r w:rsidR="002B611D" w:rsidRPr="005B2844">
        <w:rPr>
          <w:noProof/>
          <w:szCs w:val="22"/>
        </w:rPr>
        <w:t>,</w:t>
      </w:r>
      <w:r w:rsidRPr="005B2844">
        <w:rPr>
          <w:noProof/>
          <w:szCs w:val="22"/>
        </w:rPr>
        <w:t xml:space="preserve"> </w:t>
      </w:r>
      <w:hyperlink r:id="rId11" w:history="1">
        <w:r w:rsidRPr="005B2844">
          <w:rPr>
            <w:rStyle w:val="Hyperlink"/>
            <w:noProof/>
            <w:szCs w:val="22"/>
          </w:rPr>
          <w:t>http://www.ema.europ</w:t>
        </w:r>
        <w:r w:rsidRPr="005B2844">
          <w:rPr>
            <w:rStyle w:val="Hyperlink"/>
            <w:noProof/>
            <w:szCs w:val="22"/>
          </w:rPr>
          <w:t>a</w:t>
        </w:r>
        <w:r w:rsidRPr="005B2844">
          <w:rPr>
            <w:rStyle w:val="Hyperlink"/>
            <w:noProof/>
            <w:szCs w:val="22"/>
          </w:rPr>
          <w:t>.eu</w:t>
        </w:r>
      </w:hyperlink>
      <w:r w:rsidRPr="005B2844">
        <w:rPr>
          <w:noProof/>
          <w:color w:val="0000FF"/>
          <w:szCs w:val="22"/>
        </w:rPr>
        <w:t>.</w:t>
      </w:r>
    </w:p>
    <w:bookmarkEnd w:id="10"/>
    <w:p w:rsidR="003648EA" w:rsidRPr="005B2844" w:rsidRDefault="003648EA" w:rsidP="0072602F">
      <w:pPr>
        <w:tabs>
          <w:tab w:val="left" w:pos="567"/>
        </w:tabs>
        <w:rPr>
          <w:szCs w:val="22"/>
        </w:rPr>
      </w:pPr>
    </w:p>
    <w:p w:rsidR="00FC113F" w:rsidRPr="005B2844" w:rsidRDefault="00A70FCB" w:rsidP="002229F2">
      <w:pPr>
        <w:keepNext/>
        <w:tabs>
          <w:tab w:val="left" w:pos="567"/>
        </w:tabs>
        <w:rPr>
          <w:b/>
          <w:szCs w:val="22"/>
        </w:rPr>
      </w:pPr>
      <w:r w:rsidRPr="005B2844">
        <w:rPr>
          <w:b/>
          <w:szCs w:val="22"/>
        </w:rPr>
        <w:br w:type="page"/>
      </w:r>
      <w:r w:rsidR="00FC113F" w:rsidRPr="005B2844">
        <w:rPr>
          <w:b/>
          <w:szCs w:val="22"/>
        </w:rPr>
        <w:t>1.</w:t>
      </w:r>
      <w:r w:rsidR="00FC113F" w:rsidRPr="005B2844">
        <w:rPr>
          <w:b/>
          <w:szCs w:val="22"/>
        </w:rPr>
        <w:tab/>
        <w:t>DENOMINAZIONE DEL MEDICINALE</w:t>
      </w:r>
    </w:p>
    <w:p w:rsidR="00FC113F" w:rsidRPr="005B2844" w:rsidRDefault="00FC113F" w:rsidP="002229F2">
      <w:pPr>
        <w:keepNext/>
        <w:rPr>
          <w:szCs w:val="22"/>
        </w:rPr>
      </w:pPr>
    </w:p>
    <w:p w:rsidR="00FC113F" w:rsidRPr="005B2844" w:rsidRDefault="00FC113F" w:rsidP="0072602F">
      <w:pPr>
        <w:rPr>
          <w:szCs w:val="22"/>
        </w:rPr>
      </w:pPr>
      <w:proofErr w:type="spellStart"/>
      <w:r w:rsidRPr="005B2844">
        <w:rPr>
          <w:szCs w:val="22"/>
        </w:rPr>
        <w:t>MicardisPlus</w:t>
      </w:r>
      <w:proofErr w:type="spellEnd"/>
      <w:r w:rsidRPr="005B2844">
        <w:rPr>
          <w:szCs w:val="22"/>
        </w:rPr>
        <w:t xml:space="preserve"> 80 mg/25 mg compresse</w:t>
      </w:r>
    </w:p>
    <w:p w:rsidR="00FC113F" w:rsidRPr="005B2844" w:rsidRDefault="00FC113F" w:rsidP="0072602F">
      <w:pPr>
        <w:rPr>
          <w:szCs w:val="22"/>
        </w:rPr>
      </w:pPr>
    </w:p>
    <w:p w:rsidR="00FC113F" w:rsidRPr="005B2844" w:rsidRDefault="00FC113F" w:rsidP="0072602F">
      <w:pPr>
        <w:rPr>
          <w:szCs w:val="22"/>
        </w:rPr>
      </w:pPr>
    </w:p>
    <w:p w:rsidR="00FC113F" w:rsidRPr="005B2844" w:rsidRDefault="00FC113F" w:rsidP="002229F2">
      <w:pPr>
        <w:keepNext/>
        <w:tabs>
          <w:tab w:val="left" w:pos="567"/>
        </w:tabs>
        <w:rPr>
          <w:b/>
          <w:szCs w:val="22"/>
        </w:rPr>
      </w:pPr>
      <w:r w:rsidRPr="005B2844">
        <w:rPr>
          <w:b/>
          <w:szCs w:val="22"/>
        </w:rPr>
        <w:t>2.</w:t>
      </w:r>
      <w:r w:rsidRPr="005B2844">
        <w:rPr>
          <w:b/>
          <w:szCs w:val="22"/>
        </w:rPr>
        <w:tab/>
        <w:t>COMPOSIZIONE QUALITATIVA E QUANTITATIVA</w:t>
      </w:r>
    </w:p>
    <w:p w:rsidR="00FC113F" w:rsidRPr="005B2844" w:rsidRDefault="00FC113F" w:rsidP="002229F2">
      <w:pPr>
        <w:keepNext/>
        <w:rPr>
          <w:szCs w:val="22"/>
        </w:rPr>
      </w:pPr>
    </w:p>
    <w:p w:rsidR="00FC113F" w:rsidRPr="005B2844" w:rsidRDefault="00FC113F" w:rsidP="0072602F">
      <w:pPr>
        <w:pStyle w:val="BodyText3"/>
        <w:jc w:val="left"/>
        <w:rPr>
          <w:szCs w:val="22"/>
          <w:lang w:val="it-IT"/>
        </w:rPr>
      </w:pPr>
      <w:r w:rsidRPr="005B2844">
        <w:rPr>
          <w:szCs w:val="22"/>
          <w:lang w:val="it-IT"/>
        </w:rPr>
        <w:t xml:space="preserve">Ogni compressa contiene </w:t>
      </w:r>
      <w:proofErr w:type="spellStart"/>
      <w:r w:rsidRPr="005B2844">
        <w:rPr>
          <w:szCs w:val="22"/>
          <w:lang w:val="it-IT"/>
        </w:rPr>
        <w:t>telmis</w:t>
      </w:r>
      <w:r w:rsidR="008E51EC" w:rsidRPr="005B2844">
        <w:rPr>
          <w:szCs w:val="22"/>
          <w:lang w:val="it-IT"/>
        </w:rPr>
        <w:t>artan</w:t>
      </w:r>
      <w:proofErr w:type="spellEnd"/>
      <w:r w:rsidR="008E51EC" w:rsidRPr="005B2844">
        <w:rPr>
          <w:szCs w:val="22"/>
          <w:lang w:val="it-IT"/>
        </w:rPr>
        <w:t xml:space="preserve"> 80 mg e </w:t>
      </w:r>
      <w:proofErr w:type="spellStart"/>
      <w:r w:rsidR="008E51EC" w:rsidRPr="005B2844">
        <w:rPr>
          <w:szCs w:val="22"/>
          <w:lang w:val="it-IT"/>
        </w:rPr>
        <w:t>idroclorotiazide</w:t>
      </w:r>
      <w:proofErr w:type="spellEnd"/>
      <w:r w:rsidR="008E51EC" w:rsidRPr="005B2844">
        <w:rPr>
          <w:szCs w:val="22"/>
          <w:lang w:val="it-IT"/>
        </w:rPr>
        <w:t xml:space="preserve"> </w:t>
      </w:r>
      <w:r w:rsidRPr="005B2844">
        <w:rPr>
          <w:szCs w:val="22"/>
          <w:lang w:val="it-IT"/>
        </w:rPr>
        <w:t>25 mg.</w:t>
      </w:r>
    </w:p>
    <w:p w:rsidR="00DE1F84" w:rsidRPr="005B2844" w:rsidRDefault="00DE1F84" w:rsidP="0072602F">
      <w:pPr>
        <w:pStyle w:val="BodyText3"/>
        <w:jc w:val="left"/>
        <w:rPr>
          <w:szCs w:val="22"/>
          <w:lang w:val="it-IT"/>
        </w:rPr>
      </w:pPr>
    </w:p>
    <w:p w:rsidR="00C50BCC" w:rsidRPr="005B2844" w:rsidRDefault="00FC113F" w:rsidP="0072602F">
      <w:pPr>
        <w:pStyle w:val="BodyText3"/>
        <w:jc w:val="left"/>
        <w:rPr>
          <w:szCs w:val="22"/>
          <w:lang w:val="it-IT"/>
        </w:rPr>
      </w:pPr>
      <w:r w:rsidRPr="005B2844">
        <w:rPr>
          <w:szCs w:val="22"/>
          <w:u w:val="single"/>
          <w:lang w:val="it-IT"/>
        </w:rPr>
        <w:t>Eccipienti</w:t>
      </w:r>
      <w:r w:rsidR="00156FAB" w:rsidRPr="005B2844">
        <w:rPr>
          <w:szCs w:val="22"/>
          <w:u w:val="single"/>
          <w:lang w:val="it-IT"/>
        </w:rPr>
        <w:t xml:space="preserve"> con effetti noti</w:t>
      </w:r>
    </w:p>
    <w:p w:rsidR="00FC113F" w:rsidRPr="005B2844" w:rsidRDefault="00E275EE" w:rsidP="0072602F">
      <w:pPr>
        <w:pStyle w:val="BodyText3"/>
        <w:jc w:val="left"/>
        <w:rPr>
          <w:szCs w:val="22"/>
          <w:lang w:val="it-IT"/>
        </w:rPr>
      </w:pPr>
      <w:r w:rsidRPr="005B2844">
        <w:rPr>
          <w:szCs w:val="22"/>
          <w:lang w:val="it-IT"/>
        </w:rPr>
        <w:t>Ogni compressa contiene 99</w:t>
      </w:r>
      <w:r w:rsidR="00FC113F" w:rsidRPr="005B2844">
        <w:rPr>
          <w:szCs w:val="22"/>
          <w:lang w:val="it-IT"/>
        </w:rPr>
        <w:t xml:space="preserve"> mg di lattosio monoidrato e </w:t>
      </w:r>
      <w:r w:rsidRPr="005B2844">
        <w:rPr>
          <w:szCs w:val="22"/>
          <w:lang w:val="it-IT"/>
        </w:rPr>
        <w:t>338</w:t>
      </w:r>
      <w:r w:rsidR="00FC113F" w:rsidRPr="005B2844">
        <w:rPr>
          <w:szCs w:val="22"/>
          <w:lang w:val="it-IT"/>
        </w:rPr>
        <w:t> mg di sorbitolo</w:t>
      </w:r>
      <w:r w:rsidR="00AB77DD" w:rsidRPr="005B2844">
        <w:rPr>
          <w:szCs w:val="22"/>
          <w:lang w:val="it-IT"/>
        </w:rPr>
        <w:t xml:space="preserve"> (E420)</w:t>
      </w:r>
      <w:r w:rsidR="00DE1F84" w:rsidRPr="005B2844">
        <w:rPr>
          <w:szCs w:val="22"/>
          <w:lang w:val="it-IT"/>
        </w:rPr>
        <w:t>.</w:t>
      </w:r>
    </w:p>
    <w:p w:rsidR="00DE1F84" w:rsidRPr="005B2844" w:rsidRDefault="00DE1F84" w:rsidP="0072602F">
      <w:pPr>
        <w:pStyle w:val="BodyText3"/>
        <w:jc w:val="left"/>
        <w:rPr>
          <w:szCs w:val="22"/>
          <w:lang w:val="it-IT"/>
        </w:rPr>
      </w:pPr>
    </w:p>
    <w:p w:rsidR="00FC113F" w:rsidRPr="005B2844" w:rsidRDefault="00FC113F" w:rsidP="0072602F">
      <w:pPr>
        <w:pStyle w:val="BodyText3"/>
        <w:jc w:val="left"/>
        <w:rPr>
          <w:szCs w:val="22"/>
          <w:lang w:val="it-IT"/>
        </w:rPr>
      </w:pPr>
      <w:r w:rsidRPr="005B2844">
        <w:rPr>
          <w:szCs w:val="22"/>
          <w:lang w:val="it-IT"/>
        </w:rPr>
        <w:t>Per l’elenco completo degli eccipienti, vedere paragrafo 6.1.</w:t>
      </w:r>
    </w:p>
    <w:p w:rsidR="00FC113F" w:rsidRPr="005B2844" w:rsidRDefault="00FC113F" w:rsidP="0072602F">
      <w:pPr>
        <w:rPr>
          <w:szCs w:val="22"/>
        </w:rPr>
      </w:pPr>
    </w:p>
    <w:p w:rsidR="00FC113F" w:rsidRPr="005B2844" w:rsidRDefault="00FC113F" w:rsidP="0072602F">
      <w:pPr>
        <w:rPr>
          <w:szCs w:val="22"/>
        </w:rPr>
      </w:pPr>
    </w:p>
    <w:p w:rsidR="00FC113F" w:rsidRPr="005B2844" w:rsidRDefault="00FC113F" w:rsidP="002229F2">
      <w:pPr>
        <w:keepNext/>
        <w:tabs>
          <w:tab w:val="left" w:pos="567"/>
        </w:tabs>
        <w:rPr>
          <w:b/>
          <w:szCs w:val="22"/>
        </w:rPr>
      </w:pPr>
      <w:r w:rsidRPr="005B2844">
        <w:rPr>
          <w:b/>
          <w:szCs w:val="22"/>
        </w:rPr>
        <w:t>3.</w:t>
      </w:r>
      <w:r w:rsidRPr="005B2844">
        <w:rPr>
          <w:b/>
          <w:szCs w:val="22"/>
        </w:rPr>
        <w:tab/>
        <w:t>FORMA FARMACEUTICA</w:t>
      </w:r>
    </w:p>
    <w:p w:rsidR="00FC113F" w:rsidRPr="005B2844" w:rsidRDefault="00FC113F" w:rsidP="002229F2">
      <w:pPr>
        <w:keepNext/>
        <w:rPr>
          <w:szCs w:val="22"/>
        </w:rPr>
      </w:pPr>
    </w:p>
    <w:p w:rsidR="00FC113F" w:rsidRPr="005B2844" w:rsidRDefault="00FC113F" w:rsidP="0072602F">
      <w:pPr>
        <w:rPr>
          <w:szCs w:val="22"/>
        </w:rPr>
      </w:pPr>
      <w:r w:rsidRPr="005B2844">
        <w:rPr>
          <w:szCs w:val="22"/>
        </w:rPr>
        <w:t>Compressa.</w:t>
      </w:r>
    </w:p>
    <w:p w:rsidR="00FC113F" w:rsidRPr="005B2844" w:rsidRDefault="00FC113F" w:rsidP="0072602F">
      <w:pPr>
        <w:rPr>
          <w:szCs w:val="22"/>
        </w:rPr>
      </w:pPr>
      <w:r w:rsidRPr="005B2844">
        <w:rPr>
          <w:szCs w:val="22"/>
        </w:rPr>
        <w:t xml:space="preserve">Compressa </w:t>
      </w:r>
      <w:r w:rsidR="00E275EE" w:rsidRPr="005B2844">
        <w:rPr>
          <w:szCs w:val="22"/>
        </w:rPr>
        <w:t xml:space="preserve">gialla e </w:t>
      </w:r>
      <w:r w:rsidRPr="005B2844">
        <w:rPr>
          <w:szCs w:val="22"/>
        </w:rPr>
        <w:t xml:space="preserve">bianca </w:t>
      </w:r>
      <w:r w:rsidR="00C50BCC" w:rsidRPr="005B2844">
        <w:rPr>
          <w:szCs w:val="22"/>
        </w:rPr>
        <w:t>da 6,2</w:t>
      </w:r>
      <w:r w:rsidR="00763FE8" w:rsidRPr="005B2844">
        <w:rPr>
          <w:szCs w:val="22"/>
        </w:rPr>
        <w:t> </w:t>
      </w:r>
      <w:r w:rsidR="00C50BCC" w:rsidRPr="005B2844">
        <w:rPr>
          <w:szCs w:val="22"/>
        </w:rPr>
        <w:t xml:space="preserve">mm </w:t>
      </w:r>
      <w:r w:rsidRPr="005B2844">
        <w:rPr>
          <w:szCs w:val="22"/>
        </w:rPr>
        <w:t xml:space="preserve">di forma </w:t>
      </w:r>
      <w:r w:rsidR="002F79D9">
        <w:rPr>
          <w:szCs w:val="22"/>
        </w:rPr>
        <w:t>oblunga</w:t>
      </w:r>
      <w:r w:rsidRPr="005B2844">
        <w:rPr>
          <w:szCs w:val="22"/>
        </w:rPr>
        <w:t xml:space="preserve"> con impresso il logo dell'azienda ed il codice </w:t>
      </w:r>
      <w:r w:rsidR="00AB77DD" w:rsidRPr="005B2844">
        <w:rPr>
          <w:szCs w:val="22"/>
        </w:rPr>
        <w:t>‘</w:t>
      </w:r>
      <w:r w:rsidRPr="005B2844">
        <w:rPr>
          <w:szCs w:val="22"/>
        </w:rPr>
        <w:t>H</w:t>
      </w:r>
      <w:r w:rsidR="00E275EE" w:rsidRPr="005B2844">
        <w:rPr>
          <w:szCs w:val="22"/>
        </w:rPr>
        <w:t>9</w:t>
      </w:r>
      <w:r w:rsidR="00AB77DD" w:rsidRPr="005B2844">
        <w:rPr>
          <w:szCs w:val="22"/>
        </w:rPr>
        <w:t>’</w:t>
      </w:r>
      <w:r w:rsidRPr="005B2844">
        <w:rPr>
          <w:szCs w:val="22"/>
        </w:rPr>
        <w:t>.</w:t>
      </w:r>
    </w:p>
    <w:p w:rsidR="00FC113F" w:rsidRPr="005B2844" w:rsidRDefault="00FC113F" w:rsidP="0072602F">
      <w:pPr>
        <w:rPr>
          <w:szCs w:val="22"/>
        </w:rPr>
      </w:pPr>
    </w:p>
    <w:p w:rsidR="00FC113F" w:rsidRPr="005B2844" w:rsidRDefault="00FC113F" w:rsidP="0072602F">
      <w:pPr>
        <w:rPr>
          <w:szCs w:val="22"/>
        </w:rPr>
      </w:pPr>
    </w:p>
    <w:p w:rsidR="00FC113F" w:rsidRPr="005B2844" w:rsidRDefault="00FC113F" w:rsidP="002229F2">
      <w:pPr>
        <w:keepNext/>
        <w:tabs>
          <w:tab w:val="left" w:pos="567"/>
        </w:tabs>
        <w:rPr>
          <w:b/>
          <w:szCs w:val="22"/>
        </w:rPr>
      </w:pPr>
      <w:r w:rsidRPr="005B2844">
        <w:rPr>
          <w:b/>
          <w:szCs w:val="22"/>
        </w:rPr>
        <w:t>4.</w:t>
      </w:r>
      <w:r w:rsidRPr="005B2844">
        <w:rPr>
          <w:b/>
          <w:szCs w:val="22"/>
        </w:rPr>
        <w:tab/>
        <w:t>INFORMAZIONI CLINICHE</w:t>
      </w:r>
    </w:p>
    <w:p w:rsidR="00FC113F" w:rsidRPr="005B2844" w:rsidRDefault="00FC113F" w:rsidP="002229F2">
      <w:pPr>
        <w:keepNext/>
        <w:rPr>
          <w:szCs w:val="22"/>
        </w:rPr>
      </w:pPr>
    </w:p>
    <w:p w:rsidR="00FC113F" w:rsidRPr="005B2844" w:rsidRDefault="00FC113F" w:rsidP="002229F2">
      <w:pPr>
        <w:keepNext/>
        <w:tabs>
          <w:tab w:val="left" w:pos="567"/>
        </w:tabs>
        <w:rPr>
          <w:b/>
          <w:szCs w:val="22"/>
        </w:rPr>
      </w:pPr>
      <w:r w:rsidRPr="005B2844">
        <w:rPr>
          <w:b/>
          <w:szCs w:val="22"/>
        </w:rPr>
        <w:t>4.1</w:t>
      </w:r>
      <w:r w:rsidRPr="005B2844">
        <w:rPr>
          <w:b/>
          <w:szCs w:val="22"/>
        </w:rPr>
        <w:tab/>
        <w:t>Indicazioni terapeutiche</w:t>
      </w:r>
    </w:p>
    <w:p w:rsidR="00FC113F" w:rsidRPr="005B2844" w:rsidRDefault="00FC113F" w:rsidP="002229F2">
      <w:pPr>
        <w:keepNext/>
        <w:rPr>
          <w:b/>
          <w:szCs w:val="22"/>
        </w:rPr>
      </w:pPr>
    </w:p>
    <w:p w:rsidR="00FC113F" w:rsidRPr="005B2844" w:rsidRDefault="00FC113F" w:rsidP="0072602F">
      <w:pPr>
        <w:pStyle w:val="BodyTextIndent2"/>
        <w:tabs>
          <w:tab w:val="clear" w:pos="567"/>
        </w:tabs>
        <w:spacing w:line="240" w:lineRule="auto"/>
        <w:ind w:left="0" w:firstLine="0"/>
        <w:jc w:val="left"/>
        <w:rPr>
          <w:szCs w:val="22"/>
        </w:rPr>
      </w:pPr>
      <w:r w:rsidRPr="005B2844">
        <w:rPr>
          <w:szCs w:val="22"/>
        </w:rPr>
        <w:t>Trattamento dell’ipertensione essenziale.</w:t>
      </w:r>
    </w:p>
    <w:p w:rsidR="00FC113F" w:rsidRPr="005B2844" w:rsidRDefault="00FC113F" w:rsidP="0072602F">
      <w:pPr>
        <w:rPr>
          <w:szCs w:val="22"/>
        </w:rPr>
      </w:pPr>
    </w:p>
    <w:p w:rsidR="001054AD" w:rsidRPr="005B2844" w:rsidRDefault="001054AD" w:rsidP="0072602F">
      <w:pPr>
        <w:rPr>
          <w:szCs w:val="22"/>
        </w:rPr>
      </w:pPr>
      <w:proofErr w:type="spellStart"/>
      <w:r w:rsidRPr="005B2844">
        <w:rPr>
          <w:szCs w:val="22"/>
        </w:rPr>
        <w:t>MicardisPlus</w:t>
      </w:r>
      <w:proofErr w:type="spellEnd"/>
      <w:r w:rsidRPr="005B2844">
        <w:rPr>
          <w:szCs w:val="22"/>
        </w:rPr>
        <w:t xml:space="preserve">, associazione a dose fissa, (80 mg </w:t>
      </w:r>
      <w:proofErr w:type="spellStart"/>
      <w:r w:rsidRPr="005B2844">
        <w:rPr>
          <w:szCs w:val="22"/>
        </w:rPr>
        <w:t>telmisartan</w:t>
      </w:r>
      <w:proofErr w:type="spellEnd"/>
      <w:r w:rsidRPr="005B2844">
        <w:rPr>
          <w:szCs w:val="22"/>
        </w:rPr>
        <w:t xml:space="preserve">/25 mg </w:t>
      </w:r>
      <w:proofErr w:type="spellStart"/>
      <w:r w:rsidRPr="005B2844">
        <w:rPr>
          <w:szCs w:val="22"/>
        </w:rPr>
        <w:t>idroclorotiazide</w:t>
      </w:r>
      <w:proofErr w:type="spellEnd"/>
      <w:r w:rsidRPr="005B2844">
        <w:rPr>
          <w:szCs w:val="22"/>
        </w:rPr>
        <w:t xml:space="preserve">) è indicato </w:t>
      </w:r>
      <w:r w:rsidR="00156FAB" w:rsidRPr="005B2844">
        <w:rPr>
          <w:szCs w:val="22"/>
        </w:rPr>
        <w:t>negli adulti</w:t>
      </w:r>
      <w:r w:rsidRPr="005B2844">
        <w:rPr>
          <w:szCs w:val="22"/>
        </w:rPr>
        <w:t xml:space="preserve"> in cui non venga raggiunto un adeguato controllo pressorio con </w:t>
      </w:r>
      <w:proofErr w:type="spellStart"/>
      <w:r w:rsidRPr="005B2844">
        <w:rPr>
          <w:szCs w:val="22"/>
        </w:rPr>
        <w:t>MicardisPlus</w:t>
      </w:r>
      <w:proofErr w:type="spellEnd"/>
      <w:r w:rsidRPr="005B2844">
        <w:rPr>
          <w:szCs w:val="22"/>
        </w:rPr>
        <w:t xml:space="preserve"> 80 mg/12,5 </w:t>
      </w:r>
      <w:r w:rsidR="005E4296" w:rsidRPr="005B2844">
        <w:rPr>
          <w:szCs w:val="22"/>
        </w:rPr>
        <w:t xml:space="preserve">mg </w:t>
      </w:r>
      <w:r w:rsidRPr="005B2844">
        <w:rPr>
          <w:szCs w:val="22"/>
        </w:rPr>
        <w:t xml:space="preserve">(80 mg </w:t>
      </w:r>
      <w:proofErr w:type="spellStart"/>
      <w:r w:rsidRPr="005B2844">
        <w:rPr>
          <w:szCs w:val="22"/>
        </w:rPr>
        <w:t>telmisartan</w:t>
      </w:r>
      <w:proofErr w:type="spellEnd"/>
      <w:r w:rsidRPr="005B2844">
        <w:rPr>
          <w:szCs w:val="22"/>
        </w:rPr>
        <w:t xml:space="preserve">/12,5 mg </w:t>
      </w:r>
      <w:proofErr w:type="spellStart"/>
      <w:r w:rsidRPr="005B2844">
        <w:rPr>
          <w:szCs w:val="22"/>
        </w:rPr>
        <w:t>idroclorotiazide</w:t>
      </w:r>
      <w:proofErr w:type="spellEnd"/>
      <w:r w:rsidRPr="005B2844">
        <w:rPr>
          <w:szCs w:val="22"/>
        </w:rPr>
        <w:t xml:space="preserve">) o </w:t>
      </w:r>
      <w:r w:rsidR="008210B8" w:rsidRPr="005B2844">
        <w:rPr>
          <w:szCs w:val="22"/>
        </w:rPr>
        <w:t>negli adulti</w:t>
      </w:r>
      <w:r w:rsidRPr="005B2844">
        <w:rPr>
          <w:szCs w:val="22"/>
        </w:rPr>
        <w:t xml:space="preserve"> la cui pressione sia stata precedentemente stabilizzata da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somministrati singolarmente.</w:t>
      </w:r>
    </w:p>
    <w:p w:rsidR="00FC113F" w:rsidRPr="005B2844" w:rsidRDefault="00FC113F" w:rsidP="0072602F">
      <w:pPr>
        <w:rPr>
          <w:szCs w:val="22"/>
        </w:rPr>
      </w:pPr>
    </w:p>
    <w:p w:rsidR="00FC113F" w:rsidRPr="005B2844" w:rsidRDefault="00FC113F" w:rsidP="002229F2">
      <w:pPr>
        <w:keepNext/>
        <w:tabs>
          <w:tab w:val="left" w:pos="567"/>
        </w:tabs>
        <w:rPr>
          <w:b/>
          <w:szCs w:val="22"/>
        </w:rPr>
      </w:pPr>
      <w:r w:rsidRPr="005B2844">
        <w:rPr>
          <w:b/>
          <w:szCs w:val="22"/>
        </w:rPr>
        <w:t>4.2</w:t>
      </w:r>
      <w:r w:rsidRPr="005B2844">
        <w:rPr>
          <w:b/>
          <w:szCs w:val="22"/>
        </w:rPr>
        <w:tab/>
        <w:t>Posologia e modo di somministrazione</w:t>
      </w:r>
    </w:p>
    <w:p w:rsidR="00FC113F" w:rsidRPr="005B2844" w:rsidRDefault="00FC113F" w:rsidP="002229F2">
      <w:pPr>
        <w:keepNext/>
        <w:rPr>
          <w:szCs w:val="22"/>
        </w:rPr>
      </w:pPr>
    </w:p>
    <w:p w:rsidR="00FC113F" w:rsidRPr="005B2844" w:rsidRDefault="00E7134D" w:rsidP="002229F2">
      <w:pPr>
        <w:pStyle w:val="BodyText20"/>
        <w:keepNext/>
        <w:spacing w:line="240" w:lineRule="auto"/>
        <w:jc w:val="left"/>
        <w:rPr>
          <w:szCs w:val="22"/>
          <w:u w:val="single"/>
        </w:rPr>
      </w:pPr>
      <w:r w:rsidRPr="005B2844">
        <w:rPr>
          <w:szCs w:val="22"/>
          <w:u w:val="single"/>
        </w:rPr>
        <w:t>Posologia</w:t>
      </w:r>
    </w:p>
    <w:p w:rsidR="00E7134D" w:rsidRPr="005B2844" w:rsidRDefault="00E7134D" w:rsidP="002229F2">
      <w:pPr>
        <w:pStyle w:val="BodyText20"/>
        <w:keepNext/>
        <w:spacing w:line="240" w:lineRule="auto"/>
        <w:jc w:val="left"/>
        <w:rPr>
          <w:szCs w:val="22"/>
          <w:u w:val="single"/>
        </w:rPr>
      </w:pPr>
    </w:p>
    <w:p w:rsidR="00FC113F" w:rsidRPr="005B2844" w:rsidRDefault="00FC113F" w:rsidP="0072602F">
      <w:pPr>
        <w:rPr>
          <w:szCs w:val="22"/>
        </w:rPr>
      </w:pPr>
      <w:proofErr w:type="spellStart"/>
      <w:r w:rsidRPr="005B2844">
        <w:rPr>
          <w:szCs w:val="22"/>
        </w:rPr>
        <w:t>MicardisPlus</w:t>
      </w:r>
      <w:proofErr w:type="spellEnd"/>
      <w:r w:rsidRPr="005B2844">
        <w:rPr>
          <w:szCs w:val="22"/>
        </w:rPr>
        <w:t xml:space="preserve"> dovrebbe essere assunto da quei pazienti in cui non venga raggiunto un adeguato controllo pressorio con </w:t>
      </w:r>
      <w:proofErr w:type="spellStart"/>
      <w:r w:rsidRPr="005B2844">
        <w:rPr>
          <w:szCs w:val="22"/>
        </w:rPr>
        <w:t>telmisartan</w:t>
      </w:r>
      <w:proofErr w:type="spellEnd"/>
      <w:r w:rsidRPr="005B2844">
        <w:rPr>
          <w:szCs w:val="22"/>
        </w:rPr>
        <w:t xml:space="preserve"> in monoterapia. Si raccomanda di cercare di individuare una dose efficace di ciascuno dei singoli componenti prima di passare alla associazione a dose fissa. Quando clinicamente appropriato, può essere preso in considerazione il passaggio diretto dalla monoterapia alla associazione fissa</w:t>
      </w:r>
      <w:r w:rsidR="00BE2E0C" w:rsidRPr="005B2844">
        <w:rPr>
          <w:szCs w:val="22"/>
        </w:rPr>
        <w:t>.</w:t>
      </w:r>
    </w:p>
    <w:p w:rsidR="00FC113F" w:rsidRPr="005B2844" w:rsidRDefault="00FC113F" w:rsidP="0072602F">
      <w:pPr>
        <w:rPr>
          <w:szCs w:val="22"/>
        </w:rPr>
      </w:pPr>
    </w:p>
    <w:p w:rsidR="001054AD" w:rsidRPr="005B2844" w:rsidRDefault="001054AD" w:rsidP="009536AB">
      <w:pPr>
        <w:pStyle w:val="BodyText2"/>
        <w:numPr>
          <w:ilvl w:val="0"/>
          <w:numId w:val="5"/>
        </w:numPr>
        <w:tabs>
          <w:tab w:val="clear" w:pos="360"/>
          <w:tab w:val="num" w:pos="567"/>
        </w:tabs>
        <w:ind w:left="567" w:hanging="567"/>
        <w:rPr>
          <w:szCs w:val="22"/>
        </w:rPr>
      </w:pPr>
      <w:proofErr w:type="spellStart"/>
      <w:r w:rsidRPr="005B2844">
        <w:rPr>
          <w:szCs w:val="22"/>
        </w:rPr>
        <w:t>MicardisPlus</w:t>
      </w:r>
      <w:proofErr w:type="spellEnd"/>
      <w:r w:rsidRPr="005B2844">
        <w:rPr>
          <w:szCs w:val="22"/>
        </w:rPr>
        <w:t xml:space="preserve"> 80 mg/25 mg può essere somministrato </w:t>
      </w:r>
      <w:r w:rsidR="00407F92" w:rsidRPr="005B2844">
        <w:rPr>
          <w:szCs w:val="22"/>
        </w:rPr>
        <w:t xml:space="preserve">una volta al giorno </w:t>
      </w:r>
      <w:r w:rsidRPr="005B2844">
        <w:rPr>
          <w:szCs w:val="22"/>
        </w:rPr>
        <w:t xml:space="preserve">ai pazienti in cui non venga raggiunto un adeguato controllo pressorio con </w:t>
      </w:r>
      <w:proofErr w:type="spellStart"/>
      <w:r w:rsidRPr="005B2844">
        <w:rPr>
          <w:szCs w:val="22"/>
        </w:rPr>
        <w:t>MicardisPlus</w:t>
      </w:r>
      <w:proofErr w:type="spellEnd"/>
      <w:r w:rsidRPr="005B2844">
        <w:rPr>
          <w:szCs w:val="22"/>
        </w:rPr>
        <w:t xml:space="preserve"> 80 mg/12,5 mg o ai pazienti la cui pressione sia stata precedentemente stabilizzata da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somministrati singolarmente.</w:t>
      </w:r>
    </w:p>
    <w:p w:rsidR="00FC113F" w:rsidRPr="005B2844" w:rsidRDefault="00FC113F" w:rsidP="0072602F">
      <w:pPr>
        <w:rPr>
          <w:szCs w:val="22"/>
        </w:rPr>
      </w:pPr>
    </w:p>
    <w:p w:rsidR="00E339F0" w:rsidRPr="005B2844" w:rsidRDefault="00E339F0" w:rsidP="0072602F">
      <w:pPr>
        <w:rPr>
          <w:szCs w:val="22"/>
        </w:rPr>
      </w:pPr>
      <w:proofErr w:type="spellStart"/>
      <w:r w:rsidRPr="005B2844">
        <w:rPr>
          <w:szCs w:val="22"/>
        </w:rPr>
        <w:t>MicardisPlus</w:t>
      </w:r>
      <w:proofErr w:type="spellEnd"/>
      <w:r w:rsidRPr="005B2844">
        <w:rPr>
          <w:szCs w:val="22"/>
        </w:rPr>
        <w:t xml:space="preserve"> è anche disponibile al dosaggio 40 mg/12,5 mg e 80 mg/12,5 mg</w:t>
      </w:r>
      <w:r w:rsidR="002E27ED" w:rsidRPr="005B2844">
        <w:rPr>
          <w:szCs w:val="22"/>
        </w:rPr>
        <w:t>.</w:t>
      </w:r>
    </w:p>
    <w:p w:rsidR="00E339F0" w:rsidRPr="005B2844" w:rsidRDefault="00E339F0" w:rsidP="0072602F">
      <w:pPr>
        <w:rPr>
          <w:szCs w:val="22"/>
        </w:rPr>
      </w:pPr>
    </w:p>
    <w:p w:rsidR="00A12E8B" w:rsidRPr="005B2844" w:rsidRDefault="002B611D" w:rsidP="002229F2">
      <w:pPr>
        <w:keepNext/>
        <w:rPr>
          <w:szCs w:val="22"/>
        </w:rPr>
      </w:pPr>
      <w:r w:rsidRPr="005B2844">
        <w:rPr>
          <w:szCs w:val="22"/>
        </w:rPr>
        <w:t>I</w:t>
      </w:r>
      <w:r w:rsidR="00FC113F" w:rsidRPr="005B2844">
        <w:rPr>
          <w:szCs w:val="22"/>
        </w:rPr>
        <w:t>nsufficienza renale</w:t>
      </w:r>
    </w:p>
    <w:p w:rsidR="00A12E8B" w:rsidRPr="005B2844" w:rsidRDefault="00A12E8B" w:rsidP="002229F2">
      <w:pPr>
        <w:keepNext/>
        <w:rPr>
          <w:szCs w:val="22"/>
        </w:rPr>
      </w:pPr>
    </w:p>
    <w:p w:rsidR="00FC113F" w:rsidRPr="005B2844" w:rsidRDefault="00FC113F" w:rsidP="0072602F">
      <w:pPr>
        <w:rPr>
          <w:szCs w:val="22"/>
        </w:rPr>
      </w:pPr>
      <w:r w:rsidRPr="005B2844">
        <w:rPr>
          <w:szCs w:val="22"/>
        </w:rPr>
        <w:t>Si consiglia un controllo periodico della funzionalità renale (vedere paragrafo 4.4).</w:t>
      </w:r>
    </w:p>
    <w:p w:rsidR="00FC113F" w:rsidRPr="005B2844" w:rsidRDefault="00FC113F" w:rsidP="0072602F">
      <w:pPr>
        <w:rPr>
          <w:szCs w:val="22"/>
        </w:rPr>
      </w:pPr>
    </w:p>
    <w:p w:rsidR="00A12E8B" w:rsidRPr="005B2844" w:rsidRDefault="002B611D" w:rsidP="002229F2">
      <w:pPr>
        <w:pStyle w:val="BodyText2"/>
        <w:keepNext/>
        <w:ind w:left="0" w:firstLine="0"/>
        <w:rPr>
          <w:szCs w:val="22"/>
        </w:rPr>
      </w:pPr>
      <w:r w:rsidRPr="005B2844">
        <w:rPr>
          <w:szCs w:val="22"/>
        </w:rPr>
        <w:t>I</w:t>
      </w:r>
      <w:r w:rsidR="00FC113F" w:rsidRPr="005B2844">
        <w:rPr>
          <w:szCs w:val="22"/>
        </w:rPr>
        <w:t>nsufficienza epatica</w:t>
      </w:r>
    </w:p>
    <w:p w:rsidR="00A12E8B" w:rsidRPr="005B2844" w:rsidRDefault="00A12E8B" w:rsidP="002229F2">
      <w:pPr>
        <w:pStyle w:val="BodyText2"/>
        <w:keepNext/>
        <w:ind w:left="0" w:firstLine="0"/>
        <w:rPr>
          <w:szCs w:val="22"/>
        </w:rPr>
      </w:pPr>
    </w:p>
    <w:p w:rsidR="00FC113F" w:rsidRPr="005B2844" w:rsidRDefault="00FC113F" w:rsidP="0072602F">
      <w:pPr>
        <w:pStyle w:val="BodyText2"/>
        <w:ind w:left="0" w:firstLine="0"/>
        <w:rPr>
          <w:szCs w:val="22"/>
        </w:rPr>
      </w:pPr>
      <w:r w:rsidRPr="005B2844">
        <w:rPr>
          <w:szCs w:val="22"/>
        </w:rPr>
        <w:t xml:space="preserve">Nei pazienti con insufficienza epatica lieve o moderata la dose non deve essere maggiore di </w:t>
      </w:r>
      <w:proofErr w:type="spellStart"/>
      <w:r w:rsidRPr="005B2844">
        <w:rPr>
          <w:szCs w:val="22"/>
        </w:rPr>
        <w:t>MicardisPlus</w:t>
      </w:r>
      <w:proofErr w:type="spellEnd"/>
      <w:r w:rsidRPr="005B2844">
        <w:rPr>
          <w:szCs w:val="22"/>
        </w:rPr>
        <w:t xml:space="preserve"> 40 mg/12,5 mg una volta al giorno. </w:t>
      </w:r>
      <w:proofErr w:type="spellStart"/>
      <w:r w:rsidRPr="005B2844">
        <w:rPr>
          <w:szCs w:val="22"/>
        </w:rPr>
        <w:t>MicardisPlus</w:t>
      </w:r>
      <w:proofErr w:type="spellEnd"/>
      <w:r w:rsidRPr="005B2844">
        <w:rPr>
          <w:szCs w:val="22"/>
        </w:rPr>
        <w:t xml:space="preserve"> non è indicato in pazienti con grave insufficienza epatica. I diuretici tiazidici devono essere utilizzati con cautela in pazienti con funzionalità epatica compromessa (vedere paragrafo 4.4).</w:t>
      </w:r>
    </w:p>
    <w:p w:rsidR="00FC113F" w:rsidRPr="005B2844" w:rsidRDefault="00FC113F" w:rsidP="0072602F">
      <w:pPr>
        <w:rPr>
          <w:szCs w:val="22"/>
        </w:rPr>
      </w:pPr>
    </w:p>
    <w:p w:rsidR="00B43E6F" w:rsidRPr="005B2844" w:rsidRDefault="002B611D" w:rsidP="002229F2">
      <w:pPr>
        <w:pStyle w:val="BodyText2"/>
        <w:keepNext/>
        <w:ind w:left="0" w:firstLine="0"/>
        <w:rPr>
          <w:szCs w:val="22"/>
        </w:rPr>
      </w:pPr>
      <w:r w:rsidRPr="005B2844">
        <w:rPr>
          <w:szCs w:val="22"/>
        </w:rPr>
        <w:t>A</w:t>
      </w:r>
      <w:r w:rsidR="00FC113F" w:rsidRPr="005B2844">
        <w:rPr>
          <w:szCs w:val="22"/>
        </w:rPr>
        <w:t>nziani</w:t>
      </w:r>
    </w:p>
    <w:p w:rsidR="00B43E6F" w:rsidRPr="005B2844" w:rsidRDefault="00B43E6F" w:rsidP="002229F2">
      <w:pPr>
        <w:pStyle w:val="BodyText2"/>
        <w:keepNext/>
        <w:ind w:left="0" w:firstLine="0"/>
        <w:rPr>
          <w:szCs w:val="22"/>
        </w:rPr>
      </w:pPr>
    </w:p>
    <w:p w:rsidR="00FC113F" w:rsidRPr="005B2844" w:rsidRDefault="00FC113F" w:rsidP="0072602F">
      <w:pPr>
        <w:pStyle w:val="BodyText2"/>
        <w:ind w:left="0" w:firstLine="0"/>
        <w:rPr>
          <w:szCs w:val="22"/>
        </w:rPr>
      </w:pPr>
      <w:r w:rsidRPr="005B2844">
        <w:rPr>
          <w:szCs w:val="22"/>
        </w:rPr>
        <w:t>Non è necessario modificare la dose.</w:t>
      </w:r>
    </w:p>
    <w:p w:rsidR="00FC113F" w:rsidRPr="005B2844" w:rsidRDefault="00FC113F" w:rsidP="0072602F">
      <w:pPr>
        <w:pStyle w:val="Footer"/>
        <w:tabs>
          <w:tab w:val="clear" w:pos="4819"/>
          <w:tab w:val="clear" w:pos="9071"/>
        </w:tabs>
        <w:rPr>
          <w:szCs w:val="22"/>
        </w:rPr>
      </w:pPr>
    </w:p>
    <w:p w:rsidR="00084604" w:rsidRPr="005B2844" w:rsidRDefault="00084604" w:rsidP="002229F2">
      <w:pPr>
        <w:pStyle w:val="Footer"/>
        <w:keepNext/>
        <w:tabs>
          <w:tab w:val="clear" w:pos="4819"/>
          <w:tab w:val="clear" w:pos="9071"/>
        </w:tabs>
        <w:rPr>
          <w:i/>
          <w:szCs w:val="22"/>
        </w:rPr>
      </w:pPr>
      <w:r w:rsidRPr="005B2844">
        <w:rPr>
          <w:i/>
          <w:szCs w:val="22"/>
        </w:rPr>
        <w:t>Popolazione pediatrica</w:t>
      </w:r>
    </w:p>
    <w:p w:rsidR="00084604" w:rsidRPr="005B2844" w:rsidRDefault="00084604" w:rsidP="002229F2">
      <w:pPr>
        <w:pStyle w:val="Footer"/>
        <w:keepNext/>
        <w:tabs>
          <w:tab w:val="clear" w:pos="4819"/>
          <w:tab w:val="clear" w:pos="9071"/>
        </w:tabs>
        <w:rPr>
          <w:szCs w:val="22"/>
        </w:rPr>
      </w:pPr>
    </w:p>
    <w:p w:rsidR="00084604" w:rsidRPr="005B2844" w:rsidRDefault="00084604" w:rsidP="00084604">
      <w:pPr>
        <w:pStyle w:val="Footer"/>
        <w:tabs>
          <w:tab w:val="clear" w:pos="4819"/>
          <w:tab w:val="clear" w:pos="9071"/>
        </w:tabs>
        <w:rPr>
          <w:szCs w:val="22"/>
        </w:rPr>
      </w:pPr>
      <w:r w:rsidRPr="005B2844">
        <w:rPr>
          <w:szCs w:val="22"/>
        </w:rPr>
        <w:t xml:space="preserve">La sicurezza e l’efficacia di </w:t>
      </w:r>
      <w:proofErr w:type="spellStart"/>
      <w:r w:rsidRPr="005B2844">
        <w:rPr>
          <w:szCs w:val="22"/>
        </w:rPr>
        <w:t>MicardisPlus</w:t>
      </w:r>
      <w:proofErr w:type="spellEnd"/>
      <w:r w:rsidRPr="005B2844">
        <w:rPr>
          <w:szCs w:val="22"/>
        </w:rPr>
        <w:t xml:space="preserve"> nei bambini e negli adolescenti al di sotto di 18 anni non sono state </w:t>
      </w:r>
      <w:r w:rsidR="00EC3F83" w:rsidRPr="005B2844">
        <w:rPr>
          <w:szCs w:val="22"/>
        </w:rPr>
        <w:t>stabilite</w:t>
      </w:r>
      <w:r w:rsidRPr="005B2844">
        <w:rPr>
          <w:szCs w:val="22"/>
        </w:rPr>
        <w:t xml:space="preserve">. Non </w:t>
      </w:r>
      <w:r w:rsidR="00EC3F83" w:rsidRPr="005B2844">
        <w:rPr>
          <w:szCs w:val="22"/>
        </w:rPr>
        <w:t>ci</w:t>
      </w:r>
      <w:r w:rsidRPr="005B2844">
        <w:rPr>
          <w:szCs w:val="22"/>
        </w:rPr>
        <w:t xml:space="preserve"> sono dati disponibili.</w:t>
      </w:r>
    </w:p>
    <w:p w:rsidR="00084604" w:rsidRPr="005B2844" w:rsidRDefault="00084604" w:rsidP="00084604">
      <w:pPr>
        <w:pStyle w:val="Footer"/>
        <w:tabs>
          <w:tab w:val="clear" w:pos="4819"/>
          <w:tab w:val="clear" w:pos="9071"/>
        </w:tabs>
        <w:rPr>
          <w:szCs w:val="22"/>
        </w:rPr>
      </w:pPr>
    </w:p>
    <w:p w:rsidR="00084604" w:rsidRPr="005B2844" w:rsidRDefault="00084604" w:rsidP="002229F2">
      <w:pPr>
        <w:keepNext/>
        <w:suppressAutoHyphens/>
        <w:rPr>
          <w:szCs w:val="22"/>
          <w:u w:val="single"/>
        </w:rPr>
      </w:pPr>
      <w:r w:rsidRPr="005B2844">
        <w:rPr>
          <w:szCs w:val="22"/>
          <w:u w:val="single"/>
        </w:rPr>
        <w:t>Modo di somministrazione</w:t>
      </w:r>
    </w:p>
    <w:p w:rsidR="00226B30" w:rsidRPr="005B2844" w:rsidRDefault="00226B30" w:rsidP="002229F2">
      <w:pPr>
        <w:keepNext/>
        <w:suppressAutoHyphens/>
        <w:rPr>
          <w:szCs w:val="22"/>
        </w:rPr>
      </w:pPr>
    </w:p>
    <w:p w:rsidR="00084604" w:rsidRPr="005B2844" w:rsidRDefault="00084604" w:rsidP="00084604">
      <w:pPr>
        <w:suppressAutoHyphens/>
        <w:rPr>
          <w:szCs w:val="22"/>
        </w:rPr>
      </w:pPr>
      <w:r w:rsidRPr="005B2844">
        <w:rPr>
          <w:szCs w:val="22"/>
        </w:rPr>
        <w:t xml:space="preserve">Le compresse di </w:t>
      </w:r>
      <w:proofErr w:type="spellStart"/>
      <w:r w:rsidRPr="005B2844">
        <w:rPr>
          <w:szCs w:val="22"/>
        </w:rPr>
        <w:t>MicardisPlus</w:t>
      </w:r>
      <w:proofErr w:type="spellEnd"/>
      <w:r w:rsidRPr="005B2844">
        <w:rPr>
          <w:szCs w:val="22"/>
        </w:rPr>
        <w:t xml:space="preserve"> sono per somministrazione orale, singola giornaliera e devono essere assunte con del liquido, con o senza cibo.</w:t>
      </w:r>
    </w:p>
    <w:p w:rsidR="00084604" w:rsidRPr="005B2844" w:rsidRDefault="00084604" w:rsidP="00084604">
      <w:pPr>
        <w:suppressAutoHyphens/>
        <w:rPr>
          <w:szCs w:val="22"/>
        </w:rPr>
      </w:pPr>
    </w:p>
    <w:p w:rsidR="00084604" w:rsidRPr="005B2844" w:rsidRDefault="00084604" w:rsidP="00126264">
      <w:pPr>
        <w:keepNext/>
        <w:suppressAutoHyphens/>
        <w:rPr>
          <w:i/>
          <w:szCs w:val="22"/>
        </w:rPr>
      </w:pPr>
      <w:r w:rsidRPr="005B2844">
        <w:rPr>
          <w:i/>
          <w:szCs w:val="22"/>
        </w:rPr>
        <w:t>Precauzioni che devono essere prese prima della manipolazione o della somministrazione del medicinale</w:t>
      </w:r>
    </w:p>
    <w:p w:rsidR="00BC4D08" w:rsidRPr="005B2844" w:rsidRDefault="00BC4D08" w:rsidP="00126264">
      <w:pPr>
        <w:pStyle w:val="BodyText30"/>
        <w:keepNext/>
        <w:widowControl/>
        <w:rPr>
          <w:szCs w:val="22"/>
          <w:lang w:val="it-IT"/>
        </w:rPr>
      </w:pPr>
    </w:p>
    <w:p w:rsidR="00FC113F" w:rsidRPr="005B2844" w:rsidRDefault="00084604" w:rsidP="00084604">
      <w:pPr>
        <w:pStyle w:val="BodyText30"/>
        <w:widowControl/>
        <w:rPr>
          <w:szCs w:val="22"/>
          <w:lang w:val="it-IT"/>
        </w:rPr>
      </w:pPr>
      <w:r w:rsidRPr="005B2844">
        <w:rPr>
          <w:szCs w:val="22"/>
          <w:lang w:val="it-IT"/>
        </w:rPr>
        <w:t xml:space="preserve">Le compresse di </w:t>
      </w:r>
      <w:proofErr w:type="spellStart"/>
      <w:r w:rsidRPr="005B2844">
        <w:rPr>
          <w:szCs w:val="22"/>
          <w:lang w:val="it-IT"/>
        </w:rPr>
        <w:t>MicardisPlus</w:t>
      </w:r>
      <w:proofErr w:type="spellEnd"/>
      <w:r w:rsidRPr="005B2844">
        <w:rPr>
          <w:szCs w:val="22"/>
          <w:lang w:val="it-IT"/>
        </w:rPr>
        <w:t xml:space="preserve"> devono essere conservate nel blister sigillato a causa delle loro caratteristiche igroscopiche. Devono essere estratte dal blister poco prima della somministrazione</w:t>
      </w:r>
      <w:r w:rsidR="00BC4D08" w:rsidRPr="005B2844">
        <w:rPr>
          <w:szCs w:val="22"/>
          <w:lang w:val="it-IT"/>
        </w:rPr>
        <w:t xml:space="preserve"> (vedere paragrafo 6.6)</w:t>
      </w:r>
      <w:r w:rsidRPr="005B2844">
        <w:rPr>
          <w:szCs w:val="22"/>
          <w:lang w:val="it-IT"/>
        </w:rPr>
        <w:t>.</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4.3</w:t>
      </w:r>
      <w:r w:rsidRPr="005B2844">
        <w:rPr>
          <w:b/>
          <w:szCs w:val="22"/>
        </w:rPr>
        <w:tab/>
        <w:t>Controindicazioni</w:t>
      </w:r>
    </w:p>
    <w:p w:rsidR="00FC113F" w:rsidRPr="005B2844" w:rsidRDefault="00FC113F" w:rsidP="00126264">
      <w:pPr>
        <w:keepNext/>
        <w:rPr>
          <w:szCs w:val="22"/>
        </w:rPr>
      </w:pPr>
    </w:p>
    <w:p w:rsidR="00FC113F" w:rsidRPr="005B2844" w:rsidRDefault="00FC113F" w:rsidP="009536AB">
      <w:pPr>
        <w:pStyle w:val="BodyText2"/>
        <w:numPr>
          <w:ilvl w:val="0"/>
          <w:numId w:val="9"/>
        </w:numPr>
        <w:tabs>
          <w:tab w:val="clear" w:pos="360"/>
          <w:tab w:val="clear" w:pos="567"/>
        </w:tabs>
        <w:ind w:left="567" w:hanging="567"/>
        <w:rPr>
          <w:szCs w:val="22"/>
        </w:rPr>
      </w:pPr>
      <w:r w:rsidRPr="005B2844">
        <w:rPr>
          <w:szCs w:val="22"/>
        </w:rPr>
        <w:t xml:space="preserve">Ipersensibilità ai principi attivi o ad uno qualsiasi degli eccipienti </w:t>
      </w:r>
      <w:r w:rsidR="00BC4D08" w:rsidRPr="005B2844">
        <w:rPr>
          <w:szCs w:val="22"/>
        </w:rPr>
        <w:t>elencati al</w:t>
      </w:r>
      <w:r w:rsidRPr="005B2844">
        <w:rPr>
          <w:szCs w:val="22"/>
        </w:rPr>
        <w:t xml:space="preserve"> paragrafo 6.1</w:t>
      </w:r>
      <w:r w:rsidR="00E339F0" w:rsidRPr="005B2844">
        <w:rPr>
          <w:szCs w:val="22"/>
        </w:rPr>
        <w:t>.</w:t>
      </w:r>
    </w:p>
    <w:p w:rsidR="00FC113F" w:rsidRPr="005B2844" w:rsidRDefault="00FC113F" w:rsidP="009536AB">
      <w:pPr>
        <w:pStyle w:val="BodyText2"/>
        <w:numPr>
          <w:ilvl w:val="0"/>
          <w:numId w:val="8"/>
        </w:numPr>
        <w:tabs>
          <w:tab w:val="clear" w:pos="360"/>
          <w:tab w:val="clear" w:pos="567"/>
        </w:tabs>
        <w:ind w:left="567" w:hanging="567"/>
        <w:rPr>
          <w:szCs w:val="22"/>
        </w:rPr>
      </w:pPr>
      <w:r w:rsidRPr="005B2844">
        <w:rPr>
          <w:szCs w:val="22"/>
        </w:rPr>
        <w:t>Ipersensibilità ad altre sostanze sulfonamide derivate (l'</w:t>
      </w:r>
      <w:proofErr w:type="spellStart"/>
      <w:r w:rsidRPr="005B2844">
        <w:rPr>
          <w:szCs w:val="22"/>
        </w:rPr>
        <w:t>idroclorotiazide</w:t>
      </w:r>
      <w:proofErr w:type="spellEnd"/>
      <w:r w:rsidRPr="005B2844">
        <w:rPr>
          <w:szCs w:val="22"/>
        </w:rPr>
        <w:t xml:space="preserve"> è una sostanza sulfonamide derivata)</w:t>
      </w:r>
      <w:r w:rsidR="00E339F0" w:rsidRPr="005B2844">
        <w:rPr>
          <w:szCs w:val="22"/>
        </w:rPr>
        <w:t>.</w:t>
      </w:r>
    </w:p>
    <w:p w:rsidR="00FC113F" w:rsidRPr="005B2844" w:rsidRDefault="00FC113F" w:rsidP="009536AB">
      <w:pPr>
        <w:numPr>
          <w:ilvl w:val="0"/>
          <w:numId w:val="2"/>
        </w:numPr>
        <w:tabs>
          <w:tab w:val="clear" w:pos="1588"/>
        </w:tabs>
        <w:ind w:left="567" w:hanging="567"/>
        <w:rPr>
          <w:szCs w:val="22"/>
        </w:rPr>
      </w:pPr>
      <w:r w:rsidRPr="005B2844">
        <w:rPr>
          <w:szCs w:val="22"/>
        </w:rPr>
        <w:t>Secondo e terzo trimestre di gravidanza (vedere paragraf</w:t>
      </w:r>
      <w:r w:rsidR="00CC21AD" w:rsidRPr="005B2844">
        <w:rPr>
          <w:szCs w:val="22"/>
        </w:rPr>
        <w:t>i</w:t>
      </w:r>
      <w:r w:rsidRPr="005B2844">
        <w:rPr>
          <w:szCs w:val="22"/>
        </w:rPr>
        <w:t xml:space="preserve"> </w:t>
      </w:r>
      <w:r w:rsidR="00CC21AD" w:rsidRPr="005B2844">
        <w:rPr>
          <w:szCs w:val="22"/>
        </w:rPr>
        <w:t xml:space="preserve">4.4 e </w:t>
      </w:r>
      <w:r w:rsidRPr="005B2844">
        <w:rPr>
          <w:szCs w:val="22"/>
        </w:rPr>
        <w:t>4.6)</w:t>
      </w:r>
      <w:r w:rsidR="00E339F0" w:rsidRPr="005B2844">
        <w:rPr>
          <w:szCs w:val="22"/>
        </w:rPr>
        <w:t>.</w:t>
      </w:r>
    </w:p>
    <w:p w:rsidR="00FC113F" w:rsidRPr="005B2844" w:rsidRDefault="00FC113F" w:rsidP="009536AB">
      <w:pPr>
        <w:pStyle w:val="BodyText2"/>
        <w:numPr>
          <w:ilvl w:val="0"/>
          <w:numId w:val="2"/>
        </w:numPr>
        <w:tabs>
          <w:tab w:val="clear" w:pos="567"/>
          <w:tab w:val="clear" w:pos="1588"/>
        </w:tabs>
        <w:ind w:left="567" w:hanging="567"/>
        <w:rPr>
          <w:szCs w:val="22"/>
        </w:rPr>
      </w:pPr>
      <w:r w:rsidRPr="005B2844">
        <w:rPr>
          <w:szCs w:val="22"/>
        </w:rPr>
        <w:t>Colestasi e ostruzioni delle vie biliari</w:t>
      </w:r>
      <w:r w:rsidR="00E339F0" w:rsidRPr="005B2844">
        <w:rPr>
          <w:szCs w:val="22"/>
        </w:rPr>
        <w:t>.</w:t>
      </w:r>
    </w:p>
    <w:p w:rsidR="00FC113F" w:rsidRPr="005B2844" w:rsidRDefault="00FC113F" w:rsidP="009536AB">
      <w:pPr>
        <w:numPr>
          <w:ilvl w:val="0"/>
          <w:numId w:val="2"/>
        </w:numPr>
        <w:tabs>
          <w:tab w:val="clear" w:pos="1588"/>
        </w:tabs>
        <w:ind w:left="567" w:hanging="567"/>
        <w:rPr>
          <w:szCs w:val="22"/>
        </w:rPr>
      </w:pPr>
      <w:r w:rsidRPr="005B2844">
        <w:rPr>
          <w:szCs w:val="22"/>
        </w:rPr>
        <w:t>Insufficienza epatica grave</w:t>
      </w:r>
      <w:r w:rsidR="00E339F0" w:rsidRPr="005B2844">
        <w:rPr>
          <w:szCs w:val="22"/>
        </w:rPr>
        <w:t>.</w:t>
      </w:r>
    </w:p>
    <w:p w:rsidR="00FC113F" w:rsidRPr="005B2844" w:rsidRDefault="00FC113F" w:rsidP="009536AB">
      <w:pPr>
        <w:numPr>
          <w:ilvl w:val="0"/>
          <w:numId w:val="2"/>
        </w:numPr>
        <w:tabs>
          <w:tab w:val="clear" w:pos="1588"/>
        </w:tabs>
        <w:ind w:left="567" w:hanging="567"/>
        <w:rPr>
          <w:szCs w:val="22"/>
        </w:rPr>
      </w:pPr>
      <w:r w:rsidRPr="005B2844">
        <w:rPr>
          <w:szCs w:val="22"/>
        </w:rPr>
        <w:t>Insufficienza renale grave (clearance della creatinina &lt; 30 ml/</w:t>
      </w:r>
      <w:proofErr w:type="spellStart"/>
      <w:r w:rsidRPr="005B2844">
        <w:rPr>
          <w:szCs w:val="22"/>
        </w:rPr>
        <w:t>min</w:t>
      </w:r>
      <w:proofErr w:type="spellEnd"/>
      <w:r w:rsidRPr="005B2844">
        <w:rPr>
          <w:szCs w:val="22"/>
        </w:rPr>
        <w:t>)</w:t>
      </w:r>
      <w:r w:rsidR="00E339F0" w:rsidRPr="005B2844">
        <w:rPr>
          <w:szCs w:val="22"/>
        </w:rPr>
        <w:t>.</w:t>
      </w:r>
    </w:p>
    <w:p w:rsidR="00FC113F" w:rsidRPr="005B2844" w:rsidRDefault="00FC113F" w:rsidP="009536AB">
      <w:pPr>
        <w:numPr>
          <w:ilvl w:val="0"/>
          <w:numId w:val="2"/>
        </w:numPr>
        <w:tabs>
          <w:tab w:val="clear" w:pos="1588"/>
        </w:tabs>
        <w:ind w:left="567" w:hanging="567"/>
        <w:rPr>
          <w:szCs w:val="22"/>
        </w:rPr>
      </w:pPr>
      <w:proofErr w:type="spellStart"/>
      <w:r w:rsidRPr="005B2844">
        <w:rPr>
          <w:szCs w:val="22"/>
        </w:rPr>
        <w:t>Ipopotassiemia</w:t>
      </w:r>
      <w:proofErr w:type="spellEnd"/>
      <w:r w:rsidRPr="005B2844">
        <w:rPr>
          <w:szCs w:val="22"/>
        </w:rPr>
        <w:t xml:space="preserve"> refrattaria, ipercalcemia</w:t>
      </w:r>
      <w:r w:rsidR="00E339F0" w:rsidRPr="005B2844">
        <w:rPr>
          <w:szCs w:val="22"/>
        </w:rPr>
        <w:t>.</w:t>
      </w:r>
    </w:p>
    <w:p w:rsidR="00FC113F" w:rsidRPr="005B2844" w:rsidRDefault="00FC113F" w:rsidP="0072602F">
      <w:pPr>
        <w:rPr>
          <w:szCs w:val="22"/>
        </w:rPr>
      </w:pPr>
    </w:p>
    <w:p w:rsidR="00EA7410" w:rsidRPr="005B2844" w:rsidRDefault="00EA7410" w:rsidP="00EA7410">
      <w:pPr>
        <w:rPr>
          <w:szCs w:val="22"/>
        </w:rPr>
      </w:pPr>
      <w:r w:rsidRPr="005B2844">
        <w:rPr>
          <w:szCs w:val="22"/>
        </w:rPr>
        <w:t xml:space="preserve">L’uso concomitante di </w:t>
      </w:r>
      <w:proofErr w:type="spellStart"/>
      <w:r w:rsidR="00B56D7D" w:rsidRPr="005B2844">
        <w:rPr>
          <w:szCs w:val="22"/>
        </w:rPr>
        <w:t>MicardisPlus</w:t>
      </w:r>
      <w:proofErr w:type="spellEnd"/>
      <w:r w:rsidRPr="005B2844">
        <w:rPr>
          <w:szCs w:val="22"/>
        </w:rPr>
        <w:t xml:space="preserve"> con </w:t>
      </w:r>
      <w:r w:rsidR="00B56D7D" w:rsidRPr="005B2844">
        <w:rPr>
          <w:szCs w:val="22"/>
        </w:rPr>
        <w:t xml:space="preserve">medicinali contenenti </w:t>
      </w:r>
      <w:proofErr w:type="spellStart"/>
      <w:r w:rsidRPr="005B2844">
        <w:rPr>
          <w:szCs w:val="22"/>
        </w:rPr>
        <w:t>aliskiren</w:t>
      </w:r>
      <w:proofErr w:type="spellEnd"/>
      <w:r w:rsidRPr="005B2844">
        <w:rPr>
          <w:szCs w:val="22"/>
        </w:rPr>
        <w:t xml:space="preserve"> è controindicato </w:t>
      </w:r>
      <w:r w:rsidR="00B56D7D" w:rsidRPr="005B2844">
        <w:rPr>
          <w:szCs w:val="22"/>
        </w:rPr>
        <w:t>nei</w:t>
      </w:r>
      <w:r w:rsidRPr="005B2844">
        <w:rPr>
          <w:szCs w:val="22"/>
        </w:rPr>
        <w:t xml:space="preserve"> pazienti </w:t>
      </w:r>
      <w:r w:rsidR="00B56D7D" w:rsidRPr="005B2844">
        <w:rPr>
          <w:szCs w:val="22"/>
        </w:rPr>
        <w:t>affetti da</w:t>
      </w:r>
      <w:r w:rsidRPr="005B2844">
        <w:rPr>
          <w:szCs w:val="22"/>
        </w:rPr>
        <w:t xml:space="preserve"> diabete mellito o compromissione renale (</w:t>
      </w:r>
      <w:r w:rsidR="00B56D7D" w:rsidRPr="005B2844">
        <w:rPr>
          <w:szCs w:val="22"/>
        </w:rPr>
        <w:t>velocità di filtrazione glomerulare GFR</w:t>
      </w:r>
      <w:r w:rsidRPr="005B2844">
        <w:rPr>
          <w:szCs w:val="22"/>
        </w:rPr>
        <w:t> &lt; 60 ml/</w:t>
      </w:r>
      <w:proofErr w:type="spellStart"/>
      <w:r w:rsidRPr="005B2844">
        <w:rPr>
          <w:szCs w:val="22"/>
        </w:rPr>
        <w:t>min</w:t>
      </w:r>
      <w:proofErr w:type="spellEnd"/>
      <w:r w:rsidRPr="005B2844">
        <w:rPr>
          <w:szCs w:val="22"/>
        </w:rPr>
        <w:t>/1,73</w:t>
      </w:r>
      <w:r w:rsidR="000E2BF3" w:rsidRPr="005B2844">
        <w:rPr>
          <w:szCs w:val="22"/>
        </w:rPr>
        <w:t> </w:t>
      </w:r>
      <w:r w:rsidRPr="005B2844">
        <w:rPr>
          <w:szCs w:val="22"/>
        </w:rPr>
        <w:t>m</w:t>
      </w:r>
      <w:r w:rsidRPr="005B2844">
        <w:rPr>
          <w:szCs w:val="22"/>
          <w:vertAlign w:val="superscript"/>
        </w:rPr>
        <w:t>2</w:t>
      </w:r>
      <w:r w:rsidRPr="005B2844">
        <w:rPr>
          <w:szCs w:val="22"/>
        </w:rPr>
        <w:t>) (vedere paragrafi 4.5</w:t>
      </w:r>
      <w:r w:rsidR="00B56D7D" w:rsidRPr="005B2844">
        <w:rPr>
          <w:szCs w:val="22"/>
        </w:rPr>
        <w:t xml:space="preserve"> e 5.1</w:t>
      </w:r>
      <w:r w:rsidRPr="005B2844">
        <w:rPr>
          <w:szCs w:val="22"/>
        </w:rPr>
        <w:t>).</w:t>
      </w:r>
    </w:p>
    <w:p w:rsidR="00EA7410" w:rsidRPr="005B2844" w:rsidRDefault="00EA7410" w:rsidP="0072602F">
      <w:pPr>
        <w:rPr>
          <w:szCs w:val="22"/>
        </w:rPr>
      </w:pPr>
    </w:p>
    <w:p w:rsidR="00FC113F" w:rsidRPr="005B2844" w:rsidRDefault="00FC113F" w:rsidP="00126264">
      <w:pPr>
        <w:keepNext/>
        <w:tabs>
          <w:tab w:val="left" w:pos="567"/>
        </w:tabs>
        <w:rPr>
          <w:b/>
          <w:szCs w:val="22"/>
        </w:rPr>
      </w:pPr>
      <w:r w:rsidRPr="005B2844">
        <w:rPr>
          <w:b/>
          <w:szCs w:val="22"/>
        </w:rPr>
        <w:t>4.4</w:t>
      </w:r>
      <w:r w:rsidRPr="005B2844">
        <w:rPr>
          <w:b/>
          <w:szCs w:val="22"/>
        </w:rPr>
        <w:tab/>
        <w:t>Avvertenze speciali e precauzioni d</w:t>
      </w:r>
      <w:r w:rsidR="00EC3F83" w:rsidRPr="005B2844">
        <w:rPr>
          <w:b/>
          <w:szCs w:val="22"/>
        </w:rPr>
        <w:t>’</w:t>
      </w:r>
      <w:r w:rsidRPr="005B2844">
        <w:rPr>
          <w:b/>
          <w:szCs w:val="22"/>
        </w:rPr>
        <w:t>impiego</w:t>
      </w:r>
    </w:p>
    <w:p w:rsidR="00420473" w:rsidRPr="005B2844" w:rsidRDefault="00420473" w:rsidP="00126264">
      <w:pPr>
        <w:keepNext/>
        <w:suppressAutoHyphens/>
        <w:rPr>
          <w:szCs w:val="22"/>
        </w:rPr>
      </w:pPr>
    </w:p>
    <w:p w:rsidR="00CC21AD" w:rsidRPr="005B2844" w:rsidRDefault="00CC21AD" w:rsidP="00126264">
      <w:pPr>
        <w:keepNext/>
        <w:suppressAutoHyphens/>
        <w:rPr>
          <w:szCs w:val="22"/>
          <w:u w:val="single"/>
        </w:rPr>
      </w:pPr>
      <w:r w:rsidRPr="005B2844">
        <w:rPr>
          <w:szCs w:val="22"/>
          <w:u w:val="single"/>
        </w:rPr>
        <w:t>Gravidanza</w:t>
      </w:r>
    </w:p>
    <w:p w:rsidR="00BC4D08" w:rsidRPr="005B2844" w:rsidRDefault="00BC4D08" w:rsidP="00126264">
      <w:pPr>
        <w:keepNext/>
        <w:suppressAutoHyphens/>
        <w:rPr>
          <w:iCs/>
          <w:noProof/>
          <w:szCs w:val="22"/>
        </w:rPr>
      </w:pPr>
      <w:bookmarkStart w:id="11" w:name="OLE_LINK13"/>
    </w:p>
    <w:p w:rsidR="00CC21AD" w:rsidRPr="005B2844" w:rsidRDefault="00173A5C" w:rsidP="0072602F">
      <w:pPr>
        <w:suppressAutoHyphens/>
        <w:rPr>
          <w:szCs w:val="22"/>
        </w:rPr>
      </w:pPr>
      <w:r w:rsidRPr="005B2844">
        <w:rPr>
          <w:iCs/>
          <w:noProof/>
          <w:szCs w:val="22"/>
        </w:rPr>
        <w:t>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bookmarkEnd w:id="11"/>
    </w:p>
    <w:p w:rsidR="00CC21AD" w:rsidRPr="005B2844" w:rsidRDefault="00CC21AD" w:rsidP="0072602F">
      <w:pPr>
        <w:rPr>
          <w:szCs w:val="22"/>
        </w:rPr>
      </w:pPr>
    </w:p>
    <w:p w:rsidR="00BC4D08" w:rsidRPr="005B2844" w:rsidRDefault="00FC113F" w:rsidP="00126264">
      <w:pPr>
        <w:pStyle w:val="BodyText2"/>
        <w:keepNext/>
        <w:tabs>
          <w:tab w:val="clear" w:pos="567"/>
        </w:tabs>
        <w:ind w:left="0" w:firstLine="0"/>
        <w:rPr>
          <w:szCs w:val="22"/>
        </w:rPr>
      </w:pPr>
      <w:r w:rsidRPr="005B2844">
        <w:rPr>
          <w:szCs w:val="22"/>
          <w:u w:val="single"/>
        </w:rPr>
        <w:t>Insufficienza epatica</w:t>
      </w:r>
    </w:p>
    <w:p w:rsidR="00BC4D08" w:rsidRPr="005B2844" w:rsidRDefault="00BC4D08"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proofErr w:type="spellStart"/>
      <w:r w:rsidRPr="005B2844">
        <w:rPr>
          <w:szCs w:val="22"/>
        </w:rPr>
        <w:t>MicardisPlus</w:t>
      </w:r>
      <w:proofErr w:type="spellEnd"/>
      <w:r w:rsidRPr="005B2844">
        <w:rPr>
          <w:szCs w:val="22"/>
        </w:rPr>
        <w:t xml:space="preserve"> non dovrebbe essere somministrato a pazienti con colestasi, ostruzioni delle vie biliari o grave insufficienza epatica (vedere paragrafo 4.3) in quanto </w:t>
      </w:r>
      <w:proofErr w:type="spellStart"/>
      <w:r w:rsidRPr="005B2844">
        <w:rPr>
          <w:szCs w:val="22"/>
        </w:rPr>
        <w:t>telmisartan</w:t>
      </w:r>
      <w:proofErr w:type="spellEnd"/>
      <w:r w:rsidRPr="005B2844">
        <w:rPr>
          <w:szCs w:val="22"/>
        </w:rPr>
        <w:t xml:space="preserve"> è eliminato principalmente per via biliare. Per questi pazienti è prevedibile una ridotta clearance epatica di </w:t>
      </w:r>
      <w:proofErr w:type="spellStart"/>
      <w:r w:rsidRPr="005B2844">
        <w:rPr>
          <w:szCs w:val="22"/>
        </w:rPr>
        <w:t>telmisartan</w:t>
      </w:r>
      <w:proofErr w:type="spellEnd"/>
      <w:r w:rsidRPr="005B2844">
        <w:rPr>
          <w:szCs w:val="22"/>
        </w:rPr>
        <w:t>.</w:t>
      </w:r>
    </w:p>
    <w:p w:rsidR="00FC113F" w:rsidRPr="005B2844" w:rsidRDefault="00FC113F" w:rsidP="0072602F">
      <w:pPr>
        <w:pStyle w:val="BodyText2"/>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 xml:space="preserve">Inoltre, </w:t>
      </w:r>
      <w:proofErr w:type="spellStart"/>
      <w:r w:rsidRPr="005B2844">
        <w:rPr>
          <w:szCs w:val="22"/>
        </w:rPr>
        <w:t>MicardisPlus</w:t>
      </w:r>
      <w:proofErr w:type="spellEnd"/>
      <w:r w:rsidRPr="005B2844">
        <w:rPr>
          <w:szCs w:val="22"/>
        </w:rPr>
        <w:t xml:space="preserve"> deve essere utilizzato con cautela in pazienti con funzionalità epatica compromessa o malattia epatica progressiva, poiché alterazioni minori del fluido o dell'equilibrio elettrolitico possono causare coma epatico. Non c'è esperienza clinica nell'utilizzo di </w:t>
      </w:r>
      <w:proofErr w:type="spellStart"/>
      <w:r w:rsidRPr="005B2844">
        <w:rPr>
          <w:szCs w:val="22"/>
        </w:rPr>
        <w:t>MicardisPlus</w:t>
      </w:r>
      <w:proofErr w:type="spellEnd"/>
      <w:r w:rsidRPr="005B2844">
        <w:rPr>
          <w:szCs w:val="22"/>
        </w:rPr>
        <w:t xml:space="preserve"> in pazienti con insufficienza epatica.</w:t>
      </w:r>
    </w:p>
    <w:p w:rsidR="00FC113F" w:rsidRPr="005B2844" w:rsidRDefault="00FC113F" w:rsidP="0072602F">
      <w:pPr>
        <w:pStyle w:val="BodyText2"/>
        <w:tabs>
          <w:tab w:val="clear" w:pos="567"/>
        </w:tabs>
        <w:ind w:left="0" w:firstLine="0"/>
        <w:rPr>
          <w:szCs w:val="22"/>
          <w:u w:val="single"/>
        </w:rPr>
      </w:pPr>
    </w:p>
    <w:p w:rsidR="00BC4D08" w:rsidRPr="005B2844" w:rsidRDefault="00FC113F" w:rsidP="00126264">
      <w:pPr>
        <w:pStyle w:val="BodyText2"/>
        <w:keepNext/>
        <w:tabs>
          <w:tab w:val="clear" w:pos="567"/>
        </w:tabs>
        <w:ind w:left="0" w:firstLine="0"/>
        <w:rPr>
          <w:szCs w:val="22"/>
        </w:rPr>
      </w:pPr>
      <w:r w:rsidRPr="005B2844">
        <w:rPr>
          <w:szCs w:val="22"/>
          <w:u w:val="single"/>
        </w:rPr>
        <w:t xml:space="preserve">Ipertensione </w:t>
      </w:r>
      <w:proofErr w:type="spellStart"/>
      <w:r w:rsidRPr="005B2844">
        <w:rPr>
          <w:szCs w:val="22"/>
          <w:u w:val="single"/>
        </w:rPr>
        <w:t>renovascolare</w:t>
      </w:r>
      <w:proofErr w:type="spellEnd"/>
    </w:p>
    <w:p w:rsidR="00BC4D08" w:rsidRPr="005B2844" w:rsidRDefault="00BC4D08"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Nei pazienti con stenosi bilaterale dell'arteria renale o stenosi dell'arteria renale afferente al singolo rene funzionante, trattati con un farmaco che influenza il sistema renina-angiotensina-aldosterone, c'è un aumentato rischio di ipotensione grave ed insufficienza renale.</w:t>
      </w:r>
    </w:p>
    <w:p w:rsidR="00FC113F" w:rsidRPr="005B2844" w:rsidRDefault="00FC113F" w:rsidP="0072602F">
      <w:pPr>
        <w:rPr>
          <w:szCs w:val="22"/>
        </w:rPr>
      </w:pPr>
    </w:p>
    <w:p w:rsidR="00BC4D08" w:rsidRPr="005B2844" w:rsidRDefault="00FC113F" w:rsidP="00126264">
      <w:pPr>
        <w:pStyle w:val="BodyText2"/>
        <w:keepNext/>
        <w:tabs>
          <w:tab w:val="clear" w:pos="567"/>
        </w:tabs>
        <w:ind w:left="0" w:firstLine="0"/>
        <w:rPr>
          <w:szCs w:val="22"/>
        </w:rPr>
      </w:pPr>
      <w:r w:rsidRPr="005B2844">
        <w:rPr>
          <w:szCs w:val="22"/>
          <w:u w:val="single"/>
        </w:rPr>
        <w:t>Insufficienza renale e trapianto renale</w:t>
      </w:r>
    </w:p>
    <w:p w:rsidR="00BC4D08" w:rsidRPr="005B2844" w:rsidRDefault="00BC4D08"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proofErr w:type="spellStart"/>
      <w:r w:rsidRPr="005B2844">
        <w:rPr>
          <w:szCs w:val="22"/>
        </w:rPr>
        <w:t>MicardisPlus</w:t>
      </w:r>
      <w:proofErr w:type="spellEnd"/>
      <w:r w:rsidRPr="005B2844">
        <w:rPr>
          <w:szCs w:val="22"/>
        </w:rPr>
        <w:t xml:space="preserve"> non deve essere utilizzato in pazienti con grave insufficienza renale (clearance della creatinina &lt; 30 ml/</w:t>
      </w:r>
      <w:proofErr w:type="spellStart"/>
      <w:r w:rsidRPr="005B2844">
        <w:rPr>
          <w:szCs w:val="22"/>
        </w:rPr>
        <w:t>min</w:t>
      </w:r>
      <w:proofErr w:type="spellEnd"/>
      <w:r w:rsidRPr="005B2844">
        <w:rPr>
          <w:szCs w:val="22"/>
        </w:rPr>
        <w:t xml:space="preserve">) (vedere paragrafo 4.3). Non ci sono dati riguardo la somministrazione di </w:t>
      </w:r>
      <w:proofErr w:type="spellStart"/>
      <w:r w:rsidRPr="005B2844">
        <w:rPr>
          <w:szCs w:val="22"/>
        </w:rPr>
        <w:t>MicardisPlus</w:t>
      </w:r>
      <w:proofErr w:type="spellEnd"/>
      <w:r w:rsidRPr="005B2844">
        <w:rPr>
          <w:szCs w:val="22"/>
        </w:rPr>
        <w:t xml:space="preserve"> in pazienti recentemente sottoposti a trapianto renale. L’esperienza con </w:t>
      </w:r>
      <w:proofErr w:type="spellStart"/>
      <w:r w:rsidRPr="005B2844">
        <w:rPr>
          <w:szCs w:val="22"/>
        </w:rPr>
        <w:t>MicardisPlus</w:t>
      </w:r>
      <w:proofErr w:type="spellEnd"/>
      <w:r w:rsidRPr="005B2844">
        <w:rPr>
          <w:szCs w:val="22"/>
        </w:rPr>
        <w:t xml:space="preserve"> in pazienti con insufficienza renale da lieve a moderata è limitata e pertanto si raccomanda un controllo periodico dei livelli sierici di potassio, di creatinina e di acido urico. Nei pazienti con insufficienza renale può verificarsi aumento dell’azotemia associato ai diuretici tiazidici.</w:t>
      </w:r>
    </w:p>
    <w:p w:rsidR="00FC113F" w:rsidRPr="005B2844" w:rsidRDefault="00FC113F" w:rsidP="0072602F">
      <w:pPr>
        <w:rPr>
          <w:szCs w:val="22"/>
        </w:rPr>
      </w:pPr>
    </w:p>
    <w:p w:rsidR="00BC4D08" w:rsidRPr="005B2844" w:rsidRDefault="00FC113F" w:rsidP="00126264">
      <w:pPr>
        <w:pStyle w:val="BodyText20"/>
        <w:keepNext/>
        <w:spacing w:line="240" w:lineRule="auto"/>
        <w:jc w:val="left"/>
        <w:rPr>
          <w:szCs w:val="22"/>
        </w:rPr>
      </w:pPr>
      <w:r w:rsidRPr="005B2844">
        <w:rPr>
          <w:szCs w:val="22"/>
          <w:u w:val="single"/>
        </w:rPr>
        <w:t>Ipovolemia intravascolare</w:t>
      </w:r>
    </w:p>
    <w:p w:rsidR="00BC4D08" w:rsidRPr="005B2844" w:rsidRDefault="00BC4D08" w:rsidP="00126264">
      <w:pPr>
        <w:pStyle w:val="BodyText20"/>
        <w:keepNext/>
        <w:spacing w:line="240" w:lineRule="auto"/>
        <w:jc w:val="left"/>
        <w:rPr>
          <w:szCs w:val="22"/>
        </w:rPr>
      </w:pPr>
    </w:p>
    <w:p w:rsidR="00FC113F" w:rsidRPr="005B2844" w:rsidRDefault="00FC113F" w:rsidP="0072602F">
      <w:pPr>
        <w:pStyle w:val="BodyText20"/>
        <w:spacing w:line="240" w:lineRule="auto"/>
        <w:jc w:val="left"/>
        <w:rPr>
          <w:szCs w:val="22"/>
        </w:rPr>
      </w:pPr>
      <w:r w:rsidRPr="005B2844">
        <w:rPr>
          <w:szCs w:val="22"/>
        </w:rPr>
        <w:t xml:space="preserve">Nei pazienti con ipovolemia e/o deplezione di sodio causate da dosi elevate di diuretici, diete con restrizione di sale, diarrea o vomito, si potrebbe verificare ipotensione sintomatica, specialmente dopo la prima dose. Deplezione di sodio e/o ipovolemia devono essere corrette prima di iniziare il trattamento con </w:t>
      </w:r>
      <w:proofErr w:type="spellStart"/>
      <w:r w:rsidRPr="005B2844">
        <w:rPr>
          <w:szCs w:val="22"/>
        </w:rPr>
        <w:t>MicardisPlus</w:t>
      </w:r>
      <w:proofErr w:type="spellEnd"/>
      <w:r w:rsidRPr="005B2844">
        <w:rPr>
          <w:szCs w:val="22"/>
        </w:rPr>
        <w:t>.</w:t>
      </w:r>
    </w:p>
    <w:p w:rsidR="00FC113F" w:rsidRPr="005B2844" w:rsidRDefault="00FC113F" w:rsidP="0072602F">
      <w:pPr>
        <w:rPr>
          <w:szCs w:val="22"/>
        </w:rPr>
      </w:pPr>
    </w:p>
    <w:p w:rsidR="00BC4D08" w:rsidRPr="005B2844" w:rsidRDefault="008139C7" w:rsidP="00126264">
      <w:pPr>
        <w:keepNext/>
        <w:rPr>
          <w:szCs w:val="22"/>
        </w:rPr>
      </w:pPr>
      <w:r w:rsidRPr="005B2844">
        <w:rPr>
          <w:szCs w:val="22"/>
          <w:u w:val="single"/>
        </w:rPr>
        <w:t>Duplice blocco del sistema renina-angiotensina-aldosterone</w:t>
      </w:r>
      <w:r w:rsidR="007A3313" w:rsidRPr="005B2844">
        <w:rPr>
          <w:szCs w:val="22"/>
          <w:u w:val="single"/>
        </w:rPr>
        <w:t xml:space="preserve"> (RAAS)</w:t>
      </w:r>
    </w:p>
    <w:p w:rsidR="00BC4D08" w:rsidRPr="005B2844" w:rsidRDefault="00BC4D08" w:rsidP="00126264">
      <w:pPr>
        <w:keepNext/>
        <w:rPr>
          <w:szCs w:val="22"/>
        </w:rPr>
      </w:pPr>
    </w:p>
    <w:p w:rsidR="002336F9" w:rsidRPr="005B2844" w:rsidRDefault="002336F9" w:rsidP="002336F9">
      <w:pPr>
        <w:rPr>
          <w:szCs w:val="22"/>
        </w:rPr>
      </w:pPr>
      <w:r w:rsidRPr="005B2844">
        <w:rPr>
          <w:szCs w:val="22"/>
        </w:rPr>
        <w:t xml:space="preserve">Esiste l’evidenza che l’uso concomitante di ACE-inibitori, antagonisti del recettore dell’angiotensina II o </w:t>
      </w:r>
      <w:proofErr w:type="spellStart"/>
      <w:r w:rsidRPr="005B2844">
        <w:rPr>
          <w:szCs w:val="22"/>
        </w:rPr>
        <w:t>aliskiren</w:t>
      </w:r>
      <w:proofErr w:type="spellEnd"/>
      <w:r w:rsidRPr="005B2844">
        <w:rPr>
          <w:szCs w:val="22"/>
        </w:rPr>
        <w:t xml:space="preserve"> aumenta il rischio di ipotensione, </w:t>
      </w:r>
      <w:proofErr w:type="spellStart"/>
      <w:r w:rsidRPr="005B2844">
        <w:rPr>
          <w:szCs w:val="22"/>
        </w:rPr>
        <w:t>iperpotassiemia</w:t>
      </w:r>
      <w:proofErr w:type="spellEnd"/>
      <w:r w:rsidRPr="005B2844">
        <w:rPr>
          <w:szCs w:val="22"/>
        </w:rPr>
        <w:t xml:space="preserve"> e riduzione della funzionalità renale (inclusa l’insufficienza renale acuta). Il duplice blocco del RAAS attraverso l’uso combinato di ACE-inibitori, antagonisti del recettore dell’angiotensina II o </w:t>
      </w:r>
      <w:proofErr w:type="spellStart"/>
      <w:r w:rsidRPr="005B2844">
        <w:rPr>
          <w:szCs w:val="22"/>
        </w:rPr>
        <w:t>aliskiren</w:t>
      </w:r>
      <w:proofErr w:type="spellEnd"/>
      <w:r w:rsidRPr="005B2844">
        <w:rPr>
          <w:szCs w:val="22"/>
        </w:rPr>
        <w:t xml:space="preserve"> non è pertanto raccomandato (vedere paragrafi 4.5 e 5.1).</w:t>
      </w:r>
    </w:p>
    <w:p w:rsidR="002336F9" w:rsidRPr="005B2844" w:rsidRDefault="002336F9" w:rsidP="002336F9">
      <w:pPr>
        <w:rPr>
          <w:szCs w:val="22"/>
        </w:rPr>
      </w:pPr>
      <w:r w:rsidRPr="005B2844">
        <w:rPr>
          <w:szCs w:val="22"/>
        </w:rPr>
        <w:t>Se la terapia del duplice blocco è considerata assolutamente necessaria, ciò deve avvenire solo sotto la supervisione di uno specialista e con uno stretto e frequente monitoraggio della funzionalità renale, degli elettroliti e della pressione sanguigna.</w:t>
      </w:r>
    </w:p>
    <w:p w:rsidR="002336F9" w:rsidRPr="005B2844" w:rsidRDefault="002336F9" w:rsidP="00895D2C">
      <w:pPr>
        <w:rPr>
          <w:szCs w:val="22"/>
        </w:rPr>
      </w:pPr>
      <w:r w:rsidRPr="005B2844">
        <w:rPr>
          <w:szCs w:val="22"/>
        </w:rPr>
        <w:t>Gli ACE-inibitori e gli antagonisti del recettore dell’angiotensina II non devono essere usati contemporaneamente in pazienti con nefropatia diabetica.</w:t>
      </w:r>
    </w:p>
    <w:p w:rsidR="008139C7" w:rsidRPr="005B2844" w:rsidRDefault="008139C7" w:rsidP="0072602F">
      <w:pPr>
        <w:rPr>
          <w:szCs w:val="22"/>
        </w:rPr>
      </w:pPr>
    </w:p>
    <w:p w:rsidR="00BC4D08" w:rsidRPr="005B2844" w:rsidRDefault="00FC113F" w:rsidP="00126264">
      <w:pPr>
        <w:pStyle w:val="BodyText20"/>
        <w:keepNext/>
        <w:spacing w:line="240" w:lineRule="auto"/>
        <w:jc w:val="left"/>
        <w:rPr>
          <w:szCs w:val="22"/>
        </w:rPr>
      </w:pPr>
      <w:r w:rsidRPr="005B2844">
        <w:rPr>
          <w:szCs w:val="22"/>
          <w:u w:val="single"/>
        </w:rPr>
        <w:t>Altre condizioni legate alla stimolazione del sistema renina-angiotensina-aldosterone</w:t>
      </w:r>
    </w:p>
    <w:p w:rsidR="00BC4D08" w:rsidRPr="005B2844" w:rsidRDefault="00BC4D08" w:rsidP="00126264">
      <w:pPr>
        <w:pStyle w:val="BodyText20"/>
        <w:keepNext/>
        <w:spacing w:line="240" w:lineRule="auto"/>
        <w:jc w:val="left"/>
        <w:rPr>
          <w:szCs w:val="22"/>
        </w:rPr>
      </w:pPr>
    </w:p>
    <w:p w:rsidR="00FC113F" w:rsidRPr="005B2844" w:rsidRDefault="00FC113F" w:rsidP="0072602F">
      <w:pPr>
        <w:pStyle w:val="BodyText20"/>
        <w:spacing w:line="240" w:lineRule="auto"/>
        <w:jc w:val="left"/>
        <w:rPr>
          <w:szCs w:val="22"/>
        </w:rPr>
      </w:pPr>
      <w:r w:rsidRPr="005B2844">
        <w:rPr>
          <w:szCs w:val="22"/>
        </w:rPr>
        <w:t>Nei pazienti il cui tono vascolare e la funzione renale dipendono principalmente dall'attività del sistema renina-angiotensina-aldosterone (</w:t>
      </w:r>
      <w:r w:rsidR="00096E7E" w:rsidRPr="005B2844">
        <w:rPr>
          <w:szCs w:val="22"/>
        </w:rPr>
        <w:t>ad es.</w:t>
      </w:r>
      <w:r w:rsidRPr="005B2844">
        <w:rPr>
          <w:szCs w:val="22"/>
        </w:rPr>
        <w:t xml:space="preserve"> pazienti con grave insufficienza cardiaca congestizia o affetti da malattie renali, inclusa la stenosi dell'arteria renale), il trattamento con </w:t>
      </w:r>
      <w:r w:rsidR="006F476C" w:rsidRPr="005B2844">
        <w:rPr>
          <w:szCs w:val="22"/>
        </w:rPr>
        <w:t>medicinali</w:t>
      </w:r>
      <w:r w:rsidRPr="005B2844">
        <w:rPr>
          <w:szCs w:val="22"/>
        </w:rPr>
        <w:t xml:space="preserve"> che influenzano questo sistema è stato associato ad ipotensione acuta, iperazotemia, oliguria o, raramente, insufficienza renale acuta (vedere paragrafo 4.8).</w:t>
      </w:r>
    </w:p>
    <w:p w:rsidR="00FC113F" w:rsidRPr="005B2844" w:rsidRDefault="00FC113F" w:rsidP="0072602F">
      <w:pPr>
        <w:rPr>
          <w:szCs w:val="22"/>
        </w:rPr>
      </w:pPr>
    </w:p>
    <w:p w:rsidR="00BC4D08" w:rsidRPr="005B2844" w:rsidRDefault="00FC113F" w:rsidP="00126264">
      <w:pPr>
        <w:keepNext/>
        <w:rPr>
          <w:szCs w:val="22"/>
        </w:rPr>
      </w:pPr>
      <w:proofErr w:type="spellStart"/>
      <w:r w:rsidRPr="005B2844">
        <w:rPr>
          <w:szCs w:val="22"/>
          <w:u w:val="single"/>
        </w:rPr>
        <w:t>Aldosteronismo</w:t>
      </w:r>
      <w:proofErr w:type="spellEnd"/>
      <w:r w:rsidRPr="005B2844">
        <w:rPr>
          <w:szCs w:val="22"/>
          <w:u w:val="single"/>
        </w:rPr>
        <w:t xml:space="preserve"> primario</w:t>
      </w:r>
    </w:p>
    <w:p w:rsidR="00BC4D08" w:rsidRPr="005B2844" w:rsidRDefault="00BC4D08" w:rsidP="00126264">
      <w:pPr>
        <w:keepNext/>
        <w:rPr>
          <w:szCs w:val="22"/>
        </w:rPr>
      </w:pPr>
    </w:p>
    <w:p w:rsidR="00FC113F" w:rsidRPr="005B2844" w:rsidRDefault="00FC113F" w:rsidP="0072602F">
      <w:pPr>
        <w:rPr>
          <w:szCs w:val="22"/>
        </w:rPr>
      </w:pPr>
      <w:r w:rsidRPr="005B2844">
        <w:rPr>
          <w:szCs w:val="22"/>
        </w:rPr>
        <w:t xml:space="preserve">I pazienti con </w:t>
      </w:r>
      <w:proofErr w:type="spellStart"/>
      <w:r w:rsidRPr="005B2844">
        <w:rPr>
          <w:szCs w:val="22"/>
        </w:rPr>
        <w:t>aldosteronismo</w:t>
      </w:r>
      <w:proofErr w:type="spellEnd"/>
      <w:r w:rsidRPr="005B2844">
        <w:rPr>
          <w:szCs w:val="22"/>
        </w:rPr>
        <w:t xml:space="preserve"> primario generalmente non rispondono a </w:t>
      </w:r>
      <w:r w:rsidR="006F476C" w:rsidRPr="005B2844">
        <w:rPr>
          <w:szCs w:val="22"/>
        </w:rPr>
        <w:t>medicinali</w:t>
      </w:r>
      <w:r w:rsidRPr="005B2844">
        <w:rPr>
          <w:szCs w:val="22"/>
        </w:rPr>
        <w:t xml:space="preserve"> antipertensivi che agiscono tramite l'inibizione del sistema renina-angiotensina. Quindi, si sconsiglia l'utilizzo di </w:t>
      </w:r>
      <w:proofErr w:type="spellStart"/>
      <w:r w:rsidRPr="005B2844">
        <w:rPr>
          <w:szCs w:val="22"/>
        </w:rPr>
        <w:t>MicardisPlus</w:t>
      </w:r>
      <w:proofErr w:type="spellEnd"/>
      <w:r w:rsidRPr="005B2844">
        <w:rPr>
          <w:szCs w:val="22"/>
        </w:rPr>
        <w:t>.</w:t>
      </w:r>
    </w:p>
    <w:p w:rsidR="00FC113F" w:rsidRPr="005B2844" w:rsidRDefault="00FC113F" w:rsidP="0072602F">
      <w:pPr>
        <w:rPr>
          <w:szCs w:val="22"/>
        </w:rPr>
      </w:pPr>
    </w:p>
    <w:p w:rsidR="00BC4D08" w:rsidRPr="005B2844" w:rsidRDefault="00FC113F" w:rsidP="00126264">
      <w:pPr>
        <w:keepNext/>
        <w:rPr>
          <w:szCs w:val="22"/>
        </w:rPr>
      </w:pPr>
      <w:r w:rsidRPr="005B2844">
        <w:rPr>
          <w:szCs w:val="22"/>
          <w:u w:val="single"/>
        </w:rPr>
        <w:t>Stenosi della valvola aortica e mitrale, cardiomiopatia ipertrofica ostruttiva</w:t>
      </w:r>
    </w:p>
    <w:p w:rsidR="00BC4D08" w:rsidRPr="005B2844" w:rsidRDefault="00BC4D08" w:rsidP="00126264">
      <w:pPr>
        <w:keepNext/>
        <w:rPr>
          <w:szCs w:val="22"/>
        </w:rPr>
      </w:pPr>
    </w:p>
    <w:p w:rsidR="00FC113F" w:rsidRPr="005B2844" w:rsidRDefault="00FC113F" w:rsidP="0072602F">
      <w:pPr>
        <w:rPr>
          <w:szCs w:val="22"/>
        </w:rPr>
      </w:pPr>
      <w:r w:rsidRPr="005B2844">
        <w:rPr>
          <w:szCs w:val="22"/>
        </w:rPr>
        <w:t>Come per altri vasodilatatori, si consiglia particolare cautela nei pazienti affetti da stenosi della valvola aortica o mitrale, o da cardiomiopatia ipertrofica ostruttiva.</w:t>
      </w:r>
    </w:p>
    <w:p w:rsidR="00FC113F" w:rsidRPr="005B2844" w:rsidRDefault="00FC113F" w:rsidP="0072602F">
      <w:pPr>
        <w:rPr>
          <w:szCs w:val="22"/>
        </w:rPr>
      </w:pPr>
    </w:p>
    <w:p w:rsidR="00BC4D08" w:rsidRPr="005B2844" w:rsidRDefault="00FC113F" w:rsidP="008A1E96">
      <w:pPr>
        <w:keepNext/>
        <w:rPr>
          <w:szCs w:val="22"/>
        </w:rPr>
      </w:pPr>
      <w:r w:rsidRPr="005B2844">
        <w:rPr>
          <w:szCs w:val="22"/>
          <w:u w:val="single"/>
        </w:rPr>
        <w:t>Effetti sul metabolismo e sull’apparato endocrino</w:t>
      </w:r>
    </w:p>
    <w:p w:rsidR="00BC4D08" w:rsidRPr="005B2844" w:rsidRDefault="00BC4D08" w:rsidP="008A1E96">
      <w:pPr>
        <w:keepNext/>
        <w:rPr>
          <w:szCs w:val="22"/>
        </w:rPr>
      </w:pPr>
    </w:p>
    <w:p w:rsidR="00FC113F" w:rsidRPr="005B2844" w:rsidRDefault="00A61730" w:rsidP="0072602F">
      <w:pPr>
        <w:rPr>
          <w:szCs w:val="22"/>
        </w:rPr>
      </w:pPr>
      <w:r w:rsidRPr="005B2844">
        <w:rPr>
          <w:szCs w:val="22"/>
        </w:rPr>
        <w:t xml:space="preserve">La terapia con tiazidici può compromettere la tolleranza al glucosio, </w:t>
      </w:r>
      <w:r w:rsidR="000835D9" w:rsidRPr="005B2844">
        <w:rPr>
          <w:szCs w:val="22"/>
        </w:rPr>
        <w:t>mentre</w:t>
      </w:r>
      <w:r w:rsidRPr="005B2844">
        <w:rPr>
          <w:szCs w:val="22"/>
        </w:rPr>
        <w:t xml:space="preserve"> si può verificare ipoglicemia in pazienti diabetici in terapia con insulina o antidiabetici ed in trattamento con </w:t>
      </w:r>
      <w:proofErr w:type="spellStart"/>
      <w:r w:rsidRPr="005B2844">
        <w:rPr>
          <w:szCs w:val="22"/>
        </w:rPr>
        <w:t>telmisartan</w:t>
      </w:r>
      <w:proofErr w:type="spellEnd"/>
      <w:r w:rsidRPr="005B2844">
        <w:rPr>
          <w:szCs w:val="22"/>
        </w:rPr>
        <w:t>. Pertanto in questi pazienti si deve prendere in considerazione un monitoraggio della glicemia; potrebbe essere necessario un aggiustamento della dose dell’insulina o degli antidiabetici, ove indicato.</w:t>
      </w:r>
      <w:r w:rsidR="00FC113F" w:rsidRPr="005B2844">
        <w:rPr>
          <w:szCs w:val="22"/>
        </w:rPr>
        <w:t xml:space="preserve"> Durante la terapia con tiazidici, il diabete mellito latente può diventare manifesto.</w:t>
      </w:r>
    </w:p>
    <w:p w:rsidR="00FC113F" w:rsidRPr="005B2844" w:rsidRDefault="00FC113F" w:rsidP="0072602F">
      <w:pPr>
        <w:pStyle w:val="BodyText2"/>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 xml:space="preserve">Alla terapia con diuretici tiazidici è stato associato un incremento dei livelli di colesterolo e trigliceridi; tuttavia alla dose di 12,5 mg contenuta in </w:t>
      </w:r>
      <w:proofErr w:type="spellStart"/>
      <w:r w:rsidRPr="005B2844">
        <w:rPr>
          <w:szCs w:val="22"/>
        </w:rPr>
        <w:t>MicardisPlus</w:t>
      </w:r>
      <w:proofErr w:type="spellEnd"/>
      <w:r w:rsidRPr="005B2844">
        <w:rPr>
          <w:szCs w:val="22"/>
        </w:rPr>
        <w:t>, sono stati riportati effetti minimi o non sono stati riportati affatto.</w:t>
      </w:r>
    </w:p>
    <w:p w:rsidR="00FC113F" w:rsidRPr="005B2844" w:rsidRDefault="00FC113F" w:rsidP="0072602F">
      <w:pPr>
        <w:pStyle w:val="BodyText2"/>
        <w:tabs>
          <w:tab w:val="clear" w:pos="567"/>
        </w:tabs>
        <w:ind w:left="0" w:firstLine="0"/>
        <w:rPr>
          <w:szCs w:val="22"/>
        </w:rPr>
      </w:pPr>
      <w:r w:rsidRPr="005B2844">
        <w:rPr>
          <w:szCs w:val="22"/>
        </w:rPr>
        <w:t>In alcuni pazienti trattati con tiazidici possono verificarsi iperuricemia o manifestazioni gottose.</w:t>
      </w:r>
    </w:p>
    <w:p w:rsidR="00FC113F" w:rsidRPr="005B2844" w:rsidRDefault="00FC113F" w:rsidP="0072602F">
      <w:pPr>
        <w:pStyle w:val="BodyText2"/>
        <w:tabs>
          <w:tab w:val="clear" w:pos="567"/>
        </w:tabs>
        <w:ind w:left="0" w:firstLine="0"/>
        <w:rPr>
          <w:szCs w:val="22"/>
        </w:rPr>
      </w:pPr>
    </w:p>
    <w:p w:rsidR="00BC4D08" w:rsidRPr="005B2844" w:rsidRDefault="00FC113F" w:rsidP="00126264">
      <w:pPr>
        <w:pStyle w:val="BodyText2"/>
        <w:keepNext/>
        <w:tabs>
          <w:tab w:val="clear" w:pos="567"/>
        </w:tabs>
        <w:ind w:left="0" w:firstLine="0"/>
        <w:rPr>
          <w:szCs w:val="22"/>
        </w:rPr>
      </w:pPr>
      <w:r w:rsidRPr="005B2844">
        <w:rPr>
          <w:szCs w:val="22"/>
          <w:u w:val="single"/>
        </w:rPr>
        <w:t>Squilibrio elettrolitico</w:t>
      </w:r>
    </w:p>
    <w:p w:rsidR="00BC4D08" w:rsidRPr="005B2844" w:rsidRDefault="00BC4D08"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Il controllo periodico degli elettroliti sierici deve essere effettuato ad intervalli appropriati, come per tutti i pazienti sottoposti a trattamento con diuretici.</w:t>
      </w:r>
    </w:p>
    <w:p w:rsidR="00FC113F" w:rsidRPr="005B2844" w:rsidRDefault="00FC113F" w:rsidP="0072602F">
      <w:pPr>
        <w:pStyle w:val="BodyText2"/>
        <w:tabs>
          <w:tab w:val="clear" w:pos="567"/>
        </w:tabs>
        <w:ind w:left="0" w:firstLine="0"/>
        <w:rPr>
          <w:szCs w:val="22"/>
        </w:rPr>
      </w:pPr>
      <w:r w:rsidRPr="005B2844">
        <w:rPr>
          <w:szCs w:val="22"/>
        </w:rPr>
        <w:t>I tiazidici, inclusa l’</w:t>
      </w:r>
      <w:proofErr w:type="spellStart"/>
      <w:r w:rsidRPr="005B2844">
        <w:rPr>
          <w:szCs w:val="22"/>
        </w:rPr>
        <w:t>idroclorotiazide</w:t>
      </w:r>
      <w:proofErr w:type="spellEnd"/>
      <w:r w:rsidRPr="005B2844">
        <w:rPr>
          <w:szCs w:val="22"/>
        </w:rPr>
        <w:t xml:space="preserve">, possono causare squilibrio di fluido o di elettroliti (incluse </w:t>
      </w:r>
      <w:r w:rsidR="00A60181" w:rsidRPr="005B2844">
        <w:rPr>
          <w:szCs w:val="22"/>
        </w:rPr>
        <w:t>ipokaliemia</w:t>
      </w:r>
      <w:r w:rsidRPr="005B2844">
        <w:rPr>
          <w:szCs w:val="22"/>
        </w:rPr>
        <w:t xml:space="preserve">, </w:t>
      </w:r>
      <w:proofErr w:type="spellStart"/>
      <w:r w:rsidRPr="005B2844">
        <w:rPr>
          <w:szCs w:val="22"/>
        </w:rPr>
        <w:t>iponatremia</w:t>
      </w:r>
      <w:proofErr w:type="spellEnd"/>
      <w:r w:rsidRPr="005B2844">
        <w:rPr>
          <w:szCs w:val="22"/>
        </w:rPr>
        <w:t xml:space="preserve"> e alcalosi </w:t>
      </w:r>
      <w:proofErr w:type="spellStart"/>
      <w:r w:rsidRPr="005B2844">
        <w:rPr>
          <w:szCs w:val="22"/>
        </w:rPr>
        <w:t>ipocloremica</w:t>
      </w:r>
      <w:proofErr w:type="spellEnd"/>
      <w:r w:rsidRPr="005B2844">
        <w:rPr>
          <w:szCs w:val="22"/>
        </w:rPr>
        <w:t>). Segni indicativi di squilibrio di fluido o di elettroliti sono secchezza delle fauci, sete, astenia, letargia, sonnolenza, irrequietezza, dolore muscolare o crampi, affaticamento muscolare, ipotensione, oliguria, tachicardia e disturbi gastrointestinali quali nausea o vomito (vedere paragrafo 4.8).</w:t>
      </w:r>
    </w:p>
    <w:p w:rsidR="008C0B71" w:rsidRPr="005B2844" w:rsidRDefault="008C0B71" w:rsidP="0072602F">
      <w:pPr>
        <w:pStyle w:val="BodyText2"/>
        <w:tabs>
          <w:tab w:val="left" w:pos="567"/>
        </w:tabs>
        <w:ind w:left="0" w:firstLine="0"/>
        <w:rPr>
          <w:szCs w:val="22"/>
        </w:rPr>
      </w:pPr>
    </w:p>
    <w:p w:rsidR="00FC113F" w:rsidRPr="005B2844" w:rsidRDefault="00FC113F" w:rsidP="00126264">
      <w:pPr>
        <w:pStyle w:val="BodyText2"/>
        <w:keepNext/>
        <w:tabs>
          <w:tab w:val="left" w:pos="567"/>
        </w:tabs>
        <w:ind w:left="0" w:firstLine="0"/>
        <w:rPr>
          <w:szCs w:val="22"/>
        </w:rPr>
      </w:pPr>
      <w:r w:rsidRPr="005B2844">
        <w:rPr>
          <w:szCs w:val="22"/>
        </w:rPr>
        <w:t>-</w:t>
      </w:r>
      <w:r w:rsidRPr="005B2844">
        <w:rPr>
          <w:szCs w:val="22"/>
        </w:rPr>
        <w:tab/>
        <w:t>Ipokaliemia</w:t>
      </w:r>
    </w:p>
    <w:p w:rsidR="00FC113F" w:rsidRPr="005B2844" w:rsidRDefault="00FC113F" w:rsidP="0072602F">
      <w:pPr>
        <w:pStyle w:val="BodyText2"/>
        <w:tabs>
          <w:tab w:val="clear" w:pos="567"/>
        </w:tabs>
        <w:ind w:left="0" w:firstLine="0"/>
        <w:rPr>
          <w:szCs w:val="22"/>
        </w:rPr>
      </w:pPr>
      <w:r w:rsidRPr="005B2844">
        <w:rPr>
          <w:szCs w:val="22"/>
        </w:rPr>
        <w:t xml:space="preserve">Sebbene con l'uso dei diuretici tiazidici possa svilupparsi </w:t>
      </w:r>
      <w:r w:rsidR="00A60181" w:rsidRPr="005B2844">
        <w:rPr>
          <w:szCs w:val="22"/>
        </w:rPr>
        <w:t>ipokaliemia</w:t>
      </w:r>
      <w:r w:rsidRPr="005B2844">
        <w:rPr>
          <w:szCs w:val="22"/>
        </w:rPr>
        <w:t xml:space="preserve">, la terapia concomitante con </w:t>
      </w:r>
      <w:proofErr w:type="spellStart"/>
      <w:r w:rsidRPr="005B2844">
        <w:rPr>
          <w:szCs w:val="22"/>
        </w:rPr>
        <w:t>telmisartan</w:t>
      </w:r>
      <w:proofErr w:type="spellEnd"/>
      <w:r w:rsidRPr="005B2844">
        <w:rPr>
          <w:szCs w:val="22"/>
        </w:rPr>
        <w:t xml:space="preserve"> può ridurre l'</w:t>
      </w:r>
      <w:r w:rsidR="00A60181" w:rsidRPr="005B2844">
        <w:rPr>
          <w:szCs w:val="22"/>
        </w:rPr>
        <w:t>ipokaliemia</w:t>
      </w:r>
      <w:r w:rsidRPr="005B2844">
        <w:rPr>
          <w:szCs w:val="22"/>
        </w:rPr>
        <w:t xml:space="preserve"> indotta dal diuretico. Il rischio di </w:t>
      </w:r>
      <w:r w:rsidR="00A60181" w:rsidRPr="005B2844">
        <w:rPr>
          <w:szCs w:val="22"/>
        </w:rPr>
        <w:t>ipokaliemia</w:t>
      </w:r>
      <w:r w:rsidRPr="005B2844">
        <w:rPr>
          <w:szCs w:val="22"/>
        </w:rPr>
        <w:t xml:space="preserve"> è maggiore nei pazienti con cirrosi epatica, nei pazienti caratterizzati da diuresi abbondante, nei pazienti con un apporto non adeguato di elettroliti per via orale e nei pazienti in trattamento concomitante con corticosteroidi o </w:t>
      </w:r>
      <w:r w:rsidR="00E339F0" w:rsidRPr="005B2844">
        <w:rPr>
          <w:szCs w:val="22"/>
        </w:rPr>
        <w:t>ormone adrenocorticotropico (</w:t>
      </w:r>
      <w:r w:rsidRPr="005B2844">
        <w:rPr>
          <w:szCs w:val="22"/>
        </w:rPr>
        <w:t>ACTH</w:t>
      </w:r>
      <w:r w:rsidR="00E339F0" w:rsidRPr="005B2844">
        <w:rPr>
          <w:szCs w:val="22"/>
        </w:rPr>
        <w:t>)</w:t>
      </w:r>
      <w:r w:rsidRPr="005B2844">
        <w:rPr>
          <w:szCs w:val="22"/>
        </w:rPr>
        <w:t xml:space="preserve"> (vedere paragrafo 4.5).</w:t>
      </w:r>
    </w:p>
    <w:p w:rsidR="00FC113F" w:rsidRPr="005B2844" w:rsidRDefault="00FC113F" w:rsidP="0072602F">
      <w:pPr>
        <w:pStyle w:val="BodyText2"/>
        <w:tabs>
          <w:tab w:val="clear" w:pos="567"/>
        </w:tabs>
        <w:ind w:left="0" w:firstLine="0"/>
        <w:rPr>
          <w:szCs w:val="22"/>
        </w:rPr>
      </w:pPr>
    </w:p>
    <w:p w:rsidR="00FC113F" w:rsidRPr="005B2844" w:rsidRDefault="00FC113F" w:rsidP="00126264">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Iperkaliemia</w:t>
      </w:r>
      <w:proofErr w:type="spellEnd"/>
    </w:p>
    <w:p w:rsidR="00FC113F" w:rsidRPr="005B2844" w:rsidRDefault="00FC113F" w:rsidP="0072602F">
      <w:pPr>
        <w:pStyle w:val="BodyText2"/>
        <w:tabs>
          <w:tab w:val="clear" w:pos="567"/>
        </w:tabs>
        <w:ind w:left="0" w:firstLine="0"/>
        <w:rPr>
          <w:szCs w:val="22"/>
        </w:rPr>
      </w:pPr>
      <w:r w:rsidRPr="005B2844">
        <w:rPr>
          <w:szCs w:val="22"/>
        </w:rPr>
        <w:t>Viceversa, a causa dell'antagonismo esercitato sui recettori dell'angiotensina II (AT</w:t>
      </w:r>
      <w:r w:rsidRPr="005B2844">
        <w:rPr>
          <w:szCs w:val="22"/>
          <w:vertAlign w:val="subscript"/>
        </w:rPr>
        <w:t>1</w:t>
      </w:r>
      <w:r w:rsidRPr="005B2844">
        <w:rPr>
          <w:szCs w:val="22"/>
        </w:rPr>
        <w:t xml:space="preserve">) dal </w:t>
      </w:r>
      <w:proofErr w:type="spellStart"/>
      <w:r w:rsidRPr="005B2844">
        <w:rPr>
          <w:szCs w:val="22"/>
        </w:rPr>
        <w:t>telmisartan</w:t>
      </w:r>
      <w:proofErr w:type="spellEnd"/>
      <w:r w:rsidRPr="005B2844">
        <w:rPr>
          <w:szCs w:val="22"/>
        </w:rPr>
        <w:t xml:space="preserve"> contenuto in </w:t>
      </w:r>
      <w:proofErr w:type="spellStart"/>
      <w:r w:rsidRPr="005B2844">
        <w:rPr>
          <w:szCs w:val="22"/>
        </w:rPr>
        <w:t>MicardisPlus</w:t>
      </w:r>
      <w:proofErr w:type="spellEnd"/>
      <w:r w:rsidRPr="005B2844">
        <w:rPr>
          <w:szCs w:val="22"/>
        </w:rPr>
        <w:t xml:space="preserve">, può verificarsi </w:t>
      </w:r>
      <w:proofErr w:type="spellStart"/>
      <w:r w:rsidRPr="005B2844">
        <w:rPr>
          <w:szCs w:val="22"/>
        </w:rPr>
        <w:t>iperpotassemia</w:t>
      </w:r>
      <w:proofErr w:type="spellEnd"/>
      <w:r w:rsidRPr="005B2844">
        <w:rPr>
          <w:szCs w:val="22"/>
        </w:rPr>
        <w:t xml:space="preserve">. Sebbene non sia stata documentata </w:t>
      </w:r>
      <w:proofErr w:type="spellStart"/>
      <w:r w:rsidRPr="005B2844">
        <w:rPr>
          <w:szCs w:val="22"/>
        </w:rPr>
        <w:t>iperpotassemia</w:t>
      </w:r>
      <w:proofErr w:type="spellEnd"/>
      <w:r w:rsidRPr="005B2844">
        <w:rPr>
          <w:szCs w:val="22"/>
        </w:rPr>
        <w:t xml:space="preserve"> clinicamente significativa associata all'uso di </w:t>
      </w:r>
      <w:proofErr w:type="spellStart"/>
      <w:r w:rsidRPr="005B2844">
        <w:rPr>
          <w:szCs w:val="22"/>
        </w:rPr>
        <w:t>MicardisPlus</w:t>
      </w:r>
      <w:proofErr w:type="spellEnd"/>
      <w:r w:rsidRPr="005B2844">
        <w:rPr>
          <w:szCs w:val="22"/>
        </w:rPr>
        <w:t xml:space="preserve">, i fattori di rischio per lo sviluppo di </w:t>
      </w:r>
      <w:proofErr w:type="spellStart"/>
      <w:r w:rsidRPr="005B2844">
        <w:rPr>
          <w:szCs w:val="22"/>
        </w:rPr>
        <w:t>iperpotassemia</w:t>
      </w:r>
      <w:proofErr w:type="spellEnd"/>
      <w:r w:rsidRPr="005B2844">
        <w:rPr>
          <w:szCs w:val="22"/>
        </w:rPr>
        <w:t xml:space="preserve"> includono insufficienza renale e/o insufficienza cardiaca e diabete mellito. Diuretici potassio-risparmiatori, integratori di potassio, sostitutivi del sale contenenti potassio devono essere somministrati con cautela in concomitanza con </w:t>
      </w:r>
      <w:proofErr w:type="spellStart"/>
      <w:r w:rsidRPr="005B2844">
        <w:rPr>
          <w:szCs w:val="22"/>
        </w:rPr>
        <w:t>MicardisPlus</w:t>
      </w:r>
      <w:proofErr w:type="spellEnd"/>
      <w:r w:rsidRPr="005B2844">
        <w:rPr>
          <w:szCs w:val="22"/>
        </w:rPr>
        <w:t xml:space="preserve"> (vedere paragrafo 4.5).</w:t>
      </w:r>
    </w:p>
    <w:p w:rsidR="00FC113F" w:rsidRPr="005B2844" w:rsidRDefault="00FC113F" w:rsidP="0072602F">
      <w:pPr>
        <w:pStyle w:val="BodyText2"/>
        <w:tabs>
          <w:tab w:val="clear" w:pos="567"/>
        </w:tabs>
        <w:ind w:left="0" w:firstLine="0"/>
        <w:rPr>
          <w:szCs w:val="22"/>
        </w:rPr>
      </w:pPr>
    </w:p>
    <w:p w:rsidR="00FC113F" w:rsidRPr="005B2844" w:rsidRDefault="00FC113F" w:rsidP="00126264">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Iponatremia</w:t>
      </w:r>
      <w:proofErr w:type="spellEnd"/>
      <w:r w:rsidRPr="005B2844">
        <w:rPr>
          <w:szCs w:val="22"/>
        </w:rPr>
        <w:t xml:space="preserve"> e alcalosi </w:t>
      </w:r>
      <w:proofErr w:type="spellStart"/>
      <w:r w:rsidRPr="005B2844">
        <w:rPr>
          <w:szCs w:val="22"/>
        </w:rPr>
        <w:t>ipocloremica</w:t>
      </w:r>
      <w:proofErr w:type="spellEnd"/>
    </w:p>
    <w:p w:rsidR="00FC113F" w:rsidRPr="005B2844" w:rsidRDefault="00FC113F" w:rsidP="0072602F">
      <w:pPr>
        <w:pStyle w:val="BodyText2"/>
        <w:tabs>
          <w:tab w:val="clear" w:pos="567"/>
        </w:tabs>
        <w:ind w:left="0" w:firstLine="0"/>
        <w:rPr>
          <w:szCs w:val="22"/>
        </w:rPr>
      </w:pPr>
      <w:r w:rsidRPr="005B2844">
        <w:rPr>
          <w:szCs w:val="22"/>
        </w:rPr>
        <w:t xml:space="preserve">Non c'è evidenza che </w:t>
      </w:r>
      <w:proofErr w:type="spellStart"/>
      <w:r w:rsidRPr="005B2844">
        <w:rPr>
          <w:szCs w:val="22"/>
        </w:rPr>
        <w:t>MicardisPlus</w:t>
      </w:r>
      <w:proofErr w:type="spellEnd"/>
      <w:r w:rsidRPr="005B2844">
        <w:rPr>
          <w:szCs w:val="22"/>
        </w:rPr>
        <w:t xml:space="preserve"> riduca o prevenga l'</w:t>
      </w:r>
      <w:proofErr w:type="spellStart"/>
      <w:r w:rsidRPr="005B2844">
        <w:rPr>
          <w:szCs w:val="22"/>
        </w:rPr>
        <w:t>iponatremia</w:t>
      </w:r>
      <w:proofErr w:type="spellEnd"/>
      <w:r w:rsidRPr="005B2844">
        <w:rPr>
          <w:szCs w:val="22"/>
        </w:rPr>
        <w:t xml:space="preserve"> indotta da diuretici.</w:t>
      </w:r>
    </w:p>
    <w:p w:rsidR="00FC113F" w:rsidRPr="005B2844" w:rsidRDefault="00FC113F" w:rsidP="0072602F">
      <w:pPr>
        <w:pStyle w:val="BodyText2"/>
        <w:tabs>
          <w:tab w:val="clear" w:pos="567"/>
        </w:tabs>
        <w:ind w:left="0" w:firstLine="0"/>
        <w:rPr>
          <w:szCs w:val="22"/>
        </w:rPr>
      </w:pPr>
      <w:r w:rsidRPr="005B2844">
        <w:rPr>
          <w:szCs w:val="22"/>
        </w:rPr>
        <w:t>La deficienza di cloruro è generalmente lieve e solitamente non richiede trattamento.</w:t>
      </w:r>
    </w:p>
    <w:p w:rsidR="00FC113F" w:rsidRPr="005B2844" w:rsidRDefault="00FC113F" w:rsidP="0072602F">
      <w:pPr>
        <w:pStyle w:val="BodyText2"/>
        <w:tabs>
          <w:tab w:val="clear" w:pos="567"/>
        </w:tabs>
        <w:ind w:left="0" w:firstLine="0"/>
        <w:rPr>
          <w:szCs w:val="22"/>
        </w:rPr>
      </w:pPr>
    </w:p>
    <w:p w:rsidR="00FC113F" w:rsidRPr="005B2844" w:rsidRDefault="00FC113F" w:rsidP="00126264">
      <w:pPr>
        <w:pStyle w:val="BodyText2"/>
        <w:keepNext/>
        <w:tabs>
          <w:tab w:val="left" w:pos="567"/>
        </w:tabs>
        <w:ind w:left="0" w:firstLine="0"/>
        <w:rPr>
          <w:szCs w:val="22"/>
        </w:rPr>
      </w:pPr>
      <w:r w:rsidRPr="005B2844">
        <w:rPr>
          <w:szCs w:val="22"/>
        </w:rPr>
        <w:t>-</w:t>
      </w:r>
      <w:r w:rsidRPr="005B2844">
        <w:rPr>
          <w:szCs w:val="22"/>
        </w:rPr>
        <w:tab/>
        <w:t>Ipercalcemia</w:t>
      </w:r>
    </w:p>
    <w:p w:rsidR="00FC113F" w:rsidRPr="005B2844" w:rsidRDefault="00FC113F" w:rsidP="0072602F">
      <w:pPr>
        <w:pStyle w:val="BodyText2"/>
        <w:tabs>
          <w:tab w:val="clear" w:pos="567"/>
        </w:tabs>
        <w:ind w:left="0" w:firstLine="0"/>
        <w:rPr>
          <w:szCs w:val="22"/>
        </w:rPr>
      </w:pPr>
      <w:r w:rsidRPr="005B2844">
        <w:rPr>
          <w:szCs w:val="22"/>
        </w:rPr>
        <w:t xml:space="preserve">I diuretici tiazidici possono ridurre l'escrezione urinaria del calcio e causare, in assenza di disturbi noti del metabolismo del calcio, un intermittente e lieve aumento del calcio sierico. Un'ipercalcemia marcata può essere indicativa di iperparatiroidismo latente. La somministrazione di diuretici tiazidici </w:t>
      </w:r>
      <w:r w:rsidR="002A6781" w:rsidRPr="005B2844">
        <w:rPr>
          <w:szCs w:val="22"/>
        </w:rPr>
        <w:t>deve</w:t>
      </w:r>
      <w:r w:rsidRPr="005B2844">
        <w:rPr>
          <w:szCs w:val="22"/>
        </w:rPr>
        <w:t xml:space="preserve"> essere sospesa prima di effettuare i test di funzionalità paratiroidea.</w:t>
      </w:r>
    </w:p>
    <w:p w:rsidR="00FC113F" w:rsidRPr="005B2844" w:rsidRDefault="00FC113F" w:rsidP="0072602F">
      <w:pPr>
        <w:pStyle w:val="BodyText2"/>
        <w:tabs>
          <w:tab w:val="clear" w:pos="567"/>
        </w:tabs>
        <w:ind w:left="0" w:firstLine="0"/>
        <w:rPr>
          <w:szCs w:val="22"/>
        </w:rPr>
      </w:pPr>
    </w:p>
    <w:p w:rsidR="00FC113F" w:rsidRPr="005B2844" w:rsidRDefault="00FC113F" w:rsidP="00126264">
      <w:pPr>
        <w:pStyle w:val="BodyText2"/>
        <w:keepNext/>
        <w:tabs>
          <w:tab w:val="left" w:pos="567"/>
        </w:tabs>
        <w:ind w:left="0" w:firstLine="0"/>
        <w:rPr>
          <w:szCs w:val="22"/>
        </w:rPr>
      </w:pPr>
      <w:r w:rsidRPr="005B2844">
        <w:rPr>
          <w:szCs w:val="22"/>
        </w:rPr>
        <w:t>-</w:t>
      </w:r>
      <w:r w:rsidRPr="005B2844">
        <w:rPr>
          <w:szCs w:val="22"/>
        </w:rPr>
        <w:tab/>
      </w:r>
      <w:proofErr w:type="spellStart"/>
      <w:r w:rsidRPr="005B2844">
        <w:rPr>
          <w:szCs w:val="22"/>
        </w:rPr>
        <w:t>Ipomagnesemia</w:t>
      </w:r>
      <w:proofErr w:type="spellEnd"/>
    </w:p>
    <w:p w:rsidR="00FC113F" w:rsidRPr="005B2844" w:rsidRDefault="00FC113F" w:rsidP="0072602F">
      <w:pPr>
        <w:pStyle w:val="BodyText2"/>
        <w:tabs>
          <w:tab w:val="clear" w:pos="567"/>
        </w:tabs>
        <w:ind w:left="0" w:firstLine="0"/>
        <w:rPr>
          <w:szCs w:val="22"/>
        </w:rPr>
      </w:pPr>
      <w:r w:rsidRPr="005B2844">
        <w:rPr>
          <w:szCs w:val="22"/>
        </w:rPr>
        <w:t xml:space="preserve">I diuretici tiazidici hanno dimostrato di aumentare l'escrezione urinaria del magnesio determinando </w:t>
      </w:r>
      <w:proofErr w:type="spellStart"/>
      <w:r w:rsidRPr="005B2844">
        <w:rPr>
          <w:szCs w:val="22"/>
        </w:rPr>
        <w:t>ipomagnesemia</w:t>
      </w:r>
      <w:proofErr w:type="spellEnd"/>
      <w:r w:rsidRPr="005B2844">
        <w:rPr>
          <w:szCs w:val="22"/>
        </w:rPr>
        <w:t xml:space="preserve"> (vedere paragrafo 4.5).</w:t>
      </w:r>
    </w:p>
    <w:p w:rsidR="00FC113F" w:rsidRPr="005B2844" w:rsidRDefault="00FC113F" w:rsidP="0072602F">
      <w:pPr>
        <w:pStyle w:val="BodyText2"/>
        <w:tabs>
          <w:tab w:val="clear" w:pos="567"/>
        </w:tabs>
        <w:ind w:left="0" w:firstLine="0"/>
        <w:rPr>
          <w:szCs w:val="22"/>
        </w:rPr>
      </w:pPr>
    </w:p>
    <w:p w:rsidR="00BC4D08" w:rsidRPr="005B2844" w:rsidRDefault="00FC113F" w:rsidP="00126264">
      <w:pPr>
        <w:pStyle w:val="BodyText30"/>
        <w:keepNext/>
        <w:widowControl/>
        <w:rPr>
          <w:szCs w:val="22"/>
          <w:lang w:val="it-IT"/>
        </w:rPr>
      </w:pPr>
      <w:r w:rsidRPr="005B2844">
        <w:rPr>
          <w:szCs w:val="22"/>
          <w:u w:val="single"/>
          <w:lang w:val="it-IT"/>
        </w:rPr>
        <w:t>Sorbitolo e Lattosio Monoidrato</w:t>
      </w:r>
    </w:p>
    <w:p w:rsidR="00BC4D08" w:rsidRPr="005B2844" w:rsidRDefault="00BC4D08" w:rsidP="00126264">
      <w:pPr>
        <w:pStyle w:val="BodyText30"/>
        <w:keepNext/>
        <w:widowControl/>
        <w:rPr>
          <w:szCs w:val="22"/>
          <w:lang w:val="it-IT"/>
        </w:rPr>
      </w:pPr>
    </w:p>
    <w:p w:rsidR="00FC113F" w:rsidRPr="005B2844" w:rsidRDefault="00FC113F" w:rsidP="0072602F">
      <w:pPr>
        <w:pStyle w:val="BodyText30"/>
        <w:widowControl/>
        <w:rPr>
          <w:szCs w:val="22"/>
          <w:lang w:val="it-IT"/>
        </w:rPr>
      </w:pPr>
      <w:r w:rsidRPr="005B2844">
        <w:rPr>
          <w:szCs w:val="22"/>
          <w:lang w:val="it-IT"/>
        </w:rPr>
        <w:t xml:space="preserve">Questo medicinale contiene lattosio monoidrato e sorbitolo. I pazienti affetti da rari problemi ereditari di intolleranza al fruttosio e/o al galattosio, da deficit di </w:t>
      </w:r>
      <w:proofErr w:type="spellStart"/>
      <w:r w:rsidRPr="005B2844">
        <w:rPr>
          <w:szCs w:val="22"/>
          <w:lang w:val="it-IT"/>
        </w:rPr>
        <w:t>Lapp</w:t>
      </w:r>
      <w:proofErr w:type="spellEnd"/>
      <w:r w:rsidRPr="005B2844">
        <w:rPr>
          <w:szCs w:val="22"/>
          <w:lang w:val="it-IT"/>
        </w:rPr>
        <w:t xml:space="preserve"> lattasi o da malassorbimento di glucosio-galattosio non devono assumere questo medicinale.</w:t>
      </w:r>
    </w:p>
    <w:p w:rsidR="00FC113F" w:rsidRPr="005B2844" w:rsidRDefault="00FC113F" w:rsidP="0072602F">
      <w:pPr>
        <w:rPr>
          <w:szCs w:val="22"/>
        </w:rPr>
      </w:pPr>
    </w:p>
    <w:p w:rsidR="00BC4D08" w:rsidRPr="005B2844" w:rsidRDefault="00FC113F" w:rsidP="00126264">
      <w:pPr>
        <w:keepNext/>
        <w:rPr>
          <w:szCs w:val="22"/>
        </w:rPr>
      </w:pPr>
      <w:r w:rsidRPr="005B2844">
        <w:rPr>
          <w:szCs w:val="22"/>
          <w:u w:val="single"/>
        </w:rPr>
        <w:t>Differenze etniche</w:t>
      </w:r>
    </w:p>
    <w:p w:rsidR="00BC4D08" w:rsidRPr="005B2844" w:rsidRDefault="00BC4D08" w:rsidP="00126264">
      <w:pPr>
        <w:keepNext/>
        <w:rPr>
          <w:szCs w:val="22"/>
        </w:rPr>
      </w:pPr>
    </w:p>
    <w:p w:rsidR="00FC113F" w:rsidRPr="005B2844" w:rsidRDefault="00FC113F" w:rsidP="0072602F">
      <w:pPr>
        <w:rPr>
          <w:szCs w:val="22"/>
        </w:rPr>
      </w:pPr>
      <w:r w:rsidRPr="005B2844">
        <w:rPr>
          <w:szCs w:val="22"/>
        </w:rPr>
        <w:t xml:space="preserve">Come tutti gli altri antagonisti </w:t>
      </w:r>
      <w:r w:rsidR="00AB77DD" w:rsidRPr="005B2844">
        <w:rPr>
          <w:szCs w:val="22"/>
        </w:rPr>
        <w:t xml:space="preserve">del recettore </w:t>
      </w:r>
      <w:r w:rsidRPr="005B2844">
        <w:rPr>
          <w:szCs w:val="22"/>
        </w:rPr>
        <w:t>dell'angiotensina</w:t>
      </w:r>
      <w:r w:rsidR="00AB77DD" w:rsidRPr="005B2844">
        <w:rPr>
          <w:szCs w:val="22"/>
        </w:rPr>
        <w:t xml:space="preserve"> II</w:t>
      </w:r>
      <w:r w:rsidRPr="005B2844">
        <w:rPr>
          <w:szCs w:val="22"/>
        </w:rPr>
        <w:t xml:space="preserve">, </w:t>
      </w:r>
      <w:proofErr w:type="spellStart"/>
      <w:r w:rsidRPr="005B2844">
        <w:rPr>
          <w:szCs w:val="22"/>
        </w:rPr>
        <w:t>telmisartan</w:t>
      </w:r>
      <w:proofErr w:type="spellEnd"/>
      <w:r w:rsidRPr="005B2844">
        <w:rPr>
          <w:szCs w:val="22"/>
        </w:rPr>
        <w:t xml:space="preserve"> è apparentemente meno efficace nel ridurre la pressione sanguigna nei pazienti di razza nera rispetto ai pazienti di razza bianca, probabilmente a causa di una maggiore prevalenza di bassi livelli </w:t>
      </w:r>
      <w:r w:rsidR="0040046C" w:rsidRPr="005B2844">
        <w:rPr>
          <w:szCs w:val="22"/>
        </w:rPr>
        <w:t xml:space="preserve">di </w:t>
      </w:r>
      <w:r w:rsidRPr="005B2844">
        <w:rPr>
          <w:szCs w:val="22"/>
        </w:rPr>
        <w:t>renina nella popolazione di ipertesi di colore.</w:t>
      </w:r>
    </w:p>
    <w:p w:rsidR="00FC113F" w:rsidRPr="005B2844" w:rsidRDefault="00FC113F" w:rsidP="0072602F">
      <w:pPr>
        <w:rPr>
          <w:szCs w:val="22"/>
          <w:u w:val="single"/>
        </w:rPr>
      </w:pPr>
    </w:p>
    <w:p w:rsidR="00BC4D08" w:rsidRPr="005B2844" w:rsidRDefault="00FC113F" w:rsidP="00126264">
      <w:pPr>
        <w:keepNext/>
        <w:rPr>
          <w:szCs w:val="22"/>
        </w:rPr>
      </w:pPr>
      <w:r w:rsidRPr="005B2844">
        <w:rPr>
          <w:szCs w:val="22"/>
          <w:u w:val="single"/>
        </w:rPr>
        <w:t>Altro</w:t>
      </w:r>
    </w:p>
    <w:p w:rsidR="00BC4D08" w:rsidRPr="005B2844" w:rsidRDefault="00BC4D08" w:rsidP="00126264">
      <w:pPr>
        <w:keepNext/>
        <w:rPr>
          <w:szCs w:val="22"/>
        </w:rPr>
      </w:pPr>
    </w:p>
    <w:p w:rsidR="00FC113F" w:rsidRPr="005B2844" w:rsidRDefault="00FC113F" w:rsidP="0072602F">
      <w:pPr>
        <w:rPr>
          <w:szCs w:val="22"/>
        </w:rPr>
      </w:pPr>
      <w:r w:rsidRPr="005B2844">
        <w:rPr>
          <w:szCs w:val="22"/>
        </w:rPr>
        <w:t>Come con qualsiasi agente antipertensivo, un'eccessiva diminuzione della pressione sanguigna in pazienti con cardiopatia ischemica o patologia cardiovascolare ischemica potrebbe causare infarto del miocardio o ictus.</w:t>
      </w:r>
    </w:p>
    <w:p w:rsidR="00FC113F" w:rsidRPr="005B2844" w:rsidRDefault="00FC113F" w:rsidP="0072602F">
      <w:pPr>
        <w:rPr>
          <w:szCs w:val="22"/>
        </w:rPr>
      </w:pPr>
    </w:p>
    <w:p w:rsidR="00BC4D08" w:rsidRPr="005B2844" w:rsidRDefault="00FC113F" w:rsidP="00126264">
      <w:pPr>
        <w:keepNext/>
        <w:rPr>
          <w:szCs w:val="22"/>
        </w:rPr>
      </w:pPr>
      <w:r w:rsidRPr="005B2844">
        <w:rPr>
          <w:szCs w:val="22"/>
          <w:u w:val="single"/>
        </w:rPr>
        <w:t>Generale</w:t>
      </w:r>
    </w:p>
    <w:p w:rsidR="00BC4D08" w:rsidRPr="005B2844" w:rsidRDefault="00BC4D08" w:rsidP="00126264">
      <w:pPr>
        <w:keepNext/>
        <w:rPr>
          <w:szCs w:val="22"/>
        </w:rPr>
      </w:pPr>
    </w:p>
    <w:p w:rsidR="00FC113F" w:rsidRPr="005B2844" w:rsidRDefault="00FC113F" w:rsidP="0072602F">
      <w:pPr>
        <w:rPr>
          <w:szCs w:val="22"/>
        </w:rPr>
      </w:pPr>
      <w:r w:rsidRPr="005B2844">
        <w:rPr>
          <w:szCs w:val="22"/>
        </w:rPr>
        <w:t xml:space="preserve">Reazioni di ipersensibilità alla </w:t>
      </w:r>
      <w:proofErr w:type="spellStart"/>
      <w:r w:rsidRPr="005B2844">
        <w:rPr>
          <w:szCs w:val="22"/>
        </w:rPr>
        <w:t>idroclorotiazide</w:t>
      </w:r>
      <w:proofErr w:type="spellEnd"/>
      <w:r w:rsidRPr="005B2844">
        <w:rPr>
          <w:szCs w:val="22"/>
        </w:rPr>
        <w:t xml:space="preserve"> possono verificarsi in pazienti con o senza storia precedente di </w:t>
      </w:r>
      <w:r w:rsidR="00A5223E" w:rsidRPr="005B2844">
        <w:rPr>
          <w:szCs w:val="22"/>
        </w:rPr>
        <w:t xml:space="preserve">allergia </w:t>
      </w:r>
      <w:r w:rsidRPr="005B2844">
        <w:rPr>
          <w:szCs w:val="22"/>
        </w:rPr>
        <w:t>o asma bronchiale, ma è più probabile che si verifichi</w:t>
      </w:r>
      <w:r w:rsidR="007473C8" w:rsidRPr="005B2844">
        <w:rPr>
          <w:szCs w:val="22"/>
        </w:rPr>
        <w:t>no</w:t>
      </w:r>
      <w:r w:rsidRPr="005B2844">
        <w:rPr>
          <w:szCs w:val="22"/>
        </w:rPr>
        <w:t xml:space="preserve"> in pazienti con tale anamnesi.</w:t>
      </w:r>
    </w:p>
    <w:p w:rsidR="00FC113F" w:rsidRPr="005B2844" w:rsidRDefault="00FC113F" w:rsidP="0072602F">
      <w:pPr>
        <w:rPr>
          <w:szCs w:val="22"/>
        </w:rPr>
      </w:pPr>
      <w:r w:rsidRPr="005B2844">
        <w:rPr>
          <w:szCs w:val="22"/>
        </w:rPr>
        <w:t>Con l'uso di diuretici tiazidici</w:t>
      </w:r>
      <w:r w:rsidR="008C0B71" w:rsidRPr="005B2844">
        <w:rPr>
          <w:szCs w:val="22"/>
        </w:rPr>
        <w:t xml:space="preserve">, compresa </w:t>
      </w:r>
      <w:proofErr w:type="spellStart"/>
      <w:r w:rsidR="008C0B71" w:rsidRPr="005B2844">
        <w:rPr>
          <w:szCs w:val="22"/>
        </w:rPr>
        <w:t>idroclorotiazide</w:t>
      </w:r>
      <w:proofErr w:type="spellEnd"/>
      <w:r w:rsidR="008C0B71" w:rsidRPr="005B2844">
        <w:rPr>
          <w:szCs w:val="22"/>
        </w:rPr>
        <w:t>,</w:t>
      </w:r>
      <w:r w:rsidRPr="005B2844">
        <w:rPr>
          <w:szCs w:val="22"/>
        </w:rPr>
        <w:t xml:space="preserve"> è stata riportata esacerbazione o attivazione di lupus eritematoso sistemico.</w:t>
      </w:r>
    </w:p>
    <w:p w:rsidR="00A5223E" w:rsidRPr="005B2844" w:rsidRDefault="00A5223E" w:rsidP="00A5223E">
      <w:pPr>
        <w:rPr>
          <w:szCs w:val="22"/>
        </w:rPr>
      </w:pPr>
      <w:r w:rsidRPr="005B2844">
        <w:rPr>
          <w:szCs w:val="22"/>
        </w:rPr>
        <w:t xml:space="preserve">Casi di reazioni di fotosensibilità sono stati riportati con i diuretici tiazidici (vedere paragrafo 4.8). Se durante il trattamento si manifesta una reazione di fotosensibilità, si raccomanda di sospendere il trattamento. Se la </w:t>
      </w:r>
      <w:proofErr w:type="spellStart"/>
      <w:r w:rsidRPr="005B2844">
        <w:rPr>
          <w:szCs w:val="22"/>
        </w:rPr>
        <w:t>risomministrazione</w:t>
      </w:r>
      <w:proofErr w:type="spellEnd"/>
      <w:r w:rsidRPr="005B2844">
        <w:rPr>
          <w:szCs w:val="22"/>
        </w:rPr>
        <w:t xml:space="preserve"> del diuretico è ritenuta necessaria, si raccomanda di proteggere le aree esposte ai raggi solari o</w:t>
      </w:r>
      <w:r w:rsidR="00A067AA" w:rsidRPr="005B2844">
        <w:rPr>
          <w:szCs w:val="22"/>
        </w:rPr>
        <w:t xml:space="preserve"> ai raggi</w:t>
      </w:r>
      <w:r w:rsidRPr="005B2844">
        <w:rPr>
          <w:szCs w:val="22"/>
        </w:rPr>
        <w:t xml:space="preserve"> UVA</w:t>
      </w:r>
      <w:r w:rsidR="00A067AA" w:rsidRPr="005B2844">
        <w:rPr>
          <w:szCs w:val="22"/>
        </w:rPr>
        <w:t xml:space="preserve"> artificiali</w:t>
      </w:r>
      <w:r w:rsidRPr="005B2844">
        <w:rPr>
          <w:szCs w:val="22"/>
        </w:rPr>
        <w:t>.</w:t>
      </w:r>
    </w:p>
    <w:p w:rsidR="00565629" w:rsidRPr="005B2844" w:rsidRDefault="00565629" w:rsidP="00565629">
      <w:pPr>
        <w:rPr>
          <w:szCs w:val="22"/>
        </w:rPr>
      </w:pPr>
    </w:p>
    <w:p w:rsidR="00565629" w:rsidRPr="005B2844" w:rsidRDefault="00C53DBE" w:rsidP="00565629">
      <w:pPr>
        <w:keepNext/>
        <w:rPr>
          <w:szCs w:val="22"/>
          <w:u w:val="single"/>
        </w:rPr>
      </w:pPr>
      <w:r>
        <w:rPr>
          <w:szCs w:val="22"/>
          <w:u w:val="single"/>
        </w:rPr>
        <w:t xml:space="preserve">Effusione </w:t>
      </w:r>
      <w:proofErr w:type="spellStart"/>
      <w:r>
        <w:rPr>
          <w:szCs w:val="22"/>
          <w:u w:val="single"/>
        </w:rPr>
        <w:t>coroidale</w:t>
      </w:r>
      <w:proofErr w:type="spellEnd"/>
      <w:r>
        <w:rPr>
          <w:szCs w:val="22"/>
          <w:u w:val="single"/>
        </w:rPr>
        <w:t>, m</w:t>
      </w:r>
      <w:r w:rsidR="00565629" w:rsidRPr="005B2844">
        <w:rPr>
          <w:szCs w:val="22"/>
          <w:u w:val="single"/>
        </w:rPr>
        <w:t>iopia e glaucoma ad angolo chiuso acut</w:t>
      </w:r>
      <w:r>
        <w:rPr>
          <w:szCs w:val="22"/>
          <w:u w:val="single"/>
        </w:rPr>
        <w:t>o</w:t>
      </w:r>
    </w:p>
    <w:p w:rsidR="00565629" w:rsidRPr="005B2844" w:rsidRDefault="00565629" w:rsidP="00565629">
      <w:pPr>
        <w:keepNext/>
        <w:rPr>
          <w:szCs w:val="22"/>
        </w:rPr>
      </w:pPr>
    </w:p>
    <w:p w:rsidR="00565629" w:rsidRPr="005B2844" w:rsidRDefault="00565629" w:rsidP="00565629">
      <w:pPr>
        <w:rPr>
          <w:szCs w:val="22"/>
        </w:rPr>
      </w:pPr>
      <w:r w:rsidRPr="005B2844">
        <w:rPr>
          <w:szCs w:val="22"/>
        </w:rPr>
        <w:t>L’</w:t>
      </w:r>
      <w:proofErr w:type="spellStart"/>
      <w:r w:rsidRPr="005B2844">
        <w:rPr>
          <w:szCs w:val="22"/>
        </w:rPr>
        <w:t>idroclorotiazide</w:t>
      </w:r>
      <w:proofErr w:type="spellEnd"/>
      <w:r w:rsidRPr="005B2844">
        <w:rPr>
          <w:szCs w:val="22"/>
        </w:rPr>
        <w:t xml:space="preserve">, una sulfonamide, può causare una reazione idiosincratica, con conseguenti </w:t>
      </w:r>
      <w:r w:rsidR="00C53DBE">
        <w:rPr>
          <w:szCs w:val="22"/>
        </w:rPr>
        <w:t xml:space="preserve">effusione </w:t>
      </w:r>
      <w:proofErr w:type="spellStart"/>
      <w:r w:rsidR="00C53DBE">
        <w:rPr>
          <w:szCs w:val="22"/>
        </w:rPr>
        <w:t>coroidale</w:t>
      </w:r>
      <w:proofErr w:type="spellEnd"/>
      <w:r w:rsidR="0069081E">
        <w:rPr>
          <w:szCs w:val="22"/>
        </w:rPr>
        <w:t xml:space="preserve"> con difetti del campo visivo</w:t>
      </w:r>
      <w:r w:rsidR="00C53DBE">
        <w:rPr>
          <w:szCs w:val="22"/>
        </w:rPr>
        <w:t xml:space="preserve">, </w:t>
      </w:r>
      <w:r w:rsidRPr="005B2844">
        <w:rPr>
          <w:szCs w:val="22"/>
        </w:rPr>
        <w:t xml:space="preserve">miopia transitoria acuta e glaucoma </w:t>
      </w:r>
      <w:r w:rsidR="0006344F" w:rsidRPr="005B2844">
        <w:rPr>
          <w:szCs w:val="22"/>
        </w:rPr>
        <w:t xml:space="preserve">acuto </w:t>
      </w:r>
      <w:r w:rsidRPr="005B2844">
        <w:rPr>
          <w:szCs w:val="22"/>
        </w:rPr>
        <w:t xml:space="preserve">ad angolo chiuso. I sintomi includono l’insorgenza acuta di una diminuzione dell’acutezza visiva o di dolore oculare e tipicamente si verificano da ore a settimane dopo l’inizio dell’assunzione del medicinale. Il glaucoma </w:t>
      </w:r>
      <w:r w:rsidR="0006344F" w:rsidRPr="005B2844">
        <w:rPr>
          <w:szCs w:val="22"/>
        </w:rPr>
        <w:t xml:space="preserve">acuto </w:t>
      </w:r>
      <w:r w:rsidRPr="005B2844">
        <w:rPr>
          <w:szCs w:val="22"/>
        </w:rPr>
        <w:t xml:space="preserve">ad angolo chiuso non trattato può portare </w:t>
      </w:r>
      <w:r w:rsidR="0006344F" w:rsidRPr="005B2844">
        <w:rPr>
          <w:szCs w:val="22"/>
        </w:rPr>
        <w:t>alla</w:t>
      </w:r>
      <w:r w:rsidRPr="005B2844">
        <w:rPr>
          <w:szCs w:val="22"/>
        </w:rPr>
        <w:t xml:space="preserve"> perdita permanente della vista. Il trattamento primario consiste nell’interrompere l’</w:t>
      </w:r>
      <w:proofErr w:type="spellStart"/>
      <w:r w:rsidRPr="005B2844">
        <w:rPr>
          <w:szCs w:val="22"/>
        </w:rPr>
        <w:t>idroclorotiazide</w:t>
      </w:r>
      <w:proofErr w:type="spellEnd"/>
      <w:r w:rsidRPr="005B2844">
        <w:rPr>
          <w:szCs w:val="22"/>
        </w:rPr>
        <w:t xml:space="preserve"> il più rapidamente possibile. Può essere necessario prendere in considerazione dei trattamenti medici o chirurgici immediati se la pressione intraoculare rimane incontrollata. I fattori di rischio per lo sviluppo del glaucoma </w:t>
      </w:r>
      <w:r w:rsidR="0006344F" w:rsidRPr="005B2844">
        <w:rPr>
          <w:szCs w:val="22"/>
        </w:rPr>
        <w:t xml:space="preserve">acuto </w:t>
      </w:r>
      <w:r w:rsidRPr="005B2844">
        <w:rPr>
          <w:szCs w:val="22"/>
        </w:rPr>
        <w:t>ad angolo chiuso possono includere una storia di allergia alla sulfonamide o alla penicillina.</w:t>
      </w:r>
    </w:p>
    <w:p w:rsidR="00FC113F" w:rsidRPr="005B2844" w:rsidRDefault="00FC113F" w:rsidP="0072602F">
      <w:pPr>
        <w:rPr>
          <w:szCs w:val="22"/>
        </w:rPr>
      </w:pPr>
    </w:p>
    <w:p w:rsidR="00263CA9" w:rsidRPr="005B2844" w:rsidRDefault="00263CA9" w:rsidP="00263CA9">
      <w:pPr>
        <w:pStyle w:val="Default"/>
        <w:spacing w:after="140"/>
        <w:rPr>
          <w:rFonts w:ascii="Times New Roman" w:hAnsi="Times New Roman" w:cs="Times New Roman"/>
          <w:sz w:val="22"/>
          <w:szCs w:val="22"/>
        </w:rPr>
      </w:pPr>
      <w:r w:rsidRPr="005B2844">
        <w:rPr>
          <w:rFonts w:ascii="Times New Roman" w:hAnsi="Times New Roman" w:cs="Times New Roman"/>
          <w:iCs/>
          <w:sz w:val="22"/>
          <w:szCs w:val="22"/>
          <w:u w:val="single"/>
        </w:rPr>
        <w:t xml:space="preserve">Cancro della pelle non melanoma </w:t>
      </w:r>
    </w:p>
    <w:p w:rsidR="00263CA9" w:rsidRPr="005B2844" w:rsidRDefault="00263CA9" w:rsidP="00263CA9">
      <w:pPr>
        <w:pStyle w:val="Default"/>
        <w:spacing w:after="140"/>
        <w:rPr>
          <w:rFonts w:ascii="Times New Roman" w:hAnsi="Times New Roman" w:cs="Times New Roman"/>
          <w:sz w:val="22"/>
          <w:szCs w:val="22"/>
        </w:rPr>
      </w:pPr>
      <w:r w:rsidRPr="005B2844">
        <w:rPr>
          <w:rFonts w:ascii="Times New Roman" w:hAnsi="Times New Roman" w:cs="Times New Roman"/>
          <w:sz w:val="22"/>
          <w:szCs w:val="22"/>
        </w:rPr>
        <w:t>In due studi epidemiologici basati sui dati del Registro nazionale dei tumori danese è stato osservato un aumento del rischio di cancro della pelle non-melanoma</w:t>
      </w:r>
      <w:r w:rsidR="00377B0A" w:rsidRPr="005B2844">
        <w:rPr>
          <w:rFonts w:ascii="Times New Roman" w:hAnsi="Times New Roman" w:cs="Times New Roman"/>
          <w:sz w:val="22"/>
          <w:szCs w:val="22"/>
        </w:rPr>
        <w:t xml:space="preserve"> </w:t>
      </w:r>
      <w:r w:rsidRPr="005B2844">
        <w:rPr>
          <w:rFonts w:ascii="Times New Roman" w:hAnsi="Times New Roman" w:cs="Times New Roman"/>
          <w:sz w:val="22"/>
          <w:szCs w:val="22"/>
        </w:rPr>
        <w:t xml:space="preserve">(NMSC) [carcinoma </w:t>
      </w:r>
      <w:proofErr w:type="spellStart"/>
      <w:r w:rsidRPr="005B2844">
        <w:rPr>
          <w:rFonts w:ascii="Times New Roman" w:hAnsi="Times New Roman" w:cs="Times New Roman"/>
          <w:sz w:val="22"/>
          <w:szCs w:val="22"/>
        </w:rPr>
        <w:t>basocellulare</w:t>
      </w:r>
      <w:proofErr w:type="spellEnd"/>
      <w:r w:rsidRPr="005B2844">
        <w:rPr>
          <w:rFonts w:ascii="Times New Roman" w:hAnsi="Times New Roman" w:cs="Times New Roman"/>
          <w:sz w:val="22"/>
          <w:szCs w:val="22"/>
        </w:rPr>
        <w:t xml:space="preserve"> (BCC) e carcinoma a cellule squamose (SCC)] associato all'aumento cumulativo della dose di </w:t>
      </w:r>
      <w:proofErr w:type="spellStart"/>
      <w:r w:rsidRPr="005B2844">
        <w:rPr>
          <w:rFonts w:ascii="Times New Roman" w:hAnsi="Times New Roman" w:cs="Times New Roman"/>
          <w:sz w:val="22"/>
          <w:szCs w:val="22"/>
        </w:rPr>
        <w:t>idroclorotiazide</w:t>
      </w:r>
      <w:proofErr w:type="spellEnd"/>
      <w:r w:rsidRPr="005B2844">
        <w:rPr>
          <w:rFonts w:ascii="Times New Roman" w:hAnsi="Times New Roman" w:cs="Times New Roman"/>
          <w:sz w:val="22"/>
          <w:szCs w:val="22"/>
        </w:rPr>
        <w:t xml:space="preserve"> (HCTZ) assunta. L’effetto fotosensibilizzante dell’HCTZ potrebbe rappresentare un </w:t>
      </w:r>
      <w:r w:rsidR="00377B0A" w:rsidRPr="005B2844">
        <w:rPr>
          <w:rFonts w:ascii="Times New Roman" w:hAnsi="Times New Roman" w:cs="Times New Roman"/>
          <w:sz w:val="22"/>
          <w:szCs w:val="22"/>
        </w:rPr>
        <w:t>possibile meccanismo dell’NMSC.</w:t>
      </w:r>
    </w:p>
    <w:p w:rsidR="00263CA9" w:rsidRPr="005B2844" w:rsidRDefault="00263CA9" w:rsidP="00263CA9">
      <w:pPr>
        <w:keepNext/>
        <w:tabs>
          <w:tab w:val="left" w:pos="567"/>
        </w:tabs>
        <w:rPr>
          <w:szCs w:val="22"/>
        </w:rPr>
      </w:pPr>
      <w:r w:rsidRPr="005B2844">
        <w:rPr>
          <w:szCs w:val="22"/>
        </w:rPr>
        <w:t>I pazienti che assumono HCTZ devono essere informati del rischio di NMSC e consigliati di sottoporre a controllo regolare la cute per verificare la presenza di nuove lesioni e segnalare immediatamente eventuali lesioni cutanee sospette. Al fine di minimizzare il rischio di cancro cutaneo, occorre consigliare ai pazienti l’adozione di possibili misure preventive quali l’esposizione limitata alla luce solare e ai raggi UV e, in caso di esposizione, una protezione adeguata. Eventuali lesioni cutanee sospette devono essere esaminate immediatamente, possibilmente con l’ausilio di esami istologici su biopsie. Può essere inoltre necessario riconsiderare l’utilizzo di HCTZ nei pazienti che hanno manifestato NMSC in precedenz</w:t>
      </w:r>
      <w:r w:rsidR="00377B0A" w:rsidRPr="005B2844">
        <w:rPr>
          <w:szCs w:val="22"/>
        </w:rPr>
        <w:t>a (vedere anche paragrafo 4.8).</w:t>
      </w:r>
    </w:p>
    <w:p w:rsidR="00263CA9" w:rsidRPr="005B2844" w:rsidRDefault="00263CA9" w:rsidP="00126264">
      <w:pPr>
        <w:keepNext/>
        <w:tabs>
          <w:tab w:val="left" w:pos="567"/>
        </w:tabs>
        <w:rPr>
          <w:b/>
          <w:szCs w:val="22"/>
        </w:rPr>
      </w:pPr>
    </w:p>
    <w:p w:rsidR="00FC113F" w:rsidRPr="005B2844" w:rsidRDefault="00FC113F" w:rsidP="00126264">
      <w:pPr>
        <w:keepNext/>
        <w:tabs>
          <w:tab w:val="left" w:pos="567"/>
        </w:tabs>
        <w:rPr>
          <w:b/>
          <w:szCs w:val="22"/>
        </w:rPr>
      </w:pPr>
      <w:r w:rsidRPr="005B2844">
        <w:rPr>
          <w:b/>
          <w:szCs w:val="22"/>
        </w:rPr>
        <w:t>4.5</w:t>
      </w:r>
      <w:r w:rsidRPr="005B2844">
        <w:rPr>
          <w:b/>
          <w:szCs w:val="22"/>
        </w:rPr>
        <w:tab/>
        <w:t>Interazioni con altri medicinali ed altre forme d</w:t>
      </w:r>
      <w:r w:rsidR="00EC3F83" w:rsidRPr="005B2844">
        <w:rPr>
          <w:b/>
          <w:szCs w:val="22"/>
        </w:rPr>
        <w:t>’</w:t>
      </w:r>
      <w:r w:rsidRPr="005B2844">
        <w:rPr>
          <w:b/>
          <w:szCs w:val="22"/>
        </w:rPr>
        <w:t>interazione</w:t>
      </w:r>
    </w:p>
    <w:p w:rsidR="00FC113F" w:rsidRPr="005B2844" w:rsidRDefault="00FC113F" w:rsidP="00126264">
      <w:pPr>
        <w:keepNext/>
        <w:rPr>
          <w:szCs w:val="22"/>
        </w:rPr>
      </w:pPr>
    </w:p>
    <w:p w:rsidR="00325482" w:rsidRPr="005B2844" w:rsidRDefault="00FC113F" w:rsidP="00126264">
      <w:pPr>
        <w:pStyle w:val="BodyText30"/>
        <w:keepNext/>
        <w:widowControl/>
        <w:rPr>
          <w:szCs w:val="22"/>
          <w:lang w:val="it-IT"/>
        </w:rPr>
      </w:pPr>
      <w:r w:rsidRPr="005B2844">
        <w:rPr>
          <w:szCs w:val="22"/>
          <w:u w:val="single"/>
          <w:lang w:val="it-IT"/>
        </w:rPr>
        <w:t>Litio</w:t>
      </w:r>
    </w:p>
    <w:p w:rsidR="00325482" w:rsidRPr="005B2844" w:rsidRDefault="00325482" w:rsidP="00126264">
      <w:pPr>
        <w:pStyle w:val="BodyText30"/>
        <w:keepNext/>
        <w:widowControl/>
        <w:rPr>
          <w:szCs w:val="22"/>
          <w:lang w:val="it-IT"/>
        </w:rPr>
      </w:pPr>
    </w:p>
    <w:p w:rsidR="00FC113F" w:rsidRPr="005B2844" w:rsidRDefault="00FC113F" w:rsidP="0072602F">
      <w:pPr>
        <w:pStyle w:val="BodyText30"/>
        <w:widowControl/>
        <w:rPr>
          <w:szCs w:val="22"/>
          <w:lang w:val="it-IT"/>
        </w:rPr>
      </w:pPr>
      <w:r w:rsidRPr="005B2844">
        <w:rPr>
          <w:szCs w:val="22"/>
          <w:lang w:val="it-IT"/>
        </w:rPr>
        <w:t xml:space="preserve">Aumenti reversibili delle concentrazioni sieriche di litio e della tossicità sono stati riportati durante la somministrazione contemporanea di litio con ACE-inibitori (inibitori dell’enzima di conversione dell’angiotensina). Sono stati riportati casi rari anche con antagonisti dei recettori dell'angiotensina II (incluso </w:t>
      </w:r>
      <w:proofErr w:type="spellStart"/>
      <w:r w:rsidRPr="005B2844">
        <w:rPr>
          <w:szCs w:val="22"/>
          <w:lang w:val="it-IT"/>
        </w:rPr>
        <w:t>MicardisPlus</w:t>
      </w:r>
      <w:proofErr w:type="spellEnd"/>
      <w:r w:rsidRPr="005B2844">
        <w:rPr>
          <w:szCs w:val="22"/>
          <w:lang w:val="it-IT"/>
        </w:rPr>
        <w:t xml:space="preserve">). La co-somministrazione di litio e </w:t>
      </w:r>
      <w:proofErr w:type="spellStart"/>
      <w:r w:rsidRPr="005B2844">
        <w:rPr>
          <w:szCs w:val="22"/>
          <w:lang w:val="it-IT"/>
        </w:rPr>
        <w:t>MicardisPlus</w:t>
      </w:r>
      <w:proofErr w:type="spellEnd"/>
      <w:r w:rsidRPr="005B2844">
        <w:rPr>
          <w:szCs w:val="22"/>
          <w:lang w:val="it-IT"/>
        </w:rPr>
        <w:t xml:space="preserve"> non è raccomandata (vedere paragrafo 4.4). Se tale co-somministrazione fosse proprio necessaria, si raccomanda un attento monitoraggio dei livelli sierici di liti</w:t>
      </w:r>
      <w:r w:rsidR="00FB128A" w:rsidRPr="005B2844">
        <w:rPr>
          <w:szCs w:val="22"/>
          <w:lang w:val="it-IT"/>
        </w:rPr>
        <w:t>o durante l'uso concomitante de</w:t>
      </w:r>
      <w:r w:rsidRPr="005B2844">
        <w:rPr>
          <w:szCs w:val="22"/>
          <w:lang w:val="it-IT"/>
        </w:rPr>
        <w:t xml:space="preserve">i due </w:t>
      </w:r>
      <w:r w:rsidR="006F476C" w:rsidRPr="005B2844">
        <w:rPr>
          <w:szCs w:val="22"/>
          <w:lang w:val="it-IT"/>
        </w:rPr>
        <w:t>medicinali</w:t>
      </w:r>
      <w:r w:rsidRPr="005B2844">
        <w:rPr>
          <w:szCs w:val="22"/>
          <w:lang w:val="it-IT"/>
        </w:rPr>
        <w:t>.</w:t>
      </w:r>
    </w:p>
    <w:p w:rsidR="00FC113F" w:rsidRPr="005B2844" w:rsidRDefault="00FC113F" w:rsidP="0072602F">
      <w:pPr>
        <w:rPr>
          <w:szCs w:val="22"/>
        </w:rPr>
      </w:pPr>
    </w:p>
    <w:p w:rsidR="00325482" w:rsidRPr="005B2844" w:rsidRDefault="006F476C" w:rsidP="00126264">
      <w:pPr>
        <w:keepNext/>
        <w:rPr>
          <w:szCs w:val="22"/>
        </w:rPr>
      </w:pPr>
      <w:r w:rsidRPr="005B2844">
        <w:rPr>
          <w:szCs w:val="22"/>
          <w:u w:val="single"/>
        </w:rPr>
        <w:t>Medicinali</w:t>
      </w:r>
      <w:r w:rsidR="00FC113F" w:rsidRPr="005B2844">
        <w:rPr>
          <w:szCs w:val="22"/>
          <w:u w:val="single"/>
        </w:rPr>
        <w:t xml:space="preserve"> associati alla perdita di potassio e all'</w:t>
      </w:r>
      <w:r w:rsidR="00A60181" w:rsidRPr="005B2844">
        <w:rPr>
          <w:szCs w:val="22"/>
          <w:u w:val="single"/>
        </w:rPr>
        <w:t>ipokaliemia</w:t>
      </w:r>
      <w:r w:rsidR="00FC113F" w:rsidRPr="005B2844">
        <w:rPr>
          <w:szCs w:val="22"/>
        </w:rPr>
        <w:t xml:space="preserve"> (</w:t>
      </w:r>
      <w:r w:rsidR="00096E7E" w:rsidRPr="005B2844">
        <w:rPr>
          <w:szCs w:val="22"/>
        </w:rPr>
        <w:t>ad es.</w:t>
      </w:r>
      <w:r w:rsidR="00FC113F" w:rsidRPr="005B2844">
        <w:rPr>
          <w:szCs w:val="22"/>
        </w:rPr>
        <w:t xml:space="preserve"> altri diuretici non risparmiatori di potassio, lassativi, corticosteroidi, ACTH, </w:t>
      </w:r>
      <w:proofErr w:type="spellStart"/>
      <w:r w:rsidR="00FC113F" w:rsidRPr="005B2844">
        <w:rPr>
          <w:szCs w:val="22"/>
        </w:rPr>
        <w:t>amfotericina</w:t>
      </w:r>
      <w:proofErr w:type="spellEnd"/>
      <w:r w:rsidR="00FC113F" w:rsidRPr="005B2844">
        <w:rPr>
          <w:szCs w:val="22"/>
        </w:rPr>
        <w:t xml:space="preserve">, </w:t>
      </w:r>
      <w:proofErr w:type="spellStart"/>
      <w:r w:rsidR="00FC113F" w:rsidRPr="005B2844">
        <w:rPr>
          <w:szCs w:val="22"/>
        </w:rPr>
        <w:t>carbenoxolone</w:t>
      </w:r>
      <w:proofErr w:type="spellEnd"/>
      <w:r w:rsidR="00FC113F" w:rsidRPr="005B2844">
        <w:rPr>
          <w:szCs w:val="22"/>
        </w:rPr>
        <w:t>, penicillina G sodica, acido salicilico e derivati)</w:t>
      </w:r>
    </w:p>
    <w:p w:rsidR="00325482" w:rsidRPr="005B2844" w:rsidRDefault="00325482" w:rsidP="000709BC">
      <w:pPr>
        <w:rPr>
          <w:szCs w:val="22"/>
        </w:rPr>
      </w:pPr>
    </w:p>
    <w:p w:rsidR="00FC113F" w:rsidRPr="005B2844" w:rsidRDefault="00FC113F" w:rsidP="0072602F">
      <w:pPr>
        <w:rPr>
          <w:szCs w:val="22"/>
        </w:rPr>
      </w:pPr>
      <w:r w:rsidRPr="005B2844">
        <w:rPr>
          <w:szCs w:val="22"/>
        </w:rPr>
        <w:t>Se quest</w:t>
      </w:r>
      <w:r w:rsidR="008A1D97" w:rsidRPr="005B2844">
        <w:rPr>
          <w:szCs w:val="22"/>
        </w:rPr>
        <w:t>e</w:t>
      </w:r>
      <w:r w:rsidRPr="005B2844">
        <w:rPr>
          <w:szCs w:val="22"/>
        </w:rPr>
        <w:t xml:space="preserve"> </w:t>
      </w:r>
      <w:r w:rsidR="008A1D97" w:rsidRPr="005B2844">
        <w:rPr>
          <w:szCs w:val="22"/>
        </w:rPr>
        <w:t>sostanze</w:t>
      </w:r>
      <w:r w:rsidRPr="005B2844">
        <w:rPr>
          <w:szCs w:val="22"/>
        </w:rPr>
        <w:t xml:space="preserve"> devono essere prescritt</w:t>
      </w:r>
      <w:r w:rsidR="008A1D97" w:rsidRPr="005B2844">
        <w:rPr>
          <w:szCs w:val="22"/>
        </w:rPr>
        <w:t>e</w:t>
      </w:r>
      <w:r w:rsidRPr="005B2844">
        <w:rPr>
          <w:szCs w:val="22"/>
        </w:rPr>
        <w:t xml:space="preserve"> con l’associazione </w:t>
      </w:r>
      <w:proofErr w:type="spellStart"/>
      <w:r w:rsidRPr="005B2844">
        <w:rPr>
          <w:szCs w:val="22"/>
        </w:rPr>
        <w:t>idroclorotiazide-telmisartan</w:t>
      </w:r>
      <w:proofErr w:type="spellEnd"/>
      <w:r w:rsidRPr="005B2844">
        <w:rPr>
          <w:szCs w:val="22"/>
        </w:rPr>
        <w:t xml:space="preserve">, si raccomanda di monitorare i livelli plasmatici di potassio. Questi </w:t>
      </w:r>
      <w:r w:rsidR="006F476C" w:rsidRPr="005B2844">
        <w:rPr>
          <w:szCs w:val="22"/>
        </w:rPr>
        <w:t>medicinali</w:t>
      </w:r>
      <w:r w:rsidRPr="005B2844">
        <w:rPr>
          <w:szCs w:val="22"/>
        </w:rPr>
        <w:t xml:space="preserve"> possono potenziare l'effetto dell'</w:t>
      </w:r>
      <w:proofErr w:type="spellStart"/>
      <w:r w:rsidRPr="005B2844">
        <w:rPr>
          <w:szCs w:val="22"/>
        </w:rPr>
        <w:t>idroclorotiazide</w:t>
      </w:r>
      <w:proofErr w:type="spellEnd"/>
      <w:r w:rsidRPr="005B2844">
        <w:rPr>
          <w:szCs w:val="22"/>
        </w:rPr>
        <w:t xml:space="preserve"> sul potassio sierico (vedere paragrafo 4.4).</w:t>
      </w:r>
    </w:p>
    <w:p w:rsidR="00FC113F" w:rsidRPr="005B2844" w:rsidRDefault="00FC113F" w:rsidP="0072602F">
      <w:pPr>
        <w:rPr>
          <w:szCs w:val="22"/>
        </w:rPr>
      </w:pPr>
    </w:p>
    <w:p w:rsidR="00325482" w:rsidRPr="005B2844" w:rsidRDefault="006F476C" w:rsidP="00126264">
      <w:pPr>
        <w:keepNext/>
        <w:rPr>
          <w:szCs w:val="22"/>
        </w:rPr>
      </w:pPr>
      <w:r w:rsidRPr="005B2844">
        <w:rPr>
          <w:szCs w:val="22"/>
          <w:u w:val="single"/>
        </w:rPr>
        <w:t>Medicinali</w:t>
      </w:r>
      <w:r w:rsidR="00FC113F" w:rsidRPr="005B2844">
        <w:rPr>
          <w:szCs w:val="22"/>
          <w:u w:val="single"/>
        </w:rPr>
        <w:t xml:space="preserve"> che possono aumentare i livelli di potassio o indurre </w:t>
      </w:r>
      <w:proofErr w:type="spellStart"/>
      <w:r w:rsidR="00FC113F" w:rsidRPr="005B2844">
        <w:rPr>
          <w:szCs w:val="22"/>
          <w:u w:val="single"/>
        </w:rPr>
        <w:t>iperpotassemia</w:t>
      </w:r>
      <w:proofErr w:type="spellEnd"/>
      <w:r w:rsidR="00FC113F" w:rsidRPr="005B2844">
        <w:rPr>
          <w:szCs w:val="22"/>
        </w:rPr>
        <w:t xml:space="preserve"> (ad es. ACE inibitori, diuretici potassio-risparmiatori, integratori di potassio, sostitutivi del sale contenenti potassio, ciclosporina od altri </w:t>
      </w:r>
      <w:r w:rsidRPr="005B2844">
        <w:rPr>
          <w:szCs w:val="22"/>
        </w:rPr>
        <w:t>medicinali</w:t>
      </w:r>
      <w:r w:rsidR="00FC113F" w:rsidRPr="005B2844">
        <w:rPr>
          <w:szCs w:val="22"/>
        </w:rPr>
        <w:t xml:space="preserve"> quali l'eparina sodica)</w:t>
      </w:r>
    </w:p>
    <w:p w:rsidR="00325482" w:rsidRPr="005B2844" w:rsidRDefault="00325482" w:rsidP="00126264">
      <w:pPr>
        <w:keepNext/>
        <w:rPr>
          <w:szCs w:val="22"/>
        </w:rPr>
      </w:pPr>
    </w:p>
    <w:p w:rsidR="00FC113F" w:rsidRPr="005B2844" w:rsidRDefault="00FC113F" w:rsidP="0072602F">
      <w:pPr>
        <w:rPr>
          <w:szCs w:val="22"/>
        </w:rPr>
      </w:pPr>
      <w:r w:rsidRPr="005B2844">
        <w:rPr>
          <w:szCs w:val="22"/>
        </w:rPr>
        <w:t xml:space="preserve">Se questi </w:t>
      </w:r>
      <w:r w:rsidR="006F476C" w:rsidRPr="005B2844">
        <w:rPr>
          <w:szCs w:val="22"/>
        </w:rPr>
        <w:t>medicinali</w:t>
      </w:r>
      <w:r w:rsidRPr="005B2844">
        <w:rPr>
          <w:szCs w:val="22"/>
        </w:rPr>
        <w:t xml:space="preserve"> devono essere prescritti con l’associazione </w:t>
      </w:r>
      <w:proofErr w:type="spellStart"/>
      <w:r w:rsidRPr="005B2844">
        <w:rPr>
          <w:szCs w:val="22"/>
        </w:rPr>
        <w:t>idroclorotiazide-telmisartan</w:t>
      </w:r>
      <w:proofErr w:type="spellEnd"/>
      <w:r w:rsidRPr="005B2844">
        <w:rPr>
          <w:szCs w:val="22"/>
        </w:rPr>
        <w:t xml:space="preserve">, si raccomanda di monitorizzare i livelli plasmatici di potassio. Sulla base dell'esperienza acquisita con l'uso di altri </w:t>
      </w:r>
      <w:r w:rsidR="006F476C" w:rsidRPr="005B2844">
        <w:rPr>
          <w:szCs w:val="22"/>
        </w:rPr>
        <w:t>medicinali</w:t>
      </w:r>
      <w:r w:rsidRPr="005B2844">
        <w:rPr>
          <w:szCs w:val="22"/>
        </w:rPr>
        <w:t xml:space="preserve"> che inibiscono il sistema renina-angiotensina, l'uso concomitante dei suddetti </w:t>
      </w:r>
      <w:r w:rsidR="006F476C" w:rsidRPr="005B2844">
        <w:rPr>
          <w:szCs w:val="22"/>
        </w:rPr>
        <w:t>medicinali</w:t>
      </w:r>
      <w:r w:rsidRPr="005B2844">
        <w:rPr>
          <w:szCs w:val="22"/>
        </w:rPr>
        <w:t xml:space="preserve"> può indurre un aumento del potassio sierico e pertanto non è raccomandato (vedere paragrafo 4.4).</w:t>
      </w:r>
    </w:p>
    <w:p w:rsidR="00FC113F" w:rsidRPr="005B2844" w:rsidRDefault="00FC113F" w:rsidP="0072602F">
      <w:pPr>
        <w:rPr>
          <w:szCs w:val="22"/>
        </w:rPr>
      </w:pPr>
    </w:p>
    <w:p w:rsidR="00325482" w:rsidRPr="005B2844" w:rsidRDefault="006F476C" w:rsidP="008A1E96">
      <w:pPr>
        <w:keepNext/>
        <w:rPr>
          <w:szCs w:val="22"/>
        </w:rPr>
      </w:pPr>
      <w:r w:rsidRPr="005B2844">
        <w:rPr>
          <w:szCs w:val="22"/>
          <w:u w:val="single"/>
        </w:rPr>
        <w:t>Medicinali</w:t>
      </w:r>
      <w:r w:rsidR="00FC113F" w:rsidRPr="005B2844">
        <w:rPr>
          <w:szCs w:val="22"/>
          <w:u w:val="single"/>
        </w:rPr>
        <w:t xml:space="preserve"> influenzati dalle alterazioni del potassio sierico</w:t>
      </w:r>
    </w:p>
    <w:p w:rsidR="00325482" w:rsidRPr="005B2844" w:rsidRDefault="00325482" w:rsidP="008A1E96">
      <w:pPr>
        <w:keepNext/>
        <w:rPr>
          <w:szCs w:val="22"/>
        </w:rPr>
      </w:pPr>
    </w:p>
    <w:p w:rsidR="00FC113F" w:rsidRPr="005B2844" w:rsidRDefault="00FC113F" w:rsidP="0072602F">
      <w:pPr>
        <w:rPr>
          <w:szCs w:val="22"/>
        </w:rPr>
      </w:pPr>
      <w:r w:rsidRPr="005B2844">
        <w:rPr>
          <w:szCs w:val="22"/>
        </w:rPr>
        <w:t xml:space="preserve">Si raccomanda il monitoraggio periodico del potassio sierico e l'ECG quando </w:t>
      </w:r>
      <w:proofErr w:type="spellStart"/>
      <w:r w:rsidRPr="005B2844">
        <w:rPr>
          <w:szCs w:val="22"/>
        </w:rPr>
        <w:t>MicardisPlus</w:t>
      </w:r>
      <w:proofErr w:type="spellEnd"/>
      <w:r w:rsidRPr="005B2844">
        <w:rPr>
          <w:szCs w:val="22"/>
        </w:rPr>
        <w:t xml:space="preserve"> è somministrato con </w:t>
      </w:r>
      <w:r w:rsidR="008A1D97" w:rsidRPr="005B2844">
        <w:rPr>
          <w:szCs w:val="22"/>
        </w:rPr>
        <w:t xml:space="preserve">medicinali </w:t>
      </w:r>
      <w:r w:rsidRPr="005B2844">
        <w:rPr>
          <w:szCs w:val="22"/>
        </w:rPr>
        <w:t>influenzati dalle alterazioni di potass</w:t>
      </w:r>
      <w:r w:rsidR="00C1581D" w:rsidRPr="005B2844">
        <w:rPr>
          <w:szCs w:val="22"/>
        </w:rPr>
        <w:t>i</w:t>
      </w:r>
      <w:r w:rsidRPr="005B2844">
        <w:rPr>
          <w:szCs w:val="22"/>
        </w:rPr>
        <w:t>o sierico (</w:t>
      </w:r>
      <w:r w:rsidR="00096E7E" w:rsidRPr="005B2844">
        <w:rPr>
          <w:szCs w:val="22"/>
        </w:rPr>
        <w:t>ad es.</w:t>
      </w:r>
      <w:r w:rsidRPr="005B2844">
        <w:rPr>
          <w:szCs w:val="22"/>
        </w:rPr>
        <w:t xml:space="preserve"> glicosidi della digitale, antiaritmici) ed i seguenti </w:t>
      </w:r>
      <w:r w:rsidR="008A1D97" w:rsidRPr="005B2844">
        <w:rPr>
          <w:szCs w:val="22"/>
        </w:rPr>
        <w:t>medicinali</w:t>
      </w:r>
      <w:r w:rsidRPr="005B2844">
        <w:rPr>
          <w:szCs w:val="22"/>
        </w:rPr>
        <w:t xml:space="preserve"> che inducono torsioni di punta (che includono alcuni antiaritmici), essendo l'</w:t>
      </w:r>
      <w:proofErr w:type="spellStart"/>
      <w:r w:rsidRPr="005B2844">
        <w:rPr>
          <w:szCs w:val="22"/>
        </w:rPr>
        <w:t>ipopotassiemia</w:t>
      </w:r>
      <w:proofErr w:type="spellEnd"/>
      <w:r w:rsidRPr="005B2844">
        <w:rPr>
          <w:szCs w:val="22"/>
        </w:rPr>
        <w:t xml:space="preserve"> un fattore predisponente alle torsioni di punta.</w:t>
      </w:r>
    </w:p>
    <w:p w:rsidR="00FC113F" w:rsidRPr="005B2844" w:rsidRDefault="00FC113F" w:rsidP="0072602F">
      <w:pPr>
        <w:tabs>
          <w:tab w:val="left" w:pos="567"/>
        </w:tabs>
        <w:rPr>
          <w:szCs w:val="22"/>
        </w:rPr>
      </w:pPr>
      <w:r w:rsidRPr="005B2844">
        <w:rPr>
          <w:szCs w:val="22"/>
        </w:rPr>
        <w:t>-</w:t>
      </w:r>
      <w:r w:rsidRPr="005B2844">
        <w:rPr>
          <w:szCs w:val="22"/>
        </w:rPr>
        <w:tab/>
        <w:t xml:space="preserve">antiaritmici classe </w:t>
      </w:r>
      <w:proofErr w:type="spellStart"/>
      <w:r w:rsidRPr="005B2844">
        <w:rPr>
          <w:szCs w:val="22"/>
        </w:rPr>
        <w:t>Ia</w:t>
      </w:r>
      <w:proofErr w:type="spellEnd"/>
      <w:r w:rsidRPr="005B2844">
        <w:rPr>
          <w:szCs w:val="22"/>
        </w:rPr>
        <w:t xml:space="preserve"> (</w:t>
      </w:r>
      <w:r w:rsidR="00096E7E" w:rsidRPr="005B2844">
        <w:rPr>
          <w:szCs w:val="22"/>
        </w:rPr>
        <w:t>ad es.</w:t>
      </w:r>
      <w:r w:rsidRPr="005B2844">
        <w:rPr>
          <w:szCs w:val="22"/>
        </w:rPr>
        <w:t xml:space="preserve"> chinidina, </w:t>
      </w:r>
      <w:proofErr w:type="spellStart"/>
      <w:r w:rsidRPr="005B2844">
        <w:rPr>
          <w:szCs w:val="22"/>
        </w:rPr>
        <w:t>idrochinidina</w:t>
      </w:r>
      <w:proofErr w:type="spellEnd"/>
      <w:r w:rsidRPr="005B2844">
        <w:rPr>
          <w:szCs w:val="22"/>
        </w:rPr>
        <w:t xml:space="preserve">, </w:t>
      </w:r>
      <w:proofErr w:type="spellStart"/>
      <w:r w:rsidRPr="005B2844">
        <w:rPr>
          <w:szCs w:val="22"/>
        </w:rPr>
        <w:t>disopiramide</w:t>
      </w:r>
      <w:proofErr w:type="spellEnd"/>
      <w:r w:rsidRPr="005B2844">
        <w:rPr>
          <w:szCs w:val="22"/>
        </w:rPr>
        <w:t>)</w:t>
      </w:r>
    </w:p>
    <w:p w:rsidR="00FC113F" w:rsidRPr="005B2844" w:rsidRDefault="00FC113F" w:rsidP="0072602F">
      <w:pPr>
        <w:tabs>
          <w:tab w:val="left" w:pos="567"/>
        </w:tabs>
        <w:rPr>
          <w:szCs w:val="22"/>
        </w:rPr>
      </w:pPr>
      <w:r w:rsidRPr="005B2844">
        <w:rPr>
          <w:szCs w:val="22"/>
        </w:rPr>
        <w:t>-</w:t>
      </w:r>
      <w:r w:rsidRPr="005B2844">
        <w:rPr>
          <w:szCs w:val="22"/>
        </w:rPr>
        <w:tab/>
        <w:t>antiaritmici classe III (</w:t>
      </w:r>
      <w:r w:rsidR="00096E7E" w:rsidRPr="005B2844">
        <w:rPr>
          <w:szCs w:val="22"/>
        </w:rPr>
        <w:t>ad es.</w:t>
      </w:r>
      <w:r w:rsidRPr="005B2844">
        <w:rPr>
          <w:szCs w:val="22"/>
        </w:rPr>
        <w:t xml:space="preserve"> amiodarone, </w:t>
      </w:r>
      <w:proofErr w:type="spellStart"/>
      <w:r w:rsidRPr="005B2844">
        <w:rPr>
          <w:szCs w:val="22"/>
        </w:rPr>
        <w:t>sotalolo</w:t>
      </w:r>
      <w:proofErr w:type="spellEnd"/>
      <w:r w:rsidRPr="005B2844">
        <w:rPr>
          <w:szCs w:val="22"/>
        </w:rPr>
        <w:t xml:space="preserve">, </w:t>
      </w:r>
      <w:proofErr w:type="spellStart"/>
      <w:r w:rsidRPr="005B2844">
        <w:rPr>
          <w:szCs w:val="22"/>
        </w:rPr>
        <w:t>dofetilide</w:t>
      </w:r>
      <w:proofErr w:type="spellEnd"/>
      <w:r w:rsidRPr="005B2844">
        <w:rPr>
          <w:szCs w:val="22"/>
        </w:rPr>
        <w:t xml:space="preserve">, </w:t>
      </w:r>
      <w:proofErr w:type="spellStart"/>
      <w:r w:rsidRPr="005B2844">
        <w:rPr>
          <w:szCs w:val="22"/>
        </w:rPr>
        <w:t>ibutilide</w:t>
      </w:r>
      <w:proofErr w:type="spellEnd"/>
      <w:r w:rsidRPr="005B2844">
        <w:rPr>
          <w:szCs w:val="22"/>
        </w:rPr>
        <w:t>)</w:t>
      </w:r>
    </w:p>
    <w:p w:rsidR="00FC113F" w:rsidRPr="005B2844" w:rsidRDefault="00FC113F" w:rsidP="0072602F">
      <w:pPr>
        <w:tabs>
          <w:tab w:val="left" w:pos="567"/>
        </w:tabs>
        <w:ind w:left="567" w:hanging="567"/>
        <w:rPr>
          <w:szCs w:val="22"/>
        </w:rPr>
      </w:pPr>
      <w:r w:rsidRPr="005B2844">
        <w:rPr>
          <w:szCs w:val="22"/>
        </w:rPr>
        <w:t>-</w:t>
      </w:r>
      <w:r w:rsidRPr="005B2844">
        <w:rPr>
          <w:szCs w:val="22"/>
        </w:rPr>
        <w:tab/>
        <w:t>alcuni antipsicotici (</w:t>
      </w:r>
      <w:r w:rsidR="00096E7E" w:rsidRPr="005B2844">
        <w:rPr>
          <w:szCs w:val="22"/>
        </w:rPr>
        <w:t>ad es.</w:t>
      </w:r>
      <w:r w:rsidRPr="005B2844">
        <w:rPr>
          <w:szCs w:val="22"/>
        </w:rPr>
        <w:t xml:space="preserve"> </w:t>
      </w:r>
      <w:proofErr w:type="spellStart"/>
      <w:r w:rsidRPr="005B2844">
        <w:rPr>
          <w:szCs w:val="22"/>
        </w:rPr>
        <w:t>tioridazina</w:t>
      </w:r>
      <w:proofErr w:type="spellEnd"/>
      <w:r w:rsidRPr="005B2844">
        <w:rPr>
          <w:szCs w:val="22"/>
        </w:rPr>
        <w:t xml:space="preserve">, clorpromazina, </w:t>
      </w:r>
      <w:proofErr w:type="spellStart"/>
      <w:r w:rsidRPr="005B2844">
        <w:rPr>
          <w:szCs w:val="22"/>
        </w:rPr>
        <w:t>levomepromazina</w:t>
      </w:r>
      <w:proofErr w:type="spellEnd"/>
      <w:r w:rsidRPr="005B2844">
        <w:rPr>
          <w:szCs w:val="22"/>
        </w:rPr>
        <w:t xml:space="preserve">, </w:t>
      </w:r>
      <w:proofErr w:type="spellStart"/>
      <w:r w:rsidRPr="005B2844">
        <w:rPr>
          <w:szCs w:val="22"/>
        </w:rPr>
        <w:t>trifluoperazina</w:t>
      </w:r>
      <w:proofErr w:type="spellEnd"/>
      <w:r w:rsidRPr="005B2844">
        <w:rPr>
          <w:szCs w:val="22"/>
        </w:rPr>
        <w:t xml:space="preserve">, </w:t>
      </w:r>
      <w:proofErr w:type="spellStart"/>
      <w:r w:rsidRPr="005B2844">
        <w:rPr>
          <w:szCs w:val="22"/>
        </w:rPr>
        <w:t>cyamemazina</w:t>
      </w:r>
      <w:proofErr w:type="spellEnd"/>
      <w:r w:rsidRPr="005B2844">
        <w:rPr>
          <w:szCs w:val="22"/>
        </w:rPr>
        <w:t xml:space="preserve">, </w:t>
      </w:r>
      <w:proofErr w:type="spellStart"/>
      <w:r w:rsidRPr="005B2844">
        <w:rPr>
          <w:szCs w:val="22"/>
        </w:rPr>
        <w:t>sulpiride</w:t>
      </w:r>
      <w:proofErr w:type="spellEnd"/>
      <w:r w:rsidRPr="005B2844">
        <w:rPr>
          <w:szCs w:val="22"/>
        </w:rPr>
        <w:t xml:space="preserve">, </w:t>
      </w:r>
      <w:proofErr w:type="spellStart"/>
      <w:r w:rsidRPr="005B2844">
        <w:rPr>
          <w:szCs w:val="22"/>
        </w:rPr>
        <w:t>sultopride</w:t>
      </w:r>
      <w:proofErr w:type="spellEnd"/>
      <w:r w:rsidRPr="005B2844">
        <w:rPr>
          <w:szCs w:val="22"/>
        </w:rPr>
        <w:t xml:space="preserve">, </w:t>
      </w:r>
      <w:proofErr w:type="spellStart"/>
      <w:r w:rsidRPr="005B2844">
        <w:rPr>
          <w:szCs w:val="22"/>
        </w:rPr>
        <w:t>amisulpride</w:t>
      </w:r>
      <w:proofErr w:type="spellEnd"/>
      <w:r w:rsidRPr="005B2844">
        <w:rPr>
          <w:szCs w:val="22"/>
        </w:rPr>
        <w:t xml:space="preserve">, </w:t>
      </w:r>
      <w:proofErr w:type="spellStart"/>
      <w:r w:rsidRPr="005B2844">
        <w:rPr>
          <w:szCs w:val="22"/>
        </w:rPr>
        <w:t>tiapride</w:t>
      </w:r>
      <w:proofErr w:type="spellEnd"/>
      <w:r w:rsidRPr="005B2844">
        <w:rPr>
          <w:szCs w:val="22"/>
        </w:rPr>
        <w:t xml:space="preserve">, </w:t>
      </w:r>
      <w:proofErr w:type="spellStart"/>
      <w:r w:rsidRPr="005B2844">
        <w:rPr>
          <w:szCs w:val="22"/>
        </w:rPr>
        <w:t>pimozide</w:t>
      </w:r>
      <w:proofErr w:type="spellEnd"/>
      <w:r w:rsidRPr="005B2844">
        <w:rPr>
          <w:szCs w:val="22"/>
        </w:rPr>
        <w:t xml:space="preserve">, </w:t>
      </w:r>
      <w:proofErr w:type="spellStart"/>
      <w:r w:rsidRPr="005B2844">
        <w:rPr>
          <w:szCs w:val="22"/>
        </w:rPr>
        <w:t>aloperidolo</w:t>
      </w:r>
      <w:proofErr w:type="spellEnd"/>
      <w:r w:rsidRPr="005B2844">
        <w:rPr>
          <w:szCs w:val="22"/>
        </w:rPr>
        <w:t xml:space="preserve">, </w:t>
      </w:r>
      <w:proofErr w:type="spellStart"/>
      <w:r w:rsidRPr="005B2844">
        <w:rPr>
          <w:szCs w:val="22"/>
        </w:rPr>
        <w:t>droperidolo</w:t>
      </w:r>
      <w:proofErr w:type="spellEnd"/>
      <w:r w:rsidRPr="005B2844">
        <w:rPr>
          <w:szCs w:val="22"/>
        </w:rPr>
        <w:t>)</w:t>
      </w:r>
    </w:p>
    <w:p w:rsidR="00FC113F" w:rsidRPr="005B2844" w:rsidRDefault="008A1D97" w:rsidP="0072602F">
      <w:pPr>
        <w:tabs>
          <w:tab w:val="left" w:pos="567"/>
        </w:tabs>
        <w:ind w:left="567" w:hanging="567"/>
        <w:rPr>
          <w:szCs w:val="22"/>
        </w:rPr>
      </w:pPr>
      <w:r w:rsidRPr="005B2844">
        <w:rPr>
          <w:szCs w:val="22"/>
        </w:rPr>
        <w:t>-</w:t>
      </w:r>
      <w:r w:rsidRPr="005B2844">
        <w:rPr>
          <w:szCs w:val="22"/>
        </w:rPr>
        <w:tab/>
      </w:r>
      <w:r w:rsidR="00FC113F" w:rsidRPr="005B2844">
        <w:rPr>
          <w:szCs w:val="22"/>
        </w:rPr>
        <w:t>altri (</w:t>
      </w:r>
      <w:r w:rsidR="00096E7E" w:rsidRPr="005B2844">
        <w:rPr>
          <w:szCs w:val="22"/>
        </w:rPr>
        <w:t>ad es.</w:t>
      </w:r>
      <w:r w:rsidR="00FC113F" w:rsidRPr="005B2844">
        <w:rPr>
          <w:szCs w:val="22"/>
        </w:rPr>
        <w:t xml:space="preserve"> </w:t>
      </w:r>
      <w:proofErr w:type="spellStart"/>
      <w:r w:rsidR="00FC113F" w:rsidRPr="005B2844">
        <w:rPr>
          <w:szCs w:val="22"/>
        </w:rPr>
        <w:t>bepridil</w:t>
      </w:r>
      <w:proofErr w:type="spellEnd"/>
      <w:r w:rsidR="00FC113F" w:rsidRPr="005B2844">
        <w:rPr>
          <w:szCs w:val="22"/>
        </w:rPr>
        <w:t xml:space="preserve">, cisapride, </w:t>
      </w:r>
      <w:proofErr w:type="spellStart"/>
      <w:r w:rsidR="00FC113F" w:rsidRPr="005B2844">
        <w:rPr>
          <w:szCs w:val="22"/>
        </w:rPr>
        <w:t>difemanil</w:t>
      </w:r>
      <w:proofErr w:type="spellEnd"/>
      <w:r w:rsidR="00FC113F" w:rsidRPr="005B2844">
        <w:rPr>
          <w:szCs w:val="22"/>
        </w:rPr>
        <w:t xml:space="preserve">, eritromicina IV, </w:t>
      </w:r>
      <w:proofErr w:type="spellStart"/>
      <w:r w:rsidR="00FC113F" w:rsidRPr="005B2844">
        <w:rPr>
          <w:szCs w:val="22"/>
        </w:rPr>
        <w:t>alofantrin</w:t>
      </w:r>
      <w:proofErr w:type="spellEnd"/>
      <w:r w:rsidR="00FC113F" w:rsidRPr="005B2844">
        <w:rPr>
          <w:szCs w:val="22"/>
        </w:rPr>
        <w:t xml:space="preserve">, </w:t>
      </w:r>
      <w:proofErr w:type="spellStart"/>
      <w:r w:rsidR="00FC113F" w:rsidRPr="005B2844">
        <w:rPr>
          <w:szCs w:val="22"/>
        </w:rPr>
        <w:t>mizolastin</w:t>
      </w:r>
      <w:proofErr w:type="spellEnd"/>
      <w:r w:rsidR="00FC113F" w:rsidRPr="005B2844">
        <w:rPr>
          <w:szCs w:val="22"/>
        </w:rPr>
        <w:t xml:space="preserve">, </w:t>
      </w:r>
      <w:proofErr w:type="spellStart"/>
      <w:r w:rsidR="00FC113F" w:rsidRPr="005B2844">
        <w:rPr>
          <w:szCs w:val="22"/>
        </w:rPr>
        <w:t>pentamidina</w:t>
      </w:r>
      <w:proofErr w:type="spellEnd"/>
      <w:r w:rsidR="00FC113F" w:rsidRPr="005B2844">
        <w:rPr>
          <w:szCs w:val="22"/>
        </w:rPr>
        <w:t xml:space="preserve">, </w:t>
      </w:r>
      <w:proofErr w:type="spellStart"/>
      <w:r w:rsidR="00FC113F" w:rsidRPr="005B2844">
        <w:rPr>
          <w:szCs w:val="22"/>
        </w:rPr>
        <w:t>sparfloxacina</w:t>
      </w:r>
      <w:proofErr w:type="spellEnd"/>
      <w:r w:rsidR="00FC113F" w:rsidRPr="005B2844">
        <w:rPr>
          <w:szCs w:val="22"/>
        </w:rPr>
        <w:t xml:space="preserve">, </w:t>
      </w:r>
      <w:proofErr w:type="spellStart"/>
      <w:r w:rsidR="00FC113F" w:rsidRPr="005B2844">
        <w:rPr>
          <w:szCs w:val="22"/>
        </w:rPr>
        <w:t>terfenadina</w:t>
      </w:r>
      <w:proofErr w:type="spellEnd"/>
      <w:r w:rsidR="00FC113F" w:rsidRPr="005B2844">
        <w:rPr>
          <w:szCs w:val="22"/>
        </w:rPr>
        <w:t xml:space="preserve">, </w:t>
      </w:r>
      <w:proofErr w:type="spellStart"/>
      <w:r w:rsidR="00FC113F" w:rsidRPr="005B2844">
        <w:rPr>
          <w:szCs w:val="22"/>
        </w:rPr>
        <w:t>vincamina</w:t>
      </w:r>
      <w:proofErr w:type="spellEnd"/>
      <w:r w:rsidR="00FC113F" w:rsidRPr="005B2844">
        <w:rPr>
          <w:szCs w:val="22"/>
        </w:rPr>
        <w:t xml:space="preserve"> IV).</w:t>
      </w:r>
    </w:p>
    <w:p w:rsidR="00FC113F" w:rsidRPr="005B2844" w:rsidRDefault="00FC113F" w:rsidP="0072602F">
      <w:pPr>
        <w:tabs>
          <w:tab w:val="left" w:pos="567"/>
        </w:tabs>
        <w:rPr>
          <w:szCs w:val="22"/>
        </w:rPr>
      </w:pPr>
    </w:p>
    <w:p w:rsidR="00325482" w:rsidRPr="005B2844" w:rsidRDefault="00FC113F" w:rsidP="00126264">
      <w:pPr>
        <w:keepNext/>
        <w:tabs>
          <w:tab w:val="left" w:pos="567"/>
        </w:tabs>
        <w:rPr>
          <w:szCs w:val="22"/>
        </w:rPr>
      </w:pPr>
      <w:r w:rsidRPr="005B2844">
        <w:rPr>
          <w:szCs w:val="22"/>
          <w:u w:val="single"/>
        </w:rPr>
        <w:t>Glicosidi della digitale</w:t>
      </w:r>
    </w:p>
    <w:p w:rsidR="00325482" w:rsidRPr="005B2844" w:rsidRDefault="00325482" w:rsidP="00126264">
      <w:pPr>
        <w:keepNext/>
        <w:tabs>
          <w:tab w:val="left" w:pos="567"/>
        </w:tabs>
        <w:rPr>
          <w:szCs w:val="22"/>
        </w:rPr>
      </w:pPr>
    </w:p>
    <w:p w:rsidR="00FC113F" w:rsidRPr="005B2844" w:rsidRDefault="00C80A54" w:rsidP="0072602F">
      <w:pPr>
        <w:tabs>
          <w:tab w:val="left" w:pos="567"/>
        </w:tabs>
        <w:rPr>
          <w:szCs w:val="22"/>
        </w:rPr>
      </w:pPr>
      <w:proofErr w:type="spellStart"/>
      <w:r w:rsidRPr="005B2844">
        <w:rPr>
          <w:szCs w:val="22"/>
        </w:rPr>
        <w:t>I</w:t>
      </w:r>
      <w:r w:rsidR="00FC113F" w:rsidRPr="005B2844">
        <w:rPr>
          <w:szCs w:val="22"/>
        </w:rPr>
        <w:t>popotassiemia</w:t>
      </w:r>
      <w:proofErr w:type="spellEnd"/>
      <w:r w:rsidR="00FC113F" w:rsidRPr="005B2844">
        <w:rPr>
          <w:szCs w:val="22"/>
        </w:rPr>
        <w:t xml:space="preserve"> o ipomagnesiemia indotte dai tiazi</w:t>
      </w:r>
      <w:r w:rsidR="00FB128A" w:rsidRPr="005B2844">
        <w:rPr>
          <w:szCs w:val="22"/>
        </w:rPr>
        <w:t>di</w:t>
      </w:r>
      <w:r w:rsidR="00FC113F" w:rsidRPr="005B2844">
        <w:rPr>
          <w:szCs w:val="22"/>
        </w:rPr>
        <w:t>ci favoriscono l'insorgenza di aritmia cardiaca indotta da digitale (vedere paragrafo 4.4).</w:t>
      </w:r>
    </w:p>
    <w:p w:rsidR="00FC113F" w:rsidRPr="005B2844" w:rsidRDefault="00FC113F" w:rsidP="0072602F">
      <w:pPr>
        <w:rPr>
          <w:szCs w:val="22"/>
        </w:rPr>
      </w:pPr>
    </w:p>
    <w:p w:rsidR="002B345E" w:rsidRPr="005B2844" w:rsidRDefault="002B345E" w:rsidP="002B345E">
      <w:pPr>
        <w:keepNext/>
        <w:tabs>
          <w:tab w:val="left" w:pos="567"/>
        </w:tabs>
        <w:rPr>
          <w:szCs w:val="22"/>
          <w:u w:val="single"/>
        </w:rPr>
      </w:pPr>
      <w:r w:rsidRPr="005B2844">
        <w:rPr>
          <w:szCs w:val="22"/>
          <w:u w:val="single"/>
        </w:rPr>
        <w:t>Digossina</w:t>
      </w:r>
    </w:p>
    <w:p w:rsidR="002B345E" w:rsidRPr="005B2844" w:rsidRDefault="002B345E" w:rsidP="002B345E">
      <w:pPr>
        <w:keepNext/>
        <w:tabs>
          <w:tab w:val="left" w:pos="567"/>
        </w:tabs>
        <w:rPr>
          <w:szCs w:val="22"/>
        </w:rPr>
      </w:pPr>
    </w:p>
    <w:p w:rsidR="002B345E" w:rsidRPr="005B2844" w:rsidRDefault="002B345E" w:rsidP="002B345E">
      <w:pPr>
        <w:tabs>
          <w:tab w:val="left" w:pos="567"/>
        </w:tabs>
        <w:rPr>
          <w:szCs w:val="22"/>
        </w:rPr>
      </w:pPr>
      <w:r w:rsidRPr="005B2844">
        <w:rPr>
          <w:szCs w:val="22"/>
        </w:rPr>
        <w:t xml:space="preserve">Quando </w:t>
      </w:r>
      <w:proofErr w:type="spellStart"/>
      <w:r w:rsidRPr="005B2844">
        <w:rPr>
          <w:szCs w:val="22"/>
        </w:rPr>
        <w:t>telmisartan</w:t>
      </w:r>
      <w:proofErr w:type="spellEnd"/>
      <w:r w:rsidRPr="005B2844">
        <w:rPr>
          <w:szCs w:val="22"/>
        </w:rPr>
        <w:t xml:space="preserve"> è stato co-somministrato con digossina, sono stati osservati incrementi medi della concentrazione plasmatica di picco (49%) e della concentrazione di valle (20%) di digossina. Qualora si inizi, si modifichi e si interrompa il trattamento con </w:t>
      </w:r>
      <w:proofErr w:type="spellStart"/>
      <w:r w:rsidRPr="005B2844">
        <w:rPr>
          <w:szCs w:val="22"/>
        </w:rPr>
        <w:t>telmisartan</w:t>
      </w:r>
      <w:proofErr w:type="spellEnd"/>
      <w:r w:rsidRPr="005B2844">
        <w:rPr>
          <w:szCs w:val="22"/>
        </w:rPr>
        <w:t>, occorre monitorare i livelli di digossina al fine di mantenerli all’interno dell’intervallo terapeutico.</w:t>
      </w:r>
    </w:p>
    <w:p w:rsidR="002B345E" w:rsidRPr="005B2844" w:rsidRDefault="002B345E" w:rsidP="0072602F">
      <w:pPr>
        <w:rPr>
          <w:szCs w:val="22"/>
        </w:rPr>
      </w:pPr>
    </w:p>
    <w:p w:rsidR="00325482" w:rsidRPr="005B2844" w:rsidRDefault="00FC113F" w:rsidP="00126264">
      <w:pPr>
        <w:keepNext/>
        <w:rPr>
          <w:szCs w:val="22"/>
        </w:rPr>
      </w:pPr>
      <w:r w:rsidRPr="005B2844">
        <w:rPr>
          <w:szCs w:val="22"/>
          <w:u w:val="single"/>
        </w:rPr>
        <w:t>Altri agenti antipertensivi</w:t>
      </w:r>
    </w:p>
    <w:p w:rsidR="00325482" w:rsidRPr="005B2844" w:rsidRDefault="00325482" w:rsidP="00126264">
      <w:pPr>
        <w:keepNext/>
        <w:rPr>
          <w:szCs w:val="22"/>
        </w:rPr>
      </w:pPr>
    </w:p>
    <w:p w:rsidR="00FC113F" w:rsidRPr="005B2844" w:rsidRDefault="00FC113F" w:rsidP="0072602F">
      <w:pPr>
        <w:rPr>
          <w:szCs w:val="22"/>
        </w:rPr>
      </w:pPr>
      <w:proofErr w:type="spellStart"/>
      <w:r w:rsidRPr="005B2844">
        <w:rPr>
          <w:szCs w:val="22"/>
        </w:rPr>
        <w:t>Telmisartan</w:t>
      </w:r>
      <w:proofErr w:type="spellEnd"/>
      <w:r w:rsidRPr="005B2844">
        <w:rPr>
          <w:szCs w:val="22"/>
        </w:rPr>
        <w:t xml:space="preserve"> può incrementare l'effetto ipotensivo di altri agenti antipertensivi.</w:t>
      </w:r>
    </w:p>
    <w:p w:rsidR="00FC113F" w:rsidRPr="005B2844" w:rsidRDefault="00FC113F" w:rsidP="0072602F">
      <w:pPr>
        <w:rPr>
          <w:szCs w:val="22"/>
        </w:rPr>
      </w:pPr>
    </w:p>
    <w:p w:rsidR="00D222E2" w:rsidRPr="005B2844" w:rsidRDefault="00D222E2" w:rsidP="00D222E2">
      <w:pPr>
        <w:rPr>
          <w:szCs w:val="22"/>
        </w:rPr>
      </w:pPr>
      <w:r w:rsidRPr="005B2844">
        <w:rPr>
          <w:szCs w:val="22"/>
        </w:rPr>
        <w:t xml:space="preserve">I dati degli studi clinici hanno dimostrato che il duplice blocco del sistema renina-angiotensina-aldosterone (RAAS) attraverso l’uso combinato di ACE-inibitori, antagonisti del recettore dell’angiotensina II o </w:t>
      </w:r>
      <w:proofErr w:type="spellStart"/>
      <w:r w:rsidRPr="005B2844">
        <w:rPr>
          <w:szCs w:val="22"/>
        </w:rPr>
        <w:t>aliskiren</w:t>
      </w:r>
      <w:proofErr w:type="spellEnd"/>
      <w:r w:rsidRPr="005B2844">
        <w:rPr>
          <w:szCs w:val="22"/>
        </w:rPr>
        <w:t xml:space="preserve">, è associato ad una maggiore frequenza di eventi avversi quali ipotensione, </w:t>
      </w:r>
      <w:proofErr w:type="spellStart"/>
      <w:r w:rsidRPr="005B2844">
        <w:rPr>
          <w:szCs w:val="22"/>
        </w:rPr>
        <w:t>iperpotassiemia</w:t>
      </w:r>
      <w:proofErr w:type="spellEnd"/>
      <w:r w:rsidRPr="005B2844">
        <w:rPr>
          <w:szCs w:val="22"/>
        </w:rPr>
        <w:t xml:space="preserve"> e riduzione della funzionalità renale (inclusa l’insufficienza renale acuta) rispetto all’uso di un singolo agente attivo sul sistema RAAS (vedere paragrafi 4.3, 4.4 e 5.1).</w:t>
      </w:r>
    </w:p>
    <w:p w:rsidR="00D222E2" w:rsidRPr="005B2844" w:rsidRDefault="00D222E2" w:rsidP="0072602F">
      <w:pPr>
        <w:rPr>
          <w:szCs w:val="22"/>
        </w:rPr>
      </w:pPr>
    </w:p>
    <w:p w:rsidR="00325482" w:rsidRPr="005B2844" w:rsidRDefault="00747AF7" w:rsidP="00126264">
      <w:pPr>
        <w:keepNext/>
        <w:rPr>
          <w:szCs w:val="22"/>
        </w:rPr>
      </w:pPr>
      <w:r w:rsidRPr="005B2844">
        <w:rPr>
          <w:szCs w:val="22"/>
          <w:u w:val="single"/>
        </w:rPr>
        <w:t>Medicinali a</w:t>
      </w:r>
      <w:r w:rsidR="00FC113F" w:rsidRPr="005B2844">
        <w:rPr>
          <w:szCs w:val="22"/>
          <w:u w:val="single"/>
        </w:rPr>
        <w:t>ntidiabetici (agenti orali ed insulina)</w:t>
      </w:r>
    </w:p>
    <w:p w:rsidR="00325482" w:rsidRPr="005B2844" w:rsidRDefault="00325482" w:rsidP="00126264">
      <w:pPr>
        <w:keepNext/>
        <w:rPr>
          <w:szCs w:val="22"/>
        </w:rPr>
      </w:pPr>
    </w:p>
    <w:p w:rsidR="00FC113F" w:rsidRPr="005B2844" w:rsidRDefault="00113A3E" w:rsidP="0072602F">
      <w:pPr>
        <w:rPr>
          <w:szCs w:val="22"/>
        </w:rPr>
      </w:pPr>
      <w:r w:rsidRPr="005B2844">
        <w:rPr>
          <w:szCs w:val="22"/>
        </w:rPr>
        <w:t>P</w:t>
      </w:r>
      <w:r w:rsidR="00FC113F" w:rsidRPr="005B2844">
        <w:rPr>
          <w:szCs w:val="22"/>
        </w:rPr>
        <w:t>uò essere necessario un aggiustamento posologico de</w:t>
      </w:r>
      <w:r w:rsidR="001054AD" w:rsidRPr="005B2844">
        <w:rPr>
          <w:szCs w:val="22"/>
        </w:rPr>
        <w:t xml:space="preserve">i medicinali </w:t>
      </w:r>
      <w:r w:rsidR="00FC113F" w:rsidRPr="005B2844">
        <w:rPr>
          <w:szCs w:val="22"/>
        </w:rPr>
        <w:t>antidiabetic</w:t>
      </w:r>
      <w:r w:rsidR="001054AD" w:rsidRPr="005B2844">
        <w:rPr>
          <w:szCs w:val="22"/>
        </w:rPr>
        <w:t>i</w:t>
      </w:r>
      <w:r w:rsidR="00FC113F" w:rsidRPr="005B2844">
        <w:rPr>
          <w:szCs w:val="22"/>
        </w:rPr>
        <w:t xml:space="preserve"> (vedere paragrafo 4.4).</w:t>
      </w:r>
    </w:p>
    <w:p w:rsidR="00FC113F" w:rsidRPr="005B2844" w:rsidRDefault="00FC113F" w:rsidP="0072602F">
      <w:pPr>
        <w:rPr>
          <w:szCs w:val="22"/>
          <w:u w:val="single"/>
        </w:rPr>
      </w:pPr>
    </w:p>
    <w:p w:rsidR="00325482" w:rsidRPr="005B2844" w:rsidRDefault="00FC113F" w:rsidP="00126264">
      <w:pPr>
        <w:keepNext/>
        <w:rPr>
          <w:szCs w:val="22"/>
        </w:rPr>
      </w:pPr>
      <w:r w:rsidRPr="005B2844">
        <w:rPr>
          <w:szCs w:val="22"/>
          <w:u w:val="single"/>
        </w:rPr>
        <w:t>Metformina</w:t>
      </w:r>
    </w:p>
    <w:p w:rsidR="00325482" w:rsidRPr="005B2844" w:rsidRDefault="00325482" w:rsidP="00126264">
      <w:pPr>
        <w:keepNext/>
        <w:rPr>
          <w:szCs w:val="22"/>
        </w:rPr>
      </w:pPr>
    </w:p>
    <w:p w:rsidR="00FC113F" w:rsidRPr="005B2844" w:rsidRDefault="00FC113F" w:rsidP="0072602F">
      <w:pPr>
        <w:rPr>
          <w:szCs w:val="22"/>
        </w:rPr>
      </w:pPr>
      <w:r w:rsidRPr="005B2844">
        <w:rPr>
          <w:szCs w:val="22"/>
        </w:rPr>
        <w:t xml:space="preserve">La metformina deve essere utilizzata con cautela: rischio di acidosi lattica indotta da una possibile insufficienza renale funzionale correlata alla </w:t>
      </w:r>
      <w:proofErr w:type="spellStart"/>
      <w:r w:rsidRPr="005B2844">
        <w:rPr>
          <w:szCs w:val="22"/>
        </w:rPr>
        <w:t>idroclorotiazide</w:t>
      </w:r>
      <w:proofErr w:type="spellEnd"/>
      <w:r w:rsidRPr="005B2844">
        <w:rPr>
          <w:szCs w:val="22"/>
        </w:rPr>
        <w:t>.</w:t>
      </w:r>
    </w:p>
    <w:p w:rsidR="00FC113F" w:rsidRPr="005B2844" w:rsidRDefault="00FC113F" w:rsidP="0072602F">
      <w:pPr>
        <w:rPr>
          <w:szCs w:val="22"/>
        </w:rPr>
      </w:pPr>
    </w:p>
    <w:p w:rsidR="00325482" w:rsidRPr="005B2844" w:rsidRDefault="003E53E5" w:rsidP="00126264">
      <w:pPr>
        <w:keepNext/>
        <w:rPr>
          <w:szCs w:val="22"/>
        </w:rPr>
      </w:pPr>
      <w:r w:rsidRPr="005B2844">
        <w:rPr>
          <w:szCs w:val="22"/>
          <w:u w:val="single"/>
        </w:rPr>
        <w:t xml:space="preserve">Resine </w:t>
      </w:r>
      <w:proofErr w:type="spellStart"/>
      <w:r w:rsidRPr="005B2844">
        <w:rPr>
          <w:szCs w:val="22"/>
          <w:u w:val="single"/>
        </w:rPr>
        <w:t>c</w:t>
      </w:r>
      <w:r w:rsidR="00FC113F" w:rsidRPr="005B2844">
        <w:rPr>
          <w:szCs w:val="22"/>
          <w:u w:val="single"/>
        </w:rPr>
        <w:t>olestiramina</w:t>
      </w:r>
      <w:proofErr w:type="spellEnd"/>
      <w:r w:rsidR="00FC113F" w:rsidRPr="005B2844">
        <w:rPr>
          <w:szCs w:val="22"/>
          <w:u w:val="single"/>
        </w:rPr>
        <w:t xml:space="preserve"> e </w:t>
      </w:r>
      <w:proofErr w:type="spellStart"/>
      <w:r w:rsidR="00FC113F" w:rsidRPr="005B2844">
        <w:rPr>
          <w:szCs w:val="22"/>
          <w:u w:val="single"/>
        </w:rPr>
        <w:t>colestipolo</w:t>
      </w:r>
      <w:proofErr w:type="spellEnd"/>
    </w:p>
    <w:p w:rsidR="00325482" w:rsidRPr="005B2844" w:rsidRDefault="00325482" w:rsidP="00126264">
      <w:pPr>
        <w:keepNext/>
        <w:rPr>
          <w:szCs w:val="22"/>
        </w:rPr>
      </w:pPr>
    </w:p>
    <w:p w:rsidR="00FC113F" w:rsidRPr="005B2844" w:rsidRDefault="00113A3E" w:rsidP="0072602F">
      <w:pPr>
        <w:rPr>
          <w:szCs w:val="22"/>
        </w:rPr>
      </w:pPr>
      <w:r w:rsidRPr="005B2844">
        <w:rPr>
          <w:szCs w:val="22"/>
        </w:rPr>
        <w:t>L</w:t>
      </w:r>
      <w:r w:rsidR="00FC113F" w:rsidRPr="005B2844">
        <w:rPr>
          <w:szCs w:val="22"/>
        </w:rPr>
        <w:t>'assorbimento dell’</w:t>
      </w:r>
      <w:proofErr w:type="spellStart"/>
      <w:r w:rsidR="00FC113F" w:rsidRPr="005B2844">
        <w:rPr>
          <w:szCs w:val="22"/>
        </w:rPr>
        <w:t>idroclorotiazide</w:t>
      </w:r>
      <w:proofErr w:type="spellEnd"/>
      <w:r w:rsidR="00FC113F" w:rsidRPr="005B2844">
        <w:rPr>
          <w:szCs w:val="22"/>
        </w:rPr>
        <w:t xml:space="preserve"> è ridotto in presenza di resine a scambio </w:t>
      </w:r>
      <w:r w:rsidR="003E53E5" w:rsidRPr="005B2844">
        <w:rPr>
          <w:szCs w:val="22"/>
        </w:rPr>
        <w:t>an</w:t>
      </w:r>
      <w:r w:rsidR="00FC113F" w:rsidRPr="005B2844">
        <w:rPr>
          <w:szCs w:val="22"/>
        </w:rPr>
        <w:t>ionico.</w:t>
      </w:r>
    </w:p>
    <w:p w:rsidR="00FC113F" w:rsidRPr="005B2844" w:rsidRDefault="00FC113F" w:rsidP="0072602F">
      <w:pPr>
        <w:rPr>
          <w:szCs w:val="22"/>
        </w:rPr>
      </w:pPr>
    </w:p>
    <w:p w:rsidR="00325482" w:rsidRPr="005B2844" w:rsidRDefault="001140D9" w:rsidP="00126264">
      <w:pPr>
        <w:keepNext/>
        <w:suppressAutoHyphens/>
        <w:rPr>
          <w:szCs w:val="22"/>
        </w:rPr>
      </w:pPr>
      <w:r w:rsidRPr="005B2844">
        <w:rPr>
          <w:szCs w:val="22"/>
          <w:u w:val="single"/>
        </w:rPr>
        <w:t xml:space="preserve">Medicinali </w:t>
      </w:r>
      <w:r w:rsidR="00FC113F" w:rsidRPr="005B2844">
        <w:rPr>
          <w:szCs w:val="22"/>
          <w:u w:val="single"/>
        </w:rPr>
        <w:t>antinfiammatori non steroidei</w:t>
      </w:r>
    </w:p>
    <w:p w:rsidR="00325482" w:rsidRPr="005B2844" w:rsidRDefault="00325482" w:rsidP="00126264">
      <w:pPr>
        <w:keepNext/>
        <w:suppressAutoHyphens/>
        <w:rPr>
          <w:szCs w:val="22"/>
        </w:rPr>
      </w:pPr>
    </w:p>
    <w:p w:rsidR="00FC113F" w:rsidRPr="005B2844" w:rsidRDefault="00113A3E" w:rsidP="0072602F">
      <w:pPr>
        <w:suppressAutoHyphens/>
        <w:rPr>
          <w:szCs w:val="22"/>
        </w:rPr>
      </w:pPr>
      <w:r w:rsidRPr="005B2844">
        <w:rPr>
          <w:szCs w:val="22"/>
        </w:rPr>
        <w:t>I</w:t>
      </w:r>
      <w:r w:rsidR="00FC113F" w:rsidRPr="005B2844">
        <w:rPr>
          <w:szCs w:val="22"/>
        </w:rPr>
        <w:t xml:space="preserve"> FANS (</w:t>
      </w:r>
      <w:r w:rsidR="0090070C" w:rsidRPr="005B2844">
        <w:rPr>
          <w:szCs w:val="22"/>
        </w:rPr>
        <w:t xml:space="preserve">ad es. </w:t>
      </w:r>
      <w:r w:rsidR="00FC113F" w:rsidRPr="005B2844">
        <w:rPr>
          <w:szCs w:val="22"/>
        </w:rPr>
        <w:t>acido acetilsalicilico a dosaggi antinfiammatori, inibitori dei COX-2 e FANS non selettivi) possono ridurre gli effetti diuretici, natriuretici ed antipertensivi dei diuretici tiazidici e gli effetti antipertensivi degli a</w:t>
      </w:r>
      <w:r w:rsidR="0082371D" w:rsidRPr="005B2844">
        <w:rPr>
          <w:szCs w:val="22"/>
        </w:rPr>
        <w:t>nta</w:t>
      </w:r>
      <w:r w:rsidR="00FC113F" w:rsidRPr="005B2844">
        <w:rPr>
          <w:szCs w:val="22"/>
        </w:rPr>
        <w:t xml:space="preserve">gonisti </w:t>
      </w:r>
      <w:r w:rsidR="00AB77DD" w:rsidRPr="005B2844">
        <w:rPr>
          <w:szCs w:val="22"/>
        </w:rPr>
        <w:t xml:space="preserve">del recettore </w:t>
      </w:r>
      <w:r w:rsidR="00FC113F" w:rsidRPr="005B2844">
        <w:rPr>
          <w:szCs w:val="22"/>
        </w:rPr>
        <w:t>dell’angiotensina II.</w:t>
      </w:r>
    </w:p>
    <w:p w:rsidR="00FC113F" w:rsidRPr="005B2844" w:rsidRDefault="00FC113F" w:rsidP="0072602F">
      <w:pPr>
        <w:rPr>
          <w:szCs w:val="22"/>
        </w:rPr>
      </w:pPr>
      <w:r w:rsidRPr="005B2844">
        <w:rPr>
          <w:szCs w:val="22"/>
        </w:rPr>
        <w:t xml:space="preserve">In alcuni pazienti con funzionalità renale compromessa (come pazienti disidratati o pazienti anziani con funzionalità renale compromessa) la co-somministrazione di antagonisti </w:t>
      </w:r>
      <w:r w:rsidR="00AB77DD" w:rsidRPr="005B2844">
        <w:rPr>
          <w:szCs w:val="22"/>
        </w:rPr>
        <w:t xml:space="preserve">del recettore </w:t>
      </w:r>
      <w:r w:rsidRPr="005B2844">
        <w:rPr>
          <w:szCs w:val="22"/>
        </w:rPr>
        <w:t xml:space="preserve">dell’angiotensina II e di agenti che inibiscono la ciclo-ossigenasi può indurre un ulteriore deterioramento della funzionalità renale, inclusa </w:t>
      </w:r>
      <w:r w:rsidR="0090070C" w:rsidRPr="005B2844">
        <w:rPr>
          <w:szCs w:val="22"/>
        </w:rPr>
        <w:t xml:space="preserve">possibile </w:t>
      </w:r>
      <w:r w:rsidRPr="005B2844">
        <w:rPr>
          <w:szCs w:val="22"/>
        </w:rPr>
        <w:t>insufficienza renale acuta che è solitamente reversibile. Pertanto la co-somministrazione deve essere effettuata con cautela, soprattutto negli anziani. I pazienti devono essere adeguatamente idratati e deve essere considerato il monitoraggio della funzionalità renale dopo l’inizio della terapia concomitante e quindi periodicamente.</w:t>
      </w:r>
    </w:p>
    <w:p w:rsidR="00FC113F" w:rsidRPr="005B2844" w:rsidRDefault="00FC113F" w:rsidP="0072602F">
      <w:pPr>
        <w:rPr>
          <w:szCs w:val="22"/>
        </w:rPr>
      </w:pPr>
    </w:p>
    <w:p w:rsidR="008139C7" w:rsidRPr="005B2844" w:rsidRDefault="008139C7" w:rsidP="008139C7">
      <w:pPr>
        <w:rPr>
          <w:spacing w:val="-3"/>
          <w:szCs w:val="22"/>
        </w:rPr>
      </w:pPr>
      <w:r w:rsidRPr="005B2844">
        <w:rPr>
          <w:szCs w:val="22"/>
        </w:rPr>
        <w:t xml:space="preserve">In uno studio la co-somministrazione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ha determinato un aumento fino a 2,5 volte dell’AUC</w:t>
      </w:r>
      <w:r w:rsidRPr="005B2844">
        <w:rPr>
          <w:szCs w:val="22"/>
          <w:vertAlign w:val="subscript"/>
        </w:rPr>
        <w:t>0-24</w:t>
      </w:r>
      <w:r w:rsidRPr="005B2844">
        <w:rPr>
          <w:szCs w:val="22"/>
        </w:rPr>
        <w:t xml:space="preserve"> e della C</w:t>
      </w:r>
      <w:r w:rsidRPr="005B2844">
        <w:rPr>
          <w:szCs w:val="22"/>
          <w:vertAlign w:val="subscript"/>
        </w:rPr>
        <w:t>max</w:t>
      </w:r>
      <w:r w:rsidRPr="005B2844">
        <w:rPr>
          <w:szCs w:val="22"/>
        </w:rPr>
        <w:t xml:space="preserve"> di </w:t>
      </w:r>
      <w:proofErr w:type="spellStart"/>
      <w:r w:rsidRPr="005B2844">
        <w:rPr>
          <w:szCs w:val="22"/>
        </w:rPr>
        <w:t>ramipril</w:t>
      </w:r>
      <w:proofErr w:type="spellEnd"/>
      <w:r w:rsidRPr="005B2844">
        <w:rPr>
          <w:szCs w:val="22"/>
        </w:rPr>
        <w:t xml:space="preserve"> e </w:t>
      </w:r>
      <w:proofErr w:type="spellStart"/>
      <w:r w:rsidRPr="005B2844">
        <w:rPr>
          <w:szCs w:val="22"/>
        </w:rPr>
        <w:t>ramiprilato</w:t>
      </w:r>
      <w:proofErr w:type="spellEnd"/>
      <w:r w:rsidRPr="005B2844">
        <w:rPr>
          <w:szCs w:val="22"/>
        </w:rPr>
        <w:t>. La rilevanza clinica di questa osservazione non è nota.</w:t>
      </w:r>
    </w:p>
    <w:p w:rsidR="008139C7" w:rsidRPr="005B2844" w:rsidRDefault="008139C7" w:rsidP="0072602F">
      <w:pPr>
        <w:rPr>
          <w:szCs w:val="22"/>
        </w:rPr>
      </w:pPr>
    </w:p>
    <w:p w:rsidR="00325482" w:rsidRPr="005B2844" w:rsidRDefault="00FC113F" w:rsidP="00126264">
      <w:pPr>
        <w:keepNext/>
        <w:rPr>
          <w:szCs w:val="22"/>
        </w:rPr>
      </w:pPr>
      <w:r w:rsidRPr="005B2844">
        <w:rPr>
          <w:szCs w:val="22"/>
          <w:u w:val="single"/>
        </w:rPr>
        <w:t>Amine pressorie (</w:t>
      </w:r>
      <w:r w:rsidR="00096E7E" w:rsidRPr="005B2844">
        <w:rPr>
          <w:szCs w:val="22"/>
          <w:u w:val="single"/>
        </w:rPr>
        <w:t>ad es.</w:t>
      </w:r>
      <w:r w:rsidRPr="005B2844">
        <w:rPr>
          <w:szCs w:val="22"/>
          <w:u w:val="single"/>
        </w:rPr>
        <w:t xml:space="preserve"> noradrenalina)</w:t>
      </w:r>
    </w:p>
    <w:p w:rsidR="00325482" w:rsidRPr="005B2844" w:rsidRDefault="00325482" w:rsidP="00126264">
      <w:pPr>
        <w:keepNext/>
        <w:rPr>
          <w:szCs w:val="22"/>
        </w:rPr>
      </w:pPr>
    </w:p>
    <w:p w:rsidR="00FC113F" w:rsidRPr="005B2844" w:rsidRDefault="00113A3E" w:rsidP="0072602F">
      <w:pPr>
        <w:rPr>
          <w:szCs w:val="22"/>
        </w:rPr>
      </w:pPr>
      <w:r w:rsidRPr="005B2844">
        <w:rPr>
          <w:szCs w:val="22"/>
        </w:rPr>
        <w:t>L</w:t>
      </w:r>
      <w:r w:rsidR="00FC113F" w:rsidRPr="005B2844">
        <w:rPr>
          <w:szCs w:val="22"/>
        </w:rPr>
        <w:t>'effetto delle amine pressorie può essere ridotto.</w:t>
      </w:r>
    </w:p>
    <w:p w:rsidR="00FC113F" w:rsidRPr="005B2844" w:rsidRDefault="00FC113F" w:rsidP="0072602F">
      <w:pPr>
        <w:rPr>
          <w:szCs w:val="22"/>
        </w:rPr>
      </w:pPr>
    </w:p>
    <w:p w:rsidR="00325482" w:rsidRPr="005B2844" w:rsidRDefault="00FC113F" w:rsidP="008A1E96">
      <w:pPr>
        <w:keepNext/>
        <w:rPr>
          <w:szCs w:val="22"/>
        </w:rPr>
      </w:pPr>
      <w:r w:rsidRPr="005B2844">
        <w:rPr>
          <w:szCs w:val="22"/>
          <w:u w:val="single"/>
        </w:rPr>
        <w:t>Miorilassanti non depolarizzanti (</w:t>
      </w:r>
      <w:r w:rsidR="00096E7E" w:rsidRPr="005B2844">
        <w:rPr>
          <w:szCs w:val="22"/>
          <w:u w:val="single"/>
        </w:rPr>
        <w:t>ad es.</w:t>
      </w:r>
      <w:r w:rsidRPr="005B2844">
        <w:rPr>
          <w:szCs w:val="22"/>
          <w:u w:val="single"/>
        </w:rPr>
        <w:t xml:space="preserve"> tubocurarina)</w:t>
      </w:r>
    </w:p>
    <w:p w:rsidR="00325482" w:rsidRPr="005B2844" w:rsidRDefault="00325482" w:rsidP="008A1E96">
      <w:pPr>
        <w:keepNext/>
        <w:rPr>
          <w:szCs w:val="22"/>
        </w:rPr>
      </w:pPr>
    </w:p>
    <w:p w:rsidR="00FC113F" w:rsidRPr="005B2844" w:rsidRDefault="00113A3E" w:rsidP="0072602F">
      <w:pPr>
        <w:rPr>
          <w:szCs w:val="22"/>
        </w:rPr>
      </w:pPr>
      <w:r w:rsidRPr="005B2844">
        <w:rPr>
          <w:szCs w:val="22"/>
        </w:rPr>
        <w:t>L</w:t>
      </w:r>
      <w:r w:rsidR="00FC113F" w:rsidRPr="005B2844">
        <w:rPr>
          <w:szCs w:val="22"/>
        </w:rPr>
        <w:t xml:space="preserve">'effetto dei miorilassanti non depolarizzanti può essere potenziato da </w:t>
      </w:r>
      <w:proofErr w:type="spellStart"/>
      <w:r w:rsidR="00FC113F" w:rsidRPr="005B2844">
        <w:rPr>
          <w:szCs w:val="22"/>
        </w:rPr>
        <w:t>idroclorotiazide</w:t>
      </w:r>
      <w:proofErr w:type="spellEnd"/>
      <w:r w:rsidR="00FC113F" w:rsidRPr="005B2844">
        <w:rPr>
          <w:szCs w:val="22"/>
        </w:rPr>
        <w:t>.</w:t>
      </w:r>
    </w:p>
    <w:p w:rsidR="00FC113F" w:rsidRPr="005B2844" w:rsidRDefault="00FC113F" w:rsidP="0072602F">
      <w:pPr>
        <w:rPr>
          <w:szCs w:val="22"/>
        </w:rPr>
      </w:pPr>
    </w:p>
    <w:p w:rsidR="00325482" w:rsidRPr="005B2844" w:rsidRDefault="008C23E7" w:rsidP="00126264">
      <w:pPr>
        <w:keepNext/>
        <w:rPr>
          <w:szCs w:val="22"/>
        </w:rPr>
      </w:pPr>
      <w:r w:rsidRPr="005B2844">
        <w:rPr>
          <w:szCs w:val="22"/>
          <w:u w:val="single"/>
        </w:rPr>
        <w:t xml:space="preserve">Medicinali </w:t>
      </w:r>
      <w:r w:rsidR="00FC113F" w:rsidRPr="005B2844">
        <w:rPr>
          <w:szCs w:val="22"/>
          <w:u w:val="single"/>
        </w:rPr>
        <w:t>ut</w:t>
      </w:r>
      <w:r w:rsidRPr="005B2844">
        <w:rPr>
          <w:szCs w:val="22"/>
          <w:u w:val="single"/>
        </w:rPr>
        <w:t>i</w:t>
      </w:r>
      <w:r w:rsidR="00FC113F" w:rsidRPr="005B2844">
        <w:rPr>
          <w:szCs w:val="22"/>
          <w:u w:val="single"/>
        </w:rPr>
        <w:t>lizzati nel trattamento della gotta</w:t>
      </w:r>
      <w:r w:rsidR="00FC113F" w:rsidRPr="005B2844">
        <w:rPr>
          <w:szCs w:val="22"/>
        </w:rPr>
        <w:t xml:space="preserve"> (come probenecid, </w:t>
      </w:r>
      <w:proofErr w:type="spellStart"/>
      <w:r w:rsidR="00FC113F" w:rsidRPr="005B2844">
        <w:rPr>
          <w:szCs w:val="22"/>
        </w:rPr>
        <w:t>sulfinpirazone</w:t>
      </w:r>
      <w:proofErr w:type="spellEnd"/>
      <w:r w:rsidR="00FC113F" w:rsidRPr="005B2844">
        <w:rPr>
          <w:szCs w:val="22"/>
        </w:rPr>
        <w:t xml:space="preserve"> e </w:t>
      </w:r>
      <w:proofErr w:type="spellStart"/>
      <w:r w:rsidR="00FC113F" w:rsidRPr="005B2844">
        <w:rPr>
          <w:szCs w:val="22"/>
        </w:rPr>
        <w:t>allopurinolo</w:t>
      </w:r>
      <w:proofErr w:type="spellEnd"/>
      <w:r w:rsidR="00FC113F" w:rsidRPr="005B2844">
        <w:rPr>
          <w:szCs w:val="22"/>
        </w:rPr>
        <w:t>)</w:t>
      </w:r>
    </w:p>
    <w:p w:rsidR="00325482" w:rsidRPr="005B2844" w:rsidRDefault="00325482" w:rsidP="00126264">
      <w:pPr>
        <w:keepNext/>
        <w:rPr>
          <w:szCs w:val="22"/>
        </w:rPr>
      </w:pPr>
    </w:p>
    <w:p w:rsidR="00FC113F" w:rsidRPr="005B2844" w:rsidRDefault="00113A3E" w:rsidP="0072602F">
      <w:pPr>
        <w:rPr>
          <w:szCs w:val="22"/>
        </w:rPr>
      </w:pPr>
      <w:r w:rsidRPr="005B2844">
        <w:rPr>
          <w:szCs w:val="22"/>
        </w:rPr>
        <w:t>P</w:t>
      </w:r>
      <w:r w:rsidR="00FC113F" w:rsidRPr="005B2844">
        <w:rPr>
          <w:szCs w:val="22"/>
        </w:rPr>
        <w:t xml:space="preserve">uò essere necessario un aggiustamento posologico dei </w:t>
      </w:r>
      <w:r w:rsidR="006F476C" w:rsidRPr="005B2844">
        <w:rPr>
          <w:szCs w:val="22"/>
        </w:rPr>
        <w:t>medicinali</w:t>
      </w:r>
      <w:r w:rsidR="00FC113F" w:rsidRPr="005B2844">
        <w:rPr>
          <w:szCs w:val="22"/>
        </w:rPr>
        <w:t xml:space="preserve"> uricosurici in quanto l’</w:t>
      </w:r>
      <w:proofErr w:type="spellStart"/>
      <w:r w:rsidR="00FC113F" w:rsidRPr="005B2844">
        <w:rPr>
          <w:szCs w:val="22"/>
        </w:rPr>
        <w:t>idroclorotiazide</w:t>
      </w:r>
      <w:proofErr w:type="spellEnd"/>
      <w:r w:rsidR="00FC113F" w:rsidRPr="005B2844">
        <w:rPr>
          <w:szCs w:val="22"/>
        </w:rPr>
        <w:t xml:space="preserve"> può incrementare il livello sierico di acido urico. Può essere necessario un aumento della dose di probenecid o di </w:t>
      </w:r>
      <w:proofErr w:type="spellStart"/>
      <w:r w:rsidR="00FC113F" w:rsidRPr="005B2844">
        <w:rPr>
          <w:szCs w:val="22"/>
        </w:rPr>
        <w:t>sulfinpirazone</w:t>
      </w:r>
      <w:proofErr w:type="spellEnd"/>
      <w:r w:rsidR="00FC113F" w:rsidRPr="005B2844">
        <w:rPr>
          <w:szCs w:val="22"/>
        </w:rPr>
        <w:t xml:space="preserve">. La somministrazione concomitante di </w:t>
      </w:r>
      <w:proofErr w:type="spellStart"/>
      <w:r w:rsidR="00FC113F" w:rsidRPr="005B2844">
        <w:rPr>
          <w:szCs w:val="22"/>
        </w:rPr>
        <w:t>tiazide</w:t>
      </w:r>
      <w:proofErr w:type="spellEnd"/>
      <w:r w:rsidR="00FC113F" w:rsidRPr="005B2844">
        <w:rPr>
          <w:szCs w:val="22"/>
        </w:rPr>
        <w:t xml:space="preserve"> può aumentare l'incidenza delle reazioni di ipersensibilità all'</w:t>
      </w:r>
      <w:proofErr w:type="spellStart"/>
      <w:r w:rsidR="00FC113F" w:rsidRPr="005B2844">
        <w:rPr>
          <w:szCs w:val="22"/>
        </w:rPr>
        <w:t>allopurinolo</w:t>
      </w:r>
      <w:proofErr w:type="spellEnd"/>
      <w:r w:rsidR="00FC113F" w:rsidRPr="005B2844">
        <w:rPr>
          <w:szCs w:val="22"/>
        </w:rPr>
        <w:t>.</w:t>
      </w:r>
    </w:p>
    <w:p w:rsidR="00FC113F" w:rsidRPr="005B2844" w:rsidRDefault="00FC113F" w:rsidP="0072602F">
      <w:pPr>
        <w:rPr>
          <w:szCs w:val="22"/>
        </w:rPr>
      </w:pPr>
    </w:p>
    <w:p w:rsidR="00325482" w:rsidRPr="005B2844" w:rsidRDefault="00FC113F" w:rsidP="00126264">
      <w:pPr>
        <w:keepNext/>
        <w:rPr>
          <w:szCs w:val="22"/>
        </w:rPr>
      </w:pPr>
      <w:r w:rsidRPr="005B2844">
        <w:rPr>
          <w:szCs w:val="22"/>
          <w:u w:val="single"/>
        </w:rPr>
        <w:t>Sali di calcio</w:t>
      </w:r>
    </w:p>
    <w:p w:rsidR="00325482" w:rsidRPr="005B2844" w:rsidRDefault="00325482" w:rsidP="00126264">
      <w:pPr>
        <w:keepNext/>
        <w:rPr>
          <w:szCs w:val="22"/>
        </w:rPr>
      </w:pPr>
    </w:p>
    <w:p w:rsidR="00FC113F" w:rsidRPr="005B2844" w:rsidRDefault="00113A3E" w:rsidP="0072602F">
      <w:pPr>
        <w:rPr>
          <w:szCs w:val="22"/>
        </w:rPr>
      </w:pPr>
      <w:r w:rsidRPr="005B2844">
        <w:rPr>
          <w:szCs w:val="22"/>
        </w:rPr>
        <w:t>I</w:t>
      </w:r>
      <w:r w:rsidR="00FC113F" w:rsidRPr="005B2844">
        <w:rPr>
          <w:szCs w:val="22"/>
        </w:rPr>
        <w:t xml:space="preserve"> diuretici tiazidici possono determinare un aumento dei livelli sierici di calcio in quanto ne riducono l'escrezione. Qualora debba essere prescritta un'integrazione di calcio</w:t>
      </w:r>
      <w:r w:rsidR="002B611D" w:rsidRPr="005B2844">
        <w:rPr>
          <w:szCs w:val="22"/>
        </w:rPr>
        <w:t xml:space="preserve"> o medicinali risparmiatori di calcio (ad es. terap</w:t>
      </w:r>
      <w:r w:rsidR="00556861" w:rsidRPr="005B2844">
        <w:rPr>
          <w:szCs w:val="22"/>
        </w:rPr>
        <w:t>ia con vitamina </w:t>
      </w:r>
      <w:r w:rsidR="002B611D" w:rsidRPr="005B2844">
        <w:rPr>
          <w:szCs w:val="22"/>
        </w:rPr>
        <w:t>D)</w:t>
      </w:r>
      <w:r w:rsidR="00FC113F" w:rsidRPr="005B2844">
        <w:rPr>
          <w:szCs w:val="22"/>
        </w:rPr>
        <w:t>, i livelli sierici di calcio devono essere controllati ed il dosaggio dello stesso aggiustato di conseguenza.</w:t>
      </w:r>
    </w:p>
    <w:p w:rsidR="00FC113F" w:rsidRPr="005B2844" w:rsidRDefault="00FC113F" w:rsidP="0072602F">
      <w:pPr>
        <w:rPr>
          <w:szCs w:val="22"/>
        </w:rPr>
      </w:pPr>
    </w:p>
    <w:p w:rsidR="00325482" w:rsidRPr="005B2844" w:rsidRDefault="00FC113F" w:rsidP="00126264">
      <w:pPr>
        <w:keepNext/>
        <w:rPr>
          <w:szCs w:val="22"/>
        </w:rPr>
      </w:pPr>
      <w:r w:rsidRPr="005B2844">
        <w:rPr>
          <w:szCs w:val="22"/>
          <w:u w:val="single"/>
        </w:rPr>
        <w:t xml:space="preserve">Beta-bloccanti e </w:t>
      </w:r>
      <w:proofErr w:type="spellStart"/>
      <w:r w:rsidRPr="005B2844">
        <w:rPr>
          <w:szCs w:val="22"/>
          <w:u w:val="single"/>
        </w:rPr>
        <w:t>diazossido</w:t>
      </w:r>
      <w:proofErr w:type="spellEnd"/>
    </w:p>
    <w:p w:rsidR="00325482" w:rsidRPr="005B2844" w:rsidRDefault="00325482" w:rsidP="00126264">
      <w:pPr>
        <w:keepNext/>
        <w:rPr>
          <w:szCs w:val="22"/>
        </w:rPr>
      </w:pPr>
    </w:p>
    <w:p w:rsidR="00FC113F" w:rsidRPr="005B2844" w:rsidRDefault="00FC113F" w:rsidP="0072602F">
      <w:pPr>
        <w:rPr>
          <w:szCs w:val="22"/>
        </w:rPr>
      </w:pPr>
      <w:r w:rsidRPr="005B2844">
        <w:rPr>
          <w:szCs w:val="22"/>
        </w:rPr>
        <w:t xml:space="preserve">L'effetto iperglicemico dei beta-bloccanti e del </w:t>
      </w:r>
      <w:proofErr w:type="spellStart"/>
      <w:r w:rsidRPr="005B2844">
        <w:rPr>
          <w:szCs w:val="22"/>
        </w:rPr>
        <w:t>diazossido</w:t>
      </w:r>
      <w:proofErr w:type="spellEnd"/>
      <w:r w:rsidRPr="005B2844">
        <w:rPr>
          <w:szCs w:val="22"/>
        </w:rPr>
        <w:t xml:space="preserve"> può essere incrementato dai tiazidici.</w:t>
      </w:r>
    </w:p>
    <w:p w:rsidR="00FC113F" w:rsidRPr="005B2844" w:rsidRDefault="00FC113F" w:rsidP="0072602F">
      <w:pPr>
        <w:rPr>
          <w:szCs w:val="22"/>
        </w:rPr>
      </w:pPr>
    </w:p>
    <w:p w:rsidR="00FC113F" w:rsidRPr="005B2844" w:rsidRDefault="00FC113F" w:rsidP="0072602F">
      <w:pPr>
        <w:rPr>
          <w:szCs w:val="22"/>
        </w:rPr>
      </w:pPr>
      <w:r w:rsidRPr="005B2844">
        <w:rPr>
          <w:szCs w:val="22"/>
          <w:u w:val="single"/>
        </w:rPr>
        <w:t>Agenti anticolinergici</w:t>
      </w:r>
      <w:r w:rsidRPr="005B2844">
        <w:rPr>
          <w:szCs w:val="22"/>
        </w:rPr>
        <w:t xml:space="preserve"> (</w:t>
      </w:r>
      <w:r w:rsidR="00096E7E" w:rsidRPr="005B2844">
        <w:rPr>
          <w:szCs w:val="22"/>
        </w:rPr>
        <w:t>ad es.</w:t>
      </w:r>
      <w:r w:rsidRPr="005B2844">
        <w:rPr>
          <w:szCs w:val="22"/>
        </w:rPr>
        <w:t xml:space="preserve"> atropina, </w:t>
      </w:r>
      <w:proofErr w:type="spellStart"/>
      <w:r w:rsidRPr="005B2844">
        <w:rPr>
          <w:szCs w:val="22"/>
        </w:rPr>
        <w:t>biperiden</w:t>
      </w:r>
      <w:proofErr w:type="spellEnd"/>
      <w:r w:rsidRPr="005B2844">
        <w:rPr>
          <w:szCs w:val="22"/>
        </w:rPr>
        <w:t>) possono incrementare la biodisponibilità dei diuretici tiazidici riducendo la motilità gastrointestinale e la velocità di svuotamento dello stomaco.</w:t>
      </w:r>
    </w:p>
    <w:p w:rsidR="00FC113F" w:rsidRPr="005B2844" w:rsidRDefault="00FC113F" w:rsidP="0072602F">
      <w:pPr>
        <w:rPr>
          <w:szCs w:val="22"/>
        </w:rPr>
      </w:pPr>
    </w:p>
    <w:p w:rsidR="00325482" w:rsidRPr="005B2844" w:rsidRDefault="00FC113F" w:rsidP="00126264">
      <w:pPr>
        <w:keepNext/>
        <w:rPr>
          <w:szCs w:val="22"/>
        </w:rPr>
      </w:pPr>
      <w:proofErr w:type="spellStart"/>
      <w:r w:rsidRPr="005B2844">
        <w:rPr>
          <w:szCs w:val="22"/>
          <w:u w:val="single"/>
        </w:rPr>
        <w:t>Amantadina</w:t>
      </w:r>
      <w:proofErr w:type="spellEnd"/>
    </w:p>
    <w:p w:rsidR="00325482" w:rsidRPr="005B2844" w:rsidRDefault="00325482" w:rsidP="00126264">
      <w:pPr>
        <w:keepNext/>
        <w:rPr>
          <w:szCs w:val="22"/>
        </w:rPr>
      </w:pPr>
    </w:p>
    <w:p w:rsidR="00FC113F" w:rsidRPr="005B2844" w:rsidRDefault="00FC113F" w:rsidP="0072602F">
      <w:pPr>
        <w:rPr>
          <w:szCs w:val="22"/>
        </w:rPr>
      </w:pPr>
      <w:r w:rsidRPr="005B2844">
        <w:rPr>
          <w:szCs w:val="22"/>
        </w:rPr>
        <w:t>I tiazidici possono aumentare il rischio degli effetti indesiderati causati dall'</w:t>
      </w:r>
      <w:proofErr w:type="spellStart"/>
      <w:r w:rsidRPr="005B2844">
        <w:rPr>
          <w:szCs w:val="22"/>
        </w:rPr>
        <w:t>amantadina</w:t>
      </w:r>
      <w:proofErr w:type="spellEnd"/>
      <w:r w:rsidRPr="005B2844">
        <w:rPr>
          <w:szCs w:val="22"/>
        </w:rPr>
        <w:t>.</w:t>
      </w:r>
    </w:p>
    <w:p w:rsidR="00FC113F" w:rsidRPr="005B2844" w:rsidRDefault="00FC113F" w:rsidP="0072602F">
      <w:pPr>
        <w:rPr>
          <w:szCs w:val="22"/>
        </w:rPr>
      </w:pPr>
    </w:p>
    <w:p w:rsidR="00325482" w:rsidRPr="005B2844" w:rsidRDefault="00FC113F" w:rsidP="00126264">
      <w:pPr>
        <w:keepNext/>
        <w:rPr>
          <w:szCs w:val="22"/>
        </w:rPr>
      </w:pPr>
      <w:r w:rsidRPr="005B2844">
        <w:rPr>
          <w:szCs w:val="22"/>
          <w:u w:val="single"/>
        </w:rPr>
        <w:t>Agenti citotossici</w:t>
      </w:r>
      <w:r w:rsidRPr="005B2844">
        <w:rPr>
          <w:szCs w:val="22"/>
        </w:rPr>
        <w:t xml:space="preserve"> (</w:t>
      </w:r>
      <w:r w:rsidR="00096E7E" w:rsidRPr="005B2844">
        <w:rPr>
          <w:szCs w:val="22"/>
        </w:rPr>
        <w:t>ad es.</w:t>
      </w:r>
      <w:r w:rsidRPr="005B2844">
        <w:rPr>
          <w:szCs w:val="22"/>
        </w:rPr>
        <w:t xml:space="preserve"> </w:t>
      </w:r>
      <w:proofErr w:type="spellStart"/>
      <w:r w:rsidRPr="005B2844">
        <w:rPr>
          <w:szCs w:val="22"/>
        </w:rPr>
        <w:t>ciclofosfamide</w:t>
      </w:r>
      <w:proofErr w:type="spellEnd"/>
      <w:r w:rsidRPr="005B2844">
        <w:rPr>
          <w:szCs w:val="22"/>
        </w:rPr>
        <w:t xml:space="preserve">, </w:t>
      </w:r>
      <w:proofErr w:type="spellStart"/>
      <w:r w:rsidRPr="005B2844">
        <w:rPr>
          <w:szCs w:val="22"/>
        </w:rPr>
        <w:t>metotrexato</w:t>
      </w:r>
      <w:proofErr w:type="spellEnd"/>
      <w:r w:rsidRPr="005B2844">
        <w:rPr>
          <w:szCs w:val="22"/>
        </w:rPr>
        <w:t>)</w:t>
      </w:r>
    </w:p>
    <w:p w:rsidR="00325482" w:rsidRPr="005B2844" w:rsidRDefault="00325482" w:rsidP="00126264">
      <w:pPr>
        <w:keepNext/>
        <w:rPr>
          <w:szCs w:val="22"/>
        </w:rPr>
      </w:pPr>
    </w:p>
    <w:p w:rsidR="00FC113F" w:rsidRPr="005B2844" w:rsidRDefault="00FC113F" w:rsidP="0072602F">
      <w:pPr>
        <w:rPr>
          <w:szCs w:val="22"/>
        </w:rPr>
      </w:pPr>
      <w:r w:rsidRPr="005B2844">
        <w:rPr>
          <w:szCs w:val="22"/>
        </w:rPr>
        <w:t xml:space="preserve">I tiazidici possono ridurre l'escrezione renale dei </w:t>
      </w:r>
      <w:r w:rsidR="002A2F7F" w:rsidRPr="005B2844">
        <w:rPr>
          <w:szCs w:val="22"/>
        </w:rPr>
        <w:t>medicinali</w:t>
      </w:r>
      <w:r w:rsidRPr="005B2844">
        <w:rPr>
          <w:szCs w:val="22"/>
        </w:rPr>
        <w:t xml:space="preserve"> citotossici e potenziarne l'effetto </w:t>
      </w:r>
      <w:proofErr w:type="spellStart"/>
      <w:r w:rsidRPr="005B2844">
        <w:rPr>
          <w:szCs w:val="22"/>
        </w:rPr>
        <w:t>mielosoppressivo</w:t>
      </w:r>
      <w:proofErr w:type="spellEnd"/>
      <w:r w:rsidRPr="005B2844">
        <w:rPr>
          <w:szCs w:val="22"/>
        </w:rPr>
        <w:t>.</w:t>
      </w:r>
    </w:p>
    <w:p w:rsidR="00FC113F" w:rsidRPr="005B2844" w:rsidRDefault="00FC113F" w:rsidP="0072602F">
      <w:pPr>
        <w:rPr>
          <w:szCs w:val="22"/>
        </w:rPr>
      </w:pPr>
    </w:p>
    <w:p w:rsidR="007302E6" w:rsidRPr="005B2844" w:rsidRDefault="00FC113F" w:rsidP="0072602F">
      <w:pPr>
        <w:suppressAutoHyphens/>
        <w:rPr>
          <w:szCs w:val="22"/>
        </w:rPr>
      </w:pPr>
      <w:r w:rsidRPr="005B2844">
        <w:rPr>
          <w:szCs w:val="22"/>
        </w:rPr>
        <w:t xml:space="preserve">Sulla base delle loro caratteristiche farmacologiche ci si può aspettare che i seguenti </w:t>
      </w:r>
      <w:r w:rsidR="008C23E7" w:rsidRPr="005B2844">
        <w:rPr>
          <w:szCs w:val="22"/>
        </w:rPr>
        <w:t xml:space="preserve">medicinali </w:t>
      </w:r>
      <w:r w:rsidRPr="005B2844">
        <w:rPr>
          <w:szCs w:val="22"/>
        </w:rPr>
        <w:t xml:space="preserve">possano potenziare gli effetti ipotensivi di tutti gli antipertensivi incluso </w:t>
      </w:r>
      <w:proofErr w:type="spellStart"/>
      <w:r w:rsidRPr="005B2844">
        <w:rPr>
          <w:szCs w:val="22"/>
        </w:rPr>
        <w:t>telmi</w:t>
      </w:r>
      <w:r w:rsidR="007302E6" w:rsidRPr="005B2844">
        <w:rPr>
          <w:szCs w:val="22"/>
        </w:rPr>
        <w:t>sartan</w:t>
      </w:r>
      <w:proofErr w:type="spellEnd"/>
      <w:r w:rsidR="007302E6" w:rsidRPr="005B2844">
        <w:rPr>
          <w:szCs w:val="22"/>
        </w:rPr>
        <w:t xml:space="preserve">: </w:t>
      </w:r>
      <w:proofErr w:type="spellStart"/>
      <w:r w:rsidR="007302E6" w:rsidRPr="005B2844">
        <w:rPr>
          <w:szCs w:val="22"/>
        </w:rPr>
        <w:t>baclofen</w:t>
      </w:r>
      <w:r w:rsidR="007F04B7" w:rsidRPr="005B2844">
        <w:rPr>
          <w:szCs w:val="22"/>
        </w:rPr>
        <w:t>e</w:t>
      </w:r>
      <w:proofErr w:type="spellEnd"/>
      <w:r w:rsidR="007302E6" w:rsidRPr="005B2844">
        <w:rPr>
          <w:szCs w:val="22"/>
        </w:rPr>
        <w:t xml:space="preserve">, </w:t>
      </w:r>
      <w:proofErr w:type="spellStart"/>
      <w:r w:rsidR="007302E6" w:rsidRPr="005B2844">
        <w:rPr>
          <w:szCs w:val="22"/>
        </w:rPr>
        <w:t>amifostina</w:t>
      </w:r>
      <w:proofErr w:type="spellEnd"/>
      <w:r w:rsidR="007302E6" w:rsidRPr="005B2844">
        <w:rPr>
          <w:szCs w:val="22"/>
        </w:rPr>
        <w:t>.</w:t>
      </w:r>
    </w:p>
    <w:p w:rsidR="00FC113F" w:rsidRPr="005B2844" w:rsidRDefault="00FC113F" w:rsidP="0072602F">
      <w:pPr>
        <w:suppressAutoHyphens/>
        <w:rPr>
          <w:szCs w:val="22"/>
        </w:rPr>
      </w:pPr>
      <w:r w:rsidRPr="005B2844">
        <w:rPr>
          <w:szCs w:val="22"/>
        </w:rPr>
        <w:t>Inoltre l’ipotensione ortostatica può essere aggravata da alcol, barbiturici, narcotici o antidepressivi.</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4.6</w:t>
      </w:r>
      <w:r w:rsidRPr="005B2844">
        <w:rPr>
          <w:b/>
          <w:szCs w:val="22"/>
        </w:rPr>
        <w:tab/>
      </w:r>
      <w:r w:rsidR="005C3419" w:rsidRPr="005B2844">
        <w:rPr>
          <w:b/>
          <w:szCs w:val="22"/>
        </w:rPr>
        <w:t xml:space="preserve">Fertilità, gravidanza </w:t>
      </w:r>
      <w:r w:rsidRPr="005B2844">
        <w:rPr>
          <w:b/>
          <w:szCs w:val="22"/>
        </w:rPr>
        <w:t>e allattamento</w:t>
      </w:r>
    </w:p>
    <w:p w:rsidR="00E667E4" w:rsidRPr="005B2844" w:rsidRDefault="00E667E4" w:rsidP="00126264">
      <w:pPr>
        <w:keepNext/>
        <w:suppressAutoHyphens/>
        <w:rPr>
          <w:szCs w:val="22"/>
        </w:rPr>
      </w:pPr>
    </w:p>
    <w:p w:rsidR="00276E42" w:rsidRPr="005B2844" w:rsidRDefault="00276E42" w:rsidP="00126264">
      <w:pPr>
        <w:keepNext/>
        <w:suppressAutoHyphens/>
        <w:rPr>
          <w:szCs w:val="22"/>
          <w:u w:val="single"/>
        </w:rPr>
      </w:pPr>
      <w:r w:rsidRPr="005B2844">
        <w:rPr>
          <w:szCs w:val="22"/>
          <w:u w:val="single"/>
        </w:rPr>
        <w:t>Gravidanza</w:t>
      </w:r>
    </w:p>
    <w:p w:rsidR="00276E42" w:rsidRPr="005B2844" w:rsidRDefault="00276E42" w:rsidP="00126264">
      <w:pPr>
        <w:keepNext/>
        <w:suppressAutoHyphens/>
        <w:rPr>
          <w:szCs w:val="22"/>
        </w:rPr>
      </w:pPr>
    </w:p>
    <w:p w:rsidR="00E667E4" w:rsidRPr="005B2844" w:rsidRDefault="00B351E9" w:rsidP="0072602F">
      <w:pPr>
        <w:pBdr>
          <w:top w:val="single" w:sz="4" w:space="1" w:color="auto"/>
          <w:left w:val="single" w:sz="4" w:space="4" w:color="auto"/>
          <w:bottom w:val="single" w:sz="4" w:space="1" w:color="auto"/>
          <w:right w:val="single" w:sz="4" w:space="4" w:color="auto"/>
        </w:pBdr>
        <w:suppressAutoHyphens/>
        <w:rPr>
          <w:szCs w:val="22"/>
        </w:rPr>
      </w:pPr>
      <w:r w:rsidRPr="005B2844">
        <w:rPr>
          <w:rFonts w:eastAsia="MS Mincho"/>
          <w:color w:val="000000"/>
          <w:szCs w:val="22"/>
          <w:lang w:eastAsia="ja-JP" w:bidi="th-TH"/>
        </w:rPr>
        <w:t xml:space="preserve">L’uso degli antagonisti del recettore dell’angiotensina II </w:t>
      </w:r>
      <w:r w:rsidRPr="005B2844">
        <w:rPr>
          <w:szCs w:val="22"/>
        </w:rPr>
        <w:t>(AIIRA)</w:t>
      </w:r>
      <w:r w:rsidRPr="005B2844">
        <w:rPr>
          <w:rFonts w:eastAsia="MS Mincho"/>
          <w:color w:val="000000"/>
          <w:szCs w:val="22"/>
          <w:lang w:eastAsia="ja-JP" w:bidi="th-TH"/>
        </w:rPr>
        <w:t xml:space="preserve"> non è raccomandato durante il primo trimestre di gravidanza (vedere paragrafo 4.4). </w:t>
      </w:r>
      <w:r w:rsidRPr="005B2844">
        <w:rPr>
          <w:rFonts w:eastAsia="MS Mincho"/>
          <w:color w:val="000000"/>
          <w:szCs w:val="22"/>
          <w:lang w:eastAsia="ja-JP"/>
        </w:rPr>
        <w:t xml:space="preserve">L’uso degli </w:t>
      </w:r>
      <w:r w:rsidRPr="005B2844">
        <w:rPr>
          <w:szCs w:val="22"/>
        </w:rPr>
        <w:t xml:space="preserve">AIIRA è controindicato durante il secondo ed il terzo trimestre di gravidanza </w:t>
      </w:r>
      <w:r w:rsidRPr="005B2844">
        <w:rPr>
          <w:rFonts w:eastAsia="MS Mincho"/>
          <w:color w:val="000000"/>
          <w:szCs w:val="22"/>
          <w:lang w:eastAsia="ja-JP"/>
        </w:rPr>
        <w:t>(vedere paragrafi 4.3 e 4.4).</w:t>
      </w:r>
    </w:p>
    <w:p w:rsidR="00FC113F" w:rsidRPr="005B2844" w:rsidRDefault="00FC113F" w:rsidP="0072602F">
      <w:pPr>
        <w:rPr>
          <w:szCs w:val="22"/>
        </w:rPr>
      </w:pPr>
    </w:p>
    <w:p w:rsidR="00FC113F" w:rsidRPr="005B2844" w:rsidRDefault="00FC113F" w:rsidP="0072602F">
      <w:pPr>
        <w:rPr>
          <w:szCs w:val="22"/>
        </w:rPr>
      </w:pPr>
      <w:r w:rsidRPr="005B2844">
        <w:rPr>
          <w:noProof/>
          <w:szCs w:val="22"/>
        </w:rPr>
        <w:t xml:space="preserve">Non vi sono dati </w:t>
      </w:r>
      <w:r w:rsidR="00AF5586" w:rsidRPr="005B2844">
        <w:rPr>
          <w:noProof/>
          <w:szCs w:val="22"/>
        </w:rPr>
        <w:t>sufficienti</w:t>
      </w:r>
      <w:r w:rsidRPr="005B2844">
        <w:rPr>
          <w:noProof/>
          <w:szCs w:val="22"/>
        </w:rPr>
        <w:t xml:space="preserve"> </w:t>
      </w:r>
      <w:r w:rsidR="00AF5586" w:rsidRPr="005B2844">
        <w:rPr>
          <w:noProof/>
          <w:szCs w:val="22"/>
        </w:rPr>
        <w:t>sul</w:t>
      </w:r>
      <w:r w:rsidRPr="005B2844">
        <w:rPr>
          <w:noProof/>
          <w:szCs w:val="22"/>
        </w:rPr>
        <w:t>l’uso di MicardisPlus in donne in gravidanza. Gli studi condotti su</w:t>
      </w:r>
      <w:r w:rsidR="00AF5586" w:rsidRPr="005B2844">
        <w:rPr>
          <w:noProof/>
          <w:szCs w:val="22"/>
        </w:rPr>
        <w:t>gli</w:t>
      </w:r>
      <w:r w:rsidRPr="005B2844">
        <w:rPr>
          <w:noProof/>
          <w:szCs w:val="22"/>
        </w:rPr>
        <w:t xml:space="preserve"> animali hanno evidenziato una tossicità riproduttiva (vedere paragrafo 5.3).</w:t>
      </w:r>
    </w:p>
    <w:p w:rsidR="00A83415" w:rsidRPr="005B2844" w:rsidRDefault="00A83415" w:rsidP="0072602F">
      <w:pPr>
        <w:rPr>
          <w:color w:val="000000"/>
          <w:szCs w:val="22"/>
        </w:rPr>
      </w:pPr>
    </w:p>
    <w:p w:rsidR="008B70C9" w:rsidRPr="005B2844" w:rsidRDefault="008B70C9" w:rsidP="0072602F">
      <w:pPr>
        <w:rPr>
          <w:iCs/>
          <w:noProof/>
          <w:color w:val="000000"/>
          <w:szCs w:val="22"/>
        </w:rPr>
      </w:pPr>
      <w:r w:rsidRPr="005B2844">
        <w:rPr>
          <w:color w:val="000000"/>
          <w:szCs w:val="22"/>
        </w:rPr>
        <w:t xml:space="preserve">L’evidenza epidemiologica sul rischio di </w:t>
      </w:r>
      <w:proofErr w:type="spellStart"/>
      <w:r w:rsidRPr="005B2844">
        <w:rPr>
          <w:color w:val="000000"/>
          <w:szCs w:val="22"/>
        </w:rPr>
        <w:t>teratogenicità</w:t>
      </w:r>
      <w:proofErr w:type="spellEnd"/>
      <w:r w:rsidRPr="005B2844">
        <w:rPr>
          <w:color w:val="000000"/>
          <w:szCs w:val="22"/>
        </w:rPr>
        <w:t xml:space="preserve">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w:t>
      </w:r>
      <w:r w:rsidRPr="005B2844">
        <w:rPr>
          <w:iCs/>
          <w:noProof/>
          <w:color w:val="000000"/>
          <w:szCs w:val="22"/>
        </w:rPr>
        <w:t>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immediatamente interrotto e, se appropriato, si deve iniziare una terapia alternativa.</w:t>
      </w:r>
    </w:p>
    <w:p w:rsidR="00A83415" w:rsidRPr="005B2844" w:rsidRDefault="00A83415" w:rsidP="0072602F">
      <w:pPr>
        <w:rPr>
          <w:color w:val="000000"/>
          <w:szCs w:val="22"/>
        </w:rPr>
      </w:pPr>
    </w:p>
    <w:p w:rsidR="008B70C9" w:rsidRPr="005B2844" w:rsidRDefault="008B70C9" w:rsidP="0072602F">
      <w:pPr>
        <w:rPr>
          <w:szCs w:val="22"/>
        </w:rPr>
      </w:pPr>
      <w:r w:rsidRPr="005B2844">
        <w:rPr>
          <w:szCs w:val="22"/>
        </w:rPr>
        <w:t xml:space="preserve">È noto che nella donna l’esposizione ad </w:t>
      </w:r>
      <w:r w:rsidRPr="005B2844">
        <w:rPr>
          <w:color w:val="000000"/>
          <w:szCs w:val="22"/>
        </w:rPr>
        <w:t xml:space="preserve">AIIRA </w:t>
      </w:r>
      <w:r w:rsidRPr="005B2844">
        <w:rPr>
          <w:szCs w:val="22"/>
        </w:rPr>
        <w:t xml:space="preserve">durante il secondo ed il terzo trimestre induce tossicità fetale (ridotta funzionalità renale, </w:t>
      </w:r>
      <w:proofErr w:type="spellStart"/>
      <w:r w:rsidRPr="005B2844">
        <w:rPr>
          <w:szCs w:val="22"/>
        </w:rPr>
        <w:t>oligoidramnios</w:t>
      </w:r>
      <w:proofErr w:type="spellEnd"/>
      <w:r w:rsidRPr="005B2844">
        <w:rPr>
          <w:szCs w:val="22"/>
        </w:rPr>
        <w:t xml:space="preserve">, ritardo nell’ossificazione del cranio) e tossicità neonatale (insufficienza renale, ipotensione, </w:t>
      </w:r>
      <w:proofErr w:type="spellStart"/>
      <w:r w:rsidRPr="005B2844">
        <w:rPr>
          <w:szCs w:val="22"/>
        </w:rPr>
        <w:t>iperkaliemia</w:t>
      </w:r>
      <w:proofErr w:type="spellEnd"/>
      <w:r w:rsidRPr="005B2844">
        <w:rPr>
          <w:szCs w:val="22"/>
        </w:rPr>
        <w:t>)</w:t>
      </w:r>
      <w:r w:rsidR="00A83415" w:rsidRPr="005B2844">
        <w:rPr>
          <w:szCs w:val="22"/>
        </w:rPr>
        <w:t>.</w:t>
      </w:r>
      <w:r w:rsidRPr="005B2844">
        <w:rPr>
          <w:szCs w:val="22"/>
        </w:rPr>
        <w:t xml:space="preserve"> (</w:t>
      </w:r>
      <w:r w:rsidR="00A83415" w:rsidRPr="005B2844">
        <w:rPr>
          <w:szCs w:val="22"/>
        </w:rPr>
        <w:t>V</w:t>
      </w:r>
      <w:r w:rsidRPr="005B2844">
        <w:rPr>
          <w:szCs w:val="22"/>
        </w:rPr>
        <w:t>edere paragrafo 5.3).</w:t>
      </w:r>
    </w:p>
    <w:p w:rsidR="008B70C9" w:rsidRPr="005B2844" w:rsidRDefault="008B70C9" w:rsidP="0072602F">
      <w:pPr>
        <w:rPr>
          <w:color w:val="000000"/>
          <w:szCs w:val="22"/>
        </w:rPr>
      </w:pPr>
      <w:r w:rsidRPr="005B2844">
        <w:rPr>
          <w:color w:val="000000"/>
          <w:szCs w:val="22"/>
        </w:rPr>
        <w:t>Se dovesse verificarsi un’esposizione ad un AIIRA dal secondo trimestre di gravidanza, si raccomanda un controllo ecografico della funzionalità renale e del cranio.</w:t>
      </w:r>
    </w:p>
    <w:p w:rsidR="008B70C9" w:rsidRPr="005B2844" w:rsidRDefault="008B70C9" w:rsidP="0072602F">
      <w:pPr>
        <w:rPr>
          <w:szCs w:val="22"/>
        </w:rPr>
      </w:pPr>
      <w:r w:rsidRPr="005B2844">
        <w:rPr>
          <w:szCs w:val="22"/>
        </w:rPr>
        <w:t>I neonati le cui madri abbiano assunto AIIRA devono essere attentamente seguiti per quanto riguarda l’ipotensione (vedere paragrafi 4.3 e 4.4).</w:t>
      </w:r>
    </w:p>
    <w:p w:rsidR="00E667E4" w:rsidRPr="005B2844" w:rsidRDefault="00E667E4" w:rsidP="0072602F">
      <w:pPr>
        <w:tabs>
          <w:tab w:val="left" w:pos="1134"/>
          <w:tab w:val="left" w:pos="1276"/>
          <w:tab w:val="left" w:pos="1418"/>
        </w:tabs>
        <w:rPr>
          <w:szCs w:val="22"/>
        </w:rPr>
      </w:pPr>
    </w:p>
    <w:p w:rsidR="00DE6180" w:rsidRPr="005B2844" w:rsidRDefault="00DE6180" w:rsidP="00DE6180">
      <w:pPr>
        <w:rPr>
          <w:szCs w:val="22"/>
        </w:rPr>
      </w:pPr>
      <w:r w:rsidRPr="005B2844">
        <w:rPr>
          <w:szCs w:val="22"/>
        </w:rPr>
        <w:t xml:space="preserve">L’esperienza con </w:t>
      </w:r>
      <w:proofErr w:type="spellStart"/>
      <w:r w:rsidRPr="005B2844">
        <w:rPr>
          <w:szCs w:val="22"/>
        </w:rPr>
        <w:t>idroclorotiazide</w:t>
      </w:r>
      <w:proofErr w:type="spellEnd"/>
      <w:r w:rsidRPr="005B2844">
        <w:rPr>
          <w:szCs w:val="22"/>
        </w:rPr>
        <w:t xml:space="preserve"> in gravidanza è limitata, specialmente durante il primo trimestre. Gli studi sugli animali sono insufficienti. L’</w:t>
      </w:r>
      <w:proofErr w:type="spellStart"/>
      <w:r w:rsidRPr="005B2844">
        <w:rPr>
          <w:szCs w:val="22"/>
        </w:rPr>
        <w:t>idroclorotiazide</w:t>
      </w:r>
      <w:proofErr w:type="spellEnd"/>
      <w:r w:rsidRPr="005B2844">
        <w:rPr>
          <w:szCs w:val="22"/>
        </w:rPr>
        <w:t xml:space="preserve"> attraversa la placenta. Considerando il meccanismo di azione farmacologica dell’</w:t>
      </w:r>
      <w:proofErr w:type="spellStart"/>
      <w:r w:rsidRPr="005B2844">
        <w:rPr>
          <w:szCs w:val="22"/>
        </w:rPr>
        <w:t>idroclorotiazide</w:t>
      </w:r>
      <w:proofErr w:type="spellEnd"/>
      <w:r w:rsidRPr="005B2844">
        <w:rPr>
          <w:szCs w:val="22"/>
        </w:rPr>
        <w:t>, il suo uso durante il secondo ed il terzo trimestre può compromettere la perfusione feto-placentare e causare effetti fetali e neonatali quali ittero, alterazioni dell’equilibrio elettrolitico e trombocitopenia.</w:t>
      </w:r>
    </w:p>
    <w:p w:rsidR="00DE6180" w:rsidRPr="005B2844" w:rsidRDefault="00DE6180" w:rsidP="00DE6180">
      <w:pPr>
        <w:rPr>
          <w:szCs w:val="22"/>
        </w:rPr>
      </w:pPr>
      <w:r w:rsidRPr="005B2844">
        <w:rPr>
          <w:szCs w:val="22"/>
        </w:rPr>
        <w:t>L’</w:t>
      </w:r>
      <w:proofErr w:type="spellStart"/>
      <w:r w:rsidRPr="005B2844">
        <w:rPr>
          <w:szCs w:val="22"/>
        </w:rPr>
        <w:t>idroclorotiazide</w:t>
      </w:r>
      <w:proofErr w:type="spellEnd"/>
      <w:r w:rsidRPr="005B2844">
        <w:rPr>
          <w:szCs w:val="22"/>
        </w:rPr>
        <w:t xml:space="preserve"> non deve essere usata per edema gestazionale, ipertensione gestazionale o </w:t>
      </w:r>
      <w:proofErr w:type="spellStart"/>
      <w:r w:rsidRPr="005B2844">
        <w:rPr>
          <w:szCs w:val="22"/>
        </w:rPr>
        <w:t>preeclampsia</w:t>
      </w:r>
      <w:proofErr w:type="spellEnd"/>
      <w:r w:rsidRPr="005B2844">
        <w:rPr>
          <w:szCs w:val="22"/>
        </w:rPr>
        <w:t xml:space="preserve"> a causa del rischio di diminuzione del volume del plasma e </w:t>
      </w:r>
      <w:proofErr w:type="spellStart"/>
      <w:r w:rsidRPr="005B2844">
        <w:rPr>
          <w:szCs w:val="22"/>
        </w:rPr>
        <w:t>ipoperfusione</w:t>
      </w:r>
      <w:proofErr w:type="spellEnd"/>
      <w:r w:rsidRPr="005B2844">
        <w:rPr>
          <w:szCs w:val="22"/>
        </w:rPr>
        <w:t xml:space="preserve"> placentare, senza alcun effetto benefico sul decorso della malattia.</w:t>
      </w:r>
    </w:p>
    <w:p w:rsidR="00C27209" w:rsidRPr="005B2844" w:rsidRDefault="00C27209" w:rsidP="00DE6180">
      <w:pPr>
        <w:rPr>
          <w:szCs w:val="22"/>
        </w:rPr>
      </w:pPr>
    </w:p>
    <w:p w:rsidR="00DE6180" w:rsidRPr="005B2844" w:rsidRDefault="00DE6180" w:rsidP="00DE6180">
      <w:pPr>
        <w:rPr>
          <w:szCs w:val="22"/>
        </w:rPr>
      </w:pPr>
      <w:r w:rsidRPr="005B2844">
        <w:rPr>
          <w:szCs w:val="22"/>
        </w:rPr>
        <w:t>L’</w:t>
      </w:r>
      <w:proofErr w:type="spellStart"/>
      <w:r w:rsidRPr="005B2844">
        <w:rPr>
          <w:szCs w:val="22"/>
        </w:rPr>
        <w:t>idroclorotiazide</w:t>
      </w:r>
      <w:proofErr w:type="spellEnd"/>
      <w:r w:rsidRPr="005B2844">
        <w:rPr>
          <w:szCs w:val="22"/>
        </w:rPr>
        <w:t xml:space="preserve"> non deve essere usata per ipertensione essenziale in donne in gravidanza tranne che in rare situazioni dove nessun altro trattamento può essere usato.</w:t>
      </w:r>
    </w:p>
    <w:p w:rsidR="00FC113F" w:rsidRPr="005B2844" w:rsidRDefault="00FC113F" w:rsidP="0072602F">
      <w:pPr>
        <w:rPr>
          <w:szCs w:val="22"/>
        </w:rPr>
      </w:pPr>
    </w:p>
    <w:p w:rsidR="00807966" w:rsidRPr="005B2844" w:rsidRDefault="00FC113F" w:rsidP="00126264">
      <w:pPr>
        <w:pStyle w:val="BodyText30"/>
        <w:keepNext/>
        <w:widowControl/>
        <w:rPr>
          <w:szCs w:val="22"/>
          <w:u w:val="single"/>
          <w:lang w:val="it-IT"/>
        </w:rPr>
      </w:pPr>
      <w:r w:rsidRPr="005B2844">
        <w:rPr>
          <w:szCs w:val="22"/>
          <w:u w:val="single"/>
          <w:lang w:val="it-IT"/>
        </w:rPr>
        <w:t>Allattamento</w:t>
      </w:r>
    </w:p>
    <w:p w:rsidR="005C3419" w:rsidRPr="005B2844" w:rsidRDefault="005C3419" w:rsidP="00126264">
      <w:pPr>
        <w:pStyle w:val="BodyText30"/>
        <w:keepNext/>
        <w:widowControl/>
        <w:rPr>
          <w:szCs w:val="22"/>
          <w:lang w:val="it-IT"/>
        </w:rPr>
      </w:pPr>
    </w:p>
    <w:p w:rsidR="00BE13CB" w:rsidRPr="005B2844" w:rsidRDefault="00E23509" w:rsidP="0072602F">
      <w:pPr>
        <w:pStyle w:val="BodyText30"/>
        <w:widowControl/>
        <w:rPr>
          <w:szCs w:val="22"/>
          <w:lang w:val="it-IT"/>
        </w:rPr>
      </w:pPr>
      <w:r w:rsidRPr="005B2844">
        <w:rPr>
          <w:szCs w:val="22"/>
          <w:lang w:val="it-IT"/>
        </w:rPr>
        <w:t xml:space="preserve">Poiché non sono disponibili dati riguardanti l’uso di </w:t>
      </w:r>
      <w:proofErr w:type="spellStart"/>
      <w:r w:rsidRPr="005B2844">
        <w:rPr>
          <w:szCs w:val="22"/>
          <w:lang w:val="it-IT"/>
        </w:rPr>
        <w:t>MicardisPlus</w:t>
      </w:r>
      <w:proofErr w:type="spellEnd"/>
      <w:r w:rsidRPr="005B2844">
        <w:rPr>
          <w:szCs w:val="22"/>
          <w:lang w:val="it-IT"/>
        </w:rPr>
        <w:t xml:space="preserve"> durante l’allattamento, </w:t>
      </w:r>
      <w:proofErr w:type="spellStart"/>
      <w:r w:rsidRPr="005B2844">
        <w:rPr>
          <w:szCs w:val="22"/>
          <w:lang w:val="it-IT"/>
        </w:rPr>
        <w:t>MicardisPlus</w:t>
      </w:r>
      <w:proofErr w:type="spellEnd"/>
      <w:r w:rsidRPr="005B2844">
        <w:rPr>
          <w:szCs w:val="22"/>
          <w:lang w:val="it-IT"/>
        </w:rPr>
        <w:t xml:space="preserve"> non è raccomandato e sono da preferir</w:t>
      </w:r>
      <w:r w:rsidR="00EC3529" w:rsidRPr="005B2844">
        <w:rPr>
          <w:szCs w:val="22"/>
          <w:lang w:val="it-IT"/>
        </w:rPr>
        <w:t>e</w:t>
      </w:r>
      <w:r w:rsidRPr="005B2844">
        <w:rPr>
          <w:szCs w:val="22"/>
          <w:lang w:val="it-IT"/>
        </w:rPr>
        <w:t xml:space="preserve"> trattamenti alternativi con comprovato profilo di sicurezza per l’uso durante l’allattamento, specialmente in caso di allattamento di neonati e prematuri</w:t>
      </w:r>
      <w:r w:rsidR="00FC113F" w:rsidRPr="005B2844">
        <w:rPr>
          <w:szCs w:val="22"/>
          <w:lang w:val="it-IT"/>
        </w:rPr>
        <w:t>.</w:t>
      </w:r>
    </w:p>
    <w:p w:rsidR="00BE13CB" w:rsidRPr="005B2844" w:rsidRDefault="00BE13CB" w:rsidP="0072602F">
      <w:pPr>
        <w:pStyle w:val="BodyText30"/>
        <w:widowControl/>
        <w:rPr>
          <w:szCs w:val="22"/>
          <w:lang w:val="it-IT"/>
        </w:rPr>
      </w:pPr>
    </w:p>
    <w:p w:rsidR="00BE13CB" w:rsidRPr="005B2844" w:rsidRDefault="00BE13CB" w:rsidP="00BE13CB">
      <w:pPr>
        <w:pStyle w:val="BodyText30"/>
        <w:rPr>
          <w:szCs w:val="22"/>
          <w:lang w:val="it-IT"/>
        </w:rPr>
      </w:pPr>
      <w:r w:rsidRPr="005B2844">
        <w:rPr>
          <w:szCs w:val="22"/>
          <w:lang w:val="it-IT"/>
        </w:rPr>
        <w:t>L’</w:t>
      </w:r>
      <w:proofErr w:type="spellStart"/>
      <w:r w:rsidRPr="005B2844">
        <w:rPr>
          <w:szCs w:val="22"/>
          <w:lang w:val="it-IT"/>
        </w:rPr>
        <w:t>idroclorotiazide</w:t>
      </w:r>
      <w:proofErr w:type="spellEnd"/>
      <w:r w:rsidRPr="005B2844">
        <w:rPr>
          <w:szCs w:val="22"/>
          <w:lang w:val="it-IT"/>
        </w:rPr>
        <w:t xml:space="preserve"> viene escreta nel latte materno umano in piccole quantità. I tiazidici ad alte dosi, causando intensa diuresi, possono inibire la produzione di latte. L’uso di </w:t>
      </w:r>
      <w:proofErr w:type="spellStart"/>
      <w:r w:rsidRPr="005B2844">
        <w:rPr>
          <w:szCs w:val="22"/>
          <w:lang w:val="it-IT"/>
        </w:rPr>
        <w:t>MicardisPlus</w:t>
      </w:r>
      <w:proofErr w:type="spellEnd"/>
      <w:r w:rsidRPr="005B2844">
        <w:rPr>
          <w:szCs w:val="22"/>
          <w:lang w:val="it-IT"/>
        </w:rPr>
        <w:t xml:space="preserve"> durante l’allattamento non è raccomandato. Se </w:t>
      </w:r>
      <w:proofErr w:type="spellStart"/>
      <w:r w:rsidRPr="005B2844">
        <w:rPr>
          <w:szCs w:val="22"/>
          <w:lang w:val="it-IT"/>
        </w:rPr>
        <w:t>MicardisPlus</w:t>
      </w:r>
      <w:proofErr w:type="spellEnd"/>
      <w:r w:rsidRPr="005B2844">
        <w:rPr>
          <w:szCs w:val="22"/>
          <w:lang w:val="it-IT"/>
        </w:rPr>
        <w:t xml:space="preserve"> viene utilizzato durante l’allattamento, si devono mantenere le dosi più basse possibili.</w:t>
      </w:r>
    </w:p>
    <w:p w:rsidR="0032306C" w:rsidRPr="005B2844" w:rsidRDefault="0032306C" w:rsidP="0072602F">
      <w:pPr>
        <w:pStyle w:val="BodyText30"/>
        <w:widowControl/>
        <w:rPr>
          <w:szCs w:val="22"/>
          <w:lang w:val="it-IT"/>
        </w:rPr>
      </w:pPr>
    </w:p>
    <w:p w:rsidR="005C3419" w:rsidRPr="005B2844" w:rsidRDefault="005C3419" w:rsidP="00126264">
      <w:pPr>
        <w:keepNext/>
        <w:rPr>
          <w:szCs w:val="22"/>
          <w:u w:val="single"/>
        </w:rPr>
      </w:pPr>
      <w:r w:rsidRPr="005B2844">
        <w:rPr>
          <w:szCs w:val="22"/>
          <w:u w:val="single"/>
        </w:rPr>
        <w:t>Fertilità</w:t>
      </w:r>
    </w:p>
    <w:p w:rsidR="005C3419" w:rsidRPr="005B2844" w:rsidRDefault="005C3419" w:rsidP="00126264">
      <w:pPr>
        <w:keepNext/>
        <w:rPr>
          <w:szCs w:val="22"/>
        </w:rPr>
      </w:pPr>
    </w:p>
    <w:p w:rsidR="005C3419" w:rsidRPr="005B2844" w:rsidRDefault="005C3419" w:rsidP="0072602F">
      <w:pPr>
        <w:rPr>
          <w:szCs w:val="22"/>
        </w:rPr>
      </w:pPr>
      <w:r w:rsidRPr="005B2844">
        <w:rPr>
          <w:szCs w:val="22"/>
        </w:rPr>
        <w:t xml:space="preserve">Negli studi preclinici, non è stato osservato alcun effetto di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sulla fertilità maschile e femminile.</w:t>
      </w:r>
    </w:p>
    <w:p w:rsidR="005C3419" w:rsidRPr="005B2844" w:rsidRDefault="005C3419" w:rsidP="0072602F">
      <w:pPr>
        <w:rPr>
          <w:szCs w:val="22"/>
        </w:rPr>
      </w:pPr>
    </w:p>
    <w:p w:rsidR="00FC113F" w:rsidRPr="005B2844" w:rsidRDefault="00FC113F" w:rsidP="00126264">
      <w:pPr>
        <w:keepNext/>
        <w:tabs>
          <w:tab w:val="left" w:pos="567"/>
        </w:tabs>
        <w:rPr>
          <w:b/>
          <w:szCs w:val="22"/>
        </w:rPr>
      </w:pPr>
      <w:r w:rsidRPr="005B2844">
        <w:rPr>
          <w:b/>
          <w:szCs w:val="22"/>
        </w:rPr>
        <w:t>4.7</w:t>
      </w:r>
      <w:r w:rsidRPr="005B2844">
        <w:rPr>
          <w:b/>
          <w:szCs w:val="22"/>
        </w:rPr>
        <w:tab/>
        <w:t>Effetti sulla capacità di guidare veicoli e sull'uso di macchinari</w:t>
      </w:r>
    </w:p>
    <w:p w:rsidR="00FC113F" w:rsidRPr="005B2844" w:rsidRDefault="00FC113F" w:rsidP="00126264">
      <w:pPr>
        <w:keepNext/>
        <w:rPr>
          <w:szCs w:val="22"/>
        </w:rPr>
      </w:pPr>
    </w:p>
    <w:p w:rsidR="00FC113F" w:rsidRPr="005B2844" w:rsidRDefault="002B611D" w:rsidP="00A87F02">
      <w:pPr>
        <w:rPr>
          <w:szCs w:val="22"/>
        </w:rPr>
      </w:pPr>
      <w:proofErr w:type="spellStart"/>
      <w:r w:rsidRPr="005B2844">
        <w:rPr>
          <w:szCs w:val="22"/>
        </w:rPr>
        <w:t>MicardisPlus</w:t>
      </w:r>
      <w:proofErr w:type="spellEnd"/>
      <w:r w:rsidRPr="005B2844">
        <w:rPr>
          <w:szCs w:val="22"/>
        </w:rPr>
        <w:t xml:space="preserve"> può alterare la capacità di guidar</w:t>
      </w:r>
      <w:r w:rsidR="00A83FE2" w:rsidRPr="005B2844">
        <w:rPr>
          <w:szCs w:val="22"/>
        </w:rPr>
        <w:t>e veicoli e di usare macchinari.</w:t>
      </w:r>
      <w:r w:rsidRPr="005B2844">
        <w:rPr>
          <w:szCs w:val="22"/>
        </w:rPr>
        <w:t xml:space="preserve"> </w:t>
      </w:r>
      <w:r w:rsidR="00A87F02" w:rsidRPr="005B2844">
        <w:rPr>
          <w:szCs w:val="22"/>
        </w:rPr>
        <w:t xml:space="preserve">Durante l’assunzione di </w:t>
      </w:r>
      <w:proofErr w:type="spellStart"/>
      <w:r w:rsidR="00A87F02" w:rsidRPr="005B2844">
        <w:rPr>
          <w:szCs w:val="22"/>
        </w:rPr>
        <w:t>MicardisPlus</w:t>
      </w:r>
      <w:proofErr w:type="spellEnd"/>
      <w:r w:rsidR="00A87F02" w:rsidRPr="005B2844">
        <w:rPr>
          <w:szCs w:val="22"/>
        </w:rPr>
        <w:t xml:space="preserve"> possono occasionalmente verificarsi sonnolenza o vertigini</w:t>
      </w:r>
      <w:r w:rsidRPr="005B2844">
        <w:rPr>
          <w:szCs w:val="22"/>
        </w:rPr>
        <w:t>.</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4.8</w:t>
      </w:r>
      <w:r w:rsidRPr="005B2844">
        <w:rPr>
          <w:b/>
          <w:szCs w:val="22"/>
        </w:rPr>
        <w:tab/>
        <w:t>Effetti indesiderati</w:t>
      </w:r>
    </w:p>
    <w:p w:rsidR="00FC113F" w:rsidRPr="005B2844" w:rsidRDefault="00FC113F" w:rsidP="00126264">
      <w:pPr>
        <w:keepNext/>
        <w:rPr>
          <w:szCs w:val="22"/>
        </w:rPr>
      </w:pPr>
    </w:p>
    <w:p w:rsidR="005C3419" w:rsidRPr="005B2844" w:rsidRDefault="005C3419" w:rsidP="00126264">
      <w:pPr>
        <w:pStyle w:val="BodyText2"/>
        <w:keepNext/>
        <w:tabs>
          <w:tab w:val="clear" w:pos="567"/>
        </w:tabs>
        <w:ind w:left="0" w:firstLine="0"/>
        <w:rPr>
          <w:szCs w:val="22"/>
        </w:rPr>
      </w:pPr>
      <w:r w:rsidRPr="005B2844">
        <w:rPr>
          <w:szCs w:val="22"/>
          <w:u w:val="single"/>
        </w:rPr>
        <w:t>Riassunto del profilo di sicurezza</w:t>
      </w:r>
    </w:p>
    <w:p w:rsidR="005C3419" w:rsidRPr="005B2844" w:rsidRDefault="005C3419" w:rsidP="00126264">
      <w:pPr>
        <w:pStyle w:val="BodyText2"/>
        <w:keepNext/>
        <w:tabs>
          <w:tab w:val="clear" w:pos="567"/>
        </w:tabs>
        <w:rPr>
          <w:szCs w:val="22"/>
        </w:rPr>
      </w:pPr>
    </w:p>
    <w:p w:rsidR="005C3419" w:rsidRPr="005B2844" w:rsidRDefault="005A48B3" w:rsidP="005C3419">
      <w:pPr>
        <w:pStyle w:val="BodyText2"/>
        <w:tabs>
          <w:tab w:val="clear" w:pos="567"/>
        </w:tabs>
        <w:ind w:left="0" w:firstLine="0"/>
        <w:rPr>
          <w:szCs w:val="22"/>
        </w:rPr>
      </w:pPr>
      <w:r w:rsidRPr="005B2844">
        <w:rPr>
          <w:szCs w:val="22"/>
        </w:rPr>
        <w:t>La reazione avversa</w:t>
      </w:r>
      <w:r w:rsidR="005C3419" w:rsidRPr="005B2844">
        <w:rPr>
          <w:szCs w:val="22"/>
        </w:rPr>
        <w:t xml:space="preserve"> più comunemente riportat</w:t>
      </w:r>
      <w:r w:rsidRPr="005B2844">
        <w:rPr>
          <w:szCs w:val="22"/>
        </w:rPr>
        <w:t>a</w:t>
      </w:r>
      <w:r w:rsidR="005C3419" w:rsidRPr="005B2844">
        <w:rPr>
          <w:szCs w:val="22"/>
        </w:rPr>
        <w:t xml:space="preserve"> è il capogiro. Raramente si può verificare angioedema grave </w:t>
      </w:r>
      <w:r w:rsidRPr="005B2844">
        <w:rPr>
          <w:szCs w:val="22"/>
        </w:rPr>
        <w:t>(≥1/10.000, &lt;1/1.000)</w:t>
      </w:r>
      <w:r w:rsidR="005C3419" w:rsidRPr="005B2844">
        <w:rPr>
          <w:szCs w:val="22"/>
        </w:rPr>
        <w:t>.</w:t>
      </w:r>
    </w:p>
    <w:p w:rsidR="005C3419" w:rsidRPr="005B2844" w:rsidRDefault="005C3419" w:rsidP="005C3419">
      <w:pPr>
        <w:pStyle w:val="BodyText2"/>
        <w:tabs>
          <w:tab w:val="clear" w:pos="567"/>
        </w:tabs>
        <w:ind w:left="0" w:firstLine="0"/>
        <w:rPr>
          <w:szCs w:val="22"/>
        </w:rPr>
      </w:pPr>
    </w:p>
    <w:p w:rsidR="00DC4193" w:rsidRPr="005B2844" w:rsidRDefault="00DC4193" w:rsidP="0072602F">
      <w:pPr>
        <w:pStyle w:val="BodyText2"/>
        <w:tabs>
          <w:tab w:val="clear" w:pos="567"/>
        </w:tabs>
        <w:ind w:left="0" w:firstLine="0"/>
        <w:rPr>
          <w:szCs w:val="22"/>
        </w:rPr>
      </w:pPr>
      <w:r w:rsidRPr="005B2844">
        <w:rPr>
          <w:szCs w:val="22"/>
        </w:rPr>
        <w:t xml:space="preserve">L’incidenza complessiva ed il quadro </w:t>
      </w:r>
      <w:r w:rsidR="0015386A" w:rsidRPr="005B2844">
        <w:rPr>
          <w:szCs w:val="22"/>
        </w:rPr>
        <w:t>delle reazioni avverse</w:t>
      </w:r>
      <w:r w:rsidRPr="005B2844">
        <w:rPr>
          <w:szCs w:val="22"/>
        </w:rPr>
        <w:t xml:space="preserve"> riportat</w:t>
      </w:r>
      <w:r w:rsidR="0015386A" w:rsidRPr="005B2844">
        <w:rPr>
          <w:szCs w:val="22"/>
        </w:rPr>
        <w:t>e</w:t>
      </w:r>
      <w:r w:rsidRPr="005B2844">
        <w:rPr>
          <w:szCs w:val="22"/>
        </w:rPr>
        <w:t xml:space="preserve"> con </w:t>
      </w:r>
      <w:proofErr w:type="spellStart"/>
      <w:r w:rsidRPr="005B2844">
        <w:rPr>
          <w:szCs w:val="22"/>
        </w:rPr>
        <w:t>MicardisPlus</w:t>
      </w:r>
      <w:proofErr w:type="spellEnd"/>
      <w:r w:rsidRPr="005B2844">
        <w:rPr>
          <w:szCs w:val="22"/>
        </w:rPr>
        <w:t xml:space="preserve"> 80 mg/25 mg sono risultati confrontabili con quelli riportati con </w:t>
      </w:r>
      <w:proofErr w:type="spellStart"/>
      <w:r w:rsidRPr="005B2844">
        <w:rPr>
          <w:szCs w:val="22"/>
        </w:rPr>
        <w:t>MicardisPlus</w:t>
      </w:r>
      <w:proofErr w:type="spellEnd"/>
      <w:r w:rsidRPr="005B2844">
        <w:rPr>
          <w:szCs w:val="22"/>
        </w:rPr>
        <w:t xml:space="preserve"> 80 mg/12,5 mg. Non è stata stabilita una correlazione tra la dose e </w:t>
      </w:r>
      <w:r w:rsidR="0015386A" w:rsidRPr="005B2844">
        <w:rPr>
          <w:szCs w:val="22"/>
        </w:rPr>
        <w:t>le reazioni avverse</w:t>
      </w:r>
      <w:r w:rsidRPr="005B2844">
        <w:rPr>
          <w:szCs w:val="22"/>
        </w:rPr>
        <w:t xml:space="preserve"> né tra quest</w:t>
      </w:r>
      <w:r w:rsidR="002F5807" w:rsidRPr="005B2844">
        <w:rPr>
          <w:szCs w:val="22"/>
        </w:rPr>
        <w:t>e</w:t>
      </w:r>
      <w:r w:rsidRPr="005B2844">
        <w:rPr>
          <w:szCs w:val="22"/>
        </w:rPr>
        <w:t xml:space="preserve"> e il sesso, l’età o l’origine etnica dei pazienti.</w:t>
      </w:r>
    </w:p>
    <w:p w:rsidR="00FC113F" w:rsidRPr="005B2844" w:rsidRDefault="00FC113F" w:rsidP="0072602F">
      <w:pPr>
        <w:pStyle w:val="BodyText2"/>
        <w:tabs>
          <w:tab w:val="clear" w:pos="567"/>
        </w:tabs>
        <w:ind w:left="0" w:firstLine="0"/>
        <w:rPr>
          <w:szCs w:val="22"/>
        </w:rPr>
      </w:pPr>
    </w:p>
    <w:p w:rsidR="005C3419" w:rsidRPr="005B2844" w:rsidRDefault="002B611D" w:rsidP="00126264">
      <w:pPr>
        <w:pStyle w:val="BodyText2"/>
        <w:keepNext/>
        <w:tabs>
          <w:tab w:val="clear" w:pos="567"/>
        </w:tabs>
        <w:ind w:left="0" w:firstLine="0"/>
        <w:rPr>
          <w:szCs w:val="22"/>
          <w:u w:val="single"/>
        </w:rPr>
      </w:pPr>
      <w:r w:rsidRPr="005B2844">
        <w:rPr>
          <w:szCs w:val="22"/>
          <w:u w:val="single"/>
        </w:rPr>
        <w:t xml:space="preserve">Elenco riassuntivo </w:t>
      </w:r>
      <w:r w:rsidR="005C3419" w:rsidRPr="005B2844">
        <w:rPr>
          <w:szCs w:val="22"/>
          <w:u w:val="single"/>
        </w:rPr>
        <w:t>delle reazioni avverse</w:t>
      </w:r>
    </w:p>
    <w:p w:rsidR="005C3419" w:rsidRPr="005B2844" w:rsidRDefault="005C3419"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 xml:space="preserve">Le reazioni avverse riportate in tutti gli studi clinici e verificatesi più frequentemente (p </w:t>
      </w:r>
      <w:r w:rsidRPr="005B2844">
        <w:rPr>
          <w:szCs w:val="22"/>
        </w:rPr>
        <w:sym w:font="Symbol" w:char="F0A3"/>
      </w:r>
      <w:r w:rsidRPr="005B2844">
        <w:rPr>
          <w:szCs w:val="22"/>
        </w:rPr>
        <w:t xml:space="preserve"> 0,05) con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che con il placebo sono di seguito riportate in accordo alla classificazione per sistemi e organi. Le reazioni avverse note per uno dei singoli componenti, che non sia</w:t>
      </w:r>
      <w:r w:rsidR="00A21B91" w:rsidRPr="005B2844">
        <w:rPr>
          <w:szCs w:val="22"/>
        </w:rPr>
        <w:t>no</w:t>
      </w:r>
      <w:r w:rsidRPr="005B2844">
        <w:rPr>
          <w:szCs w:val="22"/>
        </w:rPr>
        <w:t xml:space="preserve"> stat</w:t>
      </w:r>
      <w:r w:rsidR="00A21B91" w:rsidRPr="005B2844">
        <w:rPr>
          <w:szCs w:val="22"/>
        </w:rPr>
        <w:t>e</w:t>
      </w:r>
      <w:r w:rsidRPr="005B2844">
        <w:rPr>
          <w:szCs w:val="22"/>
        </w:rPr>
        <w:t xml:space="preserve"> osservat</w:t>
      </w:r>
      <w:r w:rsidR="00A21B91" w:rsidRPr="005B2844">
        <w:rPr>
          <w:szCs w:val="22"/>
        </w:rPr>
        <w:t>e</w:t>
      </w:r>
      <w:r w:rsidRPr="005B2844">
        <w:rPr>
          <w:szCs w:val="22"/>
        </w:rPr>
        <w:t xml:space="preserve"> negli studi clinici, </w:t>
      </w:r>
      <w:r w:rsidR="00A21B91" w:rsidRPr="005B2844">
        <w:rPr>
          <w:szCs w:val="22"/>
        </w:rPr>
        <w:t>possono</w:t>
      </w:r>
      <w:r w:rsidRPr="005B2844">
        <w:rPr>
          <w:szCs w:val="22"/>
        </w:rPr>
        <w:t xml:space="preserve"> verificarsi durante il trattamento con </w:t>
      </w:r>
      <w:proofErr w:type="spellStart"/>
      <w:r w:rsidRPr="005B2844">
        <w:rPr>
          <w:szCs w:val="22"/>
        </w:rPr>
        <w:t>MicardisPlus</w:t>
      </w:r>
      <w:proofErr w:type="spellEnd"/>
      <w:r w:rsidRPr="005B2844">
        <w:rPr>
          <w:szCs w:val="22"/>
        </w:rPr>
        <w:t>.</w:t>
      </w:r>
    </w:p>
    <w:p w:rsidR="00FC113F" w:rsidRPr="005B2844" w:rsidRDefault="00FC113F" w:rsidP="0072602F">
      <w:pPr>
        <w:pStyle w:val="BodyText2"/>
        <w:tabs>
          <w:tab w:val="clear" w:pos="567"/>
        </w:tabs>
        <w:ind w:left="0" w:firstLine="0"/>
        <w:rPr>
          <w:szCs w:val="22"/>
        </w:rPr>
      </w:pPr>
    </w:p>
    <w:p w:rsidR="0045116F" w:rsidRPr="005B2844" w:rsidRDefault="00FC113F" w:rsidP="0072602F">
      <w:pPr>
        <w:pStyle w:val="BodyText2"/>
        <w:tabs>
          <w:tab w:val="clear" w:pos="567"/>
        </w:tabs>
        <w:ind w:left="0" w:firstLine="0"/>
        <w:rPr>
          <w:szCs w:val="22"/>
        </w:rPr>
      </w:pPr>
      <w:r w:rsidRPr="005B2844">
        <w:rPr>
          <w:szCs w:val="22"/>
        </w:rPr>
        <w:t>Le reazioni avverse sono state classificate per frequenza ricorrendo alla seguente convenzione:</w:t>
      </w:r>
    </w:p>
    <w:p w:rsidR="00FC113F" w:rsidRPr="005B2844" w:rsidRDefault="00FC113F" w:rsidP="0072602F">
      <w:pPr>
        <w:pStyle w:val="BodyText2"/>
        <w:tabs>
          <w:tab w:val="clear" w:pos="567"/>
        </w:tabs>
        <w:ind w:left="0" w:firstLine="0"/>
        <w:rPr>
          <w:szCs w:val="22"/>
        </w:rPr>
      </w:pPr>
      <w:r w:rsidRPr="005B2844">
        <w:rPr>
          <w:szCs w:val="22"/>
        </w:rPr>
        <w:t>molto comune (≥1/10); comune (≥1/100, &lt;1/10); non comune (≥1/1.000, &lt;1/100); raro (≥1/10.000, &lt;1/1.000); molto raro (&lt;1/10.000)</w:t>
      </w:r>
      <w:r w:rsidR="00864875" w:rsidRPr="005B2844">
        <w:rPr>
          <w:szCs w:val="22"/>
        </w:rPr>
        <w:t xml:space="preserve">, non nota (la frequenza non può essere definita sulla </w:t>
      </w:r>
      <w:r w:rsidR="004014C1" w:rsidRPr="005B2844">
        <w:rPr>
          <w:szCs w:val="22"/>
        </w:rPr>
        <w:t xml:space="preserve">base </w:t>
      </w:r>
      <w:r w:rsidR="00864875" w:rsidRPr="005B2844">
        <w:rPr>
          <w:szCs w:val="22"/>
        </w:rPr>
        <w:t>dei dati disponibili)</w:t>
      </w:r>
    </w:p>
    <w:p w:rsidR="00FC113F" w:rsidRPr="005B2844" w:rsidRDefault="00FC113F" w:rsidP="0072602F">
      <w:pPr>
        <w:pStyle w:val="BodyText2"/>
        <w:tabs>
          <w:tab w:val="clear" w:pos="567"/>
        </w:tabs>
        <w:ind w:left="0" w:firstLine="0"/>
        <w:rPr>
          <w:szCs w:val="22"/>
        </w:rPr>
      </w:pPr>
    </w:p>
    <w:p w:rsidR="00FC113F" w:rsidRPr="005B2844" w:rsidRDefault="00FC113F" w:rsidP="000709BC">
      <w:pPr>
        <w:pStyle w:val="BodyText20"/>
        <w:keepNext/>
        <w:spacing w:line="240" w:lineRule="auto"/>
        <w:jc w:val="left"/>
        <w:rPr>
          <w:szCs w:val="22"/>
        </w:rPr>
      </w:pPr>
      <w:r w:rsidRPr="005B2844">
        <w:rPr>
          <w:szCs w:val="22"/>
        </w:rPr>
        <w:t>All’interno di ogni gruppo di frequenza, le reazioni avverse sono elencate in ordine decrescente di gravità.</w:t>
      </w:r>
    </w:p>
    <w:p w:rsidR="00FC113F" w:rsidRPr="005B2844" w:rsidRDefault="00FC113F" w:rsidP="000709BC">
      <w:pPr>
        <w:pStyle w:val="BodyText2"/>
        <w:keepNext/>
        <w:tabs>
          <w:tab w:val="clear" w:pos="567"/>
        </w:tabs>
        <w:ind w:left="0" w:firstLine="0"/>
        <w:rPr>
          <w:szCs w:val="22"/>
        </w:rPr>
      </w:pPr>
    </w:p>
    <w:tbl>
      <w:tblPr>
        <w:tblW w:w="9747" w:type="dxa"/>
        <w:tblLayout w:type="fixed"/>
        <w:tblLook w:val="0000" w:firstRow="0" w:lastRow="0" w:firstColumn="0" w:lastColumn="0" w:noHBand="0" w:noVBand="0"/>
      </w:tblPr>
      <w:tblGrid>
        <w:gridCol w:w="5210"/>
        <w:gridCol w:w="4537"/>
      </w:tblGrid>
      <w:tr w:rsidR="00015047" w:rsidRPr="005B2844">
        <w:tblPrEx>
          <w:tblCellMar>
            <w:top w:w="0" w:type="dxa"/>
            <w:bottom w:w="0" w:type="dxa"/>
          </w:tblCellMar>
        </w:tblPrEx>
        <w:tc>
          <w:tcPr>
            <w:tcW w:w="9747" w:type="dxa"/>
            <w:gridSpan w:val="2"/>
          </w:tcPr>
          <w:p w:rsidR="00015047" w:rsidRPr="005B2844" w:rsidRDefault="00015047" w:rsidP="002A4606">
            <w:pPr>
              <w:keepNext/>
              <w:rPr>
                <w:szCs w:val="22"/>
              </w:rPr>
            </w:pPr>
            <w:r w:rsidRPr="005B2844">
              <w:rPr>
                <w:szCs w:val="22"/>
              </w:rPr>
              <w:t>Infezioni e infestazioni</w:t>
            </w:r>
          </w:p>
        </w:tc>
      </w:tr>
      <w:tr w:rsidR="00015047" w:rsidRPr="005B2844">
        <w:tblPrEx>
          <w:tblCellMar>
            <w:top w:w="0" w:type="dxa"/>
            <w:bottom w:w="0" w:type="dxa"/>
          </w:tblCellMar>
        </w:tblPrEx>
        <w:tc>
          <w:tcPr>
            <w:tcW w:w="5210" w:type="dxa"/>
          </w:tcPr>
          <w:p w:rsidR="00015047" w:rsidRPr="005B2844" w:rsidRDefault="00015047" w:rsidP="002A4606">
            <w:pPr>
              <w:keepNext/>
              <w:rPr>
                <w:szCs w:val="22"/>
              </w:rPr>
            </w:pPr>
            <w:r w:rsidRPr="005B2844">
              <w:rPr>
                <w:szCs w:val="22"/>
              </w:rPr>
              <w:tab/>
              <w:t>Raro:</w:t>
            </w:r>
          </w:p>
          <w:p w:rsidR="00015047" w:rsidRPr="005B2844" w:rsidRDefault="00015047" w:rsidP="002A4606">
            <w:pPr>
              <w:keepNext/>
              <w:rPr>
                <w:szCs w:val="22"/>
              </w:rPr>
            </w:pPr>
            <w:r w:rsidRPr="005B2844">
              <w:rPr>
                <w:szCs w:val="22"/>
              </w:rPr>
              <w:tab/>
            </w:r>
          </w:p>
        </w:tc>
        <w:tc>
          <w:tcPr>
            <w:tcW w:w="4537" w:type="dxa"/>
          </w:tcPr>
          <w:p w:rsidR="00015047" w:rsidRPr="005B2844" w:rsidRDefault="00015047" w:rsidP="002A4606">
            <w:pPr>
              <w:keepNext/>
              <w:rPr>
                <w:szCs w:val="22"/>
              </w:rPr>
            </w:pPr>
            <w:r w:rsidRPr="005B2844">
              <w:rPr>
                <w:szCs w:val="22"/>
              </w:rPr>
              <w:t>Bronchite</w:t>
            </w:r>
            <w:r w:rsidR="005C3419" w:rsidRPr="005B2844">
              <w:rPr>
                <w:szCs w:val="22"/>
              </w:rPr>
              <w:t>, faringite, sinusite</w:t>
            </w:r>
          </w:p>
          <w:p w:rsidR="00015047" w:rsidRPr="005B2844" w:rsidRDefault="00015047" w:rsidP="002A4606">
            <w:pPr>
              <w:keepNext/>
              <w:rPr>
                <w:szCs w:val="22"/>
              </w:rPr>
            </w:pPr>
          </w:p>
        </w:tc>
      </w:tr>
      <w:tr w:rsidR="00E72773" w:rsidRPr="005B2844" w:rsidTr="00FE38BC">
        <w:tblPrEx>
          <w:tblCellMar>
            <w:top w:w="0" w:type="dxa"/>
            <w:bottom w:w="0" w:type="dxa"/>
          </w:tblCellMar>
        </w:tblPrEx>
        <w:tc>
          <w:tcPr>
            <w:tcW w:w="9747" w:type="dxa"/>
            <w:gridSpan w:val="2"/>
          </w:tcPr>
          <w:p w:rsidR="00E72773" w:rsidRPr="005B2844" w:rsidRDefault="00E72773" w:rsidP="00513901">
            <w:pPr>
              <w:rPr>
                <w:szCs w:val="22"/>
              </w:rPr>
            </w:pPr>
            <w:r w:rsidRPr="005B2844">
              <w:rPr>
                <w:szCs w:val="22"/>
              </w:rPr>
              <w:t>Disturbi del sistema immunitario</w:t>
            </w:r>
          </w:p>
        </w:tc>
      </w:tr>
      <w:tr w:rsidR="00E72773" w:rsidRPr="005B2844" w:rsidTr="00FE38BC">
        <w:tblPrEx>
          <w:tblCellMar>
            <w:top w:w="0" w:type="dxa"/>
            <w:bottom w:w="0" w:type="dxa"/>
          </w:tblCellMar>
        </w:tblPrEx>
        <w:tc>
          <w:tcPr>
            <w:tcW w:w="5210" w:type="dxa"/>
          </w:tcPr>
          <w:p w:rsidR="00E72773" w:rsidRPr="005B2844" w:rsidRDefault="00E72773" w:rsidP="00513901">
            <w:pPr>
              <w:rPr>
                <w:szCs w:val="22"/>
              </w:rPr>
            </w:pPr>
            <w:r w:rsidRPr="005B2844">
              <w:rPr>
                <w:szCs w:val="22"/>
              </w:rPr>
              <w:tab/>
              <w:t>Raro:</w:t>
            </w:r>
          </w:p>
          <w:p w:rsidR="00E72773" w:rsidRPr="005B2844" w:rsidRDefault="00E72773" w:rsidP="002A4606">
            <w:pPr>
              <w:keepNext/>
              <w:rPr>
                <w:szCs w:val="22"/>
              </w:rPr>
            </w:pPr>
          </w:p>
        </w:tc>
        <w:tc>
          <w:tcPr>
            <w:tcW w:w="4537" w:type="dxa"/>
          </w:tcPr>
          <w:p w:rsidR="00E72773" w:rsidRPr="005B2844" w:rsidRDefault="00E72773" w:rsidP="002A4606">
            <w:pPr>
              <w:keepNext/>
              <w:rPr>
                <w:szCs w:val="22"/>
              </w:rPr>
            </w:pPr>
            <w:r w:rsidRPr="005B2844">
              <w:rPr>
                <w:szCs w:val="22"/>
              </w:rPr>
              <w:t>Esacerbazione o attivazione di lupus eritematoso sistemico</w:t>
            </w:r>
            <w:r w:rsidRPr="005B2844">
              <w:rPr>
                <w:szCs w:val="22"/>
                <w:vertAlign w:val="superscript"/>
              </w:rPr>
              <w:t>1</w:t>
            </w:r>
          </w:p>
          <w:p w:rsidR="00E72773" w:rsidRPr="005B2844" w:rsidRDefault="00E72773" w:rsidP="002A4606">
            <w:pPr>
              <w:keepNext/>
              <w:rPr>
                <w:szCs w:val="22"/>
              </w:rPr>
            </w:pPr>
          </w:p>
        </w:tc>
      </w:tr>
      <w:tr w:rsidR="00015047" w:rsidRPr="005B2844">
        <w:tblPrEx>
          <w:tblCellMar>
            <w:top w:w="0" w:type="dxa"/>
            <w:bottom w:w="0" w:type="dxa"/>
          </w:tblCellMar>
        </w:tblPrEx>
        <w:tc>
          <w:tcPr>
            <w:tcW w:w="9747" w:type="dxa"/>
            <w:gridSpan w:val="2"/>
          </w:tcPr>
          <w:p w:rsidR="00015047" w:rsidRPr="005B2844" w:rsidRDefault="00015047" w:rsidP="000709BC">
            <w:pPr>
              <w:keepNext/>
              <w:rPr>
                <w:szCs w:val="22"/>
              </w:rPr>
            </w:pPr>
            <w:r w:rsidRPr="005B2844">
              <w:rPr>
                <w:szCs w:val="22"/>
              </w:rPr>
              <w:t xml:space="preserve">Disturbi del metabolismo e della nutrizione </w:t>
            </w:r>
          </w:p>
        </w:tc>
      </w:tr>
      <w:tr w:rsidR="00015047" w:rsidRPr="005B2844">
        <w:tblPrEx>
          <w:tblCellMar>
            <w:top w:w="0" w:type="dxa"/>
            <w:bottom w:w="0" w:type="dxa"/>
          </w:tblCellMar>
        </w:tblPrEx>
        <w:tc>
          <w:tcPr>
            <w:tcW w:w="5210" w:type="dxa"/>
          </w:tcPr>
          <w:p w:rsidR="00015047" w:rsidRPr="005B2844" w:rsidRDefault="00015047" w:rsidP="0072602F">
            <w:pPr>
              <w:rPr>
                <w:szCs w:val="22"/>
              </w:rPr>
            </w:pPr>
            <w:r w:rsidRPr="005B2844">
              <w:rPr>
                <w:szCs w:val="22"/>
              </w:rPr>
              <w:tab/>
              <w:t>Non comune:</w:t>
            </w:r>
          </w:p>
          <w:p w:rsidR="00015047" w:rsidRPr="005B2844" w:rsidRDefault="00015047" w:rsidP="0072602F">
            <w:pPr>
              <w:rPr>
                <w:szCs w:val="22"/>
              </w:rPr>
            </w:pPr>
            <w:r w:rsidRPr="005B2844">
              <w:rPr>
                <w:szCs w:val="22"/>
              </w:rPr>
              <w:tab/>
              <w:t>Raro:</w:t>
            </w:r>
          </w:p>
        </w:tc>
        <w:tc>
          <w:tcPr>
            <w:tcW w:w="4537" w:type="dxa"/>
          </w:tcPr>
          <w:p w:rsidR="00015047" w:rsidRPr="005B2844" w:rsidRDefault="00015047" w:rsidP="0072602F">
            <w:pPr>
              <w:rPr>
                <w:szCs w:val="22"/>
              </w:rPr>
            </w:pPr>
            <w:r w:rsidRPr="005B2844">
              <w:rPr>
                <w:szCs w:val="22"/>
              </w:rPr>
              <w:t>Ipokaliemia</w:t>
            </w:r>
          </w:p>
          <w:p w:rsidR="00015047" w:rsidRPr="005B2844" w:rsidRDefault="00015047" w:rsidP="0072602F">
            <w:pPr>
              <w:rPr>
                <w:szCs w:val="22"/>
              </w:rPr>
            </w:pPr>
            <w:r w:rsidRPr="005B2844">
              <w:rPr>
                <w:szCs w:val="22"/>
              </w:rPr>
              <w:t xml:space="preserve">Iperuricemia, </w:t>
            </w:r>
            <w:proofErr w:type="spellStart"/>
            <w:r w:rsidRPr="005B2844">
              <w:rPr>
                <w:szCs w:val="22"/>
              </w:rPr>
              <w:t>ip</w:t>
            </w:r>
            <w:r w:rsidR="002D02AB" w:rsidRPr="005B2844">
              <w:rPr>
                <w:szCs w:val="22"/>
              </w:rPr>
              <w:t>o</w:t>
            </w:r>
            <w:r w:rsidRPr="005B2844">
              <w:rPr>
                <w:szCs w:val="22"/>
              </w:rPr>
              <w:t>natremia</w:t>
            </w:r>
            <w:proofErr w:type="spellEnd"/>
          </w:p>
          <w:p w:rsidR="00015047" w:rsidRPr="005B2844" w:rsidRDefault="00015047" w:rsidP="0072602F">
            <w:pPr>
              <w:rPr>
                <w:szCs w:val="22"/>
              </w:rPr>
            </w:pPr>
          </w:p>
        </w:tc>
      </w:tr>
      <w:tr w:rsidR="00015047" w:rsidRPr="005B2844">
        <w:tblPrEx>
          <w:tblCellMar>
            <w:top w:w="0" w:type="dxa"/>
            <w:bottom w:w="0" w:type="dxa"/>
          </w:tblCellMar>
        </w:tblPrEx>
        <w:tc>
          <w:tcPr>
            <w:tcW w:w="9747" w:type="dxa"/>
            <w:gridSpan w:val="2"/>
          </w:tcPr>
          <w:p w:rsidR="00015047" w:rsidRPr="005B2844" w:rsidRDefault="00015047" w:rsidP="0072602F">
            <w:pPr>
              <w:rPr>
                <w:szCs w:val="22"/>
              </w:rPr>
            </w:pPr>
            <w:r w:rsidRPr="005B2844">
              <w:rPr>
                <w:szCs w:val="22"/>
              </w:rPr>
              <w:t>Disturbi psichiatrici</w:t>
            </w:r>
          </w:p>
        </w:tc>
      </w:tr>
      <w:tr w:rsidR="00015047" w:rsidRPr="005B2844">
        <w:tblPrEx>
          <w:tblCellMar>
            <w:top w:w="0" w:type="dxa"/>
            <w:bottom w:w="0" w:type="dxa"/>
          </w:tblCellMar>
        </w:tblPrEx>
        <w:tc>
          <w:tcPr>
            <w:tcW w:w="5210" w:type="dxa"/>
          </w:tcPr>
          <w:p w:rsidR="00015047" w:rsidRPr="005B2844" w:rsidRDefault="00015047" w:rsidP="0072602F">
            <w:pPr>
              <w:rPr>
                <w:szCs w:val="22"/>
              </w:rPr>
            </w:pPr>
            <w:r w:rsidRPr="005B2844">
              <w:rPr>
                <w:szCs w:val="22"/>
              </w:rPr>
              <w:tab/>
              <w:t>Non comune:</w:t>
            </w:r>
          </w:p>
          <w:p w:rsidR="00015047" w:rsidRPr="005B2844" w:rsidRDefault="00015047" w:rsidP="0072602F">
            <w:pPr>
              <w:rPr>
                <w:szCs w:val="22"/>
              </w:rPr>
            </w:pPr>
            <w:r w:rsidRPr="005B2844">
              <w:rPr>
                <w:szCs w:val="22"/>
              </w:rPr>
              <w:tab/>
              <w:t>Raro:</w:t>
            </w:r>
          </w:p>
        </w:tc>
        <w:tc>
          <w:tcPr>
            <w:tcW w:w="4537" w:type="dxa"/>
          </w:tcPr>
          <w:p w:rsidR="00015047" w:rsidRPr="005B2844" w:rsidRDefault="00015047" w:rsidP="0072602F">
            <w:pPr>
              <w:rPr>
                <w:szCs w:val="22"/>
              </w:rPr>
            </w:pPr>
            <w:r w:rsidRPr="005B2844">
              <w:rPr>
                <w:szCs w:val="22"/>
              </w:rPr>
              <w:t>Ansia</w:t>
            </w:r>
          </w:p>
          <w:p w:rsidR="00015047" w:rsidRPr="005B2844" w:rsidRDefault="00015047" w:rsidP="0072602F">
            <w:pPr>
              <w:rPr>
                <w:szCs w:val="22"/>
              </w:rPr>
            </w:pPr>
            <w:r w:rsidRPr="005B2844">
              <w:rPr>
                <w:szCs w:val="22"/>
              </w:rPr>
              <w:t>Depressione</w:t>
            </w:r>
          </w:p>
          <w:p w:rsidR="00015047" w:rsidRPr="005B2844" w:rsidRDefault="00015047" w:rsidP="0072602F">
            <w:pPr>
              <w:rPr>
                <w:szCs w:val="22"/>
              </w:rPr>
            </w:pPr>
          </w:p>
        </w:tc>
      </w:tr>
      <w:tr w:rsidR="00015047" w:rsidRPr="005B2844">
        <w:tblPrEx>
          <w:tblCellMar>
            <w:top w:w="0" w:type="dxa"/>
            <w:bottom w:w="0" w:type="dxa"/>
          </w:tblCellMar>
        </w:tblPrEx>
        <w:tc>
          <w:tcPr>
            <w:tcW w:w="9747" w:type="dxa"/>
            <w:gridSpan w:val="2"/>
          </w:tcPr>
          <w:p w:rsidR="00015047" w:rsidRPr="005B2844" w:rsidRDefault="00015047" w:rsidP="0072602F">
            <w:pPr>
              <w:rPr>
                <w:szCs w:val="22"/>
              </w:rPr>
            </w:pPr>
            <w:r w:rsidRPr="005B2844">
              <w:rPr>
                <w:noProof/>
                <w:szCs w:val="22"/>
              </w:rPr>
              <w:t xml:space="preserve">Patologie </w:t>
            </w:r>
            <w:r w:rsidRPr="005B2844">
              <w:rPr>
                <w:szCs w:val="22"/>
              </w:rPr>
              <w:t>del sistema nervoso</w:t>
            </w:r>
          </w:p>
        </w:tc>
      </w:tr>
      <w:tr w:rsidR="00015047" w:rsidRPr="005B2844">
        <w:tblPrEx>
          <w:tblCellMar>
            <w:top w:w="0" w:type="dxa"/>
            <w:bottom w:w="0" w:type="dxa"/>
          </w:tblCellMar>
        </w:tblPrEx>
        <w:tc>
          <w:tcPr>
            <w:tcW w:w="5210" w:type="dxa"/>
          </w:tcPr>
          <w:p w:rsidR="00015047" w:rsidRPr="005B2844" w:rsidRDefault="00015047" w:rsidP="0072602F">
            <w:pPr>
              <w:rPr>
                <w:szCs w:val="22"/>
              </w:rPr>
            </w:pPr>
            <w:r w:rsidRPr="005B2844">
              <w:rPr>
                <w:szCs w:val="22"/>
              </w:rPr>
              <w:tab/>
              <w:t>Comune:</w:t>
            </w:r>
          </w:p>
          <w:p w:rsidR="00015047" w:rsidRPr="005B2844" w:rsidRDefault="00015047" w:rsidP="0072602F">
            <w:pPr>
              <w:rPr>
                <w:szCs w:val="22"/>
              </w:rPr>
            </w:pPr>
            <w:r w:rsidRPr="005B2844">
              <w:rPr>
                <w:szCs w:val="22"/>
              </w:rPr>
              <w:tab/>
              <w:t>Non comune:</w:t>
            </w:r>
          </w:p>
          <w:p w:rsidR="00015047" w:rsidRPr="005B2844" w:rsidRDefault="00015047" w:rsidP="0072602F">
            <w:pPr>
              <w:rPr>
                <w:szCs w:val="22"/>
              </w:rPr>
            </w:pPr>
            <w:r w:rsidRPr="005B2844">
              <w:rPr>
                <w:szCs w:val="22"/>
              </w:rPr>
              <w:tab/>
              <w:t>Raro:</w:t>
            </w:r>
          </w:p>
          <w:p w:rsidR="00015047" w:rsidRPr="005B2844" w:rsidRDefault="00015047" w:rsidP="0072602F">
            <w:pPr>
              <w:rPr>
                <w:noProof/>
                <w:szCs w:val="22"/>
              </w:rPr>
            </w:pPr>
          </w:p>
        </w:tc>
        <w:tc>
          <w:tcPr>
            <w:tcW w:w="4537" w:type="dxa"/>
          </w:tcPr>
          <w:p w:rsidR="00015047" w:rsidRPr="005B2844" w:rsidRDefault="00015047" w:rsidP="0072602F">
            <w:pPr>
              <w:rPr>
                <w:szCs w:val="22"/>
              </w:rPr>
            </w:pPr>
            <w:r w:rsidRPr="005B2844">
              <w:rPr>
                <w:szCs w:val="22"/>
              </w:rPr>
              <w:t>Capogiro</w:t>
            </w:r>
          </w:p>
          <w:p w:rsidR="00015047" w:rsidRPr="005B2844" w:rsidRDefault="00015047" w:rsidP="0072602F">
            <w:pPr>
              <w:rPr>
                <w:szCs w:val="22"/>
              </w:rPr>
            </w:pPr>
            <w:r w:rsidRPr="005B2844">
              <w:rPr>
                <w:szCs w:val="22"/>
              </w:rPr>
              <w:t>Sincope, parestesia</w:t>
            </w:r>
          </w:p>
          <w:p w:rsidR="00015047" w:rsidRPr="005B2844" w:rsidRDefault="00015047" w:rsidP="0072602F">
            <w:pPr>
              <w:rPr>
                <w:szCs w:val="22"/>
              </w:rPr>
            </w:pPr>
            <w:r w:rsidRPr="005B2844">
              <w:rPr>
                <w:szCs w:val="22"/>
              </w:rPr>
              <w:t>Insonnia, disturbi del sonno</w:t>
            </w:r>
          </w:p>
        </w:tc>
      </w:tr>
      <w:tr w:rsidR="00A61BEB" w:rsidRPr="005B2844">
        <w:tblPrEx>
          <w:tblCellMar>
            <w:top w:w="0" w:type="dxa"/>
            <w:bottom w:w="0" w:type="dxa"/>
          </w:tblCellMar>
        </w:tblPrEx>
        <w:tc>
          <w:tcPr>
            <w:tcW w:w="9747" w:type="dxa"/>
            <w:gridSpan w:val="2"/>
          </w:tcPr>
          <w:p w:rsidR="00A61BEB" w:rsidRPr="005B2844" w:rsidRDefault="00A61BEB" w:rsidP="006809D3">
            <w:pPr>
              <w:rPr>
                <w:szCs w:val="22"/>
              </w:rPr>
            </w:pPr>
            <w:r w:rsidRPr="005B2844">
              <w:rPr>
                <w:noProof/>
                <w:szCs w:val="22"/>
              </w:rPr>
              <w:t>Patologie dell'occhio</w:t>
            </w:r>
          </w:p>
        </w:tc>
      </w:tr>
      <w:tr w:rsidR="00A61BEB" w:rsidRPr="005B2844">
        <w:tblPrEx>
          <w:tblCellMar>
            <w:top w:w="0" w:type="dxa"/>
            <w:bottom w:w="0" w:type="dxa"/>
          </w:tblCellMar>
        </w:tblPrEx>
        <w:tc>
          <w:tcPr>
            <w:tcW w:w="5210" w:type="dxa"/>
          </w:tcPr>
          <w:p w:rsidR="00A61BEB" w:rsidRPr="005B2844" w:rsidRDefault="00A61BEB" w:rsidP="006809D3">
            <w:pPr>
              <w:rPr>
                <w:noProof/>
                <w:szCs w:val="22"/>
              </w:rPr>
            </w:pPr>
            <w:r w:rsidRPr="005B2844">
              <w:rPr>
                <w:noProof/>
                <w:szCs w:val="22"/>
              </w:rPr>
              <w:tab/>
              <w:t>Raro:</w:t>
            </w:r>
          </w:p>
          <w:p w:rsidR="00A61BEB" w:rsidRPr="005B2844" w:rsidRDefault="00A61BEB" w:rsidP="006809D3">
            <w:pPr>
              <w:rPr>
                <w:szCs w:val="22"/>
              </w:rPr>
            </w:pPr>
          </w:p>
        </w:tc>
        <w:tc>
          <w:tcPr>
            <w:tcW w:w="4537" w:type="dxa"/>
          </w:tcPr>
          <w:p w:rsidR="00A61BEB" w:rsidRPr="005B2844" w:rsidRDefault="00A61BEB" w:rsidP="006809D3">
            <w:pPr>
              <w:rPr>
                <w:szCs w:val="22"/>
              </w:rPr>
            </w:pPr>
            <w:r w:rsidRPr="005B2844">
              <w:rPr>
                <w:szCs w:val="22"/>
              </w:rPr>
              <w:t>Disturbo della vista, visione offuscata</w:t>
            </w:r>
          </w:p>
        </w:tc>
      </w:tr>
      <w:tr w:rsidR="00826A49" w:rsidRPr="005B2844">
        <w:tblPrEx>
          <w:tblCellMar>
            <w:top w:w="0" w:type="dxa"/>
            <w:bottom w:w="0" w:type="dxa"/>
          </w:tblCellMar>
        </w:tblPrEx>
        <w:tc>
          <w:tcPr>
            <w:tcW w:w="9747" w:type="dxa"/>
            <w:gridSpan w:val="2"/>
          </w:tcPr>
          <w:p w:rsidR="00826A49" w:rsidRPr="005B2844" w:rsidRDefault="00826A49" w:rsidP="0072602F">
            <w:pPr>
              <w:rPr>
                <w:szCs w:val="22"/>
              </w:rPr>
            </w:pPr>
            <w:r w:rsidRPr="005B2844">
              <w:rPr>
                <w:noProof/>
                <w:szCs w:val="22"/>
              </w:rPr>
              <w:t xml:space="preserve">Patologie </w:t>
            </w:r>
            <w:r w:rsidRPr="005B2844">
              <w:rPr>
                <w:szCs w:val="22"/>
              </w:rPr>
              <w:t>dell’orecchio e del labirinto</w:t>
            </w:r>
          </w:p>
        </w:tc>
      </w:tr>
      <w:tr w:rsidR="00826A49" w:rsidRPr="005B2844">
        <w:tblPrEx>
          <w:tblCellMar>
            <w:top w:w="0" w:type="dxa"/>
            <w:bottom w:w="0" w:type="dxa"/>
          </w:tblCellMar>
        </w:tblPrEx>
        <w:tc>
          <w:tcPr>
            <w:tcW w:w="5210" w:type="dxa"/>
          </w:tcPr>
          <w:p w:rsidR="00826A49" w:rsidRPr="005B2844" w:rsidRDefault="00826A49" w:rsidP="0072602F">
            <w:pPr>
              <w:rPr>
                <w:noProof/>
                <w:szCs w:val="22"/>
              </w:rPr>
            </w:pPr>
            <w:r w:rsidRPr="005B2844">
              <w:rPr>
                <w:szCs w:val="22"/>
              </w:rPr>
              <w:tab/>
              <w:t>Non comune:</w:t>
            </w:r>
          </w:p>
        </w:tc>
        <w:tc>
          <w:tcPr>
            <w:tcW w:w="4537" w:type="dxa"/>
          </w:tcPr>
          <w:p w:rsidR="00826A49" w:rsidRPr="005B2844" w:rsidRDefault="00826A49" w:rsidP="0072602F">
            <w:pPr>
              <w:rPr>
                <w:szCs w:val="22"/>
              </w:rPr>
            </w:pPr>
            <w:r w:rsidRPr="005B2844">
              <w:rPr>
                <w:szCs w:val="22"/>
              </w:rPr>
              <w:t>Vertigini</w:t>
            </w:r>
          </w:p>
          <w:p w:rsidR="00826A49" w:rsidRPr="005B2844" w:rsidRDefault="00826A49" w:rsidP="0072602F">
            <w:pPr>
              <w:rPr>
                <w:szCs w:val="22"/>
              </w:rPr>
            </w:pPr>
          </w:p>
        </w:tc>
      </w:tr>
      <w:tr w:rsidR="00826A49" w:rsidRPr="005B2844">
        <w:tblPrEx>
          <w:tblCellMar>
            <w:top w:w="0" w:type="dxa"/>
            <w:bottom w:w="0" w:type="dxa"/>
          </w:tblCellMar>
        </w:tblPrEx>
        <w:tc>
          <w:tcPr>
            <w:tcW w:w="9747" w:type="dxa"/>
            <w:gridSpan w:val="2"/>
          </w:tcPr>
          <w:p w:rsidR="00826A49" w:rsidRPr="005B2844" w:rsidRDefault="00826A49" w:rsidP="006809D3">
            <w:pPr>
              <w:rPr>
                <w:szCs w:val="22"/>
              </w:rPr>
            </w:pPr>
            <w:r w:rsidRPr="005B2844">
              <w:rPr>
                <w:szCs w:val="22"/>
              </w:rPr>
              <w:t>Patologie cardiache</w:t>
            </w:r>
          </w:p>
        </w:tc>
      </w:tr>
      <w:tr w:rsidR="00826A49" w:rsidRPr="005B2844">
        <w:tblPrEx>
          <w:tblCellMar>
            <w:top w:w="0" w:type="dxa"/>
            <w:bottom w:w="0" w:type="dxa"/>
          </w:tblCellMar>
        </w:tblPrEx>
        <w:tc>
          <w:tcPr>
            <w:tcW w:w="5210" w:type="dxa"/>
          </w:tcPr>
          <w:p w:rsidR="00826A49" w:rsidRPr="005B2844" w:rsidRDefault="00826A49" w:rsidP="006809D3">
            <w:pPr>
              <w:rPr>
                <w:szCs w:val="22"/>
              </w:rPr>
            </w:pPr>
            <w:r w:rsidRPr="005B2844">
              <w:rPr>
                <w:szCs w:val="22"/>
              </w:rPr>
              <w:tab/>
              <w:t>Non comune:</w:t>
            </w:r>
          </w:p>
          <w:p w:rsidR="00826A49" w:rsidRPr="005B2844" w:rsidRDefault="00826A49" w:rsidP="006809D3">
            <w:pPr>
              <w:rPr>
                <w:szCs w:val="22"/>
              </w:rPr>
            </w:pPr>
          </w:p>
        </w:tc>
        <w:tc>
          <w:tcPr>
            <w:tcW w:w="4537" w:type="dxa"/>
          </w:tcPr>
          <w:p w:rsidR="00826A49" w:rsidRPr="005B2844" w:rsidRDefault="00826A49" w:rsidP="006809D3">
            <w:pPr>
              <w:rPr>
                <w:szCs w:val="22"/>
              </w:rPr>
            </w:pPr>
            <w:r w:rsidRPr="005B2844">
              <w:rPr>
                <w:szCs w:val="22"/>
              </w:rPr>
              <w:t>Tachicardia, aritmia</w:t>
            </w:r>
          </w:p>
        </w:tc>
      </w:tr>
      <w:tr w:rsidR="00826A49" w:rsidRPr="005B2844">
        <w:tblPrEx>
          <w:tblCellMar>
            <w:top w:w="0" w:type="dxa"/>
            <w:bottom w:w="0" w:type="dxa"/>
          </w:tblCellMar>
        </w:tblPrEx>
        <w:tc>
          <w:tcPr>
            <w:tcW w:w="9747" w:type="dxa"/>
            <w:gridSpan w:val="2"/>
          </w:tcPr>
          <w:p w:rsidR="00826A49" w:rsidRPr="005B2844" w:rsidRDefault="00826A49" w:rsidP="006809D3">
            <w:pPr>
              <w:rPr>
                <w:szCs w:val="22"/>
              </w:rPr>
            </w:pPr>
            <w:r w:rsidRPr="005B2844">
              <w:rPr>
                <w:szCs w:val="22"/>
              </w:rPr>
              <w:t>Patologie vascolari</w:t>
            </w:r>
          </w:p>
        </w:tc>
      </w:tr>
      <w:tr w:rsidR="00826A49" w:rsidRPr="005B2844">
        <w:tblPrEx>
          <w:tblCellMar>
            <w:top w:w="0" w:type="dxa"/>
            <w:bottom w:w="0" w:type="dxa"/>
          </w:tblCellMar>
        </w:tblPrEx>
        <w:tc>
          <w:tcPr>
            <w:tcW w:w="5210" w:type="dxa"/>
          </w:tcPr>
          <w:p w:rsidR="00826A49" w:rsidRPr="005B2844" w:rsidRDefault="00826A49" w:rsidP="006809D3">
            <w:pPr>
              <w:rPr>
                <w:szCs w:val="22"/>
              </w:rPr>
            </w:pPr>
            <w:r w:rsidRPr="005B2844">
              <w:rPr>
                <w:szCs w:val="22"/>
              </w:rPr>
              <w:tab/>
              <w:t>Non comune:</w:t>
            </w:r>
          </w:p>
          <w:p w:rsidR="00826A49" w:rsidRPr="005B2844" w:rsidRDefault="00826A49" w:rsidP="006809D3">
            <w:pPr>
              <w:rPr>
                <w:szCs w:val="22"/>
              </w:rPr>
            </w:pPr>
          </w:p>
        </w:tc>
        <w:tc>
          <w:tcPr>
            <w:tcW w:w="4537" w:type="dxa"/>
          </w:tcPr>
          <w:p w:rsidR="00826A49" w:rsidRPr="005B2844" w:rsidRDefault="00826A49" w:rsidP="006809D3">
            <w:pPr>
              <w:rPr>
                <w:szCs w:val="22"/>
              </w:rPr>
            </w:pPr>
            <w:r w:rsidRPr="005B2844">
              <w:rPr>
                <w:szCs w:val="22"/>
              </w:rPr>
              <w:t>Ipotensione, ipotensione ortostatica</w:t>
            </w:r>
          </w:p>
        </w:tc>
      </w:tr>
      <w:tr w:rsidR="00826A49" w:rsidRPr="005B2844">
        <w:tblPrEx>
          <w:tblCellMar>
            <w:top w:w="0" w:type="dxa"/>
            <w:bottom w:w="0" w:type="dxa"/>
          </w:tblCellMar>
        </w:tblPrEx>
        <w:tc>
          <w:tcPr>
            <w:tcW w:w="9747" w:type="dxa"/>
            <w:gridSpan w:val="2"/>
          </w:tcPr>
          <w:p w:rsidR="00826A49" w:rsidRPr="005B2844" w:rsidRDefault="00826A49" w:rsidP="008139C7">
            <w:pPr>
              <w:rPr>
                <w:szCs w:val="22"/>
              </w:rPr>
            </w:pPr>
            <w:r w:rsidRPr="005B2844">
              <w:rPr>
                <w:szCs w:val="22"/>
              </w:rPr>
              <w:t>Patologie respiratorie, toraciche e mediastiniche</w:t>
            </w:r>
          </w:p>
        </w:tc>
      </w:tr>
      <w:tr w:rsidR="00826A49" w:rsidRPr="005B2844">
        <w:tblPrEx>
          <w:tblCellMar>
            <w:top w:w="0" w:type="dxa"/>
            <w:bottom w:w="0" w:type="dxa"/>
          </w:tblCellMar>
        </w:tblPrEx>
        <w:tc>
          <w:tcPr>
            <w:tcW w:w="5210" w:type="dxa"/>
          </w:tcPr>
          <w:p w:rsidR="00826A49" w:rsidRPr="005B2844" w:rsidRDefault="00826A49" w:rsidP="006809D3">
            <w:pPr>
              <w:rPr>
                <w:szCs w:val="22"/>
              </w:rPr>
            </w:pPr>
            <w:r w:rsidRPr="005B2844">
              <w:rPr>
                <w:szCs w:val="22"/>
              </w:rPr>
              <w:tab/>
              <w:t>Non comune:</w:t>
            </w:r>
          </w:p>
          <w:p w:rsidR="00826A49" w:rsidRPr="005B2844" w:rsidRDefault="00826A49" w:rsidP="006809D3">
            <w:pPr>
              <w:rPr>
                <w:szCs w:val="22"/>
              </w:rPr>
            </w:pPr>
            <w:r w:rsidRPr="005B2844">
              <w:rPr>
                <w:szCs w:val="22"/>
              </w:rPr>
              <w:tab/>
              <w:t>Raro:</w:t>
            </w:r>
          </w:p>
        </w:tc>
        <w:tc>
          <w:tcPr>
            <w:tcW w:w="4537" w:type="dxa"/>
          </w:tcPr>
          <w:p w:rsidR="00826A49" w:rsidRPr="005B2844" w:rsidRDefault="00826A49" w:rsidP="006809D3">
            <w:pPr>
              <w:rPr>
                <w:szCs w:val="22"/>
              </w:rPr>
            </w:pPr>
            <w:r w:rsidRPr="005B2844">
              <w:rPr>
                <w:szCs w:val="22"/>
              </w:rPr>
              <w:t>Dispnea</w:t>
            </w:r>
          </w:p>
          <w:p w:rsidR="00826A49" w:rsidRPr="005B2844" w:rsidRDefault="00826A49" w:rsidP="006809D3">
            <w:pPr>
              <w:rPr>
                <w:szCs w:val="22"/>
              </w:rPr>
            </w:pPr>
            <w:r w:rsidRPr="005B2844">
              <w:rPr>
                <w:szCs w:val="22"/>
              </w:rPr>
              <w:t>Distress respirato</w:t>
            </w:r>
            <w:r w:rsidR="0082371D" w:rsidRPr="005B2844">
              <w:rPr>
                <w:szCs w:val="22"/>
              </w:rPr>
              <w:t>r</w:t>
            </w:r>
            <w:r w:rsidRPr="005B2844">
              <w:rPr>
                <w:szCs w:val="22"/>
              </w:rPr>
              <w:t>io (polmonite ed edema polmonare inclusi)</w:t>
            </w:r>
          </w:p>
          <w:p w:rsidR="00826A49" w:rsidRPr="005B2844" w:rsidRDefault="00826A49" w:rsidP="006809D3">
            <w:pPr>
              <w:rPr>
                <w:szCs w:val="22"/>
              </w:rPr>
            </w:pPr>
          </w:p>
        </w:tc>
      </w:tr>
      <w:tr w:rsidR="00826A49" w:rsidRPr="005B2844">
        <w:tblPrEx>
          <w:tblCellMar>
            <w:top w:w="0" w:type="dxa"/>
            <w:bottom w:w="0" w:type="dxa"/>
          </w:tblCellMar>
        </w:tblPrEx>
        <w:tc>
          <w:tcPr>
            <w:tcW w:w="9747" w:type="dxa"/>
            <w:gridSpan w:val="2"/>
          </w:tcPr>
          <w:p w:rsidR="00826A49" w:rsidRPr="005B2844" w:rsidRDefault="00826A49" w:rsidP="00452E35">
            <w:pPr>
              <w:keepNext/>
              <w:rPr>
                <w:szCs w:val="22"/>
              </w:rPr>
            </w:pPr>
            <w:r w:rsidRPr="005B2844">
              <w:rPr>
                <w:noProof/>
                <w:szCs w:val="22"/>
              </w:rPr>
              <w:t xml:space="preserve">Patologie </w:t>
            </w:r>
            <w:r w:rsidRPr="005B2844">
              <w:rPr>
                <w:szCs w:val="22"/>
              </w:rPr>
              <w:t>gastrointestinali</w:t>
            </w:r>
          </w:p>
        </w:tc>
      </w:tr>
      <w:tr w:rsidR="00826A49" w:rsidRPr="005B2844">
        <w:tblPrEx>
          <w:tblCellMar>
            <w:top w:w="0" w:type="dxa"/>
            <w:bottom w:w="0" w:type="dxa"/>
          </w:tblCellMar>
        </w:tblPrEx>
        <w:tc>
          <w:tcPr>
            <w:tcW w:w="5210" w:type="dxa"/>
          </w:tcPr>
          <w:p w:rsidR="00826A49" w:rsidRPr="005B2844" w:rsidRDefault="00826A49" w:rsidP="00452E35">
            <w:pPr>
              <w:keepNext/>
              <w:rPr>
                <w:szCs w:val="22"/>
              </w:rPr>
            </w:pPr>
            <w:r w:rsidRPr="005B2844">
              <w:rPr>
                <w:szCs w:val="22"/>
              </w:rPr>
              <w:tab/>
              <w:t>Non comune:</w:t>
            </w:r>
          </w:p>
          <w:p w:rsidR="00826A49" w:rsidRPr="005B2844" w:rsidRDefault="00826A49" w:rsidP="00452E35">
            <w:pPr>
              <w:keepNext/>
              <w:rPr>
                <w:szCs w:val="22"/>
              </w:rPr>
            </w:pPr>
            <w:r w:rsidRPr="005B2844">
              <w:rPr>
                <w:szCs w:val="22"/>
              </w:rPr>
              <w:tab/>
              <w:t>Raro:</w:t>
            </w:r>
          </w:p>
          <w:p w:rsidR="00826A49" w:rsidRPr="005B2844" w:rsidRDefault="00826A49" w:rsidP="00452E35">
            <w:pPr>
              <w:keepNext/>
              <w:rPr>
                <w:noProof/>
                <w:szCs w:val="22"/>
              </w:rPr>
            </w:pPr>
            <w:r w:rsidRPr="005B2844">
              <w:rPr>
                <w:szCs w:val="22"/>
              </w:rPr>
              <w:tab/>
            </w:r>
          </w:p>
        </w:tc>
        <w:tc>
          <w:tcPr>
            <w:tcW w:w="4537" w:type="dxa"/>
          </w:tcPr>
          <w:p w:rsidR="00826A49" w:rsidRPr="005B2844" w:rsidRDefault="00826A49" w:rsidP="0072602F">
            <w:pPr>
              <w:rPr>
                <w:szCs w:val="22"/>
              </w:rPr>
            </w:pPr>
            <w:r w:rsidRPr="005B2844">
              <w:rPr>
                <w:szCs w:val="22"/>
              </w:rPr>
              <w:t xml:space="preserve">Diarrea, </w:t>
            </w:r>
            <w:r w:rsidR="0082371D" w:rsidRPr="005B2844">
              <w:rPr>
                <w:szCs w:val="22"/>
              </w:rPr>
              <w:t xml:space="preserve">bocca </w:t>
            </w:r>
            <w:r w:rsidRPr="005B2844">
              <w:rPr>
                <w:szCs w:val="22"/>
              </w:rPr>
              <w:t>secca, flatulenza</w:t>
            </w:r>
          </w:p>
          <w:p w:rsidR="00826A49" w:rsidRPr="005B2844" w:rsidRDefault="00826A49" w:rsidP="0072602F">
            <w:pPr>
              <w:rPr>
                <w:szCs w:val="22"/>
              </w:rPr>
            </w:pPr>
            <w:r w:rsidRPr="005B2844">
              <w:rPr>
                <w:szCs w:val="22"/>
              </w:rPr>
              <w:t>Dolore addominale, stipsi, dispepsia, vomito</w:t>
            </w:r>
            <w:r w:rsidR="005C3419" w:rsidRPr="005B2844">
              <w:rPr>
                <w:szCs w:val="22"/>
              </w:rPr>
              <w:t>, gastrite</w:t>
            </w:r>
          </w:p>
          <w:p w:rsidR="00495AB2" w:rsidRPr="005B2844" w:rsidRDefault="00495AB2" w:rsidP="0072602F">
            <w:pPr>
              <w:rPr>
                <w:szCs w:val="22"/>
              </w:rPr>
            </w:pPr>
          </w:p>
        </w:tc>
      </w:tr>
      <w:tr w:rsidR="00E35CD8" w:rsidRPr="005B2844">
        <w:tblPrEx>
          <w:tblCellMar>
            <w:top w:w="0" w:type="dxa"/>
            <w:bottom w:w="0" w:type="dxa"/>
          </w:tblCellMar>
        </w:tblPrEx>
        <w:tc>
          <w:tcPr>
            <w:tcW w:w="9747" w:type="dxa"/>
            <w:gridSpan w:val="2"/>
          </w:tcPr>
          <w:p w:rsidR="00E35CD8" w:rsidRPr="005B2844" w:rsidRDefault="00E35CD8" w:rsidP="006809D3">
            <w:pPr>
              <w:rPr>
                <w:szCs w:val="22"/>
              </w:rPr>
            </w:pPr>
            <w:r w:rsidRPr="005B2844">
              <w:rPr>
                <w:szCs w:val="22"/>
              </w:rPr>
              <w:t>Patologie epatobiliari</w:t>
            </w:r>
          </w:p>
        </w:tc>
      </w:tr>
      <w:tr w:rsidR="00E35CD8" w:rsidRPr="005B2844">
        <w:tblPrEx>
          <w:tblCellMar>
            <w:top w:w="0" w:type="dxa"/>
            <w:bottom w:w="0" w:type="dxa"/>
          </w:tblCellMar>
        </w:tblPrEx>
        <w:tc>
          <w:tcPr>
            <w:tcW w:w="5210" w:type="dxa"/>
          </w:tcPr>
          <w:p w:rsidR="00E35CD8" w:rsidRPr="005B2844" w:rsidRDefault="00E35CD8" w:rsidP="006809D3">
            <w:pPr>
              <w:rPr>
                <w:szCs w:val="22"/>
              </w:rPr>
            </w:pPr>
            <w:r w:rsidRPr="005B2844">
              <w:rPr>
                <w:szCs w:val="22"/>
              </w:rPr>
              <w:tab/>
              <w:t>Raro:</w:t>
            </w:r>
          </w:p>
        </w:tc>
        <w:tc>
          <w:tcPr>
            <w:tcW w:w="4537" w:type="dxa"/>
          </w:tcPr>
          <w:p w:rsidR="00E35CD8" w:rsidRPr="005B2844" w:rsidRDefault="00E35CD8" w:rsidP="006809D3">
            <w:pPr>
              <w:rPr>
                <w:szCs w:val="22"/>
              </w:rPr>
            </w:pPr>
            <w:r w:rsidRPr="005B2844">
              <w:rPr>
                <w:szCs w:val="22"/>
              </w:rPr>
              <w:t>Funzionalità epatica alterata/disturbo epatico</w:t>
            </w:r>
            <w:r w:rsidR="00657CE8" w:rsidRPr="005B2844">
              <w:rPr>
                <w:szCs w:val="22"/>
                <w:vertAlign w:val="superscript"/>
              </w:rPr>
              <w:t>2</w:t>
            </w:r>
          </w:p>
          <w:p w:rsidR="00E35CD8" w:rsidRPr="005B2844" w:rsidRDefault="00E35CD8" w:rsidP="006809D3">
            <w:pPr>
              <w:rPr>
                <w:szCs w:val="22"/>
              </w:rPr>
            </w:pPr>
          </w:p>
        </w:tc>
      </w:tr>
      <w:tr w:rsidR="00E35CD8" w:rsidRPr="005B2844">
        <w:tblPrEx>
          <w:tblCellMar>
            <w:top w:w="0" w:type="dxa"/>
            <w:bottom w:w="0" w:type="dxa"/>
          </w:tblCellMar>
        </w:tblPrEx>
        <w:tc>
          <w:tcPr>
            <w:tcW w:w="9747" w:type="dxa"/>
            <w:gridSpan w:val="2"/>
          </w:tcPr>
          <w:p w:rsidR="00E35CD8" w:rsidRPr="005B2844" w:rsidRDefault="00E35CD8" w:rsidP="0072602F">
            <w:pPr>
              <w:rPr>
                <w:szCs w:val="22"/>
              </w:rPr>
            </w:pPr>
            <w:r w:rsidRPr="005B2844">
              <w:rPr>
                <w:noProof/>
                <w:szCs w:val="22"/>
              </w:rPr>
              <w:t xml:space="preserve">Patologie </w:t>
            </w:r>
            <w:r w:rsidRPr="005B2844">
              <w:rPr>
                <w:szCs w:val="22"/>
              </w:rPr>
              <w:t>della cute e del tessuto sottocutaneo</w:t>
            </w:r>
          </w:p>
        </w:tc>
      </w:tr>
      <w:tr w:rsidR="00E35CD8" w:rsidRPr="005B2844">
        <w:tblPrEx>
          <w:tblCellMar>
            <w:top w:w="0" w:type="dxa"/>
            <w:bottom w:w="0" w:type="dxa"/>
          </w:tblCellMar>
        </w:tblPrEx>
        <w:tc>
          <w:tcPr>
            <w:tcW w:w="5210" w:type="dxa"/>
          </w:tcPr>
          <w:p w:rsidR="00E35CD8" w:rsidRPr="005B2844" w:rsidRDefault="00E35CD8" w:rsidP="0072602F">
            <w:pPr>
              <w:rPr>
                <w:szCs w:val="22"/>
              </w:rPr>
            </w:pPr>
            <w:r w:rsidRPr="005B2844">
              <w:rPr>
                <w:szCs w:val="22"/>
              </w:rPr>
              <w:tab/>
              <w:t>Raro:</w:t>
            </w:r>
          </w:p>
          <w:p w:rsidR="00E35CD8" w:rsidRPr="005B2844" w:rsidRDefault="00E35CD8" w:rsidP="0072602F">
            <w:pPr>
              <w:rPr>
                <w:noProof/>
                <w:szCs w:val="22"/>
              </w:rPr>
            </w:pPr>
          </w:p>
        </w:tc>
        <w:tc>
          <w:tcPr>
            <w:tcW w:w="4537" w:type="dxa"/>
          </w:tcPr>
          <w:p w:rsidR="00E35CD8" w:rsidRPr="005B2844" w:rsidRDefault="00E35CD8" w:rsidP="0072602F">
            <w:pPr>
              <w:rPr>
                <w:szCs w:val="22"/>
              </w:rPr>
            </w:pPr>
            <w:r w:rsidRPr="005B2844">
              <w:rPr>
                <w:szCs w:val="22"/>
              </w:rPr>
              <w:t>Angioedema</w:t>
            </w:r>
            <w:r w:rsidR="00657CE8" w:rsidRPr="005B2844">
              <w:rPr>
                <w:szCs w:val="22"/>
              </w:rPr>
              <w:t xml:space="preserve"> (anche con esito fatale)</w:t>
            </w:r>
            <w:r w:rsidRPr="005B2844">
              <w:rPr>
                <w:szCs w:val="22"/>
              </w:rPr>
              <w:t xml:space="preserve">, eritema, prurito, </w:t>
            </w:r>
            <w:r w:rsidR="0082371D" w:rsidRPr="005B2844">
              <w:rPr>
                <w:szCs w:val="22"/>
              </w:rPr>
              <w:t>eruzione cutanea</w:t>
            </w:r>
            <w:r w:rsidRPr="005B2844">
              <w:rPr>
                <w:szCs w:val="22"/>
              </w:rPr>
              <w:t>, iperidrosi, orticaria</w:t>
            </w:r>
          </w:p>
          <w:p w:rsidR="00E35CD8" w:rsidRPr="005B2844" w:rsidRDefault="00E35CD8" w:rsidP="0072602F">
            <w:pPr>
              <w:rPr>
                <w:szCs w:val="22"/>
              </w:rPr>
            </w:pPr>
          </w:p>
        </w:tc>
      </w:tr>
      <w:tr w:rsidR="00E35CD8" w:rsidRPr="005B2844">
        <w:tblPrEx>
          <w:tblCellMar>
            <w:top w:w="0" w:type="dxa"/>
            <w:bottom w:w="0" w:type="dxa"/>
          </w:tblCellMar>
        </w:tblPrEx>
        <w:tc>
          <w:tcPr>
            <w:tcW w:w="9747" w:type="dxa"/>
            <w:gridSpan w:val="2"/>
          </w:tcPr>
          <w:p w:rsidR="00E35CD8" w:rsidRPr="005B2844" w:rsidDel="00B50AA0" w:rsidRDefault="00E35CD8" w:rsidP="0072602F">
            <w:pPr>
              <w:rPr>
                <w:szCs w:val="22"/>
              </w:rPr>
            </w:pPr>
            <w:r w:rsidRPr="005B2844">
              <w:rPr>
                <w:noProof/>
                <w:szCs w:val="22"/>
              </w:rPr>
              <w:t xml:space="preserve">Patologie </w:t>
            </w:r>
            <w:r w:rsidRPr="005B2844">
              <w:rPr>
                <w:szCs w:val="22"/>
              </w:rPr>
              <w:t>del sistema muscoloscheletrico e del tessuto connettivo</w:t>
            </w:r>
          </w:p>
        </w:tc>
      </w:tr>
      <w:tr w:rsidR="00E35CD8" w:rsidRPr="005B2844">
        <w:tblPrEx>
          <w:tblCellMar>
            <w:top w:w="0" w:type="dxa"/>
            <w:bottom w:w="0" w:type="dxa"/>
          </w:tblCellMar>
        </w:tblPrEx>
        <w:tc>
          <w:tcPr>
            <w:tcW w:w="5210" w:type="dxa"/>
          </w:tcPr>
          <w:p w:rsidR="00E35CD8" w:rsidRPr="005B2844" w:rsidRDefault="00E35CD8" w:rsidP="0072602F">
            <w:pPr>
              <w:rPr>
                <w:szCs w:val="22"/>
              </w:rPr>
            </w:pPr>
            <w:r w:rsidRPr="005B2844">
              <w:rPr>
                <w:szCs w:val="22"/>
              </w:rPr>
              <w:tab/>
              <w:t>Non comune:</w:t>
            </w:r>
          </w:p>
          <w:p w:rsidR="00706C44" w:rsidRPr="005B2844" w:rsidRDefault="00706C44" w:rsidP="0072602F">
            <w:pPr>
              <w:rPr>
                <w:noProof/>
                <w:szCs w:val="22"/>
              </w:rPr>
            </w:pPr>
            <w:r w:rsidRPr="005B2844">
              <w:rPr>
                <w:szCs w:val="22"/>
              </w:rPr>
              <w:tab/>
              <w:t>Raro:</w:t>
            </w:r>
          </w:p>
        </w:tc>
        <w:tc>
          <w:tcPr>
            <w:tcW w:w="4537" w:type="dxa"/>
          </w:tcPr>
          <w:p w:rsidR="00E35CD8" w:rsidRPr="005B2844" w:rsidRDefault="00E35CD8" w:rsidP="0072602F">
            <w:pPr>
              <w:rPr>
                <w:szCs w:val="22"/>
              </w:rPr>
            </w:pPr>
            <w:r w:rsidRPr="005B2844">
              <w:rPr>
                <w:szCs w:val="22"/>
              </w:rPr>
              <w:t xml:space="preserve">Dolore alla schiena, spasmi muscolari, mialgia Artralgia, </w:t>
            </w:r>
            <w:r w:rsidR="00706C44" w:rsidRPr="005B2844">
              <w:rPr>
                <w:szCs w:val="22"/>
              </w:rPr>
              <w:t>crampi muscolari</w:t>
            </w:r>
            <w:r w:rsidRPr="005B2844">
              <w:rPr>
                <w:szCs w:val="22"/>
              </w:rPr>
              <w:t>,</w:t>
            </w:r>
            <w:r w:rsidR="00706C44" w:rsidRPr="005B2844">
              <w:rPr>
                <w:szCs w:val="22"/>
              </w:rPr>
              <w:t xml:space="preserve"> dolore agli arti</w:t>
            </w:r>
          </w:p>
          <w:p w:rsidR="00706C44" w:rsidRPr="005B2844" w:rsidRDefault="00706C44" w:rsidP="0072602F">
            <w:pPr>
              <w:rPr>
                <w:szCs w:val="22"/>
              </w:rPr>
            </w:pPr>
          </w:p>
        </w:tc>
      </w:tr>
      <w:tr w:rsidR="00706C44" w:rsidRPr="005B2844">
        <w:tblPrEx>
          <w:tblCellMar>
            <w:top w:w="0" w:type="dxa"/>
            <w:bottom w:w="0" w:type="dxa"/>
          </w:tblCellMar>
        </w:tblPrEx>
        <w:tc>
          <w:tcPr>
            <w:tcW w:w="9747" w:type="dxa"/>
            <w:gridSpan w:val="2"/>
          </w:tcPr>
          <w:p w:rsidR="00706C44" w:rsidRPr="005B2844" w:rsidDel="00B50AA0" w:rsidRDefault="00706C44" w:rsidP="0072602F">
            <w:pPr>
              <w:rPr>
                <w:szCs w:val="22"/>
              </w:rPr>
            </w:pPr>
            <w:r w:rsidRPr="005B2844">
              <w:rPr>
                <w:noProof/>
                <w:szCs w:val="22"/>
              </w:rPr>
              <w:t xml:space="preserve">Patologie </w:t>
            </w:r>
            <w:r w:rsidRPr="005B2844">
              <w:rPr>
                <w:szCs w:val="22"/>
              </w:rPr>
              <w:t>dell’apparato riproduttivo e della mammella</w:t>
            </w:r>
          </w:p>
        </w:tc>
      </w:tr>
      <w:tr w:rsidR="00706C44" w:rsidRPr="005B2844">
        <w:tblPrEx>
          <w:tblCellMar>
            <w:top w:w="0" w:type="dxa"/>
            <w:bottom w:w="0" w:type="dxa"/>
          </w:tblCellMar>
        </w:tblPrEx>
        <w:tc>
          <w:tcPr>
            <w:tcW w:w="5210" w:type="dxa"/>
          </w:tcPr>
          <w:p w:rsidR="00706C44" w:rsidRPr="005B2844" w:rsidRDefault="00706C44" w:rsidP="0072602F">
            <w:pPr>
              <w:rPr>
                <w:szCs w:val="22"/>
              </w:rPr>
            </w:pPr>
            <w:r w:rsidRPr="005B2844">
              <w:rPr>
                <w:szCs w:val="22"/>
              </w:rPr>
              <w:tab/>
              <w:t>Non comune:</w:t>
            </w:r>
          </w:p>
          <w:p w:rsidR="00706C44" w:rsidRPr="005B2844" w:rsidRDefault="00706C44" w:rsidP="0072602F">
            <w:pPr>
              <w:rPr>
                <w:noProof/>
                <w:szCs w:val="22"/>
              </w:rPr>
            </w:pPr>
          </w:p>
        </w:tc>
        <w:tc>
          <w:tcPr>
            <w:tcW w:w="4537" w:type="dxa"/>
          </w:tcPr>
          <w:p w:rsidR="00706C44" w:rsidRPr="005B2844" w:rsidRDefault="00706C44" w:rsidP="0072602F">
            <w:pPr>
              <w:rPr>
                <w:szCs w:val="22"/>
              </w:rPr>
            </w:pPr>
            <w:r w:rsidRPr="005B2844">
              <w:rPr>
                <w:szCs w:val="22"/>
              </w:rPr>
              <w:t>Disfunzione erettile</w:t>
            </w:r>
          </w:p>
        </w:tc>
      </w:tr>
      <w:tr w:rsidR="00706C44" w:rsidRPr="005B2844">
        <w:tblPrEx>
          <w:tblCellMar>
            <w:top w:w="0" w:type="dxa"/>
            <w:bottom w:w="0" w:type="dxa"/>
          </w:tblCellMar>
        </w:tblPrEx>
        <w:tc>
          <w:tcPr>
            <w:tcW w:w="9747" w:type="dxa"/>
            <w:gridSpan w:val="2"/>
          </w:tcPr>
          <w:p w:rsidR="00706C44" w:rsidRPr="005B2844" w:rsidDel="00B50AA0" w:rsidRDefault="00706C44" w:rsidP="0072602F">
            <w:pPr>
              <w:rPr>
                <w:szCs w:val="22"/>
              </w:rPr>
            </w:pPr>
            <w:r w:rsidRPr="005B2844">
              <w:rPr>
                <w:noProof/>
                <w:szCs w:val="22"/>
              </w:rPr>
              <w:t>Patologie sistemiche</w:t>
            </w:r>
            <w:r w:rsidRPr="005B2844">
              <w:rPr>
                <w:szCs w:val="22"/>
              </w:rPr>
              <w:t xml:space="preserve"> e condizioni relative alla sede di somministrazione</w:t>
            </w:r>
          </w:p>
        </w:tc>
      </w:tr>
      <w:tr w:rsidR="00706C44" w:rsidRPr="005B2844">
        <w:tblPrEx>
          <w:tblCellMar>
            <w:top w:w="0" w:type="dxa"/>
            <w:bottom w:w="0" w:type="dxa"/>
          </w:tblCellMar>
        </w:tblPrEx>
        <w:tc>
          <w:tcPr>
            <w:tcW w:w="5210" w:type="dxa"/>
          </w:tcPr>
          <w:p w:rsidR="00706C44" w:rsidRPr="005B2844" w:rsidRDefault="00706C44" w:rsidP="0072602F">
            <w:pPr>
              <w:rPr>
                <w:szCs w:val="22"/>
              </w:rPr>
            </w:pPr>
            <w:r w:rsidRPr="005B2844">
              <w:rPr>
                <w:szCs w:val="22"/>
              </w:rPr>
              <w:tab/>
              <w:t>Non comune:</w:t>
            </w:r>
          </w:p>
          <w:p w:rsidR="00706C44" w:rsidRPr="005B2844" w:rsidRDefault="00706C44" w:rsidP="0072602F">
            <w:pPr>
              <w:rPr>
                <w:szCs w:val="22"/>
              </w:rPr>
            </w:pPr>
            <w:r w:rsidRPr="005B2844">
              <w:rPr>
                <w:szCs w:val="22"/>
              </w:rPr>
              <w:tab/>
              <w:t>Raro:</w:t>
            </w:r>
          </w:p>
          <w:p w:rsidR="00706C44" w:rsidRPr="005B2844" w:rsidRDefault="00706C44" w:rsidP="0072602F">
            <w:pPr>
              <w:rPr>
                <w:noProof/>
                <w:szCs w:val="22"/>
              </w:rPr>
            </w:pPr>
          </w:p>
        </w:tc>
        <w:tc>
          <w:tcPr>
            <w:tcW w:w="4537" w:type="dxa"/>
          </w:tcPr>
          <w:p w:rsidR="00706C44" w:rsidRPr="005B2844" w:rsidRDefault="00706C44" w:rsidP="0072602F">
            <w:pPr>
              <w:rPr>
                <w:szCs w:val="22"/>
              </w:rPr>
            </w:pPr>
            <w:r w:rsidRPr="005B2844">
              <w:rPr>
                <w:szCs w:val="22"/>
              </w:rPr>
              <w:t>Dolore toraci</w:t>
            </w:r>
            <w:r w:rsidR="00C1581D" w:rsidRPr="005B2844">
              <w:rPr>
                <w:szCs w:val="22"/>
              </w:rPr>
              <w:t>c</w:t>
            </w:r>
            <w:r w:rsidRPr="005B2844">
              <w:rPr>
                <w:szCs w:val="22"/>
              </w:rPr>
              <w:t>o</w:t>
            </w:r>
          </w:p>
          <w:p w:rsidR="00706C44" w:rsidRPr="005B2844" w:rsidRDefault="00706C44" w:rsidP="0072602F">
            <w:pPr>
              <w:rPr>
                <w:szCs w:val="22"/>
              </w:rPr>
            </w:pPr>
            <w:r w:rsidRPr="005B2844">
              <w:rPr>
                <w:szCs w:val="22"/>
              </w:rPr>
              <w:t>Malattia simil-influenzale, dolore</w:t>
            </w:r>
          </w:p>
        </w:tc>
      </w:tr>
      <w:tr w:rsidR="000B5EC3" w:rsidRPr="005B2844">
        <w:tblPrEx>
          <w:tblCellMar>
            <w:top w:w="0" w:type="dxa"/>
            <w:bottom w:w="0" w:type="dxa"/>
          </w:tblCellMar>
        </w:tblPrEx>
        <w:tc>
          <w:tcPr>
            <w:tcW w:w="9747" w:type="dxa"/>
            <w:gridSpan w:val="2"/>
          </w:tcPr>
          <w:p w:rsidR="000B5EC3" w:rsidRPr="005B2844" w:rsidRDefault="000B5EC3" w:rsidP="000709BC">
            <w:pPr>
              <w:keepNext/>
              <w:rPr>
                <w:szCs w:val="22"/>
              </w:rPr>
            </w:pPr>
            <w:r w:rsidRPr="005B2844">
              <w:rPr>
                <w:szCs w:val="22"/>
              </w:rPr>
              <w:t>Esami diagnostici</w:t>
            </w:r>
          </w:p>
        </w:tc>
      </w:tr>
      <w:tr w:rsidR="000B5EC3" w:rsidRPr="005B2844">
        <w:tblPrEx>
          <w:tblCellMar>
            <w:top w:w="0" w:type="dxa"/>
            <w:bottom w:w="0" w:type="dxa"/>
          </w:tblCellMar>
        </w:tblPrEx>
        <w:tc>
          <w:tcPr>
            <w:tcW w:w="5210" w:type="dxa"/>
          </w:tcPr>
          <w:p w:rsidR="000B5EC3" w:rsidRPr="005B2844" w:rsidRDefault="000B5EC3" w:rsidP="006809D3">
            <w:pPr>
              <w:rPr>
                <w:szCs w:val="22"/>
              </w:rPr>
            </w:pPr>
            <w:r w:rsidRPr="005B2844">
              <w:rPr>
                <w:szCs w:val="22"/>
              </w:rPr>
              <w:tab/>
              <w:t>Non comune:</w:t>
            </w:r>
          </w:p>
          <w:p w:rsidR="000B5EC3" w:rsidRPr="005B2844" w:rsidRDefault="000B5EC3" w:rsidP="006809D3">
            <w:pPr>
              <w:rPr>
                <w:szCs w:val="22"/>
              </w:rPr>
            </w:pPr>
            <w:r w:rsidRPr="005B2844">
              <w:rPr>
                <w:szCs w:val="22"/>
              </w:rPr>
              <w:tab/>
              <w:t>Raro:</w:t>
            </w:r>
          </w:p>
          <w:p w:rsidR="000B5EC3" w:rsidRPr="005B2844" w:rsidRDefault="000B5EC3" w:rsidP="006809D3">
            <w:pPr>
              <w:rPr>
                <w:szCs w:val="22"/>
              </w:rPr>
            </w:pPr>
          </w:p>
        </w:tc>
        <w:tc>
          <w:tcPr>
            <w:tcW w:w="4537" w:type="dxa"/>
          </w:tcPr>
          <w:p w:rsidR="000B5EC3" w:rsidRPr="005B2844" w:rsidRDefault="000B5EC3" w:rsidP="006809D3">
            <w:pPr>
              <w:rPr>
                <w:szCs w:val="22"/>
              </w:rPr>
            </w:pPr>
            <w:r w:rsidRPr="005B2844">
              <w:rPr>
                <w:szCs w:val="22"/>
              </w:rPr>
              <w:t xml:space="preserve">Aumento di acido urico </w:t>
            </w:r>
            <w:r w:rsidR="0082371D" w:rsidRPr="005B2844">
              <w:rPr>
                <w:szCs w:val="22"/>
              </w:rPr>
              <w:t>ematico</w:t>
            </w:r>
          </w:p>
          <w:p w:rsidR="000B5EC3" w:rsidRPr="005B2844" w:rsidRDefault="000B5EC3" w:rsidP="006809D3">
            <w:pPr>
              <w:rPr>
                <w:szCs w:val="22"/>
              </w:rPr>
            </w:pPr>
            <w:r w:rsidRPr="005B2844">
              <w:rPr>
                <w:szCs w:val="22"/>
              </w:rPr>
              <w:t xml:space="preserve">Aumento della creatinina </w:t>
            </w:r>
            <w:r w:rsidR="0082371D" w:rsidRPr="005B2844">
              <w:rPr>
                <w:szCs w:val="22"/>
              </w:rPr>
              <w:t>ematica</w:t>
            </w:r>
            <w:r w:rsidRPr="005B2844">
              <w:rPr>
                <w:szCs w:val="22"/>
              </w:rPr>
              <w:t xml:space="preserve">, aumento della creatina </w:t>
            </w:r>
            <w:proofErr w:type="spellStart"/>
            <w:r w:rsidRPr="005B2844">
              <w:rPr>
                <w:szCs w:val="22"/>
              </w:rPr>
              <w:t>fosfochinasi</w:t>
            </w:r>
            <w:proofErr w:type="spellEnd"/>
            <w:r w:rsidRPr="005B2844">
              <w:rPr>
                <w:szCs w:val="22"/>
              </w:rPr>
              <w:t xml:space="preserve"> </w:t>
            </w:r>
            <w:r w:rsidR="0082371D" w:rsidRPr="005B2844">
              <w:rPr>
                <w:szCs w:val="22"/>
              </w:rPr>
              <w:t>ematica</w:t>
            </w:r>
            <w:r w:rsidRPr="005B2844">
              <w:rPr>
                <w:szCs w:val="22"/>
              </w:rPr>
              <w:t>, aumento degli enzimi epatici</w:t>
            </w:r>
          </w:p>
          <w:p w:rsidR="00495AB2" w:rsidRPr="005B2844" w:rsidRDefault="00495AB2" w:rsidP="006809D3">
            <w:pPr>
              <w:rPr>
                <w:szCs w:val="22"/>
              </w:rPr>
            </w:pPr>
          </w:p>
        </w:tc>
      </w:tr>
    </w:tbl>
    <w:p w:rsidR="00657CE8" w:rsidRPr="005B2844" w:rsidRDefault="00657CE8" w:rsidP="0072602F">
      <w:pPr>
        <w:pStyle w:val="BodyText2"/>
        <w:tabs>
          <w:tab w:val="clear" w:pos="567"/>
        </w:tabs>
        <w:ind w:left="0" w:firstLine="0"/>
        <w:rPr>
          <w:szCs w:val="22"/>
        </w:rPr>
      </w:pPr>
      <w:r w:rsidRPr="005B2844">
        <w:rPr>
          <w:szCs w:val="22"/>
        </w:rPr>
        <w:t>1: Sulla base dell'esperienza successiva alla commercializzazione</w:t>
      </w:r>
    </w:p>
    <w:p w:rsidR="00FC113F" w:rsidRPr="005B2844" w:rsidRDefault="00657CE8" w:rsidP="0072602F">
      <w:pPr>
        <w:pStyle w:val="BodyText2"/>
        <w:tabs>
          <w:tab w:val="clear" w:pos="567"/>
        </w:tabs>
        <w:ind w:left="0" w:firstLine="0"/>
        <w:rPr>
          <w:szCs w:val="22"/>
        </w:rPr>
      </w:pPr>
      <w:r w:rsidRPr="005B2844">
        <w:rPr>
          <w:szCs w:val="22"/>
        </w:rPr>
        <w:t>2</w:t>
      </w:r>
      <w:r w:rsidR="005C3419" w:rsidRPr="005B2844">
        <w:rPr>
          <w:szCs w:val="22"/>
        </w:rPr>
        <w:t xml:space="preserve">: Per ulteriore descrizione, vedere </w:t>
      </w:r>
      <w:proofErr w:type="spellStart"/>
      <w:r w:rsidR="00DD7AAB" w:rsidRPr="005B2844">
        <w:rPr>
          <w:szCs w:val="22"/>
        </w:rPr>
        <w:t>sotto</w:t>
      </w:r>
      <w:r w:rsidR="005C3419" w:rsidRPr="005B2844">
        <w:rPr>
          <w:szCs w:val="22"/>
        </w:rPr>
        <w:t>paragrafo</w:t>
      </w:r>
      <w:proofErr w:type="spellEnd"/>
      <w:r w:rsidR="005C3419" w:rsidRPr="005B2844">
        <w:rPr>
          <w:szCs w:val="22"/>
        </w:rPr>
        <w:t xml:space="preserve"> </w:t>
      </w:r>
      <w:r w:rsidR="004D0F06" w:rsidRPr="005B2844">
        <w:rPr>
          <w:szCs w:val="22"/>
        </w:rPr>
        <w:t>"</w:t>
      </w:r>
      <w:r w:rsidR="00DD7AAB" w:rsidRPr="005B2844">
        <w:rPr>
          <w:szCs w:val="22"/>
        </w:rPr>
        <w:t>Descrizione delle reazioni avverse selezionate</w:t>
      </w:r>
      <w:r w:rsidR="004D0F06" w:rsidRPr="005B2844">
        <w:rPr>
          <w:szCs w:val="22"/>
        </w:rPr>
        <w:t>"</w:t>
      </w:r>
    </w:p>
    <w:p w:rsidR="005C3419" w:rsidRPr="005B2844" w:rsidRDefault="005C3419" w:rsidP="0072602F">
      <w:pPr>
        <w:pStyle w:val="BodyText2"/>
        <w:tabs>
          <w:tab w:val="clear" w:pos="567"/>
        </w:tabs>
        <w:ind w:left="0" w:firstLine="0"/>
        <w:rPr>
          <w:szCs w:val="22"/>
        </w:rPr>
      </w:pPr>
    </w:p>
    <w:p w:rsidR="00FC113F" w:rsidRPr="005B2844" w:rsidRDefault="00FC113F" w:rsidP="00126264">
      <w:pPr>
        <w:pStyle w:val="BodyText2"/>
        <w:keepNext/>
        <w:tabs>
          <w:tab w:val="clear" w:pos="567"/>
        </w:tabs>
        <w:ind w:left="0" w:firstLine="0"/>
        <w:rPr>
          <w:i/>
          <w:szCs w:val="22"/>
        </w:rPr>
      </w:pPr>
      <w:r w:rsidRPr="005B2844">
        <w:rPr>
          <w:i/>
          <w:szCs w:val="22"/>
        </w:rPr>
        <w:t>Ulteriori informazioni sui singoli componenti</w:t>
      </w:r>
    </w:p>
    <w:p w:rsidR="00DD7AAB" w:rsidRPr="005B2844" w:rsidRDefault="00DD7AAB" w:rsidP="00126264">
      <w:pPr>
        <w:pStyle w:val="BodyText2"/>
        <w:keepNext/>
        <w:tabs>
          <w:tab w:val="clear" w:pos="567"/>
        </w:tabs>
        <w:ind w:left="0" w:firstLine="0"/>
        <w:rPr>
          <w:szCs w:val="22"/>
        </w:rPr>
      </w:pPr>
    </w:p>
    <w:p w:rsidR="00FC113F" w:rsidRPr="005B2844" w:rsidRDefault="00191ED8" w:rsidP="0072602F">
      <w:pPr>
        <w:pStyle w:val="BodyText2"/>
        <w:tabs>
          <w:tab w:val="clear" w:pos="567"/>
        </w:tabs>
        <w:ind w:left="0" w:firstLine="0"/>
        <w:rPr>
          <w:szCs w:val="22"/>
        </w:rPr>
      </w:pPr>
      <w:r w:rsidRPr="005B2844">
        <w:rPr>
          <w:szCs w:val="22"/>
        </w:rPr>
        <w:t>Le reazioni avverse</w:t>
      </w:r>
      <w:r w:rsidR="00FC113F" w:rsidRPr="005B2844">
        <w:rPr>
          <w:szCs w:val="22"/>
        </w:rPr>
        <w:t xml:space="preserve"> riportat</w:t>
      </w:r>
      <w:r w:rsidRPr="005B2844">
        <w:rPr>
          <w:szCs w:val="22"/>
        </w:rPr>
        <w:t>e</w:t>
      </w:r>
      <w:r w:rsidR="00FC113F" w:rsidRPr="005B2844">
        <w:rPr>
          <w:szCs w:val="22"/>
        </w:rPr>
        <w:t xml:space="preserve"> in precedenza per uno dei singoli componenti </w:t>
      </w:r>
      <w:r w:rsidR="003C51F4" w:rsidRPr="005B2844">
        <w:rPr>
          <w:szCs w:val="22"/>
        </w:rPr>
        <w:t>possono</w:t>
      </w:r>
      <w:r w:rsidR="00FC113F" w:rsidRPr="005B2844">
        <w:rPr>
          <w:szCs w:val="22"/>
        </w:rPr>
        <w:t xml:space="preserve"> essere potenzial</w:t>
      </w:r>
      <w:r w:rsidR="003C51F4" w:rsidRPr="005B2844">
        <w:rPr>
          <w:szCs w:val="22"/>
        </w:rPr>
        <w:t>i</w:t>
      </w:r>
      <w:r w:rsidR="00FC113F" w:rsidRPr="005B2844">
        <w:rPr>
          <w:szCs w:val="22"/>
        </w:rPr>
        <w:t xml:space="preserve"> </w:t>
      </w:r>
      <w:r w:rsidRPr="005B2844">
        <w:rPr>
          <w:szCs w:val="22"/>
        </w:rPr>
        <w:t>reazion</w:t>
      </w:r>
      <w:r w:rsidR="003C51F4" w:rsidRPr="005B2844">
        <w:rPr>
          <w:szCs w:val="22"/>
        </w:rPr>
        <w:t>i</w:t>
      </w:r>
      <w:r w:rsidRPr="005B2844">
        <w:rPr>
          <w:szCs w:val="22"/>
        </w:rPr>
        <w:t xml:space="preserve"> avvers</w:t>
      </w:r>
      <w:r w:rsidR="003C51F4" w:rsidRPr="005B2844">
        <w:rPr>
          <w:szCs w:val="22"/>
        </w:rPr>
        <w:t>e</w:t>
      </w:r>
      <w:r w:rsidR="00FC113F" w:rsidRPr="005B2844">
        <w:rPr>
          <w:szCs w:val="22"/>
        </w:rPr>
        <w:t xml:space="preserve"> associat</w:t>
      </w:r>
      <w:r w:rsidR="003C51F4" w:rsidRPr="005B2844">
        <w:rPr>
          <w:szCs w:val="22"/>
        </w:rPr>
        <w:t>e</w:t>
      </w:r>
      <w:r w:rsidR="00FC113F" w:rsidRPr="005B2844">
        <w:rPr>
          <w:szCs w:val="22"/>
        </w:rPr>
        <w:t xml:space="preserve"> a </w:t>
      </w:r>
      <w:proofErr w:type="spellStart"/>
      <w:r w:rsidR="00FC113F" w:rsidRPr="005B2844">
        <w:rPr>
          <w:szCs w:val="22"/>
        </w:rPr>
        <w:t>MicardisPlus</w:t>
      </w:r>
      <w:proofErr w:type="spellEnd"/>
      <w:r w:rsidR="00FC113F" w:rsidRPr="005B2844">
        <w:rPr>
          <w:szCs w:val="22"/>
        </w:rPr>
        <w:t>, anche se non osservat</w:t>
      </w:r>
      <w:r w:rsidR="003C51F4" w:rsidRPr="005B2844">
        <w:rPr>
          <w:szCs w:val="22"/>
        </w:rPr>
        <w:t>e</w:t>
      </w:r>
      <w:r w:rsidR="00FC113F" w:rsidRPr="005B2844">
        <w:rPr>
          <w:szCs w:val="22"/>
        </w:rPr>
        <w:t xml:space="preserve"> negli studi clinici</w:t>
      </w:r>
      <w:r w:rsidR="003C51F4" w:rsidRPr="005B2844">
        <w:rPr>
          <w:szCs w:val="22"/>
        </w:rPr>
        <w:t xml:space="preserve"> con questo prodotto</w:t>
      </w:r>
      <w:r w:rsidR="00FC113F" w:rsidRPr="005B2844">
        <w:rPr>
          <w:szCs w:val="22"/>
        </w:rPr>
        <w:t>.</w:t>
      </w:r>
    </w:p>
    <w:p w:rsidR="00FC113F" w:rsidRPr="005B2844" w:rsidRDefault="00FC113F" w:rsidP="0072602F">
      <w:pPr>
        <w:pStyle w:val="BodyText2"/>
        <w:tabs>
          <w:tab w:val="clear" w:pos="567"/>
        </w:tabs>
        <w:ind w:left="0" w:firstLine="0"/>
        <w:rPr>
          <w:szCs w:val="22"/>
        </w:rPr>
      </w:pPr>
    </w:p>
    <w:p w:rsidR="00FC113F" w:rsidRPr="005B2844" w:rsidRDefault="00FC113F" w:rsidP="00126264">
      <w:pPr>
        <w:pStyle w:val="BodyText2"/>
        <w:keepNext/>
        <w:tabs>
          <w:tab w:val="clear" w:pos="567"/>
        </w:tabs>
        <w:ind w:left="0" w:firstLine="0"/>
        <w:rPr>
          <w:szCs w:val="22"/>
        </w:rPr>
      </w:pPr>
      <w:proofErr w:type="spellStart"/>
      <w:r w:rsidRPr="005B2844">
        <w:rPr>
          <w:szCs w:val="22"/>
          <w:u w:val="single"/>
        </w:rPr>
        <w:t>Telmisartan</w:t>
      </w:r>
      <w:proofErr w:type="spellEnd"/>
      <w:r w:rsidRPr="005B2844">
        <w:rPr>
          <w:szCs w:val="22"/>
        </w:rPr>
        <w:t>:</w:t>
      </w:r>
    </w:p>
    <w:p w:rsidR="00FC113F" w:rsidRPr="005B2844" w:rsidRDefault="00191ED8" w:rsidP="0072602F">
      <w:pPr>
        <w:pStyle w:val="BodyText2"/>
        <w:tabs>
          <w:tab w:val="clear" w:pos="567"/>
        </w:tabs>
        <w:ind w:left="0" w:firstLine="0"/>
        <w:rPr>
          <w:szCs w:val="22"/>
        </w:rPr>
      </w:pPr>
      <w:r w:rsidRPr="005B2844">
        <w:rPr>
          <w:szCs w:val="22"/>
        </w:rPr>
        <w:t>Le reazioni avverse</w:t>
      </w:r>
      <w:r w:rsidR="00FC113F" w:rsidRPr="005B2844">
        <w:rPr>
          <w:szCs w:val="22"/>
        </w:rPr>
        <w:t xml:space="preserve"> si sono verificat</w:t>
      </w:r>
      <w:r w:rsidRPr="005B2844">
        <w:rPr>
          <w:szCs w:val="22"/>
        </w:rPr>
        <w:t>e</w:t>
      </w:r>
      <w:r w:rsidR="00FC113F" w:rsidRPr="005B2844">
        <w:rPr>
          <w:szCs w:val="22"/>
        </w:rPr>
        <w:t xml:space="preserve"> con frequenza simile nei pazienti trattati con </w:t>
      </w:r>
      <w:proofErr w:type="spellStart"/>
      <w:r w:rsidR="00FC113F" w:rsidRPr="005B2844">
        <w:rPr>
          <w:szCs w:val="22"/>
        </w:rPr>
        <w:t>telmisartan</w:t>
      </w:r>
      <w:proofErr w:type="spellEnd"/>
      <w:r w:rsidR="00FC113F" w:rsidRPr="005B2844">
        <w:rPr>
          <w:szCs w:val="22"/>
        </w:rPr>
        <w:t xml:space="preserve"> e nei pazienti trattati con placebo.</w:t>
      </w:r>
    </w:p>
    <w:p w:rsidR="00FC113F" w:rsidRPr="005B2844" w:rsidRDefault="00FC113F" w:rsidP="0072602F">
      <w:pPr>
        <w:pStyle w:val="BodyText2"/>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 xml:space="preserve">L’incidenza complessiva </w:t>
      </w:r>
      <w:r w:rsidR="00191ED8" w:rsidRPr="005B2844">
        <w:rPr>
          <w:szCs w:val="22"/>
        </w:rPr>
        <w:t>delle reazioni avverse</w:t>
      </w:r>
      <w:r w:rsidRPr="005B2844">
        <w:rPr>
          <w:szCs w:val="22"/>
        </w:rPr>
        <w:t xml:space="preserve"> riportat</w:t>
      </w:r>
      <w:r w:rsidR="00191ED8" w:rsidRPr="005B2844">
        <w:rPr>
          <w:szCs w:val="22"/>
        </w:rPr>
        <w:t>e</w:t>
      </w:r>
      <w:r w:rsidRPr="005B2844">
        <w:rPr>
          <w:szCs w:val="22"/>
        </w:rPr>
        <w:t xml:space="preserve"> con </w:t>
      </w:r>
      <w:proofErr w:type="spellStart"/>
      <w:r w:rsidRPr="005B2844">
        <w:rPr>
          <w:szCs w:val="22"/>
        </w:rPr>
        <w:t>telmisartan</w:t>
      </w:r>
      <w:proofErr w:type="spellEnd"/>
      <w:r w:rsidRPr="005B2844">
        <w:rPr>
          <w:szCs w:val="22"/>
        </w:rPr>
        <w:t xml:space="preserve"> (41,4%) è stata solitamente confrontabile a quella riportata con il placebo (43,9%) nel corso di studi controllati. Le seguenti reazioni avverse sono state raccolte da tutti gli studi clinici </w:t>
      </w:r>
      <w:r w:rsidR="002A2D7A" w:rsidRPr="005B2844">
        <w:rPr>
          <w:szCs w:val="22"/>
        </w:rPr>
        <w:t xml:space="preserve">in pazienti trattati con </w:t>
      </w:r>
      <w:proofErr w:type="spellStart"/>
      <w:r w:rsidR="002A2D7A" w:rsidRPr="005B2844">
        <w:rPr>
          <w:szCs w:val="22"/>
        </w:rPr>
        <w:t>telmisartan</w:t>
      </w:r>
      <w:proofErr w:type="spellEnd"/>
      <w:r w:rsidR="002A2D7A" w:rsidRPr="005B2844">
        <w:rPr>
          <w:szCs w:val="22"/>
        </w:rPr>
        <w:t xml:space="preserve"> per l’ipertensione o in pazienti di almeno 50 anni di età ad alto rischio di eventi cardiovascolari</w:t>
      </w:r>
      <w:r w:rsidRPr="005B2844">
        <w:rPr>
          <w:szCs w:val="22"/>
        </w:rPr>
        <w:t>.</w:t>
      </w:r>
    </w:p>
    <w:p w:rsidR="00426A6A" w:rsidRPr="005B2844" w:rsidRDefault="00426A6A">
      <w:pPr>
        <w:rPr>
          <w:szCs w:val="22"/>
        </w:rPr>
      </w:pPr>
    </w:p>
    <w:tbl>
      <w:tblPr>
        <w:tblW w:w="9747" w:type="dxa"/>
        <w:tblLayout w:type="fixed"/>
        <w:tblLook w:val="0000" w:firstRow="0" w:lastRow="0" w:firstColumn="0" w:lastColumn="0" w:noHBand="0" w:noVBand="0"/>
      </w:tblPr>
      <w:tblGrid>
        <w:gridCol w:w="5210"/>
        <w:gridCol w:w="4537"/>
      </w:tblGrid>
      <w:tr w:rsidR="000B5EC3" w:rsidRPr="005B2844">
        <w:tblPrEx>
          <w:tblCellMar>
            <w:top w:w="0" w:type="dxa"/>
            <w:bottom w:w="0" w:type="dxa"/>
          </w:tblCellMar>
        </w:tblPrEx>
        <w:tc>
          <w:tcPr>
            <w:tcW w:w="9747" w:type="dxa"/>
            <w:gridSpan w:val="2"/>
          </w:tcPr>
          <w:p w:rsidR="000B5EC3" w:rsidRPr="005B2844" w:rsidRDefault="000B5EC3" w:rsidP="0072602F">
            <w:pPr>
              <w:rPr>
                <w:szCs w:val="22"/>
              </w:rPr>
            </w:pPr>
            <w:r w:rsidRPr="005B2844">
              <w:rPr>
                <w:szCs w:val="22"/>
              </w:rPr>
              <w:t>Infezioni e infestazioni</w:t>
            </w:r>
          </w:p>
        </w:tc>
      </w:tr>
      <w:tr w:rsidR="000B5EC3" w:rsidRPr="005B2844">
        <w:tblPrEx>
          <w:tblCellMar>
            <w:top w:w="0" w:type="dxa"/>
            <w:bottom w:w="0" w:type="dxa"/>
          </w:tblCellMar>
        </w:tblPrEx>
        <w:tc>
          <w:tcPr>
            <w:tcW w:w="5210" w:type="dxa"/>
          </w:tcPr>
          <w:p w:rsidR="000B5EC3" w:rsidRPr="005B2844" w:rsidRDefault="000B5EC3" w:rsidP="0072602F">
            <w:pPr>
              <w:rPr>
                <w:szCs w:val="22"/>
              </w:rPr>
            </w:pPr>
            <w:r w:rsidRPr="005B2844">
              <w:rPr>
                <w:szCs w:val="22"/>
              </w:rPr>
              <w:tab/>
              <w:t xml:space="preserve">Non </w:t>
            </w:r>
            <w:r w:rsidR="00475A28" w:rsidRPr="005B2844">
              <w:rPr>
                <w:szCs w:val="22"/>
              </w:rPr>
              <w:t>comune</w:t>
            </w:r>
            <w:r w:rsidRPr="005B2844">
              <w:rPr>
                <w:szCs w:val="22"/>
              </w:rPr>
              <w:t>:</w:t>
            </w:r>
          </w:p>
          <w:p w:rsidR="00455096" w:rsidRPr="005B2844" w:rsidRDefault="00455096" w:rsidP="00475A28">
            <w:pPr>
              <w:ind w:left="567"/>
              <w:rPr>
                <w:szCs w:val="22"/>
              </w:rPr>
            </w:pPr>
          </w:p>
          <w:p w:rsidR="00475A28" w:rsidRPr="005B2844" w:rsidRDefault="00475A28" w:rsidP="00475A28">
            <w:pPr>
              <w:ind w:left="567"/>
              <w:rPr>
                <w:szCs w:val="22"/>
              </w:rPr>
            </w:pPr>
            <w:r w:rsidRPr="005B2844">
              <w:rPr>
                <w:szCs w:val="22"/>
              </w:rPr>
              <w:t>Raro:</w:t>
            </w:r>
          </w:p>
          <w:p w:rsidR="000B5EC3" w:rsidRPr="005B2844" w:rsidRDefault="000B5EC3" w:rsidP="00495AB2">
            <w:pPr>
              <w:rPr>
                <w:szCs w:val="22"/>
              </w:rPr>
            </w:pPr>
          </w:p>
        </w:tc>
        <w:tc>
          <w:tcPr>
            <w:tcW w:w="4537" w:type="dxa"/>
          </w:tcPr>
          <w:p w:rsidR="00475A28" w:rsidRPr="005B2844" w:rsidRDefault="000B5EC3" w:rsidP="0072602F">
            <w:pPr>
              <w:rPr>
                <w:szCs w:val="22"/>
              </w:rPr>
            </w:pPr>
            <w:r w:rsidRPr="005B2844">
              <w:rPr>
                <w:szCs w:val="22"/>
              </w:rPr>
              <w:t>Infezioni del tratto respiratorio superiore, infezione del tratto urinario inclusa cistite</w:t>
            </w:r>
          </w:p>
          <w:p w:rsidR="000B5EC3" w:rsidRPr="005B2844" w:rsidRDefault="00475A28" w:rsidP="0072602F">
            <w:pPr>
              <w:rPr>
                <w:szCs w:val="22"/>
              </w:rPr>
            </w:pPr>
            <w:r w:rsidRPr="005B2844">
              <w:rPr>
                <w:szCs w:val="22"/>
              </w:rPr>
              <w:t>S</w:t>
            </w:r>
            <w:r w:rsidR="002A2D7A" w:rsidRPr="005B2844">
              <w:rPr>
                <w:szCs w:val="22"/>
              </w:rPr>
              <w:t>epsi anche con esito fatale</w:t>
            </w:r>
            <w:r w:rsidR="00657CE8" w:rsidRPr="005B2844">
              <w:rPr>
                <w:szCs w:val="22"/>
                <w:vertAlign w:val="superscript"/>
              </w:rPr>
              <w:t>3</w:t>
            </w:r>
          </w:p>
          <w:p w:rsidR="000B5EC3" w:rsidRPr="005B2844" w:rsidRDefault="000B5EC3" w:rsidP="0072602F">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6809D3">
            <w:pPr>
              <w:rPr>
                <w:szCs w:val="22"/>
              </w:rPr>
            </w:pPr>
            <w:r w:rsidRPr="005B2844">
              <w:rPr>
                <w:szCs w:val="22"/>
              </w:rPr>
              <w:t>Patologie del sistema emolinfopoietico</w:t>
            </w:r>
          </w:p>
        </w:tc>
      </w:tr>
      <w:tr w:rsidR="00115A66" w:rsidRPr="005B2844">
        <w:tblPrEx>
          <w:tblCellMar>
            <w:top w:w="0" w:type="dxa"/>
            <w:bottom w:w="0" w:type="dxa"/>
          </w:tblCellMar>
        </w:tblPrEx>
        <w:tc>
          <w:tcPr>
            <w:tcW w:w="5210" w:type="dxa"/>
          </w:tcPr>
          <w:p w:rsidR="00115A66" w:rsidRPr="005B2844" w:rsidRDefault="00115A66" w:rsidP="00E25481">
            <w:pPr>
              <w:rPr>
                <w:szCs w:val="22"/>
              </w:rPr>
            </w:pPr>
            <w:r w:rsidRPr="005B2844">
              <w:rPr>
                <w:szCs w:val="22"/>
              </w:rPr>
              <w:tab/>
              <w:t xml:space="preserve">Non </w:t>
            </w:r>
            <w:r w:rsidR="00E25481" w:rsidRPr="005B2844">
              <w:rPr>
                <w:szCs w:val="22"/>
              </w:rPr>
              <w:t>comune</w:t>
            </w:r>
            <w:r w:rsidRPr="005B2844">
              <w:rPr>
                <w:szCs w:val="22"/>
              </w:rPr>
              <w:t>:</w:t>
            </w:r>
          </w:p>
          <w:p w:rsidR="00E25481" w:rsidRPr="005B2844" w:rsidRDefault="00E25481" w:rsidP="00E25481">
            <w:pPr>
              <w:ind w:left="567"/>
              <w:rPr>
                <w:szCs w:val="22"/>
              </w:rPr>
            </w:pPr>
            <w:r w:rsidRPr="005B2844">
              <w:rPr>
                <w:szCs w:val="22"/>
              </w:rPr>
              <w:t>Raro:</w:t>
            </w:r>
          </w:p>
          <w:p w:rsidR="00E25481" w:rsidRPr="005B2844" w:rsidRDefault="00E25481" w:rsidP="00E25481">
            <w:pPr>
              <w:ind w:left="567"/>
              <w:rPr>
                <w:szCs w:val="22"/>
              </w:rPr>
            </w:pPr>
          </w:p>
        </w:tc>
        <w:tc>
          <w:tcPr>
            <w:tcW w:w="4537" w:type="dxa"/>
          </w:tcPr>
          <w:p w:rsidR="00115A66" w:rsidRPr="005B2844" w:rsidRDefault="00E25481" w:rsidP="006809D3">
            <w:pPr>
              <w:rPr>
                <w:szCs w:val="22"/>
              </w:rPr>
            </w:pPr>
            <w:r w:rsidRPr="005B2844">
              <w:rPr>
                <w:szCs w:val="22"/>
              </w:rPr>
              <w:t>A</w:t>
            </w:r>
            <w:r w:rsidR="00115A66" w:rsidRPr="005B2844">
              <w:rPr>
                <w:szCs w:val="22"/>
              </w:rPr>
              <w:t>nemia</w:t>
            </w:r>
          </w:p>
          <w:p w:rsidR="00115A66" w:rsidRPr="005B2844" w:rsidRDefault="00E25481" w:rsidP="006809D3">
            <w:pPr>
              <w:rPr>
                <w:szCs w:val="22"/>
              </w:rPr>
            </w:pPr>
            <w:r w:rsidRPr="005B2844">
              <w:rPr>
                <w:szCs w:val="22"/>
              </w:rPr>
              <w:t>Eosinofilia, trombocitopenia</w:t>
            </w:r>
          </w:p>
        </w:tc>
      </w:tr>
      <w:tr w:rsidR="00115A66" w:rsidRPr="005B2844">
        <w:tblPrEx>
          <w:tblCellMar>
            <w:top w:w="0" w:type="dxa"/>
            <w:bottom w:w="0" w:type="dxa"/>
          </w:tblCellMar>
        </w:tblPrEx>
        <w:tc>
          <w:tcPr>
            <w:tcW w:w="9747" w:type="dxa"/>
            <w:gridSpan w:val="2"/>
          </w:tcPr>
          <w:p w:rsidR="00115A66" w:rsidRPr="005B2844" w:rsidRDefault="00115A66" w:rsidP="00452E35">
            <w:pPr>
              <w:keepNext/>
              <w:rPr>
                <w:szCs w:val="22"/>
              </w:rPr>
            </w:pPr>
            <w:r w:rsidRPr="005B2844">
              <w:rPr>
                <w:szCs w:val="22"/>
              </w:rPr>
              <w:t>Disturbi del sistema immunitario</w:t>
            </w:r>
          </w:p>
        </w:tc>
      </w:tr>
      <w:tr w:rsidR="00115A66" w:rsidRPr="005B2844">
        <w:tblPrEx>
          <w:tblCellMar>
            <w:top w:w="0" w:type="dxa"/>
            <w:bottom w:w="0" w:type="dxa"/>
          </w:tblCellMar>
        </w:tblPrEx>
        <w:tc>
          <w:tcPr>
            <w:tcW w:w="5210" w:type="dxa"/>
          </w:tcPr>
          <w:p w:rsidR="00115A66" w:rsidRPr="005B2844" w:rsidRDefault="00115A66" w:rsidP="00452E35">
            <w:pPr>
              <w:keepNext/>
              <w:rPr>
                <w:szCs w:val="22"/>
              </w:rPr>
            </w:pPr>
            <w:r w:rsidRPr="005B2844">
              <w:rPr>
                <w:szCs w:val="22"/>
              </w:rPr>
              <w:tab/>
            </w:r>
            <w:r w:rsidR="00E25481" w:rsidRPr="005B2844">
              <w:rPr>
                <w:szCs w:val="22"/>
              </w:rPr>
              <w:t>Raro</w:t>
            </w:r>
            <w:r w:rsidRPr="005B2844">
              <w:rPr>
                <w:szCs w:val="22"/>
              </w:rPr>
              <w:t>:</w:t>
            </w:r>
          </w:p>
        </w:tc>
        <w:tc>
          <w:tcPr>
            <w:tcW w:w="4537" w:type="dxa"/>
          </w:tcPr>
          <w:p w:rsidR="00115A66" w:rsidRPr="005B2844" w:rsidRDefault="00115A66" w:rsidP="006809D3">
            <w:pPr>
              <w:rPr>
                <w:szCs w:val="22"/>
              </w:rPr>
            </w:pPr>
            <w:r w:rsidRPr="005B2844">
              <w:rPr>
                <w:szCs w:val="22"/>
              </w:rPr>
              <w:t>Ipersensibilità, reazioni anafilattiche</w:t>
            </w:r>
          </w:p>
          <w:p w:rsidR="00115A66" w:rsidRPr="005B2844" w:rsidRDefault="00115A66" w:rsidP="006809D3">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6809D3">
            <w:pPr>
              <w:rPr>
                <w:szCs w:val="22"/>
              </w:rPr>
            </w:pPr>
            <w:r w:rsidRPr="005B2844">
              <w:rPr>
                <w:szCs w:val="22"/>
              </w:rPr>
              <w:t>Disturbi del metabolismo e della nutrizione</w:t>
            </w:r>
          </w:p>
        </w:tc>
      </w:tr>
      <w:tr w:rsidR="00115A66" w:rsidRPr="005B2844">
        <w:tblPrEx>
          <w:tblCellMar>
            <w:top w:w="0" w:type="dxa"/>
            <w:bottom w:w="0" w:type="dxa"/>
          </w:tblCellMar>
        </w:tblPrEx>
        <w:tc>
          <w:tcPr>
            <w:tcW w:w="5210" w:type="dxa"/>
          </w:tcPr>
          <w:p w:rsidR="00115A66" w:rsidRPr="005B2844" w:rsidRDefault="00115A66" w:rsidP="00E25481">
            <w:pPr>
              <w:rPr>
                <w:szCs w:val="22"/>
              </w:rPr>
            </w:pPr>
            <w:r w:rsidRPr="005B2844">
              <w:rPr>
                <w:szCs w:val="22"/>
              </w:rPr>
              <w:tab/>
              <w:t xml:space="preserve">Non </w:t>
            </w:r>
            <w:r w:rsidR="00E25481" w:rsidRPr="005B2844">
              <w:rPr>
                <w:szCs w:val="22"/>
              </w:rPr>
              <w:t>comune</w:t>
            </w:r>
            <w:r w:rsidRPr="005B2844">
              <w:rPr>
                <w:szCs w:val="22"/>
              </w:rPr>
              <w:t>:</w:t>
            </w:r>
          </w:p>
          <w:p w:rsidR="00E25481" w:rsidRPr="005B2844" w:rsidRDefault="00E25481" w:rsidP="00E25481">
            <w:pPr>
              <w:ind w:left="567"/>
              <w:rPr>
                <w:szCs w:val="22"/>
              </w:rPr>
            </w:pPr>
            <w:r w:rsidRPr="005B2844">
              <w:rPr>
                <w:szCs w:val="22"/>
              </w:rPr>
              <w:t>Raro:</w:t>
            </w:r>
          </w:p>
          <w:p w:rsidR="00E25481" w:rsidRPr="005B2844" w:rsidRDefault="00E25481" w:rsidP="00E25481">
            <w:pPr>
              <w:ind w:left="567"/>
              <w:rPr>
                <w:szCs w:val="22"/>
              </w:rPr>
            </w:pPr>
          </w:p>
        </w:tc>
        <w:tc>
          <w:tcPr>
            <w:tcW w:w="4537" w:type="dxa"/>
          </w:tcPr>
          <w:p w:rsidR="00115A66" w:rsidRPr="005B2844" w:rsidRDefault="00115A66" w:rsidP="006809D3">
            <w:pPr>
              <w:rPr>
                <w:szCs w:val="22"/>
              </w:rPr>
            </w:pPr>
            <w:proofErr w:type="spellStart"/>
            <w:r w:rsidRPr="005B2844">
              <w:rPr>
                <w:szCs w:val="22"/>
              </w:rPr>
              <w:t>Iperkaliemia</w:t>
            </w:r>
            <w:proofErr w:type="spellEnd"/>
          </w:p>
          <w:p w:rsidR="00115A66" w:rsidRPr="005B2844" w:rsidRDefault="00E25481" w:rsidP="006809D3">
            <w:pPr>
              <w:rPr>
                <w:szCs w:val="22"/>
              </w:rPr>
            </w:pPr>
            <w:r w:rsidRPr="005B2844">
              <w:rPr>
                <w:szCs w:val="22"/>
              </w:rPr>
              <w:t>Ipoglicemia (nei pazienti diabetici)</w:t>
            </w:r>
          </w:p>
        </w:tc>
      </w:tr>
      <w:tr w:rsidR="00115A66" w:rsidRPr="005B2844">
        <w:tblPrEx>
          <w:tblCellMar>
            <w:top w:w="0" w:type="dxa"/>
            <w:bottom w:w="0" w:type="dxa"/>
          </w:tblCellMar>
        </w:tblPrEx>
        <w:tc>
          <w:tcPr>
            <w:tcW w:w="9747" w:type="dxa"/>
            <w:gridSpan w:val="2"/>
          </w:tcPr>
          <w:p w:rsidR="00115A66" w:rsidRPr="005B2844" w:rsidRDefault="00115A66" w:rsidP="006809D3">
            <w:pPr>
              <w:rPr>
                <w:szCs w:val="22"/>
              </w:rPr>
            </w:pPr>
            <w:r w:rsidRPr="005B2844">
              <w:rPr>
                <w:szCs w:val="22"/>
              </w:rPr>
              <w:t>Patologie cardiache</w:t>
            </w:r>
          </w:p>
        </w:tc>
      </w:tr>
      <w:tr w:rsidR="00115A66" w:rsidRPr="005B2844">
        <w:tblPrEx>
          <w:tblCellMar>
            <w:top w:w="0" w:type="dxa"/>
            <w:bottom w:w="0" w:type="dxa"/>
          </w:tblCellMar>
        </w:tblPrEx>
        <w:tc>
          <w:tcPr>
            <w:tcW w:w="5210" w:type="dxa"/>
          </w:tcPr>
          <w:p w:rsidR="00115A66" w:rsidRPr="005B2844" w:rsidRDefault="00115A66" w:rsidP="00E25481">
            <w:pPr>
              <w:rPr>
                <w:szCs w:val="22"/>
              </w:rPr>
            </w:pPr>
            <w:r w:rsidRPr="005B2844">
              <w:rPr>
                <w:szCs w:val="22"/>
              </w:rPr>
              <w:tab/>
              <w:t xml:space="preserve">Non </w:t>
            </w:r>
            <w:r w:rsidR="00E25481" w:rsidRPr="005B2844">
              <w:rPr>
                <w:szCs w:val="22"/>
              </w:rPr>
              <w:t>comune</w:t>
            </w:r>
            <w:r w:rsidRPr="005B2844">
              <w:rPr>
                <w:szCs w:val="22"/>
              </w:rPr>
              <w:t>:</w:t>
            </w:r>
          </w:p>
        </w:tc>
        <w:tc>
          <w:tcPr>
            <w:tcW w:w="4537" w:type="dxa"/>
          </w:tcPr>
          <w:p w:rsidR="00115A66" w:rsidRPr="005B2844" w:rsidRDefault="00115A66" w:rsidP="006809D3">
            <w:pPr>
              <w:rPr>
                <w:szCs w:val="22"/>
              </w:rPr>
            </w:pPr>
            <w:r w:rsidRPr="005B2844">
              <w:rPr>
                <w:szCs w:val="22"/>
              </w:rPr>
              <w:t>Bradicardia</w:t>
            </w:r>
          </w:p>
          <w:p w:rsidR="00115A66" w:rsidRPr="005B2844" w:rsidRDefault="00115A66" w:rsidP="006809D3">
            <w:pPr>
              <w:rPr>
                <w:szCs w:val="22"/>
              </w:rPr>
            </w:pPr>
          </w:p>
        </w:tc>
      </w:tr>
      <w:tr w:rsidR="0073435A" w:rsidRPr="005B2844" w:rsidTr="00F0099F">
        <w:tblPrEx>
          <w:tblCellMar>
            <w:top w:w="0" w:type="dxa"/>
            <w:bottom w:w="0" w:type="dxa"/>
          </w:tblCellMar>
        </w:tblPrEx>
        <w:tc>
          <w:tcPr>
            <w:tcW w:w="9747" w:type="dxa"/>
            <w:gridSpan w:val="2"/>
          </w:tcPr>
          <w:p w:rsidR="0073435A" w:rsidRPr="005B2844" w:rsidRDefault="0073435A" w:rsidP="00F0099F">
            <w:pPr>
              <w:rPr>
                <w:szCs w:val="22"/>
              </w:rPr>
            </w:pPr>
            <w:r w:rsidRPr="005B2844">
              <w:rPr>
                <w:szCs w:val="22"/>
              </w:rPr>
              <w:t>Patologie del sistema nervoso</w:t>
            </w:r>
          </w:p>
        </w:tc>
      </w:tr>
      <w:tr w:rsidR="0073435A" w:rsidRPr="005B2844" w:rsidTr="00F0099F">
        <w:tblPrEx>
          <w:tblCellMar>
            <w:top w:w="0" w:type="dxa"/>
            <w:bottom w:w="0" w:type="dxa"/>
          </w:tblCellMar>
        </w:tblPrEx>
        <w:tc>
          <w:tcPr>
            <w:tcW w:w="5210" w:type="dxa"/>
          </w:tcPr>
          <w:p w:rsidR="0073435A" w:rsidRPr="005B2844" w:rsidRDefault="0073435A" w:rsidP="00F0099F">
            <w:pPr>
              <w:rPr>
                <w:szCs w:val="22"/>
              </w:rPr>
            </w:pPr>
            <w:r w:rsidRPr="005B2844">
              <w:rPr>
                <w:szCs w:val="22"/>
              </w:rPr>
              <w:tab/>
              <w:t>Raro:</w:t>
            </w:r>
          </w:p>
        </w:tc>
        <w:tc>
          <w:tcPr>
            <w:tcW w:w="4537" w:type="dxa"/>
          </w:tcPr>
          <w:p w:rsidR="0073435A" w:rsidRPr="005B2844" w:rsidRDefault="0073435A" w:rsidP="00F0099F">
            <w:pPr>
              <w:rPr>
                <w:szCs w:val="22"/>
              </w:rPr>
            </w:pPr>
            <w:r w:rsidRPr="005B2844">
              <w:rPr>
                <w:szCs w:val="22"/>
              </w:rPr>
              <w:t>Sonnolenza</w:t>
            </w:r>
          </w:p>
          <w:p w:rsidR="0073435A" w:rsidRPr="005B2844" w:rsidRDefault="0073435A" w:rsidP="00F0099F">
            <w:pPr>
              <w:rPr>
                <w:szCs w:val="22"/>
              </w:rPr>
            </w:pPr>
          </w:p>
        </w:tc>
      </w:tr>
      <w:tr w:rsidR="0073435A" w:rsidRPr="005B2844" w:rsidTr="00F0099F">
        <w:tblPrEx>
          <w:tblCellMar>
            <w:top w:w="0" w:type="dxa"/>
            <w:bottom w:w="0" w:type="dxa"/>
          </w:tblCellMar>
        </w:tblPrEx>
        <w:tc>
          <w:tcPr>
            <w:tcW w:w="9747" w:type="dxa"/>
            <w:gridSpan w:val="2"/>
          </w:tcPr>
          <w:p w:rsidR="0073435A" w:rsidRPr="005B2844" w:rsidRDefault="0073435A" w:rsidP="00F0099F">
            <w:pPr>
              <w:rPr>
                <w:szCs w:val="22"/>
              </w:rPr>
            </w:pPr>
            <w:r w:rsidRPr="005B2844">
              <w:rPr>
                <w:szCs w:val="22"/>
              </w:rPr>
              <w:t>Patologie respiratorie, toraciche e mediastiniche</w:t>
            </w:r>
          </w:p>
        </w:tc>
      </w:tr>
      <w:tr w:rsidR="0073435A" w:rsidRPr="005B2844" w:rsidTr="00F0099F">
        <w:tblPrEx>
          <w:tblCellMar>
            <w:top w:w="0" w:type="dxa"/>
            <w:bottom w:w="0" w:type="dxa"/>
          </w:tblCellMar>
        </w:tblPrEx>
        <w:tc>
          <w:tcPr>
            <w:tcW w:w="5210" w:type="dxa"/>
          </w:tcPr>
          <w:p w:rsidR="0073435A" w:rsidRPr="005B2844" w:rsidRDefault="0073435A" w:rsidP="00F0099F">
            <w:pPr>
              <w:rPr>
                <w:szCs w:val="22"/>
              </w:rPr>
            </w:pPr>
            <w:r w:rsidRPr="005B2844">
              <w:rPr>
                <w:szCs w:val="22"/>
              </w:rPr>
              <w:tab/>
              <w:t>Non comune:</w:t>
            </w:r>
          </w:p>
          <w:p w:rsidR="0073435A" w:rsidRPr="005B2844" w:rsidRDefault="0073435A" w:rsidP="00F0099F">
            <w:pPr>
              <w:rPr>
                <w:szCs w:val="22"/>
              </w:rPr>
            </w:pPr>
            <w:r w:rsidRPr="005B2844">
              <w:rPr>
                <w:szCs w:val="22"/>
              </w:rPr>
              <w:tab/>
              <w:t>Molto raro:</w:t>
            </w:r>
          </w:p>
        </w:tc>
        <w:tc>
          <w:tcPr>
            <w:tcW w:w="4537" w:type="dxa"/>
          </w:tcPr>
          <w:p w:rsidR="0073435A" w:rsidRPr="005B2844" w:rsidRDefault="0073435A" w:rsidP="00F0099F">
            <w:pPr>
              <w:rPr>
                <w:szCs w:val="22"/>
              </w:rPr>
            </w:pPr>
            <w:r w:rsidRPr="005B2844">
              <w:rPr>
                <w:szCs w:val="22"/>
              </w:rPr>
              <w:t>Tosse</w:t>
            </w:r>
          </w:p>
          <w:p w:rsidR="0073435A" w:rsidRPr="005B2844" w:rsidRDefault="0073435A" w:rsidP="00F0099F">
            <w:pPr>
              <w:rPr>
                <w:szCs w:val="22"/>
              </w:rPr>
            </w:pPr>
            <w:r w:rsidRPr="005B2844">
              <w:rPr>
                <w:szCs w:val="22"/>
              </w:rPr>
              <w:t>Malattia polmonare interstiziale</w:t>
            </w:r>
            <w:r w:rsidRPr="005B2844">
              <w:rPr>
                <w:szCs w:val="22"/>
                <w:vertAlign w:val="superscript"/>
              </w:rPr>
              <w:t>3</w:t>
            </w:r>
          </w:p>
          <w:p w:rsidR="0073435A" w:rsidRPr="005B2844" w:rsidRDefault="0073435A" w:rsidP="00F0099F">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72602F">
            <w:pPr>
              <w:rPr>
                <w:szCs w:val="22"/>
              </w:rPr>
            </w:pPr>
            <w:r w:rsidRPr="005B2844">
              <w:rPr>
                <w:noProof/>
                <w:szCs w:val="22"/>
              </w:rPr>
              <w:t xml:space="preserve">Patologie </w:t>
            </w:r>
            <w:r w:rsidRPr="005B2844">
              <w:rPr>
                <w:szCs w:val="22"/>
              </w:rPr>
              <w:t>gastrointestinali</w:t>
            </w:r>
          </w:p>
        </w:tc>
      </w:tr>
      <w:tr w:rsidR="00115A66" w:rsidRPr="005B2844">
        <w:tblPrEx>
          <w:tblCellMar>
            <w:top w:w="0" w:type="dxa"/>
            <w:bottom w:w="0" w:type="dxa"/>
          </w:tblCellMar>
        </w:tblPrEx>
        <w:tc>
          <w:tcPr>
            <w:tcW w:w="5210" w:type="dxa"/>
          </w:tcPr>
          <w:p w:rsidR="00115A66" w:rsidRPr="005B2844" w:rsidRDefault="00115A66" w:rsidP="00E25481">
            <w:pPr>
              <w:rPr>
                <w:noProof/>
                <w:szCs w:val="22"/>
              </w:rPr>
            </w:pPr>
            <w:r w:rsidRPr="005B2844">
              <w:rPr>
                <w:szCs w:val="22"/>
              </w:rPr>
              <w:tab/>
            </w:r>
            <w:r w:rsidR="00E25481" w:rsidRPr="005B2844">
              <w:rPr>
                <w:szCs w:val="22"/>
              </w:rPr>
              <w:t>Raro</w:t>
            </w:r>
            <w:r w:rsidRPr="005B2844">
              <w:rPr>
                <w:szCs w:val="22"/>
              </w:rPr>
              <w:t>:</w:t>
            </w:r>
          </w:p>
        </w:tc>
        <w:tc>
          <w:tcPr>
            <w:tcW w:w="4537" w:type="dxa"/>
          </w:tcPr>
          <w:p w:rsidR="00115A66" w:rsidRPr="005B2844" w:rsidRDefault="00115A66" w:rsidP="0072602F">
            <w:pPr>
              <w:rPr>
                <w:szCs w:val="22"/>
              </w:rPr>
            </w:pPr>
            <w:r w:rsidRPr="005B2844">
              <w:rPr>
                <w:szCs w:val="22"/>
              </w:rPr>
              <w:t>Disturbo gastrico</w:t>
            </w:r>
          </w:p>
          <w:p w:rsidR="00F94F7D" w:rsidRPr="005B2844" w:rsidRDefault="00F94F7D" w:rsidP="0072602F">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72602F">
            <w:pPr>
              <w:rPr>
                <w:szCs w:val="22"/>
              </w:rPr>
            </w:pPr>
            <w:r w:rsidRPr="005B2844">
              <w:rPr>
                <w:noProof/>
                <w:szCs w:val="22"/>
              </w:rPr>
              <w:t xml:space="preserve">Patologie </w:t>
            </w:r>
            <w:r w:rsidRPr="005B2844">
              <w:rPr>
                <w:szCs w:val="22"/>
              </w:rPr>
              <w:t>della cute e del tessuto sottocutaneo</w:t>
            </w:r>
          </w:p>
        </w:tc>
      </w:tr>
      <w:tr w:rsidR="00115A66" w:rsidRPr="005B2844">
        <w:tblPrEx>
          <w:tblCellMar>
            <w:top w:w="0" w:type="dxa"/>
            <w:bottom w:w="0" w:type="dxa"/>
          </w:tblCellMar>
        </w:tblPrEx>
        <w:tc>
          <w:tcPr>
            <w:tcW w:w="5210" w:type="dxa"/>
          </w:tcPr>
          <w:p w:rsidR="00115A66" w:rsidRPr="005B2844" w:rsidRDefault="00115A66" w:rsidP="0072602F">
            <w:pPr>
              <w:rPr>
                <w:szCs w:val="22"/>
              </w:rPr>
            </w:pPr>
            <w:r w:rsidRPr="005B2844">
              <w:rPr>
                <w:szCs w:val="22"/>
              </w:rPr>
              <w:tab/>
            </w:r>
            <w:r w:rsidR="00E25481" w:rsidRPr="005B2844">
              <w:rPr>
                <w:szCs w:val="22"/>
              </w:rPr>
              <w:t>Raro</w:t>
            </w:r>
            <w:r w:rsidRPr="005B2844">
              <w:rPr>
                <w:szCs w:val="22"/>
              </w:rPr>
              <w:t>:</w:t>
            </w:r>
          </w:p>
          <w:p w:rsidR="00115A66" w:rsidRPr="005B2844" w:rsidRDefault="00115A66" w:rsidP="0072602F">
            <w:pPr>
              <w:rPr>
                <w:noProof/>
                <w:szCs w:val="22"/>
              </w:rPr>
            </w:pPr>
          </w:p>
        </w:tc>
        <w:tc>
          <w:tcPr>
            <w:tcW w:w="4537" w:type="dxa"/>
          </w:tcPr>
          <w:p w:rsidR="00115A66" w:rsidRPr="005B2844" w:rsidRDefault="00115A66" w:rsidP="0072602F">
            <w:pPr>
              <w:rPr>
                <w:szCs w:val="22"/>
              </w:rPr>
            </w:pPr>
            <w:r w:rsidRPr="005B2844">
              <w:rPr>
                <w:szCs w:val="22"/>
              </w:rPr>
              <w:t>Eczema, eruzione da farmaci, eruzione cutanea tossica</w:t>
            </w:r>
          </w:p>
          <w:p w:rsidR="00115A66" w:rsidRPr="005B2844" w:rsidRDefault="00115A66" w:rsidP="00115A66">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72602F">
            <w:pPr>
              <w:rPr>
                <w:szCs w:val="22"/>
              </w:rPr>
            </w:pPr>
            <w:r w:rsidRPr="005B2844">
              <w:rPr>
                <w:noProof/>
                <w:szCs w:val="22"/>
              </w:rPr>
              <w:t xml:space="preserve">Patologie </w:t>
            </w:r>
            <w:r w:rsidRPr="005B2844">
              <w:rPr>
                <w:szCs w:val="22"/>
              </w:rPr>
              <w:t>del sistema muscoloscheletrico e del tessuto connettivo</w:t>
            </w:r>
          </w:p>
        </w:tc>
      </w:tr>
      <w:tr w:rsidR="00115A66" w:rsidRPr="005B2844">
        <w:tblPrEx>
          <w:tblCellMar>
            <w:top w:w="0" w:type="dxa"/>
            <w:bottom w:w="0" w:type="dxa"/>
          </w:tblCellMar>
        </w:tblPrEx>
        <w:tc>
          <w:tcPr>
            <w:tcW w:w="5210" w:type="dxa"/>
          </w:tcPr>
          <w:p w:rsidR="00115A66" w:rsidRPr="005B2844" w:rsidRDefault="00115A66" w:rsidP="0072602F">
            <w:pPr>
              <w:rPr>
                <w:szCs w:val="22"/>
              </w:rPr>
            </w:pPr>
            <w:r w:rsidRPr="005B2844">
              <w:rPr>
                <w:szCs w:val="22"/>
              </w:rPr>
              <w:tab/>
            </w:r>
            <w:r w:rsidR="00E25481" w:rsidRPr="005B2844">
              <w:rPr>
                <w:szCs w:val="22"/>
              </w:rPr>
              <w:t>Raro</w:t>
            </w:r>
            <w:r w:rsidRPr="005B2844">
              <w:rPr>
                <w:szCs w:val="22"/>
              </w:rPr>
              <w:t>:</w:t>
            </w:r>
          </w:p>
          <w:p w:rsidR="00115A66" w:rsidRPr="005B2844" w:rsidRDefault="00115A66" w:rsidP="00115A66">
            <w:pPr>
              <w:rPr>
                <w:noProof/>
                <w:szCs w:val="22"/>
              </w:rPr>
            </w:pPr>
          </w:p>
        </w:tc>
        <w:tc>
          <w:tcPr>
            <w:tcW w:w="4537" w:type="dxa"/>
          </w:tcPr>
          <w:p w:rsidR="00115A66" w:rsidRPr="005B2844" w:rsidRDefault="00115A66" w:rsidP="0072602F">
            <w:pPr>
              <w:rPr>
                <w:szCs w:val="22"/>
              </w:rPr>
            </w:pPr>
            <w:r w:rsidRPr="005B2844">
              <w:rPr>
                <w:szCs w:val="22"/>
              </w:rPr>
              <w:t>Artrosi, dolore ai tendini</w:t>
            </w:r>
          </w:p>
        </w:tc>
      </w:tr>
      <w:tr w:rsidR="00115A66" w:rsidRPr="005B2844">
        <w:tblPrEx>
          <w:tblCellMar>
            <w:top w:w="0" w:type="dxa"/>
            <w:bottom w:w="0" w:type="dxa"/>
          </w:tblCellMar>
        </w:tblPrEx>
        <w:tc>
          <w:tcPr>
            <w:tcW w:w="9747" w:type="dxa"/>
            <w:gridSpan w:val="2"/>
          </w:tcPr>
          <w:p w:rsidR="00115A66" w:rsidRPr="005B2844" w:rsidRDefault="00115A66" w:rsidP="000709BC">
            <w:pPr>
              <w:keepNext/>
              <w:rPr>
                <w:szCs w:val="22"/>
              </w:rPr>
            </w:pPr>
            <w:r w:rsidRPr="005B2844">
              <w:rPr>
                <w:szCs w:val="22"/>
              </w:rPr>
              <w:t>Patologie renali e urinarie</w:t>
            </w:r>
          </w:p>
        </w:tc>
      </w:tr>
      <w:tr w:rsidR="00115A66" w:rsidRPr="005B2844">
        <w:tblPrEx>
          <w:tblCellMar>
            <w:top w:w="0" w:type="dxa"/>
            <w:bottom w:w="0" w:type="dxa"/>
          </w:tblCellMar>
        </w:tblPrEx>
        <w:tc>
          <w:tcPr>
            <w:tcW w:w="5210" w:type="dxa"/>
          </w:tcPr>
          <w:p w:rsidR="00115A66" w:rsidRPr="005B2844" w:rsidRDefault="00115A66" w:rsidP="00E25481">
            <w:pPr>
              <w:rPr>
                <w:szCs w:val="22"/>
              </w:rPr>
            </w:pPr>
            <w:r w:rsidRPr="005B2844">
              <w:rPr>
                <w:szCs w:val="22"/>
              </w:rPr>
              <w:tab/>
              <w:t xml:space="preserve">Non </w:t>
            </w:r>
            <w:r w:rsidR="00E25481" w:rsidRPr="005B2844">
              <w:rPr>
                <w:szCs w:val="22"/>
              </w:rPr>
              <w:t>comune</w:t>
            </w:r>
            <w:r w:rsidRPr="005B2844">
              <w:rPr>
                <w:szCs w:val="22"/>
              </w:rPr>
              <w:t>:</w:t>
            </w:r>
          </w:p>
        </w:tc>
        <w:tc>
          <w:tcPr>
            <w:tcW w:w="4537" w:type="dxa"/>
          </w:tcPr>
          <w:p w:rsidR="00115A66" w:rsidRPr="005B2844" w:rsidRDefault="00E25481" w:rsidP="006809D3">
            <w:pPr>
              <w:rPr>
                <w:szCs w:val="22"/>
              </w:rPr>
            </w:pPr>
            <w:r w:rsidRPr="005B2844">
              <w:rPr>
                <w:szCs w:val="22"/>
              </w:rPr>
              <w:t>C</w:t>
            </w:r>
            <w:r w:rsidR="00115A66" w:rsidRPr="005B2844">
              <w:rPr>
                <w:szCs w:val="22"/>
              </w:rPr>
              <w:t>ompromissione renale (inclusa insufficienza renale acuta)</w:t>
            </w:r>
          </w:p>
          <w:p w:rsidR="00115A66" w:rsidRPr="005B2844" w:rsidRDefault="00115A66" w:rsidP="006809D3">
            <w:pPr>
              <w:rPr>
                <w:szCs w:val="22"/>
              </w:rPr>
            </w:pPr>
          </w:p>
        </w:tc>
      </w:tr>
      <w:tr w:rsidR="00115A66" w:rsidRPr="005B2844">
        <w:tblPrEx>
          <w:tblCellMar>
            <w:top w:w="0" w:type="dxa"/>
            <w:bottom w:w="0" w:type="dxa"/>
          </w:tblCellMar>
        </w:tblPrEx>
        <w:tc>
          <w:tcPr>
            <w:tcW w:w="9747" w:type="dxa"/>
            <w:gridSpan w:val="2"/>
          </w:tcPr>
          <w:p w:rsidR="00115A66" w:rsidRPr="005B2844" w:rsidDel="008169FA" w:rsidRDefault="00115A66" w:rsidP="00115A66">
            <w:pPr>
              <w:rPr>
                <w:szCs w:val="22"/>
              </w:rPr>
            </w:pPr>
            <w:r w:rsidRPr="005B2844">
              <w:rPr>
                <w:noProof/>
                <w:szCs w:val="22"/>
              </w:rPr>
              <w:t xml:space="preserve">Patologie sistemiche </w:t>
            </w:r>
            <w:r w:rsidRPr="005B2844">
              <w:rPr>
                <w:szCs w:val="22"/>
              </w:rPr>
              <w:t>e condizioni relative alla sede di somministrazione</w:t>
            </w:r>
          </w:p>
        </w:tc>
      </w:tr>
      <w:tr w:rsidR="00115A66" w:rsidRPr="005B2844">
        <w:tblPrEx>
          <w:tblCellMar>
            <w:top w:w="0" w:type="dxa"/>
            <w:bottom w:w="0" w:type="dxa"/>
          </w:tblCellMar>
        </w:tblPrEx>
        <w:tc>
          <w:tcPr>
            <w:tcW w:w="5210" w:type="dxa"/>
          </w:tcPr>
          <w:p w:rsidR="00115A66" w:rsidRPr="005B2844" w:rsidRDefault="00115A66" w:rsidP="00E25481">
            <w:pPr>
              <w:rPr>
                <w:noProof/>
                <w:szCs w:val="22"/>
              </w:rPr>
            </w:pPr>
            <w:r w:rsidRPr="005B2844">
              <w:rPr>
                <w:szCs w:val="22"/>
              </w:rPr>
              <w:tab/>
              <w:t xml:space="preserve">Non </w:t>
            </w:r>
            <w:r w:rsidR="00E25481" w:rsidRPr="005B2844">
              <w:rPr>
                <w:szCs w:val="22"/>
              </w:rPr>
              <w:t>comune</w:t>
            </w:r>
            <w:r w:rsidRPr="005B2844">
              <w:rPr>
                <w:szCs w:val="22"/>
              </w:rPr>
              <w:t>:</w:t>
            </w:r>
          </w:p>
        </w:tc>
        <w:tc>
          <w:tcPr>
            <w:tcW w:w="4537" w:type="dxa"/>
          </w:tcPr>
          <w:p w:rsidR="00115A66" w:rsidRPr="005B2844" w:rsidRDefault="00115A66" w:rsidP="0072602F">
            <w:pPr>
              <w:rPr>
                <w:szCs w:val="22"/>
              </w:rPr>
            </w:pPr>
            <w:r w:rsidRPr="005B2844">
              <w:rPr>
                <w:szCs w:val="22"/>
              </w:rPr>
              <w:t>Astenia</w:t>
            </w:r>
          </w:p>
          <w:p w:rsidR="00115A66" w:rsidRPr="005B2844" w:rsidRDefault="00115A66" w:rsidP="0072602F">
            <w:pPr>
              <w:rPr>
                <w:szCs w:val="22"/>
              </w:rPr>
            </w:pPr>
          </w:p>
        </w:tc>
      </w:tr>
      <w:tr w:rsidR="00115A66" w:rsidRPr="005B2844">
        <w:tblPrEx>
          <w:tblCellMar>
            <w:top w:w="0" w:type="dxa"/>
            <w:bottom w:w="0" w:type="dxa"/>
          </w:tblCellMar>
        </w:tblPrEx>
        <w:tc>
          <w:tcPr>
            <w:tcW w:w="9747" w:type="dxa"/>
            <w:gridSpan w:val="2"/>
          </w:tcPr>
          <w:p w:rsidR="00115A66" w:rsidRPr="005B2844" w:rsidRDefault="00115A66" w:rsidP="006809D3">
            <w:pPr>
              <w:rPr>
                <w:szCs w:val="22"/>
              </w:rPr>
            </w:pPr>
            <w:bookmarkStart w:id="12" w:name="OLE_LINK24"/>
            <w:r w:rsidRPr="005B2844">
              <w:rPr>
                <w:szCs w:val="22"/>
              </w:rPr>
              <w:t>Esami di</w:t>
            </w:r>
            <w:r w:rsidR="007D7DB7" w:rsidRPr="005B2844">
              <w:rPr>
                <w:szCs w:val="22"/>
              </w:rPr>
              <w:t>a</w:t>
            </w:r>
            <w:r w:rsidRPr="005B2844">
              <w:rPr>
                <w:szCs w:val="22"/>
              </w:rPr>
              <w:t>gnostici</w:t>
            </w:r>
          </w:p>
        </w:tc>
      </w:tr>
      <w:tr w:rsidR="00115A66" w:rsidRPr="005B2844">
        <w:tblPrEx>
          <w:tblCellMar>
            <w:top w:w="0" w:type="dxa"/>
            <w:bottom w:w="0" w:type="dxa"/>
          </w:tblCellMar>
        </w:tblPrEx>
        <w:tc>
          <w:tcPr>
            <w:tcW w:w="5210" w:type="dxa"/>
          </w:tcPr>
          <w:p w:rsidR="00115A66" w:rsidRPr="005B2844" w:rsidRDefault="00115A66" w:rsidP="00E25481">
            <w:pPr>
              <w:rPr>
                <w:szCs w:val="22"/>
              </w:rPr>
            </w:pPr>
            <w:r w:rsidRPr="005B2844">
              <w:rPr>
                <w:szCs w:val="22"/>
              </w:rPr>
              <w:tab/>
            </w:r>
            <w:r w:rsidR="00E25481" w:rsidRPr="005B2844">
              <w:rPr>
                <w:szCs w:val="22"/>
              </w:rPr>
              <w:t>Raro</w:t>
            </w:r>
            <w:r w:rsidRPr="005B2844">
              <w:rPr>
                <w:szCs w:val="22"/>
              </w:rPr>
              <w:t>:</w:t>
            </w:r>
          </w:p>
        </w:tc>
        <w:tc>
          <w:tcPr>
            <w:tcW w:w="4537" w:type="dxa"/>
          </w:tcPr>
          <w:p w:rsidR="00115A66" w:rsidRPr="005B2844" w:rsidRDefault="00115A66" w:rsidP="006809D3">
            <w:pPr>
              <w:rPr>
                <w:szCs w:val="22"/>
              </w:rPr>
            </w:pPr>
            <w:r w:rsidRPr="005B2844">
              <w:rPr>
                <w:szCs w:val="22"/>
              </w:rPr>
              <w:t>Riduzione dell’emoglobina</w:t>
            </w:r>
          </w:p>
          <w:p w:rsidR="00354998" w:rsidRPr="005B2844" w:rsidRDefault="00354998" w:rsidP="006809D3">
            <w:pPr>
              <w:rPr>
                <w:szCs w:val="22"/>
              </w:rPr>
            </w:pPr>
          </w:p>
        </w:tc>
      </w:tr>
    </w:tbl>
    <w:bookmarkEnd w:id="12"/>
    <w:p w:rsidR="00FC113F" w:rsidRPr="005B2844" w:rsidRDefault="00657CE8" w:rsidP="0072602F">
      <w:pPr>
        <w:pStyle w:val="BodyText2"/>
        <w:tabs>
          <w:tab w:val="clear" w:pos="567"/>
        </w:tabs>
        <w:ind w:left="0" w:firstLine="0"/>
        <w:rPr>
          <w:szCs w:val="22"/>
        </w:rPr>
      </w:pPr>
      <w:r w:rsidRPr="005B2844">
        <w:rPr>
          <w:szCs w:val="22"/>
        </w:rPr>
        <w:t>3</w:t>
      </w:r>
      <w:r w:rsidR="00E25481" w:rsidRPr="005B2844">
        <w:rPr>
          <w:szCs w:val="22"/>
        </w:rPr>
        <w:t xml:space="preserve">: Per ulteriore descrizione, vedere </w:t>
      </w:r>
      <w:proofErr w:type="spellStart"/>
      <w:r w:rsidR="00F0099F" w:rsidRPr="005B2844">
        <w:rPr>
          <w:szCs w:val="22"/>
        </w:rPr>
        <w:t>sotto</w:t>
      </w:r>
      <w:r w:rsidR="00E25481" w:rsidRPr="005B2844">
        <w:rPr>
          <w:szCs w:val="22"/>
        </w:rPr>
        <w:t>paragrafo</w:t>
      </w:r>
      <w:proofErr w:type="spellEnd"/>
      <w:r w:rsidR="00E25481" w:rsidRPr="005B2844">
        <w:rPr>
          <w:szCs w:val="22"/>
        </w:rPr>
        <w:t xml:space="preserve"> </w:t>
      </w:r>
      <w:r w:rsidR="004D0F06" w:rsidRPr="005B2844">
        <w:rPr>
          <w:szCs w:val="22"/>
        </w:rPr>
        <w:t>"</w:t>
      </w:r>
      <w:r w:rsidR="00F0099F" w:rsidRPr="005B2844">
        <w:rPr>
          <w:szCs w:val="22"/>
        </w:rPr>
        <w:t>Descrizione delle reazioni avverse selezionate</w:t>
      </w:r>
      <w:r w:rsidR="004D0F06" w:rsidRPr="005B2844">
        <w:rPr>
          <w:szCs w:val="22"/>
        </w:rPr>
        <w:t>"</w:t>
      </w:r>
    </w:p>
    <w:p w:rsidR="002A2D7A" w:rsidRPr="005B2844" w:rsidRDefault="002A2D7A" w:rsidP="0072602F">
      <w:pPr>
        <w:pStyle w:val="BodyText2"/>
        <w:tabs>
          <w:tab w:val="clear" w:pos="567"/>
        </w:tabs>
        <w:ind w:left="0" w:firstLine="0"/>
        <w:rPr>
          <w:szCs w:val="22"/>
        </w:rPr>
      </w:pPr>
    </w:p>
    <w:p w:rsidR="00FC113F" w:rsidRPr="005B2844" w:rsidRDefault="00FC113F" w:rsidP="00126264">
      <w:pPr>
        <w:pStyle w:val="BodyText2"/>
        <w:keepNext/>
        <w:tabs>
          <w:tab w:val="clear" w:pos="567"/>
        </w:tabs>
        <w:ind w:left="0" w:firstLine="0"/>
        <w:rPr>
          <w:szCs w:val="22"/>
        </w:rPr>
      </w:pPr>
      <w:proofErr w:type="spellStart"/>
      <w:r w:rsidRPr="005B2844">
        <w:rPr>
          <w:szCs w:val="22"/>
          <w:u w:val="single"/>
        </w:rPr>
        <w:t>Idroclorotiazide</w:t>
      </w:r>
      <w:proofErr w:type="spellEnd"/>
      <w:r w:rsidRPr="005B2844">
        <w:rPr>
          <w:szCs w:val="22"/>
        </w:rPr>
        <w:t>:</w:t>
      </w:r>
    </w:p>
    <w:p w:rsidR="00FC113F" w:rsidRPr="005B2844" w:rsidRDefault="00FC113F" w:rsidP="0072602F">
      <w:pPr>
        <w:pStyle w:val="BodyText2"/>
        <w:tabs>
          <w:tab w:val="clear" w:pos="567"/>
        </w:tabs>
        <w:ind w:left="0" w:firstLine="0"/>
        <w:rPr>
          <w:szCs w:val="22"/>
        </w:rPr>
      </w:pPr>
      <w:r w:rsidRPr="005B2844">
        <w:rPr>
          <w:szCs w:val="22"/>
        </w:rPr>
        <w:t>L'</w:t>
      </w:r>
      <w:proofErr w:type="spellStart"/>
      <w:r w:rsidRPr="005B2844">
        <w:rPr>
          <w:szCs w:val="22"/>
        </w:rPr>
        <w:t>idroclorotiazide</w:t>
      </w:r>
      <w:proofErr w:type="spellEnd"/>
      <w:r w:rsidRPr="005B2844">
        <w:rPr>
          <w:szCs w:val="22"/>
        </w:rPr>
        <w:t xml:space="preserve"> può causare o esacerbare l'ipovolemia che potrebbe determinare uno squilibrio elettrolitico (vedere </w:t>
      </w:r>
      <w:r w:rsidR="007C22E3" w:rsidRPr="005B2844">
        <w:rPr>
          <w:szCs w:val="22"/>
        </w:rPr>
        <w:t xml:space="preserve">paragrafo </w:t>
      </w:r>
      <w:r w:rsidRPr="005B2844">
        <w:rPr>
          <w:szCs w:val="22"/>
        </w:rPr>
        <w:t>4.4).</w:t>
      </w:r>
    </w:p>
    <w:p w:rsidR="00FC113F" w:rsidRPr="005B2844" w:rsidRDefault="00FC113F" w:rsidP="0072602F">
      <w:pPr>
        <w:pStyle w:val="BodyText2"/>
        <w:tabs>
          <w:tab w:val="clear" w:pos="567"/>
        </w:tabs>
        <w:ind w:left="0" w:firstLine="0"/>
        <w:rPr>
          <w:szCs w:val="22"/>
        </w:rPr>
      </w:pPr>
    </w:p>
    <w:p w:rsidR="00FC113F" w:rsidRPr="005B2844" w:rsidRDefault="00C13ACB" w:rsidP="0072602F">
      <w:pPr>
        <w:pStyle w:val="BodyText2"/>
        <w:tabs>
          <w:tab w:val="clear" w:pos="567"/>
        </w:tabs>
        <w:ind w:left="0" w:firstLine="0"/>
        <w:rPr>
          <w:szCs w:val="22"/>
        </w:rPr>
      </w:pPr>
      <w:r w:rsidRPr="005B2844">
        <w:rPr>
          <w:szCs w:val="22"/>
        </w:rPr>
        <w:t>Le reazioni</w:t>
      </w:r>
      <w:r w:rsidR="00FC113F" w:rsidRPr="005B2844">
        <w:rPr>
          <w:szCs w:val="22"/>
        </w:rPr>
        <w:t xml:space="preserve"> avvers</w:t>
      </w:r>
      <w:r w:rsidRPr="005B2844">
        <w:rPr>
          <w:szCs w:val="22"/>
        </w:rPr>
        <w:t>e</w:t>
      </w:r>
      <w:r w:rsidR="00FC113F" w:rsidRPr="005B2844">
        <w:rPr>
          <w:szCs w:val="22"/>
        </w:rPr>
        <w:t xml:space="preserve"> </w:t>
      </w:r>
      <w:r w:rsidR="0037542C" w:rsidRPr="005B2844">
        <w:rPr>
          <w:szCs w:val="22"/>
        </w:rPr>
        <w:t>di frequ</w:t>
      </w:r>
      <w:r w:rsidR="004014C1" w:rsidRPr="005B2844">
        <w:rPr>
          <w:szCs w:val="22"/>
        </w:rPr>
        <w:t>e</w:t>
      </w:r>
      <w:r w:rsidR="0037542C" w:rsidRPr="005B2844">
        <w:rPr>
          <w:szCs w:val="22"/>
        </w:rPr>
        <w:t xml:space="preserve">nza non nota </w:t>
      </w:r>
      <w:r w:rsidR="00FC113F" w:rsidRPr="005B2844">
        <w:rPr>
          <w:szCs w:val="22"/>
        </w:rPr>
        <w:t>riportat</w:t>
      </w:r>
      <w:r w:rsidRPr="005B2844">
        <w:rPr>
          <w:szCs w:val="22"/>
        </w:rPr>
        <w:t>e</w:t>
      </w:r>
      <w:r w:rsidR="00FC113F" w:rsidRPr="005B2844">
        <w:rPr>
          <w:szCs w:val="22"/>
        </w:rPr>
        <w:t xml:space="preserve"> con l'uso di </w:t>
      </w:r>
      <w:proofErr w:type="spellStart"/>
      <w:r w:rsidR="00FC113F" w:rsidRPr="005B2844">
        <w:rPr>
          <w:szCs w:val="22"/>
        </w:rPr>
        <w:t>idroclorotiazide</w:t>
      </w:r>
      <w:proofErr w:type="spellEnd"/>
      <w:r w:rsidR="00FC113F" w:rsidRPr="005B2844">
        <w:rPr>
          <w:szCs w:val="22"/>
        </w:rPr>
        <w:t xml:space="preserve"> in monoterapia includono</w:t>
      </w:r>
      <w:r w:rsidR="008A50D4" w:rsidRPr="005B2844">
        <w:rPr>
          <w:szCs w:val="22"/>
        </w:rPr>
        <w:t>:</w:t>
      </w:r>
    </w:p>
    <w:p w:rsidR="00426A6A" w:rsidRPr="005B2844" w:rsidRDefault="00426A6A">
      <w:pPr>
        <w:rPr>
          <w:szCs w:val="22"/>
        </w:rPr>
      </w:pPr>
    </w:p>
    <w:tbl>
      <w:tblPr>
        <w:tblW w:w="9747" w:type="dxa"/>
        <w:tblLayout w:type="fixed"/>
        <w:tblLook w:val="0000" w:firstRow="0" w:lastRow="0" w:firstColumn="0" w:lastColumn="0" w:noHBand="0" w:noVBand="0"/>
      </w:tblPr>
      <w:tblGrid>
        <w:gridCol w:w="5210"/>
        <w:gridCol w:w="4537"/>
      </w:tblGrid>
      <w:tr w:rsidR="00C13ACB" w:rsidRPr="005B2844">
        <w:tblPrEx>
          <w:tblCellMar>
            <w:top w:w="0" w:type="dxa"/>
            <w:bottom w:w="0" w:type="dxa"/>
          </w:tblCellMar>
        </w:tblPrEx>
        <w:tc>
          <w:tcPr>
            <w:tcW w:w="9747" w:type="dxa"/>
            <w:gridSpan w:val="2"/>
          </w:tcPr>
          <w:p w:rsidR="00C13ACB" w:rsidRPr="005B2844" w:rsidRDefault="00C13ACB" w:rsidP="0072602F">
            <w:pPr>
              <w:rPr>
                <w:szCs w:val="22"/>
              </w:rPr>
            </w:pPr>
            <w:r w:rsidRPr="005B2844">
              <w:rPr>
                <w:noProof/>
                <w:szCs w:val="22"/>
              </w:rPr>
              <w:t>Infezioni e infestazioni</w:t>
            </w:r>
          </w:p>
        </w:tc>
      </w:tr>
      <w:tr w:rsidR="00C13ACB" w:rsidRPr="005B2844">
        <w:tblPrEx>
          <w:tblCellMar>
            <w:top w:w="0" w:type="dxa"/>
            <w:bottom w:w="0" w:type="dxa"/>
          </w:tblCellMar>
        </w:tblPrEx>
        <w:tc>
          <w:tcPr>
            <w:tcW w:w="5210" w:type="dxa"/>
          </w:tcPr>
          <w:p w:rsidR="00C13ACB" w:rsidRPr="005B2844" w:rsidRDefault="00C13ACB" w:rsidP="0072602F">
            <w:pPr>
              <w:rPr>
                <w:noProof/>
                <w:szCs w:val="22"/>
              </w:rPr>
            </w:pPr>
            <w:r w:rsidRPr="005B2844">
              <w:rPr>
                <w:noProof/>
                <w:szCs w:val="22"/>
              </w:rPr>
              <w:tab/>
              <w:t>Non nota:</w:t>
            </w:r>
          </w:p>
        </w:tc>
        <w:tc>
          <w:tcPr>
            <w:tcW w:w="4537" w:type="dxa"/>
          </w:tcPr>
          <w:p w:rsidR="00C13ACB" w:rsidRPr="005B2844" w:rsidRDefault="00C13ACB" w:rsidP="00C13ACB">
            <w:pPr>
              <w:rPr>
                <w:szCs w:val="22"/>
              </w:rPr>
            </w:pPr>
            <w:r w:rsidRPr="005B2844">
              <w:rPr>
                <w:szCs w:val="22"/>
              </w:rPr>
              <w:t>Scialoadenite</w:t>
            </w:r>
          </w:p>
          <w:p w:rsidR="00C13ACB" w:rsidRPr="005B2844" w:rsidRDefault="00C13ACB" w:rsidP="00C13ACB">
            <w:pPr>
              <w:rPr>
                <w:szCs w:val="22"/>
              </w:rPr>
            </w:pPr>
          </w:p>
        </w:tc>
      </w:tr>
      <w:tr w:rsidR="00263CA9" w:rsidRPr="005B2844" w:rsidTr="00377B0A">
        <w:tblPrEx>
          <w:tblCellMar>
            <w:top w:w="0" w:type="dxa"/>
            <w:bottom w:w="0" w:type="dxa"/>
          </w:tblCellMar>
        </w:tblPrEx>
        <w:tc>
          <w:tcPr>
            <w:tcW w:w="9747" w:type="dxa"/>
            <w:gridSpan w:val="2"/>
          </w:tcPr>
          <w:p w:rsidR="00263CA9" w:rsidRPr="005B2844" w:rsidRDefault="00263CA9" w:rsidP="00C850EF">
            <w:pPr>
              <w:rPr>
                <w:szCs w:val="22"/>
              </w:rPr>
            </w:pPr>
            <w:r w:rsidRPr="005B2844">
              <w:rPr>
                <w:szCs w:val="22"/>
              </w:rPr>
              <w:t>Tumori benigni, maligni e non specificati (cisti e polipi compresi)</w:t>
            </w:r>
          </w:p>
        </w:tc>
      </w:tr>
      <w:tr w:rsidR="00263CA9" w:rsidRPr="005B2844" w:rsidTr="00377B0A">
        <w:tblPrEx>
          <w:tblCellMar>
            <w:top w:w="0" w:type="dxa"/>
            <w:bottom w:w="0" w:type="dxa"/>
          </w:tblCellMar>
        </w:tblPrEx>
        <w:tc>
          <w:tcPr>
            <w:tcW w:w="5210" w:type="dxa"/>
          </w:tcPr>
          <w:p w:rsidR="00263CA9" w:rsidRPr="005B2844" w:rsidRDefault="00263CA9" w:rsidP="00C850EF">
            <w:pPr>
              <w:rPr>
                <w:szCs w:val="22"/>
              </w:rPr>
            </w:pPr>
            <w:r w:rsidRPr="005B2844">
              <w:rPr>
                <w:szCs w:val="22"/>
              </w:rPr>
              <w:tab/>
              <w:t>Non nota:</w:t>
            </w:r>
          </w:p>
        </w:tc>
        <w:tc>
          <w:tcPr>
            <w:tcW w:w="4537" w:type="dxa"/>
          </w:tcPr>
          <w:p w:rsidR="00263CA9" w:rsidRPr="005B2844" w:rsidRDefault="00263CA9" w:rsidP="00C850EF">
            <w:pPr>
              <w:rPr>
                <w:szCs w:val="22"/>
              </w:rPr>
            </w:pPr>
            <w:r w:rsidRPr="005B2844">
              <w:rPr>
                <w:szCs w:val="22"/>
              </w:rPr>
              <w:t xml:space="preserve">cancro cutaneo non melanoma (carcinoma </w:t>
            </w:r>
            <w:proofErr w:type="spellStart"/>
            <w:r w:rsidRPr="005B2844">
              <w:rPr>
                <w:szCs w:val="22"/>
              </w:rPr>
              <w:t>basocellulare</w:t>
            </w:r>
            <w:proofErr w:type="spellEnd"/>
            <w:r w:rsidRPr="005B2844">
              <w:rPr>
                <w:szCs w:val="22"/>
              </w:rPr>
              <w:t xml:space="preserve"> e carcinoma a cellule squamose)</w:t>
            </w:r>
          </w:p>
          <w:p w:rsidR="00C721D9" w:rsidRPr="005B2844" w:rsidRDefault="00C721D9" w:rsidP="00C850EF">
            <w:pPr>
              <w:rPr>
                <w:szCs w:val="22"/>
              </w:rPr>
            </w:pPr>
          </w:p>
        </w:tc>
      </w:tr>
      <w:tr w:rsidR="00C13ACB" w:rsidRPr="005B2844">
        <w:tblPrEx>
          <w:tblCellMar>
            <w:top w:w="0" w:type="dxa"/>
            <w:bottom w:w="0" w:type="dxa"/>
          </w:tblCellMar>
        </w:tblPrEx>
        <w:tc>
          <w:tcPr>
            <w:tcW w:w="9747" w:type="dxa"/>
            <w:gridSpan w:val="2"/>
          </w:tcPr>
          <w:p w:rsidR="00C13ACB" w:rsidRPr="005B2844" w:rsidRDefault="00C13ACB" w:rsidP="00C13ACB">
            <w:pPr>
              <w:rPr>
                <w:szCs w:val="22"/>
              </w:rPr>
            </w:pPr>
            <w:r w:rsidRPr="005B2844">
              <w:rPr>
                <w:noProof/>
                <w:szCs w:val="22"/>
              </w:rPr>
              <w:t>Patologie del sistema emolinfopoietico</w:t>
            </w:r>
          </w:p>
        </w:tc>
      </w:tr>
      <w:tr w:rsidR="00CD2F8B" w:rsidRPr="005B2844" w:rsidTr="00A86331">
        <w:tblPrEx>
          <w:tblCellMar>
            <w:top w:w="0" w:type="dxa"/>
            <w:bottom w:w="0" w:type="dxa"/>
          </w:tblCellMar>
        </w:tblPrEx>
        <w:tc>
          <w:tcPr>
            <w:tcW w:w="5210" w:type="dxa"/>
          </w:tcPr>
          <w:p w:rsidR="00CD2F8B" w:rsidRPr="005B2844" w:rsidRDefault="00CD2F8B" w:rsidP="00A86331">
            <w:pPr>
              <w:rPr>
                <w:szCs w:val="22"/>
              </w:rPr>
            </w:pPr>
            <w:r w:rsidRPr="005B2844">
              <w:rPr>
                <w:szCs w:val="22"/>
              </w:rPr>
              <w:tab/>
              <w:t>Raro:</w:t>
            </w:r>
          </w:p>
        </w:tc>
        <w:tc>
          <w:tcPr>
            <w:tcW w:w="4537" w:type="dxa"/>
          </w:tcPr>
          <w:p w:rsidR="00CD2F8B" w:rsidRPr="005B2844" w:rsidRDefault="00CD2F8B" w:rsidP="00A86331">
            <w:pPr>
              <w:rPr>
                <w:szCs w:val="22"/>
              </w:rPr>
            </w:pPr>
            <w:r w:rsidRPr="005B2844">
              <w:rPr>
                <w:szCs w:val="22"/>
              </w:rPr>
              <w:t>Trombocitopenia (talvolta associata a porpora)</w:t>
            </w:r>
          </w:p>
        </w:tc>
      </w:tr>
      <w:tr w:rsidR="00C13ACB" w:rsidRPr="005B2844">
        <w:tblPrEx>
          <w:tblCellMar>
            <w:top w:w="0" w:type="dxa"/>
            <w:bottom w:w="0" w:type="dxa"/>
          </w:tblCellMar>
        </w:tblPrEx>
        <w:tc>
          <w:tcPr>
            <w:tcW w:w="5210" w:type="dxa"/>
          </w:tcPr>
          <w:p w:rsidR="00C13ACB" w:rsidRPr="005B2844" w:rsidRDefault="00C13ACB" w:rsidP="0072602F">
            <w:pPr>
              <w:rPr>
                <w:noProof/>
                <w:szCs w:val="22"/>
              </w:rPr>
            </w:pPr>
            <w:r w:rsidRPr="005B2844">
              <w:rPr>
                <w:noProof/>
                <w:szCs w:val="22"/>
              </w:rPr>
              <w:tab/>
              <w:t>Non nota:</w:t>
            </w:r>
          </w:p>
        </w:tc>
        <w:tc>
          <w:tcPr>
            <w:tcW w:w="4537" w:type="dxa"/>
          </w:tcPr>
          <w:p w:rsidR="00C13ACB" w:rsidRPr="005B2844" w:rsidRDefault="00C13ACB" w:rsidP="00C13ACB">
            <w:pPr>
              <w:rPr>
                <w:szCs w:val="22"/>
              </w:rPr>
            </w:pPr>
            <w:r w:rsidRPr="005B2844">
              <w:rPr>
                <w:szCs w:val="22"/>
              </w:rPr>
              <w:t>Anemia aplastica, anemia emolitica, depressione del midollo osseo, leucopenia, neutropenia, agranulocitosi</w:t>
            </w:r>
          </w:p>
          <w:p w:rsidR="00C13ACB" w:rsidRPr="005B2844" w:rsidRDefault="00C13ACB" w:rsidP="0072602F">
            <w:pPr>
              <w:rPr>
                <w:szCs w:val="22"/>
              </w:rPr>
            </w:pPr>
          </w:p>
        </w:tc>
      </w:tr>
      <w:tr w:rsidR="00093C85" w:rsidRPr="005B2844">
        <w:tblPrEx>
          <w:tblCellMar>
            <w:top w:w="0" w:type="dxa"/>
            <w:bottom w:w="0" w:type="dxa"/>
          </w:tblCellMar>
        </w:tblPrEx>
        <w:tc>
          <w:tcPr>
            <w:tcW w:w="9747" w:type="dxa"/>
            <w:gridSpan w:val="2"/>
          </w:tcPr>
          <w:p w:rsidR="00093C85" w:rsidRPr="005B2844" w:rsidRDefault="00093C85" w:rsidP="00093C85">
            <w:pPr>
              <w:rPr>
                <w:szCs w:val="22"/>
              </w:rPr>
            </w:pPr>
            <w:r w:rsidRPr="005B2844">
              <w:rPr>
                <w:szCs w:val="22"/>
              </w:rPr>
              <w:t>Disturbi del sistema immunitario</w:t>
            </w:r>
          </w:p>
        </w:tc>
      </w:tr>
      <w:tr w:rsidR="00093C85" w:rsidRPr="005B2844">
        <w:tblPrEx>
          <w:tblCellMar>
            <w:top w:w="0" w:type="dxa"/>
            <w:bottom w:w="0" w:type="dxa"/>
          </w:tblCellMar>
        </w:tblPrEx>
        <w:tc>
          <w:tcPr>
            <w:tcW w:w="5210" w:type="dxa"/>
          </w:tcPr>
          <w:p w:rsidR="00093C85" w:rsidRPr="005B2844" w:rsidRDefault="00093C85" w:rsidP="0072602F">
            <w:pPr>
              <w:rPr>
                <w:szCs w:val="22"/>
              </w:rPr>
            </w:pPr>
            <w:r w:rsidRPr="005B2844">
              <w:rPr>
                <w:noProof/>
                <w:szCs w:val="22"/>
              </w:rPr>
              <w:tab/>
              <w:t>Non nota:</w:t>
            </w:r>
          </w:p>
        </w:tc>
        <w:tc>
          <w:tcPr>
            <w:tcW w:w="4537" w:type="dxa"/>
          </w:tcPr>
          <w:p w:rsidR="00093C85" w:rsidRPr="005B2844" w:rsidRDefault="00093C85" w:rsidP="00093C85">
            <w:pPr>
              <w:rPr>
                <w:szCs w:val="22"/>
              </w:rPr>
            </w:pPr>
            <w:r w:rsidRPr="005B2844">
              <w:rPr>
                <w:szCs w:val="22"/>
              </w:rPr>
              <w:t>Reazioni anafilattiche, ipersensibilità</w:t>
            </w:r>
          </w:p>
          <w:p w:rsidR="00093C85" w:rsidRPr="005B2844" w:rsidRDefault="00093C85" w:rsidP="0072602F">
            <w:pPr>
              <w:rPr>
                <w:szCs w:val="22"/>
              </w:rPr>
            </w:pPr>
          </w:p>
        </w:tc>
      </w:tr>
      <w:tr w:rsidR="00093C85" w:rsidRPr="005B2844">
        <w:tblPrEx>
          <w:tblCellMar>
            <w:top w:w="0" w:type="dxa"/>
            <w:bottom w:w="0" w:type="dxa"/>
          </w:tblCellMar>
        </w:tblPrEx>
        <w:tc>
          <w:tcPr>
            <w:tcW w:w="9747" w:type="dxa"/>
            <w:gridSpan w:val="2"/>
          </w:tcPr>
          <w:p w:rsidR="00093C85" w:rsidRPr="005B2844" w:rsidRDefault="00093C85" w:rsidP="0072602F">
            <w:pPr>
              <w:rPr>
                <w:szCs w:val="22"/>
              </w:rPr>
            </w:pPr>
            <w:r w:rsidRPr="005B2844">
              <w:rPr>
                <w:szCs w:val="22"/>
              </w:rPr>
              <w:t>Patologie endocrine</w:t>
            </w:r>
          </w:p>
        </w:tc>
      </w:tr>
      <w:tr w:rsidR="00093C85" w:rsidRPr="005B2844">
        <w:tblPrEx>
          <w:tblCellMar>
            <w:top w:w="0" w:type="dxa"/>
            <w:bottom w:w="0" w:type="dxa"/>
          </w:tblCellMar>
        </w:tblPrEx>
        <w:tc>
          <w:tcPr>
            <w:tcW w:w="5210" w:type="dxa"/>
          </w:tcPr>
          <w:p w:rsidR="00093C85" w:rsidRPr="005B2844" w:rsidRDefault="00093C85" w:rsidP="0072602F">
            <w:pPr>
              <w:rPr>
                <w:szCs w:val="22"/>
              </w:rPr>
            </w:pPr>
            <w:r w:rsidRPr="005B2844">
              <w:rPr>
                <w:szCs w:val="22"/>
              </w:rPr>
              <w:tab/>
              <w:t>Non nota:</w:t>
            </w:r>
          </w:p>
        </w:tc>
        <w:tc>
          <w:tcPr>
            <w:tcW w:w="4537" w:type="dxa"/>
          </w:tcPr>
          <w:p w:rsidR="00093C85" w:rsidRPr="005B2844" w:rsidRDefault="00093C85" w:rsidP="0072602F">
            <w:pPr>
              <w:rPr>
                <w:szCs w:val="22"/>
              </w:rPr>
            </w:pPr>
            <w:r w:rsidRPr="005B2844">
              <w:rPr>
                <w:szCs w:val="22"/>
              </w:rPr>
              <w:t>Diabete mellito non adeguatamente controllato</w:t>
            </w:r>
          </w:p>
          <w:p w:rsidR="00093C85" w:rsidRPr="005B2844" w:rsidRDefault="00093C85" w:rsidP="0072602F">
            <w:pPr>
              <w:rPr>
                <w:szCs w:val="22"/>
              </w:rPr>
            </w:pPr>
          </w:p>
        </w:tc>
      </w:tr>
      <w:tr w:rsidR="00093C85" w:rsidRPr="005B2844">
        <w:tblPrEx>
          <w:tblCellMar>
            <w:top w:w="0" w:type="dxa"/>
            <w:bottom w:w="0" w:type="dxa"/>
          </w:tblCellMar>
        </w:tblPrEx>
        <w:tc>
          <w:tcPr>
            <w:tcW w:w="9747" w:type="dxa"/>
            <w:gridSpan w:val="2"/>
          </w:tcPr>
          <w:p w:rsidR="00093C85" w:rsidRPr="005B2844" w:rsidRDefault="00093C85" w:rsidP="00093C85">
            <w:pPr>
              <w:rPr>
                <w:szCs w:val="22"/>
              </w:rPr>
            </w:pPr>
            <w:r w:rsidRPr="005B2844">
              <w:rPr>
                <w:szCs w:val="22"/>
              </w:rPr>
              <w:t>Disturbi</w:t>
            </w:r>
            <w:r w:rsidRPr="005B2844">
              <w:rPr>
                <w:noProof/>
                <w:szCs w:val="22"/>
              </w:rPr>
              <w:t xml:space="preserve"> del metabolismo e della nutrizione</w:t>
            </w:r>
          </w:p>
        </w:tc>
      </w:tr>
      <w:tr w:rsidR="00CD2F8B" w:rsidRPr="005B2844" w:rsidTr="00A86331">
        <w:tblPrEx>
          <w:tblCellMar>
            <w:top w:w="0" w:type="dxa"/>
            <w:bottom w:w="0" w:type="dxa"/>
          </w:tblCellMar>
        </w:tblPrEx>
        <w:tc>
          <w:tcPr>
            <w:tcW w:w="5210" w:type="dxa"/>
          </w:tcPr>
          <w:p w:rsidR="00CD2F8B" w:rsidRPr="005B2844" w:rsidRDefault="00CD2F8B" w:rsidP="00A86331">
            <w:pPr>
              <w:rPr>
                <w:noProof/>
                <w:szCs w:val="22"/>
              </w:rPr>
            </w:pPr>
            <w:r w:rsidRPr="005B2844">
              <w:rPr>
                <w:szCs w:val="22"/>
              </w:rPr>
              <w:tab/>
              <w:t>Comune:</w:t>
            </w:r>
          </w:p>
        </w:tc>
        <w:tc>
          <w:tcPr>
            <w:tcW w:w="4537" w:type="dxa"/>
          </w:tcPr>
          <w:p w:rsidR="00CD2F8B" w:rsidRPr="005B2844" w:rsidRDefault="00CD2F8B" w:rsidP="00A86331">
            <w:pPr>
              <w:rPr>
                <w:szCs w:val="22"/>
              </w:rPr>
            </w:pPr>
            <w:proofErr w:type="spellStart"/>
            <w:r w:rsidRPr="005B2844">
              <w:rPr>
                <w:szCs w:val="22"/>
              </w:rPr>
              <w:t>Ipomagnesemia</w:t>
            </w:r>
            <w:proofErr w:type="spellEnd"/>
          </w:p>
        </w:tc>
      </w:tr>
      <w:tr w:rsidR="00CD2F8B" w:rsidRPr="005B2844" w:rsidTr="00A86331">
        <w:tblPrEx>
          <w:tblCellMar>
            <w:top w:w="0" w:type="dxa"/>
            <w:bottom w:w="0" w:type="dxa"/>
          </w:tblCellMar>
        </w:tblPrEx>
        <w:tc>
          <w:tcPr>
            <w:tcW w:w="5210" w:type="dxa"/>
          </w:tcPr>
          <w:p w:rsidR="00CD2F8B" w:rsidRPr="005B2844" w:rsidRDefault="00CD2F8B" w:rsidP="00A86331">
            <w:pPr>
              <w:rPr>
                <w:noProof/>
                <w:szCs w:val="22"/>
              </w:rPr>
            </w:pPr>
            <w:r w:rsidRPr="005B2844">
              <w:rPr>
                <w:szCs w:val="22"/>
              </w:rPr>
              <w:tab/>
              <w:t>Raro:</w:t>
            </w:r>
          </w:p>
        </w:tc>
        <w:tc>
          <w:tcPr>
            <w:tcW w:w="4537" w:type="dxa"/>
          </w:tcPr>
          <w:p w:rsidR="00CD2F8B" w:rsidRPr="005B2844" w:rsidRDefault="00CD2F8B" w:rsidP="00A86331">
            <w:pPr>
              <w:rPr>
                <w:szCs w:val="22"/>
              </w:rPr>
            </w:pPr>
            <w:r w:rsidRPr="005B2844">
              <w:rPr>
                <w:szCs w:val="22"/>
              </w:rPr>
              <w:t>Ipercalcemia</w:t>
            </w:r>
          </w:p>
        </w:tc>
      </w:tr>
      <w:tr w:rsidR="00CD2F8B" w:rsidRPr="005B2844" w:rsidTr="00A86331">
        <w:tblPrEx>
          <w:tblCellMar>
            <w:top w:w="0" w:type="dxa"/>
            <w:bottom w:w="0" w:type="dxa"/>
          </w:tblCellMar>
        </w:tblPrEx>
        <w:tc>
          <w:tcPr>
            <w:tcW w:w="5210" w:type="dxa"/>
          </w:tcPr>
          <w:p w:rsidR="00CD2F8B" w:rsidRPr="005B2844" w:rsidRDefault="00CD2F8B" w:rsidP="00A86331">
            <w:pPr>
              <w:rPr>
                <w:noProof/>
                <w:szCs w:val="22"/>
              </w:rPr>
            </w:pPr>
            <w:r w:rsidRPr="005B2844">
              <w:rPr>
                <w:szCs w:val="22"/>
              </w:rPr>
              <w:tab/>
              <w:t>Molto raro:</w:t>
            </w:r>
          </w:p>
        </w:tc>
        <w:tc>
          <w:tcPr>
            <w:tcW w:w="4537" w:type="dxa"/>
          </w:tcPr>
          <w:p w:rsidR="00CD2F8B" w:rsidRPr="005B2844" w:rsidRDefault="00CD2F8B" w:rsidP="00A86331">
            <w:pPr>
              <w:rPr>
                <w:szCs w:val="22"/>
              </w:rPr>
            </w:pPr>
            <w:r w:rsidRPr="005B2844">
              <w:rPr>
                <w:szCs w:val="22"/>
              </w:rPr>
              <w:t xml:space="preserve">Alcalosi </w:t>
            </w:r>
            <w:proofErr w:type="spellStart"/>
            <w:r w:rsidRPr="005B2844">
              <w:rPr>
                <w:szCs w:val="22"/>
              </w:rPr>
              <w:t>ipocloremica</w:t>
            </w:r>
            <w:proofErr w:type="spellEnd"/>
          </w:p>
        </w:tc>
      </w:tr>
      <w:tr w:rsidR="00093C85" w:rsidRPr="005B2844">
        <w:tblPrEx>
          <w:tblCellMar>
            <w:top w:w="0" w:type="dxa"/>
            <w:bottom w:w="0" w:type="dxa"/>
          </w:tblCellMar>
        </w:tblPrEx>
        <w:tc>
          <w:tcPr>
            <w:tcW w:w="5210" w:type="dxa"/>
          </w:tcPr>
          <w:p w:rsidR="00093C85" w:rsidRPr="005B2844" w:rsidRDefault="00093C85" w:rsidP="0072602F">
            <w:pPr>
              <w:rPr>
                <w:szCs w:val="22"/>
              </w:rPr>
            </w:pPr>
            <w:r w:rsidRPr="005B2844">
              <w:rPr>
                <w:szCs w:val="22"/>
              </w:rPr>
              <w:tab/>
              <w:t>Non nota:</w:t>
            </w:r>
          </w:p>
        </w:tc>
        <w:tc>
          <w:tcPr>
            <w:tcW w:w="4537" w:type="dxa"/>
          </w:tcPr>
          <w:p w:rsidR="00093C85" w:rsidRPr="005B2844" w:rsidRDefault="00093C85" w:rsidP="00093C85">
            <w:pPr>
              <w:rPr>
                <w:szCs w:val="22"/>
              </w:rPr>
            </w:pPr>
            <w:r w:rsidRPr="005B2844">
              <w:rPr>
                <w:szCs w:val="22"/>
              </w:rPr>
              <w:t>Anoressia, appetito</w:t>
            </w:r>
            <w:r w:rsidR="00005748" w:rsidRPr="005B2844">
              <w:rPr>
                <w:szCs w:val="22"/>
              </w:rPr>
              <w:t xml:space="preserve"> ridotto</w:t>
            </w:r>
            <w:r w:rsidRPr="005B2844">
              <w:rPr>
                <w:szCs w:val="22"/>
              </w:rPr>
              <w:t>, squilibrio elettrolitico, ipercolesterolemia, iperglicemia, ipovolemia</w:t>
            </w:r>
          </w:p>
          <w:p w:rsidR="00093C85" w:rsidRPr="005B2844" w:rsidRDefault="00093C85" w:rsidP="0072602F">
            <w:pPr>
              <w:rPr>
                <w:szCs w:val="22"/>
              </w:rPr>
            </w:pPr>
          </w:p>
        </w:tc>
      </w:tr>
      <w:tr w:rsidR="00606E31" w:rsidRPr="005B2844">
        <w:tblPrEx>
          <w:tblCellMar>
            <w:top w:w="0" w:type="dxa"/>
            <w:bottom w:w="0" w:type="dxa"/>
          </w:tblCellMar>
        </w:tblPrEx>
        <w:tc>
          <w:tcPr>
            <w:tcW w:w="9747" w:type="dxa"/>
            <w:gridSpan w:val="2"/>
          </w:tcPr>
          <w:p w:rsidR="00606E31" w:rsidRPr="005B2844" w:rsidRDefault="00606E31" w:rsidP="00606E31">
            <w:pPr>
              <w:rPr>
                <w:szCs w:val="22"/>
              </w:rPr>
            </w:pPr>
            <w:r w:rsidRPr="005B2844">
              <w:rPr>
                <w:noProof/>
                <w:szCs w:val="22"/>
              </w:rPr>
              <w:t>Disturbi psichiatrici</w:t>
            </w:r>
          </w:p>
        </w:tc>
      </w:tr>
      <w:tr w:rsidR="00606E31" w:rsidRPr="005B2844">
        <w:tblPrEx>
          <w:tblCellMar>
            <w:top w:w="0" w:type="dxa"/>
            <w:bottom w:w="0" w:type="dxa"/>
          </w:tblCellMar>
        </w:tblPrEx>
        <w:tc>
          <w:tcPr>
            <w:tcW w:w="5210" w:type="dxa"/>
          </w:tcPr>
          <w:p w:rsidR="00606E31" w:rsidRPr="005B2844" w:rsidRDefault="00606E31" w:rsidP="0072602F">
            <w:pPr>
              <w:rPr>
                <w:noProof/>
                <w:szCs w:val="22"/>
              </w:rPr>
            </w:pPr>
            <w:r w:rsidRPr="005B2844">
              <w:rPr>
                <w:szCs w:val="22"/>
              </w:rPr>
              <w:tab/>
              <w:t>Non nota:</w:t>
            </w:r>
          </w:p>
        </w:tc>
        <w:tc>
          <w:tcPr>
            <w:tcW w:w="4537" w:type="dxa"/>
          </w:tcPr>
          <w:p w:rsidR="00606E31" w:rsidRPr="005B2844" w:rsidRDefault="00606E31" w:rsidP="00606E31">
            <w:pPr>
              <w:rPr>
                <w:szCs w:val="22"/>
              </w:rPr>
            </w:pPr>
            <w:r w:rsidRPr="005B2844">
              <w:rPr>
                <w:szCs w:val="22"/>
              </w:rPr>
              <w:t>Agitazione</w:t>
            </w:r>
          </w:p>
          <w:p w:rsidR="00606E31" w:rsidRPr="005B2844" w:rsidRDefault="00606E31" w:rsidP="0072602F">
            <w:pPr>
              <w:rPr>
                <w:szCs w:val="22"/>
              </w:rPr>
            </w:pPr>
          </w:p>
        </w:tc>
      </w:tr>
      <w:tr w:rsidR="00606E31" w:rsidRPr="005B2844">
        <w:tblPrEx>
          <w:tblCellMar>
            <w:top w:w="0" w:type="dxa"/>
            <w:bottom w:w="0" w:type="dxa"/>
          </w:tblCellMar>
        </w:tblPrEx>
        <w:tc>
          <w:tcPr>
            <w:tcW w:w="9747" w:type="dxa"/>
            <w:gridSpan w:val="2"/>
          </w:tcPr>
          <w:p w:rsidR="00606E31" w:rsidRPr="005B2844" w:rsidRDefault="00606E31" w:rsidP="00606E31">
            <w:pPr>
              <w:rPr>
                <w:szCs w:val="22"/>
              </w:rPr>
            </w:pPr>
            <w:r w:rsidRPr="005B2844">
              <w:rPr>
                <w:noProof/>
                <w:szCs w:val="22"/>
              </w:rPr>
              <w:t>Patologie del sistema nervoso</w:t>
            </w:r>
          </w:p>
        </w:tc>
      </w:tr>
      <w:tr w:rsidR="00CD2F8B" w:rsidRPr="005B2844" w:rsidTr="00A86331">
        <w:tblPrEx>
          <w:tblCellMar>
            <w:top w:w="0" w:type="dxa"/>
            <w:bottom w:w="0" w:type="dxa"/>
          </w:tblCellMar>
        </w:tblPrEx>
        <w:tc>
          <w:tcPr>
            <w:tcW w:w="5210" w:type="dxa"/>
          </w:tcPr>
          <w:p w:rsidR="00CD2F8B" w:rsidRPr="005B2844" w:rsidRDefault="00CD2F8B" w:rsidP="00A86331">
            <w:pPr>
              <w:rPr>
                <w:szCs w:val="22"/>
              </w:rPr>
            </w:pPr>
            <w:r w:rsidRPr="005B2844">
              <w:rPr>
                <w:szCs w:val="22"/>
              </w:rPr>
              <w:tab/>
              <w:t>Raro:</w:t>
            </w:r>
          </w:p>
        </w:tc>
        <w:tc>
          <w:tcPr>
            <w:tcW w:w="4537" w:type="dxa"/>
          </w:tcPr>
          <w:p w:rsidR="00CD2F8B" w:rsidRPr="005B2844" w:rsidRDefault="00CD2F8B" w:rsidP="00A86331">
            <w:pPr>
              <w:rPr>
                <w:szCs w:val="22"/>
              </w:rPr>
            </w:pPr>
            <w:r w:rsidRPr="005B2844">
              <w:rPr>
                <w:szCs w:val="22"/>
              </w:rPr>
              <w:t>Cefalea</w:t>
            </w:r>
          </w:p>
        </w:tc>
      </w:tr>
      <w:tr w:rsidR="00606E31" w:rsidRPr="005B2844">
        <w:tblPrEx>
          <w:tblCellMar>
            <w:top w:w="0" w:type="dxa"/>
            <w:bottom w:w="0" w:type="dxa"/>
          </w:tblCellMar>
        </w:tblPrEx>
        <w:tc>
          <w:tcPr>
            <w:tcW w:w="5210" w:type="dxa"/>
          </w:tcPr>
          <w:p w:rsidR="00606E31" w:rsidRPr="005B2844" w:rsidRDefault="00606E31" w:rsidP="0072602F">
            <w:pPr>
              <w:rPr>
                <w:noProof/>
                <w:szCs w:val="22"/>
              </w:rPr>
            </w:pPr>
            <w:r w:rsidRPr="005B2844">
              <w:rPr>
                <w:noProof/>
                <w:szCs w:val="22"/>
              </w:rPr>
              <w:tab/>
              <w:t>Non nota:</w:t>
            </w:r>
          </w:p>
        </w:tc>
        <w:tc>
          <w:tcPr>
            <w:tcW w:w="4537" w:type="dxa"/>
          </w:tcPr>
          <w:p w:rsidR="00606E31" w:rsidRPr="005B2844" w:rsidRDefault="00CD2F8B" w:rsidP="00606E31">
            <w:pPr>
              <w:rPr>
                <w:szCs w:val="22"/>
              </w:rPr>
            </w:pPr>
            <w:r w:rsidRPr="005B2844">
              <w:rPr>
                <w:szCs w:val="22"/>
              </w:rPr>
              <w:t>S</w:t>
            </w:r>
            <w:r w:rsidR="00606E31" w:rsidRPr="005B2844">
              <w:rPr>
                <w:szCs w:val="22"/>
              </w:rPr>
              <w:t>tordimento</w:t>
            </w:r>
          </w:p>
          <w:p w:rsidR="00606E31" w:rsidRPr="005B2844" w:rsidRDefault="00606E31" w:rsidP="0072602F">
            <w:pPr>
              <w:rPr>
                <w:szCs w:val="22"/>
              </w:rPr>
            </w:pPr>
          </w:p>
        </w:tc>
      </w:tr>
      <w:tr w:rsidR="00F40AAF" w:rsidRPr="005B2844">
        <w:tblPrEx>
          <w:tblCellMar>
            <w:top w:w="0" w:type="dxa"/>
            <w:bottom w:w="0" w:type="dxa"/>
          </w:tblCellMar>
        </w:tblPrEx>
        <w:tc>
          <w:tcPr>
            <w:tcW w:w="9747" w:type="dxa"/>
            <w:gridSpan w:val="2"/>
          </w:tcPr>
          <w:p w:rsidR="00F40AAF" w:rsidRPr="005B2844" w:rsidRDefault="00F40AAF" w:rsidP="0072602F">
            <w:pPr>
              <w:rPr>
                <w:szCs w:val="22"/>
              </w:rPr>
            </w:pPr>
            <w:r w:rsidRPr="005B2844">
              <w:rPr>
                <w:noProof/>
                <w:szCs w:val="22"/>
              </w:rPr>
              <w:t>Patologie dell’occhio</w:t>
            </w:r>
          </w:p>
        </w:tc>
      </w:tr>
      <w:tr w:rsidR="00F40AAF" w:rsidRPr="005B2844">
        <w:tblPrEx>
          <w:tblCellMar>
            <w:top w:w="0" w:type="dxa"/>
            <w:bottom w:w="0" w:type="dxa"/>
          </w:tblCellMar>
        </w:tblPrEx>
        <w:tc>
          <w:tcPr>
            <w:tcW w:w="5210" w:type="dxa"/>
          </w:tcPr>
          <w:p w:rsidR="00F40AAF" w:rsidRPr="005B2844" w:rsidRDefault="00F40AAF" w:rsidP="0072602F">
            <w:pPr>
              <w:rPr>
                <w:noProof/>
                <w:szCs w:val="22"/>
              </w:rPr>
            </w:pPr>
            <w:r w:rsidRPr="005B2844">
              <w:rPr>
                <w:noProof/>
                <w:szCs w:val="22"/>
              </w:rPr>
              <w:tab/>
              <w:t>Non nota:</w:t>
            </w:r>
          </w:p>
        </w:tc>
        <w:tc>
          <w:tcPr>
            <w:tcW w:w="4537" w:type="dxa"/>
          </w:tcPr>
          <w:p w:rsidR="00F40AAF" w:rsidRPr="005B2844" w:rsidRDefault="00F40AAF" w:rsidP="00F40AAF">
            <w:pPr>
              <w:rPr>
                <w:szCs w:val="22"/>
              </w:rPr>
            </w:pPr>
            <w:r w:rsidRPr="005B2844">
              <w:rPr>
                <w:szCs w:val="22"/>
              </w:rPr>
              <w:t>Xantopsia</w:t>
            </w:r>
            <w:r w:rsidR="00277E04" w:rsidRPr="005B2844">
              <w:rPr>
                <w:szCs w:val="22"/>
              </w:rPr>
              <w:t xml:space="preserve">, </w:t>
            </w:r>
            <w:r w:rsidR="004A700A" w:rsidRPr="005B2844">
              <w:rPr>
                <w:szCs w:val="22"/>
              </w:rPr>
              <w:t xml:space="preserve">miopia acuta, </w:t>
            </w:r>
            <w:r w:rsidR="00277E04" w:rsidRPr="005B2844">
              <w:rPr>
                <w:szCs w:val="22"/>
              </w:rPr>
              <w:t xml:space="preserve">glaucoma </w:t>
            </w:r>
            <w:r w:rsidR="003B1581" w:rsidRPr="005B2844">
              <w:rPr>
                <w:szCs w:val="22"/>
              </w:rPr>
              <w:t xml:space="preserve">acuto </w:t>
            </w:r>
            <w:r w:rsidR="00277E04" w:rsidRPr="005B2844">
              <w:rPr>
                <w:szCs w:val="22"/>
              </w:rPr>
              <w:t>ad angolo chiuso</w:t>
            </w:r>
            <w:r w:rsidR="009A1E31">
              <w:rPr>
                <w:szCs w:val="22"/>
              </w:rPr>
              <w:t xml:space="preserve">, effusione </w:t>
            </w:r>
            <w:proofErr w:type="spellStart"/>
            <w:r w:rsidR="009A1E31">
              <w:rPr>
                <w:szCs w:val="22"/>
              </w:rPr>
              <w:t>coroidale</w:t>
            </w:r>
            <w:proofErr w:type="spellEnd"/>
          </w:p>
          <w:p w:rsidR="00F40AAF" w:rsidRPr="005B2844" w:rsidRDefault="00F40AAF" w:rsidP="00F40AAF">
            <w:pPr>
              <w:rPr>
                <w:szCs w:val="22"/>
              </w:rPr>
            </w:pPr>
          </w:p>
        </w:tc>
      </w:tr>
      <w:tr w:rsidR="00F40AAF" w:rsidRPr="005B2844">
        <w:tblPrEx>
          <w:tblCellMar>
            <w:top w:w="0" w:type="dxa"/>
            <w:bottom w:w="0" w:type="dxa"/>
          </w:tblCellMar>
        </w:tblPrEx>
        <w:tc>
          <w:tcPr>
            <w:tcW w:w="9747" w:type="dxa"/>
            <w:gridSpan w:val="2"/>
          </w:tcPr>
          <w:p w:rsidR="00F40AAF" w:rsidRPr="005B2844" w:rsidRDefault="00F40AAF" w:rsidP="000709BC">
            <w:pPr>
              <w:keepNext/>
              <w:rPr>
                <w:szCs w:val="22"/>
              </w:rPr>
            </w:pPr>
            <w:r w:rsidRPr="005B2844">
              <w:rPr>
                <w:noProof/>
                <w:szCs w:val="22"/>
              </w:rPr>
              <w:t>Patologie vascolari</w:t>
            </w:r>
          </w:p>
        </w:tc>
      </w:tr>
      <w:tr w:rsidR="00F40AAF" w:rsidRPr="005B2844">
        <w:tblPrEx>
          <w:tblCellMar>
            <w:top w:w="0" w:type="dxa"/>
            <w:bottom w:w="0" w:type="dxa"/>
          </w:tblCellMar>
        </w:tblPrEx>
        <w:tc>
          <w:tcPr>
            <w:tcW w:w="5210" w:type="dxa"/>
          </w:tcPr>
          <w:p w:rsidR="00F40AAF" w:rsidRPr="005B2844" w:rsidRDefault="00F40AAF" w:rsidP="0072602F">
            <w:pPr>
              <w:rPr>
                <w:noProof/>
                <w:szCs w:val="22"/>
              </w:rPr>
            </w:pPr>
            <w:r w:rsidRPr="005B2844">
              <w:rPr>
                <w:noProof/>
                <w:szCs w:val="22"/>
              </w:rPr>
              <w:tab/>
              <w:t>Non nota:</w:t>
            </w:r>
          </w:p>
        </w:tc>
        <w:tc>
          <w:tcPr>
            <w:tcW w:w="4537" w:type="dxa"/>
          </w:tcPr>
          <w:p w:rsidR="00F40AAF" w:rsidRPr="005B2844" w:rsidRDefault="00F40AAF" w:rsidP="00F40AAF">
            <w:pPr>
              <w:rPr>
                <w:szCs w:val="22"/>
              </w:rPr>
            </w:pPr>
            <w:r w:rsidRPr="005B2844">
              <w:rPr>
                <w:szCs w:val="22"/>
              </w:rPr>
              <w:t>Vasculite necrotizzante</w:t>
            </w:r>
          </w:p>
          <w:p w:rsidR="00F40AAF" w:rsidRPr="005B2844" w:rsidRDefault="00F40AAF" w:rsidP="0072602F">
            <w:pPr>
              <w:rPr>
                <w:szCs w:val="22"/>
              </w:rPr>
            </w:pPr>
          </w:p>
        </w:tc>
      </w:tr>
      <w:tr w:rsidR="00F40AAF" w:rsidRPr="005B2844">
        <w:tblPrEx>
          <w:tblCellMar>
            <w:top w:w="0" w:type="dxa"/>
            <w:bottom w:w="0" w:type="dxa"/>
          </w:tblCellMar>
        </w:tblPrEx>
        <w:tc>
          <w:tcPr>
            <w:tcW w:w="9747" w:type="dxa"/>
            <w:gridSpan w:val="2"/>
          </w:tcPr>
          <w:p w:rsidR="00F40AAF" w:rsidRPr="005B2844" w:rsidRDefault="00F40AAF" w:rsidP="000709BC">
            <w:pPr>
              <w:keepNext/>
              <w:rPr>
                <w:szCs w:val="22"/>
              </w:rPr>
            </w:pPr>
            <w:r w:rsidRPr="005B2844">
              <w:rPr>
                <w:noProof/>
                <w:szCs w:val="22"/>
              </w:rPr>
              <w:t>Patologie gastrointestinali</w:t>
            </w:r>
          </w:p>
        </w:tc>
      </w:tr>
      <w:tr w:rsidR="00CD2F8B" w:rsidRPr="005B2844" w:rsidTr="00A86331">
        <w:tblPrEx>
          <w:tblCellMar>
            <w:top w:w="0" w:type="dxa"/>
            <w:bottom w:w="0" w:type="dxa"/>
          </w:tblCellMar>
        </w:tblPrEx>
        <w:tc>
          <w:tcPr>
            <w:tcW w:w="5210" w:type="dxa"/>
          </w:tcPr>
          <w:p w:rsidR="00CD2F8B" w:rsidRPr="005B2844" w:rsidRDefault="00CD2F8B" w:rsidP="00A86331">
            <w:pPr>
              <w:rPr>
                <w:noProof/>
                <w:szCs w:val="22"/>
              </w:rPr>
            </w:pPr>
            <w:r w:rsidRPr="005B2844">
              <w:rPr>
                <w:szCs w:val="22"/>
              </w:rPr>
              <w:tab/>
              <w:t>Comune:</w:t>
            </w:r>
          </w:p>
        </w:tc>
        <w:tc>
          <w:tcPr>
            <w:tcW w:w="4537" w:type="dxa"/>
          </w:tcPr>
          <w:p w:rsidR="00CD2F8B" w:rsidRPr="005B2844" w:rsidRDefault="00CD2F8B" w:rsidP="00A86331">
            <w:pPr>
              <w:rPr>
                <w:szCs w:val="22"/>
              </w:rPr>
            </w:pPr>
            <w:r w:rsidRPr="005B2844">
              <w:rPr>
                <w:szCs w:val="22"/>
              </w:rPr>
              <w:t>Nausea</w:t>
            </w:r>
          </w:p>
        </w:tc>
      </w:tr>
      <w:tr w:rsidR="00F40AAF" w:rsidRPr="005B2844">
        <w:tblPrEx>
          <w:tblCellMar>
            <w:top w:w="0" w:type="dxa"/>
            <w:bottom w:w="0" w:type="dxa"/>
          </w:tblCellMar>
        </w:tblPrEx>
        <w:tc>
          <w:tcPr>
            <w:tcW w:w="5210" w:type="dxa"/>
          </w:tcPr>
          <w:p w:rsidR="00F40AAF" w:rsidRPr="005B2844" w:rsidRDefault="00F40AAF" w:rsidP="0072602F">
            <w:pPr>
              <w:rPr>
                <w:noProof/>
                <w:szCs w:val="22"/>
              </w:rPr>
            </w:pPr>
            <w:r w:rsidRPr="005B2844">
              <w:rPr>
                <w:noProof/>
                <w:szCs w:val="22"/>
              </w:rPr>
              <w:tab/>
              <w:t>Non nota:</w:t>
            </w:r>
          </w:p>
        </w:tc>
        <w:tc>
          <w:tcPr>
            <w:tcW w:w="4537" w:type="dxa"/>
          </w:tcPr>
          <w:p w:rsidR="00F40AAF" w:rsidRPr="005B2844" w:rsidRDefault="00CD2F8B" w:rsidP="00F40AAF">
            <w:pPr>
              <w:rPr>
                <w:szCs w:val="22"/>
              </w:rPr>
            </w:pPr>
            <w:r w:rsidRPr="005B2844">
              <w:rPr>
                <w:szCs w:val="22"/>
              </w:rPr>
              <w:t>P</w:t>
            </w:r>
            <w:r w:rsidR="00F40AAF" w:rsidRPr="005B2844">
              <w:rPr>
                <w:szCs w:val="22"/>
              </w:rPr>
              <w:t>ancreatite, disturbo gastrico</w:t>
            </w:r>
          </w:p>
          <w:p w:rsidR="00F40AAF" w:rsidRPr="005B2844" w:rsidRDefault="00F40AAF" w:rsidP="0072602F">
            <w:pPr>
              <w:rPr>
                <w:szCs w:val="22"/>
              </w:rPr>
            </w:pPr>
          </w:p>
        </w:tc>
      </w:tr>
      <w:tr w:rsidR="008F3842" w:rsidRPr="005B2844">
        <w:tblPrEx>
          <w:tblCellMar>
            <w:top w:w="0" w:type="dxa"/>
            <w:bottom w:w="0" w:type="dxa"/>
          </w:tblCellMar>
        </w:tblPrEx>
        <w:tc>
          <w:tcPr>
            <w:tcW w:w="9747" w:type="dxa"/>
            <w:gridSpan w:val="2"/>
          </w:tcPr>
          <w:p w:rsidR="008F3842" w:rsidRPr="005B2844" w:rsidRDefault="008F3842" w:rsidP="0072602F">
            <w:pPr>
              <w:rPr>
                <w:szCs w:val="22"/>
              </w:rPr>
            </w:pPr>
            <w:r w:rsidRPr="005B2844">
              <w:rPr>
                <w:noProof/>
                <w:szCs w:val="22"/>
              </w:rPr>
              <w:t>Patologie epatobiliari</w:t>
            </w:r>
          </w:p>
        </w:tc>
      </w:tr>
      <w:tr w:rsidR="008F3842" w:rsidRPr="005B2844">
        <w:tblPrEx>
          <w:tblCellMar>
            <w:top w:w="0" w:type="dxa"/>
            <w:bottom w:w="0" w:type="dxa"/>
          </w:tblCellMar>
        </w:tblPrEx>
        <w:tc>
          <w:tcPr>
            <w:tcW w:w="5210" w:type="dxa"/>
          </w:tcPr>
          <w:p w:rsidR="008F3842" w:rsidRPr="005B2844" w:rsidRDefault="008F3842" w:rsidP="0072602F">
            <w:pPr>
              <w:rPr>
                <w:noProof/>
                <w:szCs w:val="22"/>
              </w:rPr>
            </w:pPr>
            <w:r w:rsidRPr="005B2844">
              <w:rPr>
                <w:noProof/>
                <w:szCs w:val="22"/>
              </w:rPr>
              <w:tab/>
              <w:t>Non nota:</w:t>
            </w:r>
          </w:p>
        </w:tc>
        <w:tc>
          <w:tcPr>
            <w:tcW w:w="4537" w:type="dxa"/>
          </w:tcPr>
          <w:p w:rsidR="008F3842" w:rsidRPr="005B2844" w:rsidRDefault="008F3842" w:rsidP="008F3842">
            <w:pPr>
              <w:rPr>
                <w:szCs w:val="22"/>
              </w:rPr>
            </w:pPr>
            <w:r w:rsidRPr="005B2844">
              <w:rPr>
                <w:szCs w:val="22"/>
              </w:rPr>
              <w:t>Ittero epatocellulare</w:t>
            </w:r>
            <w:r w:rsidR="002C3DA1" w:rsidRPr="005B2844">
              <w:rPr>
                <w:szCs w:val="22"/>
              </w:rPr>
              <w:t>,</w:t>
            </w:r>
            <w:r w:rsidRPr="005B2844">
              <w:rPr>
                <w:szCs w:val="22"/>
              </w:rPr>
              <w:t xml:space="preserve"> </w:t>
            </w:r>
            <w:r w:rsidR="002C3DA1" w:rsidRPr="005B2844">
              <w:rPr>
                <w:szCs w:val="22"/>
              </w:rPr>
              <w:t>ittero</w:t>
            </w:r>
            <w:r w:rsidRPr="005B2844">
              <w:rPr>
                <w:szCs w:val="22"/>
              </w:rPr>
              <w:t xml:space="preserve"> colestatico</w:t>
            </w:r>
          </w:p>
          <w:p w:rsidR="002C3DA1" w:rsidRPr="005B2844" w:rsidRDefault="002C3DA1" w:rsidP="008F3842">
            <w:pPr>
              <w:rPr>
                <w:szCs w:val="22"/>
              </w:rPr>
            </w:pPr>
          </w:p>
        </w:tc>
      </w:tr>
      <w:tr w:rsidR="00DB38A5" w:rsidRPr="005B2844">
        <w:tblPrEx>
          <w:tblCellMar>
            <w:top w:w="0" w:type="dxa"/>
            <w:bottom w:w="0" w:type="dxa"/>
          </w:tblCellMar>
        </w:tblPrEx>
        <w:tc>
          <w:tcPr>
            <w:tcW w:w="9747" w:type="dxa"/>
            <w:gridSpan w:val="2"/>
          </w:tcPr>
          <w:p w:rsidR="00DB38A5" w:rsidRPr="005B2844" w:rsidRDefault="00DB38A5" w:rsidP="00DB38A5">
            <w:pPr>
              <w:rPr>
                <w:szCs w:val="22"/>
              </w:rPr>
            </w:pPr>
            <w:r w:rsidRPr="005B2844">
              <w:rPr>
                <w:noProof/>
                <w:szCs w:val="22"/>
              </w:rPr>
              <w:t xml:space="preserve">Patologie </w:t>
            </w:r>
            <w:r w:rsidRPr="005B2844">
              <w:rPr>
                <w:szCs w:val="22"/>
              </w:rPr>
              <w:t>della cute e del tessuto sottocutaneo</w:t>
            </w:r>
          </w:p>
        </w:tc>
      </w:tr>
      <w:tr w:rsidR="002C3DA1" w:rsidRPr="005B2844">
        <w:tblPrEx>
          <w:tblCellMar>
            <w:top w:w="0" w:type="dxa"/>
            <w:bottom w:w="0" w:type="dxa"/>
          </w:tblCellMar>
        </w:tblPrEx>
        <w:tc>
          <w:tcPr>
            <w:tcW w:w="5210" w:type="dxa"/>
          </w:tcPr>
          <w:p w:rsidR="002C3DA1" w:rsidRPr="005B2844" w:rsidRDefault="00DB38A5" w:rsidP="0072602F">
            <w:pPr>
              <w:rPr>
                <w:noProof/>
                <w:szCs w:val="22"/>
              </w:rPr>
            </w:pPr>
            <w:r w:rsidRPr="005B2844">
              <w:rPr>
                <w:noProof/>
                <w:szCs w:val="22"/>
              </w:rPr>
              <w:tab/>
              <w:t>Non nota:</w:t>
            </w:r>
          </w:p>
        </w:tc>
        <w:tc>
          <w:tcPr>
            <w:tcW w:w="4537" w:type="dxa"/>
          </w:tcPr>
          <w:p w:rsidR="00DB38A5" w:rsidRPr="005B2844" w:rsidRDefault="00DB38A5" w:rsidP="00DB38A5">
            <w:pPr>
              <w:rPr>
                <w:szCs w:val="22"/>
              </w:rPr>
            </w:pPr>
            <w:r w:rsidRPr="005B2844">
              <w:rPr>
                <w:szCs w:val="22"/>
              </w:rPr>
              <w:t xml:space="preserve">Sindrome simil </w:t>
            </w:r>
            <w:r w:rsidR="000216D5" w:rsidRPr="005B2844">
              <w:rPr>
                <w:szCs w:val="22"/>
              </w:rPr>
              <w:t>l</w:t>
            </w:r>
            <w:r w:rsidRPr="005B2844">
              <w:rPr>
                <w:szCs w:val="22"/>
              </w:rPr>
              <w:t xml:space="preserve">upus eritematoso, reazioni di fotosensibilità, vasculite cutanea, </w:t>
            </w:r>
            <w:proofErr w:type="spellStart"/>
            <w:r w:rsidRPr="005B2844">
              <w:rPr>
                <w:szCs w:val="22"/>
              </w:rPr>
              <w:t>necrolisi</w:t>
            </w:r>
            <w:proofErr w:type="spellEnd"/>
            <w:r w:rsidRPr="005B2844">
              <w:rPr>
                <w:szCs w:val="22"/>
              </w:rPr>
              <w:t xml:space="preserve"> tossica epidermica</w:t>
            </w:r>
            <w:r w:rsidR="002B611D" w:rsidRPr="005B2844">
              <w:rPr>
                <w:szCs w:val="22"/>
              </w:rPr>
              <w:t>, eritema multiforme</w:t>
            </w:r>
          </w:p>
          <w:p w:rsidR="002C3DA1" w:rsidRPr="005B2844" w:rsidRDefault="002C3DA1" w:rsidP="0072602F">
            <w:pPr>
              <w:rPr>
                <w:szCs w:val="22"/>
              </w:rPr>
            </w:pPr>
          </w:p>
        </w:tc>
      </w:tr>
      <w:tr w:rsidR="00655638" w:rsidRPr="005B2844">
        <w:tblPrEx>
          <w:tblCellMar>
            <w:top w:w="0" w:type="dxa"/>
            <w:bottom w:w="0" w:type="dxa"/>
          </w:tblCellMar>
        </w:tblPrEx>
        <w:tc>
          <w:tcPr>
            <w:tcW w:w="9747" w:type="dxa"/>
            <w:gridSpan w:val="2"/>
          </w:tcPr>
          <w:p w:rsidR="00655638" w:rsidRPr="005B2844" w:rsidRDefault="00655638" w:rsidP="0072602F">
            <w:pPr>
              <w:rPr>
                <w:szCs w:val="22"/>
              </w:rPr>
            </w:pPr>
            <w:r w:rsidRPr="005B2844">
              <w:rPr>
                <w:noProof/>
                <w:szCs w:val="22"/>
              </w:rPr>
              <w:t xml:space="preserve">Patologie </w:t>
            </w:r>
            <w:r w:rsidRPr="005B2844">
              <w:rPr>
                <w:szCs w:val="22"/>
              </w:rPr>
              <w:t>del sistema muscoloscheletrico e del tessuto connettivo</w:t>
            </w:r>
          </w:p>
        </w:tc>
      </w:tr>
      <w:tr w:rsidR="00655638" w:rsidRPr="005B2844">
        <w:tblPrEx>
          <w:tblCellMar>
            <w:top w:w="0" w:type="dxa"/>
            <w:bottom w:w="0" w:type="dxa"/>
          </w:tblCellMar>
        </w:tblPrEx>
        <w:tc>
          <w:tcPr>
            <w:tcW w:w="5210" w:type="dxa"/>
          </w:tcPr>
          <w:p w:rsidR="00655638" w:rsidRPr="005B2844" w:rsidRDefault="00655638" w:rsidP="0072602F">
            <w:pPr>
              <w:rPr>
                <w:noProof/>
                <w:szCs w:val="22"/>
              </w:rPr>
            </w:pPr>
            <w:r w:rsidRPr="005B2844">
              <w:rPr>
                <w:noProof/>
                <w:szCs w:val="22"/>
              </w:rPr>
              <w:tab/>
              <w:t>Non nota:</w:t>
            </w:r>
          </w:p>
        </w:tc>
        <w:tc>
          <w:tcPr>
            <w:tcW w:w="4537" w:type="dxa"/>
          </w:tcPr>
          <w:p w:rsidR="00655638" w:rsidRPr="005B2844" w:rsidRDefault="00005748" w:rsidP="0072602F">
            <w:pPr>
              <w:rPr>
                <w:szCs w:val="22"/>
              </w:rPr>
            </w:pPr>
            <w:r w:rsidRPr="005B2844">
              <w:rPr>
                <w:szCs w:val="22"/>
              </w:rPr>
              <w:t>Debolezz</w:t>
            </w:r>
            <w:r w:rsidR="00655638" w:rsidRPr="005B2844">
              <w:rPr>
                <w:szCs w:val="22"/>
              </w:rPr>
              <w:t>a</w:t>
            </w:r>
          </w:p>
          <w:p w:rsidR="00655638" w:rsidRPr="005B2844" w:rsidRDefault="00655638" w:rsidP="0072602F">
            <w:pPr>
              <w:rPr>
                <w:szCs w:val="22"/>
              </w:rPr>
            </w:pPr>
          </w:p>
        </w:tc>
      </w:tr>
      <w:tr w:rsidR="00655638" w:rsidRPr="005B2844">
        <w:tblPrEx>
          <w:tblCellMar>
            <w:top w:w="0" w:type="dxa"/>
            <w:bottom w:w="0" w:type="dxa"/>
          </w:tblCellMar>
        </w:tblPrEx>
        <w:tc>
          <w:tcPr>
            <w:tcW w:w="9747" w:type="dxa"/>
            <w:gridSpan w:val="2"/>
          </w:tcPr>
          <w:p w:rsidR="00655638" w:rsidRPr="005B2844" w:rsidRDefault="00655638" w:rsidP="00655638">
            <w:pPr>
              <w:rPr>
                <w:szCs w:val="22"/>
              </w:rPr>
            </w:pPr>
            <w:r w:rsidRPr="005B2844">
              <w:rPr>
                <w:noProof/>
                <w:szCs w:val="22"/>
              </w:rPr>
              <w:t xml:space="preserve">Patologie </w:t>
            </w:r>
            <w:r w:rsidRPr="005B2844">
              <w:rPr>
                <w:szCs w:val="22"/>
              </w:rPr>
              <w:t>renali e urinarie</w:t>
            </w:r>
          </w:p>
        </w:tc>
      </w:tr>
      <w:tr w:rsidR="00655638" w:rsidRPr="005B2844">
        <w:tblPrEx>
          <w:tblCellMar>
            <w:top w:w="0" w:type="dxa"/>
            <w:bottom w:w="0" w:type="dxa"/>
          </w:tblCellMar>
        </w:tblPrEx>
        <w:tc>
          <w:tcPr>
            <w:tcW w:w="5210" w:type="dxa"/>
          </w:tcPr>
          <w:p w:rsidR="00655638" w:rsidRPr="005B2844" w:rsidRDefault="00655638" w:rsidP="0072602F">
            <w:pPr>
              <w:rPr>
                <w:noProof/>
                <w:szCs w:val="22"/>
              </w:rPr>
            </w:pPr>
            <w:r w:rsidRPr="005B2844">
              <w:rPr>
                <w:noProof/>
                <w:szCs w:val="22"/>
              </w:rPr>
              <w:tab/>
              <w:t>Non nota:</w:t>
            </w:r>
          </w:p>
        </w:tc>
        <w:tc>
          <w:tcPr>
            <w:tcW w:w="4537" w:type="dxa"/>
          </w:tcPr>
          <w:p w:rsidR="00655638" w:rsidRPr="005B2844" w:rsidRDefault="00655638" w:rsidP="00655638">
            <w:pPr>
              <w:rPr>
                <w:szCs w:val="22"/>
              </w:rPr>
            </w:pPr>
            <w:r w:rsidRPr="005B2844">
              <w:rPr>
                <w:szCs w:val="22"/>
              </w:rPr>
              <w:t xml:space="preserve">Nefrite interstiziale, </w:t>
            </w:r>
            <w:r w:rsidR="00005748" w:rsidRPr="005B2844">
              <w:rPr>
                <w:szCs w:val="22"/>
              </w:rPr>
              <w:t>disfunzione</w:t>
            </w:r>
            <w:r w:rsidRPr="005B2844">
              <w:rPr>
                <w:szCs w:val="22"/>
              </w:rPr>
              <w:t xml:space="preserve"> renale, glicosuria</w:t>
            </w:r>
          </w:p>
          <w:p w:rsidR="00655638" w:rsidRPr="005B2844" w:rsidRDefault="00655638" w:rsidP="0072602F">
            <w:pPr>
              <w:rPr>
                <w:szCs w:val="22"/>
              </w:rPr>
            </w:pPr>
          </w:p>
        </w:tc>
      </w:tr>
      <w:tr w:rsidR="00655638" w:rsidRPr="005B2844">
        <w:tblPrEx>
          <w:tblCellMar>
            <w:top w:w="0" w:type="dxa"/>
            <w:bottom w:w="0" w:type="dxa"/>
          </w:tblCellMar>
        </w:tblPrEx>
        <w:tc>
          <w:tcPr>
            <w:tcW w:w="9747" w:type="dxa"/>
            <w:gridSpan w:val="2"/>
          </w:tcPr>
          <w:p w:rsidR="00655638" w:rsidRPr="005B2844" w:rsidRDefault="00655638" w:rsidP="0072602F">
            <w:pPr>
              <w:rPr>
                <w:szCs w:val="22"/>
              </w:rPr>
            </w:pPr>
            <w:r w:rsidRPr="005B2844">
              <w:rPr>
                <w:noProof/>
                <w:szCs w:val="22"/>
              </w:rPr>
              <w:t xml:space="preserve">Patologie sistemiche </w:t>
            </w:r>
            <w:r w:rsidRPr="005B2844">
              <w:rPr>
                <w:szCs w:val="22"/>
              </w:rPr>
              <w:t>e condizioni relative alla sede di somministrazione</w:t>
            </w:r>
          </w:p>
        </w:tc>
      </w:tr>
      <w:tr w:rsidR="00655638" w:rsidRPr="005B2844">
        <w:tblPrEx>
          <w:tblCellMar>
            <w:top w:w="0" w:type="dxa"/>
            <w:bottom w:w="0" w:type="dxa"/>
          </w:tblCellMar>
        </w:tblPrEx>
        <w:tc>
          <w:tcPr>
            <w:tcW w:w="5210" w:type="dxa"/>
          </w:tcPr>
          <w:p w:rsidR="00655638" w:rsidRPr="005B2844" w:rsidRDefault="00655638" w:rsidP="0072602F">
            <w:pPr>
              <w:rPr>
                <w:noProof/>
                <w:szCs w:val="22"/>
              </w:rPr>
            </w:pPr>
            <w:r w:rsidRPr="005B2844">
              <w:rPr>
                <w:noProof/>
                <w:szCs w:val="22"/>
              </w:rPr>
              <w:tab/>
              <w:t>Non nota:</w:t>
            </w:r>
          </w:p>
        </w:tc>
        <w:tc>
          <w:tcPr>
            <w:tcW w:w="4537" w:type="dxa"/>
          </w:tcPr>
          <w:p w:rsidR="00655638" w:rsidRPr="005B2844" w:rsidRDefault="00655638" w:rsidP="0072602F">
            <w:pPr>
              <w:rPr>
                <w:szCs w:val="22"/>
              </w:rPr>
            </w:pPr>
            <w:r w:rsidRPr="005B2844">
              <w:rPr>
                <w:szCs w:val="22"/>
              </w:rPr>
              <w:t>Piressia</w:t>
            </w:r>
          </w:p>
          <w:p w:rsidR="00655638" w:rsidRPr="005B2844" w:rsidRDefault="00655638" w:rsidP="0072602F">
            <w:pPr>
              <w:rPr>
                <w:szCs w:val="22"/>
              </w:rPr>
            </w:pPr>
          </w:p>
        </w:tc>
      </w:tr>
      <w:tr w:rsidR="00655638" w:rsidRPr="005B2844">
        <w:tblPrEx>
          <w:tblCellMar>
            <w:top w:w="0" w:type="dxa"/>
            <w:bottom w:w="0" w:type="dxa"/>
          </w:tblCellMar>
        </w:tblPrEx>
        <w:tc>
          <w:tcPr>
            <w:tcW w:w="9747" w:type="dxa"/>
            <w:gridSpan w:val="2"/>
          </w:tcPr>
          <w:p w:rsidR="00655638" w:rsidRPr="005B2844" w:rsidRDefault="00655638" w:rsidP="008212CB">
            <w:pPr>
              <w:rPr>
                <w:szCs w:val="22"/>
              </w:rPr>
            </w:pPr>
            <w:r w:rsidRPr="005B2844">
              <w:rPr>
                <w:szCs w:val="22"/>
              </w:rPr>
              <w:t>Esami diagnostici</w:t>
            </w:r>
          </w:p>
        </w:tc>
      </w:tr>
      <w:tr w:rsidR="00655638" w:rsidRPr="005B2844">
        <w:tblPrEx>
          <w:tblCellMar>
            <w:top w:w="0" w:type="dxa"/>
            <w:bottom w:w="0" w:type="dxa"/>
          </w:tblCellMar>
        </w:tblPrEx>
        <w:tc>
          <w:tcPr>
            <w:tcW w:w="5210" w:type="dxa"/>
          </w:tcPr>
          <w:p w:rsidR="00655638" w:rsidRPr="005B2844" w:rsidRDefault="00655638" w:rsidP="008212CB">
            <w:pPr>
              <w:rPr>
                <w:noProof/>
                <w:szCs w:val="22"/>
              </w:rPr>
            </w:pPr>
            <w:r w:rsidRPr="005B2844">
              <w:rPr>
                <w:noProof/>
                <w:szCs w:val="22"/>
              </w:rPr>
              <w:tab/>
              <w:t>Non nota:</w:t>
            </w:r>
          </w:p>
        </w:tc>
        <w:tc>
          <w:tcPr>
            <w:tcW w:w="4537" w:type="dxa"/>
          </w:tcPr>
          <w:p w:rsidR="00655638" w:rsidRPr="005B2844" w:rsidRDefault="00655638" w:rsidP="008212CB">
            <w:pPr>
              <w:rPr>
                <w:szCs w:val="22"/>
              </w:rPr>
            </w:pPr>
            <w:r w:rsidRPr="005B2844">
              <w:rPr>
                <w:szCs w:val="22"/>
              </w:rPr>
              <w:t>Aumento dei trigliceridi</w:t>
            </w:r>
          </w:p>
          <w:p w:rsidR="00655638" w:rsidRPr="005B2844" w:rsidRDefault="00655638" w:rsidP="008212CB">
            <w:pPr>
              <w:rPr>
                <w:szCs w:val="22"/>
              </w:rPr>
            </w:pPr>
          </w:p>
        </w:tc>
      </w:tr>
    </w:tbl>
    <w:p w:rsidR="00706A2C" w:rsidRPr="005B2844" w:rsidRDefault="00706A2C" w:rsidP="00E25481">
      <w:pPr>
        <w:rPr>
          <w:szCs w:val="22"/>
        </w:rPr>
      </w:pPr>
    </w:p>
    <w:p w:rsidR="00E25481" w:rsidRPr="005B2844" w:rsidRDefault="00E25481" w:rsidP="00126264">
      <w:pPr>
        <w:keepNext/>
        <w:rPr>
          <w:szCs w:val="22"/>
        </w:rPr>
      </w:pPr>
      <w:r w:rsidRPr="005B2844">
        <w:rPr>
          <w:szCs w:val="22"/>
          <w:u w:val="single"/>
        </w:rPr>
        <w:t>Descrizione delle reazioni avverse selezionate</w:t>
      </w:r>
    </w:p>
    <w:p w:rsidR="00E25481" w:rsidRPr="005B2844" w:rsidRDefault="00E25481" w:rsidP="00126264">
      <w:pPr>
        <w:keepNext/>
        <w:rPr>
          <w:szCs w:val="22"/>
        </w:rPr>
      </w:pPr>
    </w:p>
    <w:p w:rsidR="00E25481" w:rsidRPr="005B2844" w:rsidRDefault="00E25481" w:rsidP="00126264">
      <w:pPr>
        <w:pStyle w:val="BodyText2"/>
        <w:keepNext/>
        <w:tabs>
          <w:tab w:val="clear" w:pos="567"/>
        </w:tabs>
        <w:ind w:left="0" w:firstLine="0"/>
        <w:rPr>
          <w:szCs w:val="22"/>
          <w:u w:val="single"/>
        </w:rPr>
      </w:pPr>
      <w:r w:rsidRPr="005B2844">
        <w:rPr>
          <w:szCs w:val="22"/>
          <w:u w:val="single"/>
        </w:rPr>
        <w:t>Funzionalità epatica alterata / disturbo epatico</w:t>
      </w:r>
    </w:p>
    <w:p w:rsidR="00E25481" w:rsidRPr="005B2844" w:rsidRDefault="00E25481" w:rsidP="00E25481">
      <w:pPr>
        <w:pStyle w:val="BodyText2"/>
        <w:tabs>
          <w:tab w:val="clear" w:pos="567"/>
        </w:tabs>
        <w:ind w:left="0" w:firstLine="0"/>
        <w:rPr>
          <w:szCs w:val="22"/>
        </w:rPr>
      </w:pPr>
      <w:r w:rsidRPr="005B2844">
        <w:rPr>
          <w:szCs w:val="22"/>
        </w:rPr>
        <w:t xml:space="preserve">La maggior parte dei casi di funzionalità epatica alterata / disturbo epatico registrati con </w:t>
      </w:r>
      <w:proofErr w:type="spellStart"/>
      <w:r w:rsidRPr="005B2844">
        <w:rPr>
          <w:szCs w:val="22"/>
        </w:rPr>
        <w:t>telmisartan</w:t>
      </w:r>
      <w:proofErr w:type="spellEnd"/>
      <w:r w:rsidRPr="005B2844">
        <w:rPr>
          <w:szCs w:val="22"/>
        </w:rPr>
        <w:t xml:space="preserve"> successivamente alla commercializzazione si sono verificati in pazienti giapponesi. I pazienti giapponesi sono più predisposti a manifestare queste reazioni avverse.</w:t>
      </w:r>
    </w:p>
    <w:p w:rsidR="00E25481" w:rsidRPr="005B2844" w:rsidRDefault="00E25481" w:rsidP="00E25481">
      <w:pPr>
        <w:pStyle w:val="BodyText2"/>
        <w:tabs>
          <w:tab w:val="clear" w:pos="567"/>
        </w:tabs>
        <w:ind w:left="0" w:firstLine="0"/>
        <w:rPr>
          <w:szCs w:val="22"/>
        </w:rPr>
      </w:pPr>
    </w:p>
    <w:p w:rsidR="00E25481" w:rsidRPr="005B2844" w:rsidRDefault="00E25481" w:rsidP="00126264">
      <w:pPr>
        <w:pStyle w:val="BodyText2"/>
        <w:keepNext/>
        <w:tabs>
          <w:tab w:val="clear" w:pos="567"/>
        </w:tabs>
        <w:ind w:left="0" w:firstLine="0"/>
        <w:rPr>
          <w:szCs w:val="22"/>
          <w:u w:val="single"/>
        </w:rPr>
      </w:pPr>
      <w:r w:rsidRPr="005B2844">
        <w:rPr>
          <w:szCs w:val="22"/>
          <w:u w:val="single"/>
        </w:rPr>
        <w:t>Sepsi</w:t>
      </w:r>
    </w:p>
    <w:p w:rsidR="00FC113F" w:rsidRPr="005B2844" w:rsidRDefault="00E25481" w:rsidP="00E25481">
      <w:pPr>
        <w:rPr>
          <w:szCs w:val="22"/>
        </w:rPr>
      </w:pPr>
      <w:r w:rsidRPr="005B2844">
        <w:rPr>
          <w:szCs w:val="22"/>
        </w:rPr>
        <w:t xml:space="preserve">Nello studio </w:t>
      </w:r>
      <w:proofErr w:type="spellStart"/>
      <w:r w:rsidRPr="005B2844">
        <w:rPr>
          <w:szCs w:val="22"/>
        </w:rPr>
        <w:t>PRoFESS</w:t>
      </w:r>
      <w:proofErr w:type="spellEnd"/>
      <w:r w:rsidRPr="005B2844">
        <w:rPr>
          <w:szCs w:val="22"/>
        </w:rPr>
        <w:t xml:space="preserve"> è stata osservata un’aumentata incidenza di sepsi con </w:t>
      </w:r>
      <w:proofErr w:type="spellStart"/>
      <w:r w:rsidRPr="005B2844">
        <w:rPr>
          <w:szCs w:val="22"/>
        </w:rPr>
        <w:t>telmisartan</w:t>
      </w:r>
      <w:proofErr w:type="spellEnd"/>
      <w:r w:rsidRPr="005B2844">
        <w:rPr>
          <w:szCs w:val="22"/>
        </w:rPr>
        <w:t xml:space="preserve"> rispetto a placebo. L’evento può essere un risultato casuale o può essere correlato ad un meccanismo attualmente non noto (vedere paragrafo 5.1).</w:t>
      </w:r>
    </w:p>
    <w:p w:rsidR="00E25481" w:rsidRPr="005B2844" w:rsidRDefault="00E25481" w:rsidP="00E25481">
      <w:pPr>
        <w:rPr>
          <w:szCs w:val="22"/>
        </w:rPr>
      </w:pPr>
    </w:p>
    <w:p w:rsidR="008F76EC" w:rsidRPr="005B2844" w:rsidRDefault="008F76EC" w:rsidP="00126264">
      <w:pPr>
        <w:pStyle w:val="BodyText2"/>
        <w:keepNext/>
        <w:tabs>
          <w:tab w:val="clear" w:pos="567"/>
        </w:tabs>
        <w:ind w:left="0" w:firstLine="0"/>
        <w:rPr>
          <w:szCs w:val="22"/>
          <w:u w:val="single"/>
        </w:rPr>
      </w:pPr>
      <w:r w:rsidRPr="005B2844">
        <w:rPr>
          <w:szCs w:val="22"/>
          <w:u w:val="single"/>
        </w:rPr>
        <w:t>Malattia polmonare interstiziale</w:t>
      </w:r>
    </w:p>
    <w:p w:rsidR="008F76EC" w:rsidRPr="005B2844" w:rsidRDefault="008F76EC" w:rsidP="008F76EC">
      <w:pPr>
        <w:pStyle w:val="BodyText2"/>
        <w:tabs>
          <w:tab w:val="clear" w:pos="567"/>
        </w:tabs>
        <w:ind w:left="0" w:firstLine="0"/>
        <w:rPr>
          <w:szCs w:val="22"/>
        </w:rPr>
      </w:pPr>
      <w:r w:rsidRPr="005B2844">
        <w:rPr>
          <w:szCs w:val="22"/>
        </w:rPr>
        <w:t xml:space="preserve">Sono stati riportati casi di malattia polmonare interstiziale successivamente alla commercializzazione, in associazione temporale con l’assunzione di </w:t>
      </w:r>
      <w:proofErr w:type="spellStart"/>
      <w:r w:rsidRPr="005B2844">
        <w:rPr>
          <w:szCs w:val="22"/>
        </w:rPr>
        <w:t>telmisartan</w:t>
      </w:r>
      <w:proofErr w:type="spellEnd"/>
      <w:r w:rsidRPr="005B2844">
        <w:rPr>
          <w:szCs w:val="22"/>
        </w:rPr>
        <w:t>. Tuttavia non è stata stabilita una relazione causale.</w:t>
      </w:r>
    </w:p>
    <w:p w:rsidR="008F76EC" w:rsidRPr="005B2844" w:rsidRDefault="008F76EC" w:rsidP="00E25481">
      <w:pPr>
        <w:rPr>
          <w:szCs w:val="22"/>
        </w:rPr>
      </w:pPr>
    </w:p>
    <w:p w:rsidR="00263CA9" w:rsidRPr="005B2844" w:rsidRDefault="00377B0A" w:rsidP="00263CA9">
      <w:pPr>
        <w:pStyle w:val="BodyText2"/>
        <w:keepNext/>
        <w:tabs>
          <w:tab w:val="clear" w:pos="567"/>
        </w:tabs>
        <w:ind w:left="0" w:firstLine="0"/>
        <w:rPr>
          <w:szCs w:val="22"/>
          <w:u w:val="single"/>
        </w:rPr>
      </w:pPr>
      <w:r w:rsidRPr="005B2844">
        <w:rPr>
          <w:szCs w:val="22"/>
          <w:u w:val="single"/>
        </w:rPr>
        <w:t>Cancro cutaneo non melanoma</w:t>
      </w:r>
    </w:p>
    <w:p w:rsidR="00263CA9" w:rsidRPr="005B2844" w:rsidRDefault="00263CA9" w:rsidP="00263CA9">
      <w:pPr>
        <w:pStyle w:val="BodyText2"/>
        <w:keepNext/>
        <w:tabs>
          <w:tab w:val="clear" w:pos="567"/>
        </w:tabs>
        <w:ind w:left="0" w:firstLine="0"/>
        <w:rPr>
          <w:szCs w:val="22"/>
        </w:rPr>
      </w:pPr>
      <w:r w:rsidRPr="005B2844">
        <w:rPr>
          <w:szCs w:val="22"/>
        </w:rPr>
        <w:t xml:space="preserve">Sulla base dei dati disponibili provenienti da studi epidemiologici, è stata osservata un’associazione tra HCTZ e NMSC, correlata alla dose </w:t>
      </w:r>
      <w:proofErr w:type="spellStart"/>
      <w:r w:rsidRPr="005B2844">
        <w:rPr>
          <w:szCs w:val="22"/>
        </w:rPr>
        <w:t>cumulativaassunta</w:t>
      </w:r>
      <w:proofErr w:type="spellEnd"/>
      <w:r w:rsidRPr="005B2844">
        <w:rPr>
          <w:szCs w:val="22"/>
        </w:rPr>
        <w:t xml:space="preserve"> (vedere</w:t>
      </w:r>
      <w:r w:rsidR="00377B0A" w:rsidRPr="005B2844">
        <w:rPr>
          <w:szCs w:val="22"/>
        </w:rPr>
        <w:t xml:space="preserve"> anche i paragrafi 4.4. e 5.1).</w:t>
      </w:r>
    </w:p>
    <w:p w:rsidR="00263CA9" w:rsidRPr="005B2844" w:rsidRDefault="00263CA9" w:rsidP="005A68EB">
      <w:pPr>
        <w:pStyle w:val="BodyText2"/>
        <w:keepNext/>
        <w:tabs>
          <w:tab w:val="clear" w:pos="567"/>
        </w:tabs>
        <w:ind w:left="0" w:firstLine="0"/>
        <w:rPr>
          <w:szCs w:val="22"/>
          <w:u w:val="single"/>
        </w:rPr>
      </w:pPr>
    </w:p>
    <w:p w:rsidR="00B71CCA" w:rsidRPr="005B2844" w:rsidRDefault="00B71CCA" w:rsidP="005A68EB">
      <w:pPr>
        <w:pStyle w:val="BodyText2"/>
        <w:keepNext/>
        <w:tabs>
          <w:tab w:val="clear" w:pos="567"/>
        </w:tabs>
        <w:ind w:left="0" w:firstLine="0"/>
        <w:rPr>
          <w:szCs w:val="22"/>
          <w:u w:val="single"/>
        </w:rPr>
      </w:pPr>
      <w:r w:rsidRPr="005B2844">
        <w:rPr>
          <w:szCs w:val="22"/>
          <w:u w:val="single"/>
        </w:rPr>
        <w:t>Segnalazione delle reazioni avverse sospette</w:t>
      </w:r>
    </w:p>
    <w:p w:rsidR="00B71CCA" w:rsidRPr="005B2844" w:rsidRDefault="00B71CCA" w:rsidP="00B71CCA">
      <w:pPr>
        <w:pStyle w:val="BodyText2"/>
        <w:tabs>
          <w:tab w:val="clear" w:pos="567"/>
        </w:tabs>
        <w:ind w:left="0" w:firstLine="0"/>
        <w:rPr>
          <w:szCs w:val="22"/>
        </w:rPr>
      </w:pPr>
      <w:r w:rsidRPr="005B2844">
        <w:rPr>
          <w:szCs w:val="22"/>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5B2844">
        <w:rPr>
          <w:szCs w:val="22"/>
          <w:highlight w:val="lightGray"/>
        </w:rPr>
        <w:t>il sistema nazionale di segnalazione riportato nell’</w:t>
      </w:r>
      <w:hyperlink r:id="rId12" w:history="1">
        <w:r w:rsidR="0021459B" w:rsidRPr="005B2844">
          <w:rPr>
            <w:rStyle w:val="Hyperlink"/>
            <w:szCs w:val="22"/>
            <w:highlight w:val="lightGray"/>
          </w:rPr>
          <w:t>a</w:t>
        </w:r>
        <w:r w:rsidRPr="005B2844">
          <w:rPr>
            <w:rStyle w:val="Hyperlink"/>
            <w:szCs w:val="22"/>
            <w:highlight w:val="lightGray"/>
          </w:rPr>
          <w:t>llegato V</w:t>
        </w:r>
      </w:hyperlink>
      <w:r w:rsidRPr="005B2844">
        <w:rPr>
          <w:szCs w:val="22"/>
        </w:rPr>
        <w:t>.</w:t>
      </w:r>
    </w:p>
    <w:p w:rsidR="00B71CCA" w:rsidRPr="005B2844" w:rsidRDefault="00B71CCA" w:rsidP="00E25481">
      <w:pPr>
        <w:rPr>
          <w:szCs w:val="22"/>
        </w:rPr>
      </w:pPr>
    </w:p>
    <w:p w:rsidR="00FC113F" w:rsidRPr="005B2844" w:rsidRDefault="00FC113F" w:rsidP="00126264">
      <w:pPr>
        <w:keepNext/>
        <w:tabs>
          <w:tab w:val="left" w:pos="567"/>
        </w:tabs>
        <w:rPr>
          <w:b/>
          <w:szCs w:val="22"/>
        </w:rPr>
      </w:pPr>
      <w:r w:rsidRPr="005B2844">
        <w:rPr>
          <w:b/>
          <w:szCs w:val="22"/>
        </w:rPr>
        <w:t>4.9</w:t>
      </w:r>
      <w:r w:rsidRPr="005B2844">
        <w:rPr>
          <w:b/>
          <w:szCs w:val="22"/>
        </w:rPr>
        <w:tab/>
        <w:t>Sovradosaggio</w:t>
      </w:r>
    </w:p>
    <w:p w:rsidR="00FC113F" w:rsidRPr="005B2844" w:rsidRDefault="00FC113F" w:rsidP="00126264">
      <w:pPr>
        <w:keepNext/>
        <w:rPr>
          <w:szCs w:val="22"/>
        </w:rPr>
      </w:pPr>
    </w:p>
    <w:p w:rsidR="005961A1" w:rsidRPr="005B2844" w:rsidRDefault="00655638" w:rsidP="0072602F">
      <w:pPr>
        <w:rPr>
          <w:szCs w:val="22"/>
        </w:rPr>
      </w:pPr>
      <w:r w:rsidRPr="005B2844">
        <w:rPr>
          <w:szCs w:val="22"/>
        </w:rPr>
        <w:t>Le informazioni</w:t>
      </w:r>
      <w:r w:rsidR="005961A1" w:rsidRPr="005B2844">
        <w:rPr>
          <w:szCs w:val="22"/>
        </w:rPr>
        <w:t xml:space="preserve"> disponibili </w:t>
      </w:r>
      <w:r w:rsidRPr="005B2844">
        <w:rPr>
          <w:szCs w:val="22"/>
        </w:rPr>
        <w:t>riguardo al</w:t>
      </w:r>
      <w:r w:rsidR="005961A1" w:rsidRPr="005B2844">
        <w:rPr>
          <w:szCs w:val="22"/>
        </w:rPr>
        <w:t xml:space="preserve"> sovradosaggio d</w:t>
      </w:r>
      <w:r w:rsidRPr="005B2844">
        <w:rPr>
          <w:szCs w:val="22"/>
        </w:rPr>
        <w:t>i</w:t>
      </w:r>
      <w:r w:rsidR="005961A1" w:rsidRPr="005B2844">
        <w:rPr>
          <w:szCs w:val="22"/>
        </w:rPr>
        <w:t xml:space="preserve"> </w:t>
      </w:r>
      <w:proofErr w:type="spellStart"/>
      <w:r w:rsidR="005961A1" w:rsidRPr="005B2844">
        <w:rPr>
          <w:szCs w:val="22"/>
        </w:rPr>
        <w:t>telmisartan</w:t>
      </w:r>
      <w:proofErr w:type="spellEnd"/>
      <w:r w:rsidR="005961A1" w:rsidRPr="005B2844">
        <w:rPr>
          <w:szCs w:val="22"/>
        </w:rPr>
        <w:t xml:space="preserve"> nell’uomo</w:t>
      </w:r>
      <w:r w:rsidRPr="005B2844">
        <w:rPr>
          <w:szCs w:val="22"/>
        </w:rPr>
        <w:t xml:space="preserve"> sono limitate</w:t>
      </w:r>
      <w:r w:rsidR="005961A1" w:rsidRPr="005B2844">
        <w:rPr>
          <w:szCs w:val="22"/>
        </w:rPr>
        <w:t>. Non è stata stabilita la quantità dell’</w:t>
      </w:r>
      <w:proofErr w:type="spellStart"/>
      <w:r w:rsidR="005961A1" w:rsidRPr="005B2844">
        <w:rPr>
          <w:szCs w:val="22"/>
        </w:rPr>
        <w:t>idroclorotiazide</w:t>
      </w:r>
      <w:proofErr w:type="spellEnd"/>
      <w:r w:rsidR="005961A1" w:rsidRPr="005B2844">
        <w:rPr>
          <w:szCs w:val="22"/>
        </w:rPr>
        <w:t xml:space="preserve"> che viene rimossa dall’emodialisi.</w:t>
      </w:r>
    </w:p>
    <w:p w:rsidR="005961A1" w:rsidRPr="005B2844" w:rsidRDefault="005961A1" w:rsidP="0072602F">
      <w:pPr>
        <w:rPr>
          <w:szCs w:val="22"/>
        </w:rPr>
      </w:pPr>
    </w:p>
    <w:p w:rsidR="0068303B" w:rsidRPr="005B2844" w:rsidRDefault="005961A1" w:rsidP="008A1E96">
      <w:pPr>
        <w:keepNext/>
        <w:rPr>
          <w:szCs w:val="22"/>
        </w:rPr>
      </w:pPr>
      <w:r w:rsidRPr="005B2844">
        <w:rPr>
          <w:szCs w:val="22"/>
          <w:u w:val="single"/>
        </w:rPr>
        <w:t>Sintomi</w:t>
      </w:r>
    </w:p>
    <w:p w:rsidR="005961A1" w:rsidRPr="005B2844" w:rsidRDefault="005961A1" w:rsidP="0072602F">
      <w:pPr>
        <w:rPr>
          <w:szCs w:val="22"/>
        </w:rPr>
      </w:pPr>
      <w:r w:rsidRPr="005B2844">
        <w:rPr>
          <w:szCs w:val="22"/>
        </w:rPr>
        <w:t xml:space="preserve">Le manifestazioni più </w:t>
      </w:r>
      <w:r w:rsidR="00655638" w:rsidRPr="005B2844">
        <w:rPr>
          <w:szCs w:val="22"/>
        </w:rPr>
        <w:t xml:space="preserve">rilevanti </w:t>
      </w:r>
      <w:r w:rsidRPr="005B2844">
        <w:rPr>
          <w:szCs w:val="22"/>
        </w:rPr>
        <w:t xml:space="preserve">legate al sovradosaggio di </w:t>
      </w:r>
      <w:proofErr w:type="spellStart"/>
      <w:r w:rsidRPr="005B2844">
        <w:rPr>
          <w:szCs w:val="22"/>
        </w:rPr>
        <w:t>telmisartan</w:t>
      </w:r>
      <w:proofErr w:type="spellEnd"/>
      <w:r w:rsidRPr="005B2844">
        <w:rPr>
          <w:szCs w:val="22"/>
        </w:rPr>
        <w:t xml:space="preserve"> sono </w:t>
      </w:r>
      <w:r w:rsidR="00655638" w:rsidRPr="005B2844">
        <w:rPr>
          <w:szCs w:val="22"/>
        </w:rPr>
        <w:t xml:space="preserve">state </w:t>
      </w:r>
      <w:r w:rsidRPr="005B2844">
        <w:rPr>
          <w:szCs w:val="22"/>
        </w:rPr>
        <w:t xml:space="preserve">ipotensione e tachicardia; </w:t>
      </w:r>
      <w:r w:rsidR="00655638" w:rsidRPr="005B2844">
        <w:rPr>
          <w:szCs w:val="22"/>
        </w:rPr>
        <w:t>sono stati riportati</w:t>
      </w:r>
      <w:r w:rsidRPr="005B2844">
        <w:rPr>
          <w:szCs w:val="22"/>
        </w:rPr>
        <w:t xml:space="preserve"> anche bradicardia</w:t>
      </w:r>
      <w:r w:rsidR="00655638" w:rsidRPr="005B2844">
        <w:rPr>
          <w:szCs w:val="22"/>
        </w:rPr>
        <w:t>, capogiro, vomito, aumento della creatinina sierica e insuffici</w:t>
      </w:r>
      <w:r w:rsidR="00C1581D" w:rsidRPr="005B2844">
        <w:rPr>
          <w:szCs w:val="22"/>
        </w:rPr>
        <w:t>en</w:t>
      </w:r>
      <w:r w:rsidR="00655638" w:rsidRPr="005B2844">
        <w:rPr>
          <w:szCs w:val="22"/>
        </w:rPr>
        <w:t>za renale acuta</w:t>
      </w:r>
      <w:r w:rsidRPr="005B2844">
        <w:rPr>
          <w:szCs w:val="22"/>
        </w:rPr>
        <w:t>. Il sovradosaggio dell’</w:t>
      </w:r>
      <w:proofErr w:type="spellStart"/>
      <w:r w:rsidRPr="005B2844">
        <w:rPr>
          <w:szCs w:val="22"/>
        </w:rPr>
        <w:t>idroclorotiazide</w:t>
      </w:r>
      <w:proofErr w:type="spellEnd"/>
      <w:r w:rsidRPr="005B2844">
        <w:rPr>
          <w:szCs w:val="22"/>
        </w:rPr>
        <w:t xml:space="preserve"> è associato alla deplezione di elettroliti (</w:t>
      </w:r>
      <w:r w:rsidR="00A60181" w:rsidRPr="005B2844">
        <w:rPr>
          <w:szCs w:val="22"/>
        </w:rPr>
        <w:t>ipokaliemia</w:t>
      </w:r>
      <w:r w:rsidRPr="005B2844">
        <w:rPr>
          <w:szCs w:val="22"/>
        </w:rPr>
        <w:t xml:space="preserve"> e </w:t>
      </w:r>
      <w:proofErr w:type="spellStart"/>
      <w:r w:rsidRPr="005B2844">
        <w:rPr>
          <w:szCs w:val="22"/>
        </w:rPr>
        <w:t>ipocloremia</w:t>
      </w:r>
      <w:proofErr w:type="spellEnd"/>
      <w:r w:rsidRPr="005B2844">
        <w:rPr>
          <w:szCs w:val="22"/>
        </w:rPr>
        <w:t xml:space="preserve">) e a </w:t>
      </w:r>
      <w:r w:rsidR="00655638" w:rsidRPr="005B2844">
        <w:rPr>
          <w:szCs w:val="22"/>
        </w:rPr>
        <w:t xml:space="preserve">ipovolemia </w:t>
      </w:r>
      <w:r w:rsidRPr="005B2844">
        <w:rPr>
          <w:szCs w:val="22"/>
        </w:rPr>
        <w:t>causata dalla eccessiva diuresi. I segni e sintomi più comuni di sovradosaggio sono nausea e sonnolenza. L’</w:t>
      </w:r>
      <w:r w:rsidR="00A60181" w:rsidRPr="005B2844">
        <w:rPr>
          <w:szCs w:val="22"/>
        </w:rPr>
        <w:t>ipokaliemia</w:t>
      </w:r>
      <w:r w:rsidRPr="005B2844">
        <w:rPr>
          <w:szCs w:val="22"/>
        </w:rPr>
        <w:t xml:space="preserve"> può indurre spasmo muscolare e/o accentuare aritmie cardiache associate all’uso concomitante di glicosidi della digitale o </w:t>
      </w:r>
      <w:r w:rsidR="00655638" w:rsidRPr="005B2844">
        <w:rPr>
          <w:szCs w:val="22"/>
        </w:rPr>
        <w:t xml:space="preserve">di </w:t>
      </w:r>
      <w:r w:rsidR="00E704B7" w:rsidRPr="005B2844">
        <w:rPr>
          <w:szCs w:val="22"/>
        </w:rPr>
        <w:t xml:space="preserve">alcuni </w:t>
      </w:r>
      <w:r w:rsidR="006F476C" w:rsidRPr="005B2844">
        <w:rPr>
          <w:szCs w:val="22"/>
        </w:rPr>
        <w:t>medicinali</w:t>
      </w:r>
      <w:r w:rsidRPr="005B2844">
        <w:rPr>
          <w:szCs w:val="22"/>
        </w:rPr>
        <w:t xml:space="preserve"> antiaritmici.</w:t>
      </w:r>
    </w:p>
    <w:p w:rsidR="005961A1" w:rsidRPr="005B2844" w:rsidRDefault="005961A1" w:rsidP="0072602F">
      <w:pPr>
        <w:rPr>
          <w:szCs w:val="22"/>
        </w:rPr>
      </w:pPr>
    </w:p>
    <w:p w:rsidR="0068303B" w:rsidRPr="005B2844" w:rsidRDefault="005961A1" w:rsidP="008A1E96">
      <w:pPr>
        <w:keepNext/>
        <w:rPr>
          <w:szCs w:val="22"/>
        </w:rPr>
      </w:pPr>
      <w:r w:rsidRPr="005B2844">
        <w:rPr>
          <w:szCs w:val="22"/>
          <w:u w:val="single"/>
        </w:rPr>
        <w:t>Trattamento</w:t>
      </w:r>
    </w:p>
    <w:p w:rsidR="00FC113F" w:rsidRPr="005B2844" w:rsidRDefault="00655638" w:rsidP="0072602F">
      <w:pPr>
        <w:rPr>
          <w:szCs w:val="22"/>
        </w:rPr>
      </w:pPr>
      <w:proofErr w:type="spellStart"/>
      <w:r w:rsidRPr="005B2844">
        <w:rPr>
          <w:szCs w:val="22"/>
        </w:rPr>
        <w:t>Telmisartan</w:t>
      </w:r>
      <w:proofErr w:type="spellEnd"/>
      <w:r w:rsidRPr="005B2844">
        <w:rPr>
          <w:szCs w:val="22"/>
        </w:rPr>
        <w:t xml:space="preserve"> non viene rimosso dall’emodialisi. </w:t>
      </w:r>
      <w:r w:rsidR="00FC113F" w:rsidRPr="005B2844">
        <w:rPr>
          <w:szCs w:val="22"/>
        </w:rPr>
        <w:t xml:space="preserve">Il paziente deve essere strettamente controllato e il trattamento deve essere sintomatico e di supporto. Il trattamento dipende dal tempo trascorso dall’ingestione e dalla gravità dei sintomi. Le misure suggerite includono induzione di </w:t>
      </w:r>
      <w:proofErr w:type="spellStart"/>
      <w:r w:rsidR="00FC113F" w:rsidRPr="005B2844">
        <w:rPr>
          <w:szCs w:val="22"/>
        </w:rPr>
        <w:t>emesi</w:t>
      </w:r>
      <w:proofErr w:type="spellEnd"/>
      <w:r w:rsidR="00FC113F" w:rsidRPr="005B2844">
        <w:rPr>
          <w:szCs w:val="22"/>
        </w:rPr>
        <w:t xml:space="preserve"> e/o lavanda gastrica. Il carbone attivo può essere utile nel trattamento del sovradosaggio. I livelli degli elettroliti sierici e della creatinina devono essere controllati frequentemente. Nel caso di ipotensione, il paziente deve essere posto in posizione supina e sali e fluidi devono essere reintegrati rapidamente. </w:t>
      </w:r>
    </w:p>
    <w:p w:rsidR="00FC113F" w:rsidRPr="005B2844" w:rsidRDefault="00FC113F" w:rsidP="0072602F">
      <w:pPr>
        <w:rPr>
          <w:szCs w:val="22"/>
        </w:rPr>
      </w:pP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5.</w:t>
      </w:r>
      <w:r w:rsidRPr="005B2844">
        <w:rPr>
          <w:b/>
          <w:szCs w:val="22"/>
        </w:rPr>
        <w:tab/>
        <w:t>PROPRIETÀ FARMACOLOGICHE</w:t>
      </w:r>
    </w:p>
    <w:p w:rsidR="00FC113F" w:rsidRPr="005B2844" w:rsidRDefault="00FC113F" w:rsidP="00126264">
      <w:pPr>
        <w:keepNext/>
        <w:rPr>
          <w:szCs w:val="22"/>
        </w:rPr>
      </w:pPr>
    </w:p>
    <w:p w:rsidR="00FC113F" w:rsidRPr="005B2844" w:rsidRDefault="00FC113F" w:rsidP="00126264">
      <w:pPr>
        <w:keepNext/>
        <w:tabs>
          <w:tab w:val="left" w:pos="567"/>
        </w:tabs>
        <w:rPr>
          <w:b/>
          <w:szCs w:val="22"/>
        </w:rPr>
      </w:pPr>
      <w:r w:rsidRPr="005B2844">
        <w:rPr>
          <w:b/>
          <w:szCs w:val="22"/>
        </w:rPr>
        <w:t>5.1</w:t>
      </w:r>
      <w:r w:rsidRPr="005B2844">
        <w:rPr>
          <w:b/>
          <w:szCs w:val="22"/>
        </w:rPr>
        <w:tab/>
        <w:t>Proprietà farmacodinamiche</w:t>
      </w:r>
    </w:p>
    <w:p w:rsidR="00FC113F" w:rsidRPr="005B2844" w:rsidRDefault="00FC113F" w:rsidP="00126264">
      <w:pPr>
        <w:pStyle w:val="BodyText20"/>
        <w:keepNext/>
        <w:spacing w:line="240" w:lineRule="auto"/>
        <w:jc w:val="left"/>
        <w:rPr>
          <w:szCs w:val="22"/>
        </w:rPr>
      </w:pPr>
    </w:p>
    <w:p w:rsidR="00FC113F" w:rsidRPr="005B2844" w:rsidRDefault="00FC113F" w:rsidP="0072602F">
      <w:pPr>
        <w:pStyle w:val="BodyText20"/>
        <w:spacing w:line="240" w:lineRule="auto"/>
        <w:jc w:val="left"/>
        <w:rPr>
          <w:szCs w:val="22"/>
        </w:rPr>
      </w:pPr>
      <w:r w:rsidRPr="005B2844">
        <w:rPr>
          <w:szCs w:val="22"/>
        </w:rPr>
        <w:t xml:space="preserve">Categoria </w:t>
      </w:r>
      <w:proofErr w:type="spellStart"/>
      <w:r w:rsidRPr="005B2844">
        <w:rPr>
          <w:szCs w:val="22"/>
        </w:rPr>
        <w:t>farmacoterapeutica</w:t>
      </w:r>
      <w:proofErr w:type="spellEnd"/>
      <w:r w:rsidRPr="005B2844">
        <w:rPr>
          <w:szCs w:val="22"/>
        </w:rPr>
        <w:t>: antagonisti dell’angiotensina II e diuretici, codice ATC: C09DA07.</w:t>
      </w:r>
    </w:p>
    <w:p w:rsidR="00FC113F" w:rsidRPr="005B2844" w:rsidRDefault="00FC113F" w:rsidP="0072602F">
      <w:pPr>
        <w:rPr>
          <w:szCs w:val="22"/>
        </w:rPr>
      </w:pPr>
    </w:p>
    <w:p w:rsidR="00FC113F" w:rsidRPr="005B2844" w:rsidRDefault="00FC113F" w:rsidP="0072602F">
      <w:pPr>
        <w:rPr>
          <w:szCs w:val="22"/>
        </w:rPr>
      </w:pPr>
      <w:proofErr w:type="spellStart"/>
      <w:r w:rsidRPr="005B2844">
        <w:rPr>
          <w:szCs w:val="22"/>
        </w:rPr>
        <w:t>MicardisPlus</w:t>
      </w:r>
      <w:proofErr w:type="spellEnd"/>
      <w:r w:rsidRPr="005B2844">
        <w:rPr>
          <w:szCs w:val="22"/>
        </w:rPr>
        <w:t xml:space="preserve"> è un’associazione di un antagonista del recettore dell’angiotensina II, il </w:t>
      </w:r>
      <w:proofErr w:type="spellStart"/>
      <w:r w:rsidRPr="005B2844">
        <w:rPr>
          <w:szCs w:val="22"/>
        </w:rPr>
        <w:t>telmisartan</w:t>
      </w:r>
      <w:proofErr w:type="spellEnd"/>
      <w:r w:rsidRPr="005B2844">
        <w:rPr>
          <w:szCs w:val="22"/>
        </w:rPr>
        <w:t>, e di un diuretico tiazidico, l’</w:t>
      </w:r>
      <w:proofErr w:type="spellStart"/>
      <w:r w:rsidRPr="005B2844">
        <w:rPr>
          <w:szCs w:val="22"/>
        </w:rPr>
        <w:t>idroclorotiazide</w:t>
      </w:r>
      <w:proofErr w:type="spellEnd"/>
      <w:r w:rsidRPr="005B2844">
        <w:rPr>
          <w:szCs w:val="22"/>
        </w:rPr>
        <w:t xml:space="preserve">. L’associazione di questi principi attivi esercita un effetto antipertensivo additivo, riducendo la pressione sanguigna in maggior misura rispetto a ciascuno dei due principi attivi utilizzati in monoterapia. </w:t>
      </w:r>
      <w:proofErr w:type="spellStart"/>
      <w:r w:rsidRPr="005B2844">
        <w:rPr>
          <w:szCs w:val="22"/>
        </w:rPr>
        <w:t>MicardisPlus</w:t>
      </w:r>
      <w:proofErr w:type="spellEnd"/>
      <w:r w:rsidRPr="005B2844">
        <w:rPr>
          <w:szCs w:val="22"/>
        </w:rPr>
        <w:t>, somministrato una volta al giorno al dosaggio terapeutico, produce una riduzione della pressione sanguigna efficace e graduale.</w:t>
      </w:r>
    </w:p>
    <w:p w:rsidR="00FC113F" w:rsidRPr="005B2844" w:rsidRDefault="00FC113F" w:rsidP="0072602F">
      <w:pPr>
        <w:rPr>
          <w:szCs w:val="22"/>
        </w:rPr>
      </w:pPr>
    </w:p>
    <w:p w:rsidR="002B611D" w:rsidRPr="005B2844" w:rsidRDefault="002B611D" w:rsidP="0072602F">
      <w:pPr>
        <w:rPr>
          <w:szCs w:val="22"/>
          <w:u w:val="single"/>
        </w:rPr>
      </w:pPr>
      <w:r w:rsidRPr="005B2844">
        <w:rPr>
          <w:szCs w:val="22"/>
          <w:u w:val="single"/>
        </w:rPr>
        <w:t>Meccanismo d’azione</w:t>
      </w:r>
    </w:p>
    <w:p w:rsidR="00FC113F" w:rsidRPr="005B2844" w:rsidRDefault="00FC113F" w:rsidP="0072602F">
      <w:pPr>
        <w:rPr>
          <w:szCs w:val="22"/>
        </w:rPr>
      </w:pPr>
      <w:proofErr w:type="spellStart"/>
      <w:r w:rsidRPr="005B2844">
        <w:rPr>
          <w:szCs w:val="22"/>
        </w:rPr>
        <w:t>Telmisartan</w:t>
      </w:r>
      <w:proofErr w:type="spellEnd"/>
      <w:r w:rsidRPr="005B2844">
        <w:rPr>
          <w:szCs w:val="22"/>
        </w:rPr>
        <w:t xml:space="preserve"> è un antagonista recettoriale specifico dell’angiotensina II sottotipo 1 (AT</w:t>
      </w:r>
      <w:r w:rsidRPr="005B2844">
        <w:rPr>
          <w:szCs w:val="22"/>
          <w:vertAlign w:val="subscript"/>
        </w:rPr>
        <w:t>1</w:t>
      </w:r>
      <w:r w:rsidRPr="005B2844">
        <w:rPr>
          <w:szCs w:val="22"/>
        </w:rPr>
        <w:t xml:space="preserve">) efficace per via orale. Il </w:t>
      </w:r>
      <w:proofErr w:type="spellStart"/>
      <w:r w:rsidRPr="005B2844">
        <w:rPr>
          <w:szCs w:val="22"/>
        </w:rPr>
        <w:t>telmisartan</w:t>
      </w:r>
      <w:proofErr w:type="spellEnd"/>
      <w:r w:rsidRPr="005B2844">
        <w:rPr>
          <w:szCs w:val="22"/>
        </w:rPr>
        <w:t xml:space="preserve"> spiazza con un’elevata affinità l’angiotensina II dal suo sito di legame con il recettore di sottotipo AT</w:t>
      </w:r>
      <w:r w:rsidRPr="005B2844">
        <w:rPr>
          <w:szCs w:val="22"/>
          <w:vertAlign w:val="subscript"/>
        </w:rPr>
        <w:t>1</w:t>
      </w:r>
      <w:r w:rsidRPr="005B2844">
        <w:rPr>
          <w:szCs w:val="22"/>
        </w:rPr>
        <w:t xml:space="preserve">, responsabile degli effetti noti dell’angiotensina II. Il </w:t>
      </w:r>
      <w:proofErr w:type="spellStart"/>
      <w:r w:rsidRPr="005B2844">
        <w:rPr>
          <w:szCs w:val="22"/>
        </w:rPr>
        <w:t>telmisartan</w:t>
      </w:r>
      <w:proofErr w:type="spellEnd"/>
      <w:r w:rsidRPr="005B2844">
        <w:rPr>
          <w:szCs w:val="22"/>
        </w:rPr>
        <w:t xml:space="preserve"> non mostra alcuna attività agonista parziale per il recettore AT</w:t>
      </w:r>
      <w:r w:rsidRPr="005B2844">
        <w:rPr>
          <w:szCs w:val="22"/>
          <w:vertAlign w:val="subscript"/>
        </w:rPr>
        <w:t>1</w:t>
      </w:r>
      <w:r w:rsidRPr="005B2844">
        <w:rPr>
          <w:szCs w:val="22"/>
        </w:rPr>
        <w:t xml:space="preserve">. Il </w:t>
      </w:r>
      <w:proofErr w:type="spellStart"/>
      <w:r w:rsidRPr="005B2844">
        <w:rPr>
          <w:szCs w:val="22"/>
        </w:rPr>
        <w:t>telmisartan</w:t>
      </w:r>
      <w:proofErr w:type="spellEnd"/>
      <w:r w:rsidRPr="005B2844">
        <w:rPr>
          <w:szCs w:val="22"/>
        </w:rPr>
        <w:t xml:space="preserve"> si lega selettivamente a1recettore AT</w:t>
      </w:r>
      <w:r w:rsidRPr="005B2844">
        <w:rPr>
          <w:szCs w:val="22"/>
          <w:vertAlign w:val="subscript"/>
        </w:rPr>
        <w:t>1</w:t>
      </w:r>
      <w:r w:rsidRPr="005B2844">
        <w:rPr>
          <w:szCs w:val="22"/>
        </w:rPr>
        <w:t xml:space="preserve">. Tale legame è di lunga durata. Il </w:t>
      </w:r>
      <w:proofErr w:type="spellStart"/>
      <w:r w:rsidRPr="005B2844">
        <w:rPr>
          <w:szCs w:val="22"/>
        </w:rPr>
        <w:t>telmisartan</w:t>
      </w:r>
      <w:proofErr w:type="spellEnd"/>
      <w:r w:rsidRPr="005B2844">
        <w:rPr>
          <w:szCs w:val="22"/>
        </w:rPr>
        <w:t xml:space="preserve"> non mostra affinità per altri recettori, compresi l'AT</w:t>
      </w:r>
      <w:r w:rsidRPr="005B2844">
        <w:rPr>
          <w:szCs w:val="22"/>
          <w:vertAlign w:val="subscript"/>
        </w:rPr>
        <w:t>2</w:t>
      </w:r>
      <w:r w:rsidRPr="005B2844">
        <w:rPr>
          <w:szCs w:val="22"/>
        </w:rPr>
        <w:t xml:space="preserve"> e altri recettori AT meno caratterizzati. Non sono noti il ruolo funzionale di questi recettori, né l'effetto della loro possibile </w:t>
      </w:r>
      <w:proofErr w:type="spellStart"/>
      <w:r w:rsidRPr="005B2844">
        <w:rPr>
          <w:szCs w:val="22"/>
        </w:rPr>
        <w:t>sovrastimolazione</w:t>
      </w:r>
      <w:proofErr w:type="spellEnd"/>
      <w:r w:rsidRPr="005B2844">
        <w:rPr>
          <w:szCs w:val="22"/>
        </w:rPr>
        <w:t xml:space="preserve"> da parte dell'angiotensina II, i cui livelli sono aumentati dal </w:t>
      </w:r>
      <w:proofErr w:type="spellStart"/>
      <w:r w:rsidRPr="005B2844">
        <w:rPr>
          <w:szCs w:val="22"/>
        </w:rPr>
        <w:t>telmisartan</w:t>
      </w:r>
      <w:proofErr w:type="spellEnd"/>
      <w:r w:rsidRPr="005B2844">
        <w:rPr>
          <w:szCs w:val="22"/>
        </w:rPr>
        <w:t xml:space="preserve">. Il </w:t>
      </w:r>
      <w:proofErr w:type="spellStart"/>
      <w:r w:rsidRPr="005B2844">
        <w:rPr>
          <w:szCs w:val="22"/>
        </w:rPr>
        <w:t>telmisartan</w:t>
      </w:r>
      <w:proofErr w:type="spellEnd"/>
      <w:r w:rsidRPr="005B2844">
        <w:rPr>
          <w:szCs w:val="22"/>
        </w:rPr>
        <w:t xml:space="preserve"> determina una diminuzione dei livelli plasmatici di aldosterone. Il </w:t>
      </w:r>
      <w:proofErr w:type="spellStart"/>
      <w:r w:rsidRPr="005B2844">
        <w:rPr>
          <w:szCs w:val="22"/>
        </w:rPr>
        <w:t>telmisartan</w:t>
      </w:r>
      <w:proofErr w:type="spellEnd"/>
      <w:r w:rsidRPr="005B2844">
        <w:rPr>
          <w:szCs w:val="22"/>
        </w:rPr>
        <w:t xml:space="preserve"> non inibisce la renina plasmatica umana </w:t>
      </w:r>
      <w:proofErr w:type="spellStart"/>
      <w:r w:rsidRPr="005B2844">
        <w:rPr>
          <w:szCs w:val="22"/>
        </w:rPr>
        <w:t>nè</w:t>
      </w:r>
      <w:proofErr w:type="spellEnd"/>
      <w:r w:rsidRPr="005B2844">
        <w:rPr>
          <w:szCs w:val="22"/>
        </w:rPr>
        <w:t xml:space="preserve"> blocca i canali ionici. Il </w:t>
      </w:r>
      <w:proofErr w:type="spellStart"/>
      <w:r w:rsidRPr="005B2844">
        <w:rPr>
          <w:szCs w:val="22"/>
        </w:rPr>
        <w:t>telmisartan</w:t>
      </w:r>
      <w:proofErr w:type="spellEnd"/>
      <w:r w:rsidRPr="005B2844">
        <w:rPr>
          <w:szCs w:val="22"/>
        </w:rPr>
        <w:t xml:space="preserve"> non inibisce l’enzima di conversione dell’angiotensina (</w:t>
      </w:r>
      <w:proofErr w:type="spellStart"/>
      <w:r w:rsidRPr="005B2844">
        <w:rPr>
          <w:szCs w:val="22"/>
        </w:rPr>
        <w:t>chininasi</w:t>
      </w:r>
      <w:proofErr w:type="spellEnd"/>
      <w:r w:rsidRPr="005B2844">
        <w:rPr>
          <w:szCs w:val="22"/>
        </w:rPr>
        <w:t xml:space="preserve"> II), enzima che degrada anche la bradichinina. Quindi, non è atteso un potenziamento degli eventi avversi mediati dalla bradichinina.</w:t>
      </w:r>
    </w:p>
    <w:p w:rsidR="00FC113F" w:rsidRPr="005B2844" w:rsidRDefault="00FC113F" w:rsidP="0072602F">
      <w:pPr>
        <w:rPr>
          <w:szCs w:val="22"/>
        </w:rPr>
      </w:pPr>
      <w:r w:rsidRPr="005B2844">
        <w:rPr>
          <w:szCs w:val="22"/>
        </w:rPr>
        <w:t xml:space="preserve">Una dose di </w:t>
      </w:r>
      <w:proofErr w:type="spellStart"/>
      <w:r w:rsidRPr="005B2844">
        <w:rPr>
          <w:szCs w:val="22"/>
        </w:rPr>
        <w:t>telmisartan</w:t>
      </w:r>
      <w:proofErr w:type="spellEnd"/>
      <w:r w:rsidRPr="005B2844">
        <w:rPr>
          <w:szCs w:val="22"/>
        </w:rPr>
        <w:t xml:space="preserve"> pari a 80</w:t>
      </w:r>
      <w:r w:rsidR="00BE5E64" w:rsidRPr="005B2844">
        <w:rPr>
          <w:szCs w:val="22"/>
        </w:rPr>
        <w:t> mg</w:t>
      </w:r>
      <w:r w:rsidRPr="005B2844">
        <w:rPr>
          <w:szCs w:val="22"/>
        </w:rPr>
        <w:t xml:space="preserve"> somministrata a volontari sani, determina un’inibizione quasi completa dell’aumento pressorio indotto dall’angiotensina II. L'effetto inibitorio si protrae per 24 ore ed è ancora misurabile fino a 48 ore.</w:t>
      </w:r>
    </w:p>
    <w:p w:rsidR="00FC113F" w:rsidRPr="005B2844" w:rsidRDefault="00FC113F" w:rsidP="0072602F">
      <w:pPr>
        <w:rPr>
          <w:szCs w:val="22"/>
        </w:rPr>
      </w:pPr>
    </w:p>
    <w:p w:rsidR="002B611D" w:rsidRPr="005B2844" w:rsidRDefault="002B611D" w:rsidP="005E749A">
      <w:pPr>
        <w:pStyle w:val="BodyText30"/>
        <w:widowControl/>
        <w:rPr>
          <w:szCs w:val="22"/>
          <w:lang w:val="it-IT"/>
        </w:rPr>
      </w:pPr>
      <w:proofErr w:type="spellStart"/>
      <w:r w:rsidRPr="005B2844">
        <w:rPr>
          <w:szCs w:val="22"/>
          <w:lang w:val="it-IT"/>
        </w:rPr>
        <w:t>Idroclorotiazide</w:t>
      </w:r>
      <w:proofErr w:type="spellEnd"/>
      <w:r w:rsidRPr="005B2844">
        <w:rPr>
          <w:szCs w:val="22"/>
          <w:lang w:val="it-IT"/>
        </w:rPr>
        <w:t xml:space="preserve"> è un diuretico tiazidico. Il meccanismo con cui i diuretici tiazidici esplicano il loro effetto antipertensivo non è completamente noto. I diuretici tiazidici </w:t>
      </w:r>
      <w:r w:rsidR="00B10666" w:rsidRPr="005B2844">
        <w:rPr>
          <w:szCs w:val="22"/>
          <w:lang w:val="it-IT"/>
        </w:rPr>
        <w:t>hanno un effetto sui meccanismi</w:t>
      </w:r>
      <w:r w:rsidRPr="005B2844">
        <w:rPr>
          <w:szCs w:val="22"/>
          <w:lang w:val="it-IT"/>
        </w:rPr>
        <w:t xml:space="preserve"> </w:t>
      </w:r>
      <w:r w:rsidR="00B10666" w:rsidRPr="005B2844">
        <w:rPr>
          <w:szCs w:val="22"/>
          <w:lang w:val="it-IT"/>
        </w:rPr>
        <w:t>del</w:t>
      </w:r>
      <w:r w:rsidRPr="005B2844">
        <w:rPr>
          <w:szCs w:val="22"/>
          <w:lang w:val="it-IT"/>
        </w:rPr>
        <w:t xml:space="preserve"> riassorbimento degli elettroliti a livello dei tubuli renali, incrementando direttamente l’escrezione di sodio e di cloro in quantità</w:t>
      </w:r>
      <w:r w:rsidR="001E213F" w:rsidRPr="005B2844">
        <w:rPr>
          <w:szCs w:val="22"/>
          <w:lang w:val="it-IT"/>
        </w:rPr>
        <w:t xml:space="preserve"> quasi equivalenti</w:t>
      </w:r>
      <w:r w:rsidRPr="005B2844">
        <w:rPr>
          <w:szCs w:val="22"/>
          <w:lang w:val="it-IT"/>
        </w:rPr>
        <w:t>. L’effetto diuretico dell’</w:t>
      </w:r>
      <w:proofErr w:type="spellStart"/>
      <w:r w:rsidRPr="005B2844">
        <w:rPr>
          <w:szCs w:val="22"/>
          <w:lang w:val="it-IT"/>
        </w:rPr>
        <w:t>idroclorotiazide</w:t>
      </w:r>
      <w:proofErr w:type="spellEnd"/>
      <w:r w:rsidRPr="005B2844">
        <w:rPr>
          <w:szCs w:val="22"/>
          <w:lang w:val="it-IT"/>
        </w:rPr>
        <w:t xml:space="preserve"> riduce il volume plasmatico, aumenta l’attività della renina plasmatica, aumenta la secrezione di aldosterone, con conseguente incremento del potassio urinario e perdita di bicarbonato, e riduce il potassio sierico. Presumibilmente attraverso il blocco del sistema renina-angiotensina-aldosterone, la co-somministrazione di </w:t>
      </w:r>
      <w:proofErr w:type="spellStart"/>
      <w:r w:rsidRPr="005B2844">
        <w:rPr>
          <w:szCs w:val="22"/>
          <w:lang w:val="it-IT"/>
        </w:rPr>
        <w:t>telmisartan</w:t>
      </w:r>
      <w:proofErr w:type="spellEnd"/>
      <w:r w:rsidRPr="005B2844">
        <w:rPr>
          <w:szCs w:val="22"/>
          <w:lang w:val="it-IT"/>
        </w:rPr>
        <w:t xml:space="preserve"> tende a riequilibrare la perdita di potassio associata a questi diuretici. </w:t>
      </w:r>
      <w:r w:rsidR="001E213F" w:rsidRPr="005B2844">
        <w:rPr>
          <w:szCs w:val="22"/>
          <w:lang w:val="it-IT"/>
        </w:rPr>
        <w:t>Con l’</w:t>
      </w:r>
      <w:proofErr w:type="spellStart"/>
      <w:r w:rsidR="001E213F" w:rsidRPr="005B2844">
        <w:rPr>
          <w:szCs w:val="22"/>
          <w:lang w:val="it-IT"/>
        </w:rPr>
        <w:t>idroclorotiazide</w:t>
      </w:r>
      <w:proofErr w:type="spellEnd"/>
      <w:r w:rsidR="001E213F" w:rsidRPr="005B2844">
        <w:rPr>
          <w:szCs w:val="22"/>
          <w:lang w:val="it-IT"/>
        </w:rPr>
        <w:t>, l</w:t>
      </w:r>
      <w:r w:rsidRPr="005B2844">
        <w:rPr>
          <w:szCs w:val="22"/>
          <w:lang w:val="it-IT"/>
        </w:rPr>
        <w:t>’effetto diuretico si manifesta entro 2 ore, raggiunge il suo massimo in circa 4 ore, mentre l’azione persiste per circa 6</w:t>
      </w:r>
      <w:r w:rsidR="00E7325F" w:rsidRPr="005B2844">
        <w:rPr>
          <w:szCs w:val="22"/>
          <w:lang w:val="it-IT"/>
        </w:rPr>
        <w:noBreakHyphen/>
      </w:r>
      <w:r w:rsidRPr="005B2844">
        <w:rPr>
          <w:szCs w:val="22"/>
          <w:lang w:val="it-IT"/>
        </w:rPr>
        <w:t>12 ore.</w:t>
      </w:r>
    </w:p>
    <w:p w:rsidR="002B611D" w:rsidRPr="005B2844" w:rsidRDefault="002B611D" w:rsidP="0072602F">
      <w:pPr>
        <w:rPr>
          <w:szCs w:val="22"/>
        </w:rPr>
      </w:pPr>
    </w:p>
    <w:p w:rsidR="002B611D" w:rsidRPr="005B2844" w:rsidRDefault="002B611D" w:rsidP="000709BC">
      <w:pPr>
        <w:keepNext/>
        <w:rPr>
          <w:szCs w:val="22"/>
          <w:u w:val="single"/>
        </w:rPr>
      </w:pPr>
      <w:r w:rsidRPr="005B2844">
        <w:rPr>
          <w:szCs w:val="22"/>
          <w:u w:val="single"/>
        </w:rPr>
        <w:t>Efficacia e sicurezza clinica</w:t>
      </w:r>
    </w:p>
    <w:p w:rsidR="002B611D" w:rsidRPr="005B2844" w:rsidRDefault="002B611D" w:rsidP="000709BC">
      <w:pPr>
        <w:keepNext/>
        <w:rPr>
          <w:szCs w:val="22"/>
        </w:rPr>
      </w:pPr>
    </w:p>
    <w:p w:rsidR="002B611D" w:rsidRPr="005B2844" w:rsidRDefault="002B611D" w:rsidP="0072602F">
      <w:pPr>
        <w:rPr>
          <w:szCs w:val="22"/>
        </w:rPr>
      </w:pPr>
      <w:r w:rsidRPr="005B2844">
        <w:rPr>
          <w:szCs w:val="22"/>
        </w:rPr>
        <w:t>Trattamento dell’ipertensione essenziale</w:t>
      </w:r>
    </w:p>
    <w:p w:rsidR="00FC113F" w:rsidRPr="005B2844" w:rsidRDefault="00FC113F" w:rsidP="0072602F">
      <w:pPr>
        <w:rPr>
          <w:szCs w:val="22"/>
        </w:rPr>
      </w:pPr>
      <w:r w:rsidRPr="005B2844">
        <w:rPr>
          <w:szCs w:val="22"/>
        </w:rPr>
        <w:t xml:space="preserve">L’attività antiipertensiva inizia a manifestarsi entro 3 ore dalla somministrazione della prima dose di </w:t>
      </w:r>
      <w:proofErr w:type="spellStart"/>
      <w:r w:rsidRPr="005B2844">
        <w:rPr>
          <w:szCs w:val="22"/>
        </w:rPr>
        <w:t>telmisartan</w:t>
      </w:r>
      <w:proofErr w:type="spellEnd"/>
      <w:r w:rsidRPr="005B2844">
        <w:rPr>
          <w:szCs w:val="22"/>
        </w:rPr>
        <w:t xml:space="preserve">. La massima riduzione dei valori pressori si ottiene generalmente dopo 4-8 settimane dall’inizio del trattamento e viene mantenuta nel corso della terapia a lungo termine. L'effetto antipertensivo si protrae costantemente per 24 ore dopo la somministrazione e include le ultime 4 ore prima della successiva somministrazione, come dimostrato dalle misurazioni continue nelle 24 ore della pressione sanguigna. Ciò è confermato da misurazioni eseguite al momento di massimo effetto e immediatamente prima dell’assunzione della dose successiva </w:t>
      </w:r>
      <w:r w:rsidR="008B2348" w:rsidRPr="005B2844">
        <w:rPr>
          <w:szCs w:val="22"/>
        </w:rPr>
        <w:t>(</w:t>
      </w:r>
      <w:r w:rsidRPr="005B2844">
        <w:rPr>
          <w:szCs w:val="22"/>
        </w:rPr>
        <w:t>negli studi clinici controllati verso placebo il rapporto valle/picco è risultato costantemente superiore all'80% dopo dosi di 40 o 80</w:t>
      </w:r>
      <w:r w:rsidR="00BE5E64" w:rsidRPr="005B2844">
        <w:rPr>
          <w:szCs w:val="22"/>
        </w:rPr>
        <w:t> mg</w:t>
      </w:r>
      <w:r w:rsidRPr="005B2844">
        <w:rPr>
          <w:szCs w:val="22"/>
        </w:rPr>
        <w:t xml:space="preserve"> di </w:t>
      </w:r>
      <w:proofErr w:type="spellStart"/>
      <w:r w:rsidRPr="005B2844">
        <w:rPr>
          <w:szCs w:val="22"/>
        </w:rPr>
        <w:t>telmisartan</w:t>
      </w:r>
      <w:proofErr w:type="spellEnd"/>
      <w:r w:rsidR="008B2348" w:rsidRPr="005B2844">
        <w:rPr>
          <w:szCs w:val="22"/>
        </w:rPr>
        <w:t>)</w:t>
      </w:r>
      <w:r w:rsidRPr="005B2844">
        <w:rPr>
          <w:szCs w:val="22"/>
        </w:rPr>
        <w:t>.</w:t>
      </w:r>
    </w:p>
    <w:p w:rsidR="00FC113F" w:rsidRPr="005B2844" w:rsidRDefault="00FC113F" w:rsidP="0072602F">
      <w:pPr>
        <w:rPr>
          <w:szCs w:val="22"/>
        </w:rPr>
      </w:pPr>
    </w:p>
    <w:p w:rsidR="00FC113F" w:rsidRPr="005B2844" w:rsidRDefault="00FC113F" w:rsidP="0072602F">
      <w:pPr>
        <w:rPr>
          <w:szCs w:val="22"/>
        </w:rPr>
      </w:pPr>
      <w:r w:rsidRPr="005B2844">
        <w:rPr>
          <w:szCs w:val="22"/>
        </w:rPr>
        <w:t xml:space="preserve">Nei pazienti ipertesi il </w:t>
      </w:r>
      <w:proofErr w:type="spellStart"/>
      <w:r w:rsidRPr="005B2844">
        <w:rPr>
          <w:szCs w:val="22"/>
        </w:rPr>
        <w:t>telmisartan</w:t>
      </w:r>
      <w:proofErr w:type="spellEnd"/>
      <w:r w:rsidRPr="005B2844">
        <w:rPr>
          <w:szCs w:val="22"/>
        </w:rPr>
        <w:t xml:space="preserve"> riduce la pressione sia sistolica che diastolica senza influire sulla frequenza cardiaca. L'efficacia antipertensiva di </w:t>
      </w:r>
      <w:proofErr w:type="spellStart"/>
      <w:r w:rsidRPr="005B2844">
        <w:rPr>
          <w:szCs w:val="22"/>
        </w:rPr>
        <w:t>telmisartan</w:t>
      </w:r>
      <w:proofErr w:type="spellEnd"/>
      <w:r w:rsidRPr="005B2844">
        <w:rPr>
          <w:szCs w:val="22"/>
        </w:rPr>
        <w:t xml:space="preserve"> è paragonabile a quella di </w:t>
      </w:r>
      <w:r w:rsidR="0072540C" w:rsidRPr="005B2844">
        <w:rPr>
          <w:szCs w:val="22"/>
        </w:rPr>
        <w:t xml:space="preserve">medicinali </w:t>
      </w:r>
      <w:r w:rsidRPr="005B2844">
        <w:rPr>
          <w:szCs w:val="22"/>
        </w:rPr>
        <w:t xml:space="preserve">rappresentativi di altre classi di antipertensivi (come dimostrato negli studi clinici che hanno confrontato </w:t>
      </w:r>
      <w:proofErr w:type="spellStart"/>
      <w:r w:rsidRPr="005B2844">
        <w:rPr>
          <w:szCs w:val="22"/>
        </w:rPr>
        <w:t>telmisartan</w:t>
      </w:r>
      <w:proofErr w:type="spellEnd"/>
      <w:r w:rsidRPr="005B2844">
        <w:rPr>
          <w:szCs w:val="22"/>
        </w:rPr>
        <w:t xml:space="preserve"> con </w:t>
      </w:r>
      <w:proofErr w:type="spellStart"/>
      <w:r w:rsidRPr="005B2844">
        <w:rPr>
          <w:szCs w:val="22"/>
        </w:rPr>
        <w:t>amlodipina</w:t>
      </w:r>
      <w:proofErr w:type="spellEnd"/>
      <w:r w:rsidRPr="005B2844">
        <w:rPr>
          <w:szCs w:val="22"/>
        </w:rPr>
        <w:t xml:space="preserve">, </w:t>
      </w:r>
      <w:proofErr w:type="spellStart"/>
      <w:r w:rsidRPr="005B2844">
        <w:rPr>
          <w:szCs w:val="22"/>
        </w:rPr>
        <w:t>atenololo</w:t>
      </w:r>
      <w:proofErr w:type="spellEnd"/>
      <w:r w:rsidRPr="005B2844">
        <w:rPr>
          <w:szCs w:val="22"/>
        </w:rPr>
        <w:t xml:space="preserve">, enalapril, </w:t>
      </w:r>
      <w:proofErr w:type="spellStart"/>
      <w:r w:rsidRPr="005B2844">
        <w:rPr>
          <w:szCs w:val="22"/>
        </w:rPr>
        <w:t>idroclorotiazide</w:t>
      </w:r>
      <w:proofErr w:type="spellEnd"/>
      <w:r w:rsidRPr="005B2844">
        <w:rPr>
          <w:szCs w:val="22"/>
        </w:rPr>
        <w:t xml:space="preserve"> e </w:t>
      </w:r>
      <w:proofErr w:type="spellStart"/>
      <w:r w:rsidRPr="005B2844">
        <w:rPr>
          <w:szCs w:val="22"/>
        </w:rPr>
        <w:t>lisinopril</w:t>
      </w:r>
      <w:proofErr w:type="spellEnd"/>
      <w:r w:rsidRPr="005B2844">
        <w:rPr>
          <w:szCs w:val="22"/>
        </w:rPr>
        <w:t>).</w:t>
      </w:r>
    </w:p>
    <w:p w:rsidR="00FC113F" w:rsidRPr="005B2844" w:rsidRDefault="00FC113F" w:rsidP="0072602F">
      <w:pPr>
        <w:rPr>
          <w:szCs w:val="22"/>
        </w:rPr>
      </w:pPr>
    </w:p>
    <w:p w:rsidR="00E32211" w:rsidRPr="005B2844" w:rsidRDefault="00E32211" w:rsidP="0072602F">
      <w:pPr>
        <w:rPr>
          <w:szCs w:val="22"/>
        </w:rPr>
      </w:pPr>
      <w:r w:rsidRPr="005B2844">
        <w:rPr>
          <w:szCs w:val="22"/>
        </w:rPr>
        <w:t xml:space="preserve">In uno studio clinico </w:t>
      </w:r>
      <w:r w:rsidR="00615CE7" w:rsidRPr="005B2844">
        <w:rPr>
          <w:szCs w:val="22"/>
        </w:rPr>
        <w:t xml:space="preserve">controllato </w:t>
      </w:r>
      <w:r w:rsidRPr="005B2844">
        <w:rPr>
          <w:szCs w:val="22"/>
        </w:rPr>
        <w:t xml:space="preserve">in doppio cieco (n=687 pazienti valutati per </w:t>
      </w:r>
      <w:r w:rsidR="00B97A0E" w:rsidRPr="005B2844">
        <w:rPr>
          <w:szCs w:val="22"/>
        </w:rPr>
        <w:t>l’</w:t>
      </w:r>
      <w:r w:rsidRPr="005B2844">
        <w:rPr>
          <w:szCs w:val="22"/>
        </w:rPr>
        <w:t>efficacia) effettuato in soggetti non rispondenti all’associazione 80 mg/12,5 mg, è stato dimostrato un effetto aggiuntivo di riduzione della pressione con l’associazione 80 mg/25 mg rispetto al trattamento continuato con l’associazione 80 mg/12,5 mg, pari a 2,7/1,6 mm Hg (</w:t>
      </w:r>
      <w:smartTag w:uri="urn:schemas-microsoft-com:office:smarttags" w:element="stockticker">
        <w:r w:rsidRPr="005B2844">
          <w:rPr>
            <w:szCs w:val="22"/>
          </w:rPr>
          <w:t>PAS</w:t>
        </w:r>
      </w:smartTag>
      <w:r w:rsidRPr="005B2844">
        <w:rPr>
          <w:szCs w:val="22"/>
        </w:rPr>
        <w:t>/PAD) (variazioni medie rispetto ai valori basali). In uno studio di follow-up con l’associazione 80 mg/25 mg, la pressione sanguigna è ulteriormente calata (riduzione totale di 11,5/9,9 mm  Hg (</w:t>
      </w:r>
      <w:smartTag w:uri="urn:schemas-microsoft-com:office:smarttags" w:element="stockticker">
        <w:r w:rsidRPr="005B2844">
          <w:rPr>
            <w:szCs w:val="22"/>
          </w:rPr>
          <w:t>PAS</w:t>
        </w:r>
      </w:smartTag>
      <w:r w:rsidRPr="005B2844">
        <w:rPr>
          <w:szCs w:val="22"/>
        </w:rPr>
        <w:t>/PAD).</w:t>
      </w:r>
    </w:p>
    <w:p w:rsidR="00E32211" w:rsidRPr="005B2844" w:rsidRDefault="00E32211" w:rsidP="0072602F">
      <w:pPr>
        <w:rPr>
          <w:szCs w:val="22"/>
        </w:rPr>
      </w:pPr>
    </w:p>
    <w:p w:rsidR="00E32211" w:rsidRPr="005B2844" w:rsidRDefault="00E32211" w:rsidP="0072602F">
      <w:pPr>
        <w:rPr>
          <w:szCs w:val="22"/>
        </w:rPr>
      </w:pPr>
      <w:r w:rsidRPr="005B2844">
        <w:rPr>
          <w:szCs w:val="22"/>
        </w:rPr>
        <w:t>In un’analisi combinata di due studi clinici simili della durata di 8 settimane in doppio cieco controllati co</w:t>
      </w:r>
      <w:r w:rsidR="00B97A0E" w:rsidRPr="005B2844">
        <w:rPr>
          <w:szCs w:val="22"/>
        </w:rPr>
        <w:t xml:space="preserve">n placebo verso </w:t>
      </w:r>
      <w:proofErr w:type="spellStart"/>
      <w:r w:rsidR="00B97A0E" w:rsidRPr="005B2844">
        <w:rPr>
          <w:szCs w:val="22"/>
        </w:rPr>
        <w:t>valsartan</w:t>
      </w:r>
      <w:proofErr w:type="spellEnd"/>
      <w:r w:rsidR="00B97A0E" w:rsidRPr="005B2844">
        <w:rPr>
          <w:szCs w:val="22"/>
        </w:rPr>
        <w:t>/</w:t>
      </w:r>
      <w:proofErr w:type="spellStart"/>
      <w:r w:rsidR="00B97A0E" w:rsidRPr="005B2844">
        <w:rPr>
          <w:szCs w:val="22"/>
        </w:rPr>
        <w:t>idroc</w:t>
      </w:r>
      <w:r w:rsidRPr="005B2844">
        <w:rPr>
          <w:szCs w:val="22"/>
        </w:rPr>
        <w:t>l</w:t>
      </w:r>
      <w:r w:rsidR="00B97A0E" w:rsidRPr="005B2844">
        <w:rPr>
          <w:szCs w:val="22"/>
        </w:rPr>
        <w:t>o</w:t>
      </w:r>
      <w:r w:rsidRPr="005B2844">
        <w:rPr>
          <w:szCs w:val="22"/>
        </w:rPr>
        <w:t>rotiazide</w:t>
      </w:r>
      <w:proofErr w:type="spellEnd"/>
      <w:r w:rsidRPr="005B2844">
        <w:rPr>
          <w:szCs w:val="22"/>
        </w:rPr>
        <w:t xml:space="preserve"> </w:t>
      </w:r>
      <w:r w:rsidR="007313AE" w:rsidRPr="005B2844">
        <w:rPr>
          <w:szCs w:val="22"/>
        </w:rPr>
        <w:t xml:space="preserve">160 mg/25 mg </w:t>
      </w:r>
      <w:r w:rsidRPr="005B2844">
        <w:rPr>
          <w:szCs w:val="22"/>
        </w:rPr>
        <w:t>(n=2121 pazienti valutati per efficacia) è stato dimostrato un effetto di riduzione della pressione significativamente maggiore di 2,2/1,2 mm Hg (PAS/PAD) (</w:t>
      </w:r>
      <w:r w:rsidR="00B97A0E" w:rsidRPr="005B2844">
        <w:rPr>
          <w:szCs w:val="22"/>
        </w:rPr>
        <w:t xml:space="preserve">differenza nelle </w:t>
      </w:r>
      <w:r w:rsidRPr="005B2844">
        <w:rPr>
          <w:szCs w:val="22"/>
        </w:rPr>
        <w:t xml:space="preserve">variazioni medie rispetto ai valori basali, rispettivamente) in favore dell’associazione </w:t>
      </w: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r w:rsidRPr="005B2844">
        <w:rPr>
          <w:szCs w:val="22"/>
        </w:rPr>
        <w:t xml:space="preserve"> 80 mg/25 mg.</w:t>
      </w:r>
    </w:p>
    <w:p w:rsidR="007853C2" w:rsidRPr="005B2844" w:rsidRDefault="007853C2" w:rsidP="0072602F">
      <w:pPr>
        <w:rPr>
          <w:szCs w:val="22"/>
        </w:rPr>
      </w:pPr>
    </w:p>
    <w:p w:rsidR="00FC113F" w:rsidRPr="005B2844" w:rsidRDefault="00FC113F" w:rsidP="0072602F">
      <w:pPr>
        <w:rPr>
          <w:szCs w:val="22"/>
        </w:rPr>
      </w:pPr>
      <w:r w:rsidRPr="005B2844">
        <w:rPr>
          <w:szCs w:val="22"/>
        </w:rPr>
        <w:t xml:space="preserve">Dopo una brusca interruzione del trattamento con </w:t>
      </w:r>
      <w:proofErr w:type="spellStart"/>
      <w:r w:rsidRPr="005B2844">
        <w:rPr>
          <w:szCs w:val="22"/>
        </w:rPr>
        <w:t>telmisartan</w:t>
      </w:r>
      <w:proofErr w:type="spellEnd"/>
      <w:r w:rsidRPr="005B2844">
        <w:rPr>
          <w:szCs w:val="22"/>
        </w:rPr>
        <w:t>, la pressione sanguigna ritorna gradualmente ai valori precedenti al trattamento durante un periodo di diversi giorni, senza un apparente effetto rebound.</w:t>
      </w:r>
    </w:p>
    <w:p w:rsidR="00FC113F" w:rsidRPr="005B2844" w:rsidRDefault="00FC113F" w:rsidP="0072602F">
      <w:pPr>
        <w:rPr>
          <w:szCs w:val="22"/>
        </w:rPr>
      </w:pPr>
      <w:r w:rsidRPr="005B2844">
        <w:rPr>
          <w:szCs w:val="22"/>
        </w:rPr>
        <w:t xml:space="preserve">L’incidenza di tosse secca è risultata significativamente inferiore nei pazienti trattati con </w:t>
      </w:r>
      <w:proofErr w:type="spellStart"/>
      <w:r w:rsidRPr="005B2844">
        <w:rPr>
          <w:szCs w:val="22"/>
        </w:rPr>
        <w:t>telmisartan</w:t>
      </w:r>
      <w:proofErr w:type="spellEnd"/>
      <w:r w:rsidRPr="005B2844">
        <w:rPr>
          <w:szCs w:val="22"/>
        </w:rPr>
        <w:t xml:space="preserve"> che in quelli trattati con ACE inibitori negli studi clinici che hanno confrontato direttamente i due </w:t>
      </w:r>
      <w:r w:rsidR="006F476C" w:rsidRPr="005B2844">
        <w:rPr>
          <w:szCs w:val="22"/>
        </w:rPr>
        <w:t>medicinali</w:t>
      </w:r>
      <w:r w:rsidRPr="005B2844">
        <w:rPr>
          <w:szCs w:val="22"/>
        </w:rPr>
        <w:t>.</w:t>
      </w:r>
    </w:p>
    <w:p w:rsidR="00FC113F" w:rsidRPr="005B2844" w:rsidRDefault="00FC113F" w:rsidP="0072602F">
      <w:pPr>
        <w:rPr>
          <w:szCs w:val="22"/>
        </w:rPr>
      </w:pPr>
    </w:p>
    <w:p w:rsidR="008C69A7" w:rsidRPr="005B2844" w:rsidRDefault="008C69A7" w:rsidP="009B38DE">
      <w:pPr>
        <w:keepNext/>
        <w:rPr>
          <w:szCs w:val="22"/>
        </w:rPr>
      </w:pPr>
      <w:r w:rsidRPr="005B2844">
        <w:rPr>
          <w:szCs w:val="22"/>
        </w:rPr>
        <w:t>Prevenzione cardiovascolare</w:t>
      </w:r>
    </w:p>
    <w:p w:rsidR="008C69A7" w:rsidRPr="005B2844" w:rsidRDefault="008C69A7" w:rsidP="008C69A7">
      <w:pPr>
        <w:rPr>
          <w:szCs w:val="22"/>
        </w:rPr>
      </w:pPr>
      <w:r w:rsidRPr="005B2844">
        <w:rPr>
          <w:szCs w:val="22"/>
        </w:rPr>
        <w:t>ONTARGET (</w:t>
      </w:r>
      <w:proofErr w:type="spellStart"/>
      <w:r w:rsidRPr="005B2844">
        <w:rPr>
          <w:szCs w:val="22"/>
        </w:rPr>
        <w:t>ONgoing</w:t>
      </w:r>
      <w:proofErr w:type="spellEnd"/>
      <w:r w:rsidRPr="005B2844">
        <w:rPr>
          <w:szCs w:val="22"/>
        </w:rPr>
        <w:t xml:space="preserve"> </w:t>
      </w:r>
      <w:proofErr w:type="spellStart"/>
      <w:r w:rsidRPr="005B2844">
        <w:rPr>
          <w:szCs w:val="22"/>
        </w:rPr>
        <w:t>Telmisartan</w:t>
      </w:r>
      <w:proofErr w:type="spellEnd"/>
      <w:r w:rsidRPr="005B2844">
        <w:rPr>
          <w:szCs w:val="22"/>
        </w:rPr>
        <w:t xml:space="preserve"> Alone and in Combination with </w:t>
      </w:r>
      <w:proofErr w:type="spellStart"/>
      <w:r w:rsidRPr="005B2844">
        <w:rPr>
          <w:szCs w:val="22"/>
        </w:rPr>
        <w:t>Ramipril</w:t>
      </w:r>
      <w:proofErr w:type="spellEnd"/>
      <w:r w:rsidRPr="005B2844">
        <w:rPr>
          <w:szCs w:val="22"/>
        </w:rPr>
        <w:t xml:space="preserve"> Global Endpoint Trial) ha confrontato gli effetti di </w:t>
      </w:r>
      <w:proofErr w:type="spellStart"/>
      <w:r w:rsidRPr="005B2844">
        <w:rPr>
          <w:szCs w:val="22"/>
        </w:rPr>
        <w:t>telmisartan</w:t>
      </w:r>
      <w:proofErr w:type="spellEnd"/>
      <w:r w:rsidRPr="005B2844">
        <w:rPr>
          <w:szCs w:val="22"/>
        </w:rPr>
        <w:t xml:space="preserve">, di </w:t>
      </w:r>
      <w:proofErr w:type="spellStart"/>
      <w:r w:rsidRPr="005B2844">
        <w:rPr>
          <w:szCs w:val="22"/>
        </w:rPr>
        <w:t>ramipril</w:t>
      </w:r>
      <w:proofErr w:type="spellEnd"/>
      <w:r w:rsidRPr="005B2844">
        <w:rPr>
          <w:szCs w:val="22"/>
        </w:rPr>
        <w:t xml:space="preserve"> e dell’associazione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sugli </w:t>
      </w:r>
      <w:proofErr w:type="spellStart"/>
      <w:r w:rsidRPr="005B2844">
        <w:rPr>
          <w:szCs w:val="22"/>
        </w:rPr>
        <w:t>outcome</w:t>
      </w:r>
      <w:proofErr w:type="spellEnd"/>
      <w:r w:rsidRPr="005B2844">
        <w:rPr>
          <w:szCs w:val="22"/>
        </w:rPr>
        <w:t xml:space="preserve"> cardiovascolari in 25620 pazienti di almeno 55 anni di età con una storia di coronaropatia, ictus, TIA, arteriopatia periferica o diabete mellito di tipo 2 associato ad un’evidenza di danno degli organi bersaglio (ad es. retinopatia, ipertrofia ventricolare sinistra, macro- o microalbuminuria), che rappresentano una popolazione a rischio di eventi cardiovascolari.</w:t>
      </w:r>
    </w:p>
    <w:p w:rsidR="008C69A7" w:rsidRPr="005B2844" w:rsidRDefault="008C69A7" w:rsidP="008C69A7">
      <w:pPr>
        <w:rPr>
          <w:szCs w:val="22"/>
        </w:rPr>
      </w:pPr>
    </w:p>
    <w:p w:rsidR="008C69A7" w:rsidRPr="005B2844" w:rsidRDefault="008C69A7" w:rsidP="008C69A7">
      <w:pPr>
        <w:rPr>
          <w:szCs w:val="22"/>
        </w:rPr>
      </w:pPr>
      <w:r w:rsidRPr="005B2844">
        <w:rPr>
          <w:szCs w:val="22"/>
        </w:rPr>
        <w:t xml:space="preserve">I pazienti sono stati randomizzati ad uno dei tre seguenti gruppi di trattamento: </w:t>
      </w:r>
      <w:proofErr w:type="spellStart"/>
      <w:r w:rsidRPr="005B2844">
        <w:rPr>
          <w:szCs w:val="22"/>
        </w:rPr>
        <w:t>telmisartan</w:t>
      </w:r>
      <w:proofErr w:type="spellEnd"/>
      <w:r w:rsidRPr="005B2844">
        <w:rPr>
          <w:szCs w:val="22"/>
        </w:rPr>
        <w:t xml:space="preserve"> 80 mg (n = 8542), </w:t>
      </w:r>
      <w:proofErr w:type="spellStart"/>
      <w:r w:rsidRPr="005B2844">
        <w:rPr>
          <w:szCs w:val="22"/>
        </w:rPr>
        <w:t>ramipril</w:t>
      </w:r>
      <w:proofErr w:type="spellEnd"/>
      <w:r w:rsidRPr="005B2844">
        <w:rPr>
          <w:szCs w:val="22"/>
        </w:rPr>
        <w:t xml:space="preserve"> 10 mg (n = 8576) o l’associazione di </w:t>
      </w:r>
      <w:proofErr w:type="spellStart"/>
      <w:r w:rsidRPr="005B2844">
        <w:rPr>
          <w:szCs w:val="22"/>
        </w:rPr>
        <w:t>telmisartan</w:t>
      </w:r>
      <w:proofErr w:type="spellEnd"/>
      <w:r w:rsidRPr="005B2844">
        <w:rPr>
          <w:szCs w:val="22"/>
        </w:rPr>
        <w:t xml:space="preserve"> 80 mg e </w:t>
      </w:r>
      <w:proofErr w:type="spellStart"/>
      <w:r w:rsidRPr="005B2844">
        <w:rPr>
          <w:szCs w:val="22"/>
        </w:rPr>
        <w:t>ramipril</w:t>
      </w:r>
      <w:proofErr w:type="spellEnd"/>
      <w:r w:rsidRPr="005B2844">
        <w:rPr>
          <w:szCs w:val="22"/>
        </w:rPr>
        <w:t xml:space="preserve"> 10 mg (n = 8502) e seguiti per un periodo di osservazione medio di 4,5 anni. </w:t>
      </w:r>
    </w:p>
    <w:p w:rsidR="008C69A7" w:rsidRPr="005B2844" w:rsidRDefault="008C69A7" w:rsidP="008C69A7">
      <w:pPr>
        <w:rPr>
          <w:szCs w:val="22"/>
        </w:rPr>
      </w:pPr>
    </w:p>
    <w:p w:rsidR="008C69A7" w:rsidRPr="005B2844" w:rsidRDefault="008C69A7" w:rsidP="008C69A7">
      <w:pPr>
        <w:rPr>
          <w:szCs w:val="22"/>
        </w:rPr>
      </w:pPr>
      <w:proofErr w:type="spellStart"/>
      <w:r w:rsidRPr="005B2844">
        <w:rPr>
          <w:szCs w:val="22"/>
        </w:rPr>
        <w:t>Telmisartan</w:t>
      </w:r>
      <w:proofErr w:type="spellEnd"/>
      <w:r w:rsidRPr="005B2844">
        <w:rPr>
          <w:szCs w:val="22"/>
        </w:rPr>
        <w:t xml:space="preserve"> ha mostrato un’efficacia simile a </w:t>
      </w:r>
      <w:proofErr w:type="spellStart"/>
      <w:r w:rsidRPr="005B2844">
        <w:rPr>
          <w:szCs w:val="22"/>
        </w:rPr>
        <w:t>ramipril</w:t>
      </w:r>
      <w:proofErr w:type="spellEnd"/>
      <w:r w:rsidRPr="005B2844">
        <w:rPr>
          <w:szCs w:val="22"/>
        </w:rPr>
        <w:t xml:space="preserve"> nel ridurre l’endpoint composito primario di morte cardiovascolare, infarto miocardico non fatale, ictus non fatale o ospedalizzazione per insufficienza cardiaca congestizia. L’incidenza dell’endpoint primario è stata simile nei gruppi di </w:t>
      </w:r>
      <w:proofErr w:type="spellStart"/>
      <w:r w:rsidRPr="005B2844">
        <w:rPr>
          <w:szCs w:val="22"/>
        </w:rPr>
        <w:t>telmisartan</w:t>
      </w:r>
      <w:proofErr w:type="spellEnd"/>
      <w:r w:rsidRPr="005B2844">
        <w:rPr>
          <w:szCs w:val="22"/>
        </w:rPr>
        <w:t xml:space="preserve"> (16,7 %) e </w:t>
      </w:r>
      <w:proofErr w:type="spellStart"/>
      <w:r w:rsidRPr="005B2844">
        <w:rPr>
          <w:szCs w:val="22"/>
        </w:rPr>
        <w:t>ramipril</w:t>
      </w:r>
      <w:proofErr w:type="spellEnd"/>
      <w:r w:rsidRPr="005B2844">
        <w:rPr>
          <w:szCs w:val="22"/>
        </w:rPr>
        <w:t xml:space="preserve"> (16,5 %). L’hazard ratio per </w:t>
      </w:r>
      <w:proofErr w:type="spellStart"/>
      <w:r w:rsidRPr="005B2844">
        <w:rPr>
          <w:szCs w:val="22"/>
        </w:rPr>
        <w:t>telmisartan</w:t>
      </w:r>
      <w:proofErr w:type="spellEnd"/>
      <w:r w:rsidRPr="005B2844">
        <w:rPr>
          <w:szCs w:val="22"/>
        </w:rPr>
        <w:t xml:space="preserve"> verso </w:t>
      </w:r>
      <w:proofErr w:type="spellStart"/>
      <w:r w:rsidRPr="005B2844">
        <w:rPr>
          <w:szCs w:val="22"/>
        </w:rPr>
        <w:t>ramipril</w:t>
      </w:r>
      <w:proofErr w:type="spellEnd"/>
      <w:r w:rsidRPr="005B2844">
        <w:rPr>
          <w:szCs w:val="22"/>
        </w:rPr>
        <w:t xml:space="preserve"> è stato 1,01 (97,5 % CI 0,93 – 1,10, p (non inferiorità) = 0,0019 con un margine di 1,13). L’incidenza di mortalità per tutte le cause è stata dell’11,6 % e dell’11,8 % nei pazienti trattati con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rispettivamente.</w:t>
      </w:r>
    </w:p>
    <w:p w:rsidR="008C69A7" w:rsidRPr="005B2844" w:rsidRDefault="008C69A7" w:rsidP="008C69A7">
      <w:pPr>
        <w:rPr>
          <w:szCs w:val="22"/>
        </w:rPr>
      </w:pPr>
    </w:p>
    <w:p w:rsidR="008C69A7" w:rsidRPr="005B2844" w:rsidRDefault="008C69A7" w:rsidP="008C69A7">
      <w:pPr>
        <w:rPr>
          <w:szCs w:val="22"/>
        </w:rPr>
      </w:pPr>
      <w:proofErr w:type="spellStart"/>
      <w:r w:rsidRPr="005B2844">
        <w:rPr>
          <w:szCs w:val="22"/>
        </w:rPr>
        <w:t>Telmisartan</w:t>
      </w:r>
      <w:proofErr w:type="spellEnd"/>
      <w:r w:rsidRPr="005B2844">
        <w:rPr>
          <w:szCs w:val="22"/>
        </w:rPr>
        <w:t xml:space="preserve"> è risultato essere efficace quanto </w:t>
      </w:r>
      <w:proofErr w:type="spellStart"/>
      <w:r w:rsidRPr="005B2844">
        <w:rPr>
          <w:szCs w:val="22"/>
        </w:rPr>
        <w:t>ramipril</w:t>
      </w:r>
      <w:proofErr w:type="spellEnd"/>
      <w:r w:rsidRPr="005B2844">
        <w:rPr>
          <w:szCs w:val="22"/>
        </w:rPr>
        <w:t xml:space="preserve"> nell’endpoint secondario </w:t>
      </w:r>
      <w:proofErr w:type="spellStart"/>
      <w:r w:rsidRPr="005B2844">
        <w:rPr>
          <w:szCs w:val="22"/>
        </w:rPr>
        <w:t>pre</w:t>
      </w:r>
      <w:proofErr w:type="spellEnd"/>
      <w:r w:rsidRPr="005B2844">
        <w:rPr>
          <w:szCs w:val="22"/>
        </w:rPr>
        <w:t xml:space="preserve">-specificato di morte cardiovascolare, infarto miocardico non fatale e ictus non fatale [0,99 (97,5 % CI 0,90 – 1,08), p (non inferiorità) = 0,0004], endpoint primario nello studio di riferimento HOPE (The Heart </w:t>
      </w:r>
      <w:proofErr w:type="spellStart"/>
      <w:r w:rsidRPr="005B2844">
        <w:rPr>
          <w:szCs w:val="22"/>
        </w:rPr>
        <w:t>Outcomes</w:t>
      </w:r>
      <w:proofErr w:type="spellEnd"/>
      <w:r w:rsidRPr="005B2844">
        <w:rPr>
          <w:szCs w:val="22"/>
        </w:rPr>
        <w:t xml:space="preserve"> Prevention Evaluation Study), che aveva valutato l’effetto di </w:t>
      </w:r>
      <w:proofErr w:type="spellStart"/>
      <w:r w:rsidRPr="005B2844">
        <w:rPr>
          <w:szCs w:val="22"/>
        </w:rPr>
        <w:t>ramipril</w:t>
      </w:r>
      <w:proofErr w:type="spellEnd"/>
      <w:r w:rsidRPr="005B2844">
        <w:rPr>
          <w:szCs w:val="22"/>
        </w:rPr>
        <w:t xml:space="preserve"> verso placebo. </w:t>
      </w:r>
    </w:p>
    <w:p w:rsidR="008C69A7" w:rsidRPr="005B2844" w:rsidRDefault="008C69A7" w:rsidP="008C69A7">
      <w:pPr>
        <w:rPr>
          <w:szCs w:val="22"/>
        </w:rPr>
      </w:pPr>
    </w:p>
    <w:p w:rsidR="008C69A7" w:rsidRPr="005B2844" w:rsidRDefault="008C69A7" w:rsidP="008C69A7">
      <w:pPr>
        <w:rPr>
          <w:szCs w:val="22"/>
        </w:rPr>
      </w:pPr>
      <w:r w:rsidRPr="005B2844">
        <w:rPr>
          <w:szCs w:val="22"/>
        </w:rPr>
        <w:t xml:space="preserve">TRANSCEND ha randomizzato i pazienti intolleranti agli ACE-I, con criteri di inclusione simili a quelli di ONTARGET, a ricevere </w:t>
      </w:r>
      <w:proofErr w:type="spellStart"/>
      <w:r w:rsidRPr="005B2844">
        <w:rPr>
          <w:szCs w:val="22"/>
        </w:rPr>
        <w:t>telmisartan</w:t>
      </w:r>
      <w:proofErr w:type="spellEnd"/>
      <w:r w:rsidRPr="005B2844">
        <w:rPr>
          <w:szCs w:val="22"/>
        </w:rPr>
        <w:t xml:space="preserve"> 80 mg (n=2954) o placebo (n=2972), entrambi somministrati in aggiunta ad una terapia standard. La durata media del follow up è stata di 4 anni e 8 mesi. Non è stata riscontrata una differenza statisticamente significativa nell’incidenza dell’endpoint composito primario (morte cardiovascolare, infarto miocardico non fatale, ictus non fatale o ospedalizzazione per insufficienza cardiaca congestizia) [15,7 % nel gruppo di </w:t>
      </w:r>
      <w:proofErr w:type="spellStart"/>
      <w:r w:rsidRPr="005B2844">
        <w:rPr>
          <w:szCs w:val="22"/>
        </w:rPr>
        <w:t>telmisartan</w:t>
      </w:r>
      <w:proofErr w:type="spellEnd"/>
      <w:r w:rsidRPr="005B2844">
        <w:rPr>
          <w:szCs w:val="22"/>
        </w:rPr>
        <w:t xml:space="preserve"> e 17,0 % nel gruppo del placebo con un hazard ratio di 0,92 (95 % CI 0,81 – 1,05, p = 0,22)]. E’ stato evidenziato un beneficio di </w:t>
      </w:r>
      <w:proofErr w:type="spellStart"/>
      <w:r w:rsidRPr="005B2844">
        <w:rPr>
          <w:szCs w:val="22"/>
        </w:rPr>
        <w:t>telmisartan</w:t>
      </w:r>
      <w:proofErr w:type="spellEnd"/>
      <w:r w:rsidRPr="005B2844">
        <w:rPr>
          <w:szCs w:val="22"/>
        </w:rPr>
        <w:t xml:space="preserve"> rispetto al placebo nell’endpoint composito secondario </w:t>
      </w:r>
      <w:proofErr w:type="spellStart"/>
      <w:r w:rsidRPr="005B2844">
        <w:rPr>
          <w:szCs w:val="22"/>
        </w:rPr>
        <w:t>pre</w:t>
      </w:r>
      <w:proofErr w:type="spellEnd"/>
      <w:r w:rsidRPr="005B2844">
        <w:rPr>
          <w:szCs w:val="22"/>
        </w:rPr>
        <w:t>-specificato di morte cardiovascolare, infarto miocardico non fatale e ictus non fatale [0,87 (95 % CI 0,76 – 1,00, p = 0,048)]. Non vi è stata evidenza di beneficio sulla mortalità cardiovascolare</w:t>
      </w:r>
      <w:r w:rsidRPr="005B2844" w:rsidDel="00501CD9">
        <w:rPr>
          <w:szCs w:val="22"/>
        </w:rPr>
        <w:t xml:space="preserve"> </w:t>
      </w:r>
      <w:r w:rsidRPr="005B2844">
        <w:rPr>
          <w:szCs w:val="22"/>
        </w:rPr>
        <w:t>(hazard ratio 1,03, 95 % CI 0,85 – 1,24).</w:t>
      </w:r>
    </w:p>
    <w:p w:rsidR="008C69A7" w:rsidRPr="005B2844" w:rsidRDefault="008C69A7" w:rsidP="008C69A7">
      <w:pPr>
        <w:rPr>
          <w:szCs w:val="22"/>
        </w:rPr>
      </w:pPr>
    </w:p>
    <w:p w:rsidR="008C69A7" w:rsidRPr="005B2844" w:rsidRDefault="008C69A7" w:rsidP="008C69A7">
      <w:pPr>
        <w:rPr>
          <w:szCs w:val="22"/>
        </w:rPr>
      </w:pPr>
      <w:r w:rsidRPr="005B2844">
        <w:rPr>
          <w:szCs w:val="22"/>
        </w:rPr>
        <w:t xml:space="preserve">Nei pazienti trattati con </w:t>
      </w:r>
      <w:proofErr w:type="spellStart"/>
      <w:r w:rsidRPr="005B2844">
        <w:rPr>
          <w:szCs w:val="22"/>
        </w:rPr>
        <w:t>telmisartan</w:t>
      </w:r>
      <w:proofErr w:type="spellEnd"/>
      <w:r w:rsidRPr="005B2844">
        <w:rPr>
          <w:szCs w:val="22"/>
        </w:rPr>
        <w:t xml:space="preserve"> sono stati riportati meno frequentemente tosse e angioedema rispetto ai pazienti trattati con </w:t>
      </w:r>
      <w:proofErr w:type="spellStart"/>
      <w:r w:rsidRPr="005B2844">
        <w:rPr>
          <w:szCs w:val="22"/>
        </w:rPr>
        <w:t>ramipril</w:t>
      </w:r>
      <w:proofErr w:type="spellEnd"/>
      <w:r w:rsidRPr="005B2844">
        <w:rPr>
          <w:szCs w:val="22"/>
        </w:rPr>
        <w:t xml:space="preserve">, mentre l’ipotensione è stata riportata più frequentemente con </w:t>
      </w:r>
      <w:proofErr w:type="spellStart"/>
      <w:r w:rsidRPr="005B2844">
        <w:rPr>
          <w:szCs w:val="22"/>
        </w:rPr>
        <w:t>telmisartan</w:t>
      </w:r>
      <w:proofErr w:type="spellEnd"/>
      <w:r w:rsidRPr="005B2844">
        <w:rPr>
          <w:szCs w:val="22"/>
        </w:rPr>
        <w:t xml:space="preserve">. </w:t>
      </w:r>
    </w:p>
    <w:p w:rsidR="008C69A7" w:rsidRPr="005B2844" w:rsidRDefault="008C69A7" w:rsidP="008C69A7">
      <w:pPr>
        <w:rPr>
          <w:szCs w:val="22"/>
        </w:rPr>
      </w:pPr>
    </w:p>
    <w:p w:rsidR="008C69A7" w:rsidRPr="005B2844" w:rsidRDefault="008C69A7" w:rsidP="008C69A7">
      <w:pPr>
        <w:rPr>
          <w:szCs w:val="22"/>
        </w:rPr>
      </w:pPr>
      <w:r w:rsidRPr="005B2844">
        <w:rPr>
          <w:szCs w:val="22"/>
        </w:rPr>
        <w:t xml:space="preserve">L’associazione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non ha aggiunto alcun beneficio rispetto a </w:t>
      </w:r>
      <w:proofErr w:type="spellStart"/>
      <w:r w:rsidRPr="005B2844">
        <w:rPr>
          <w:szCs w:val="22"/>
        </w:rPr>
        <w:t>ramipril</w:t>
      </w:r>
      <w:proofErr w:type="spellEnd"/>
      <w:r w:rsidRPr="005B2844">
        <w:rPr>
          <w:szCs w:val="22"/>
        </w:rPr>
        <w:t xml:space="preserve"> o </w:t>
      </w:r>
      <w:proofErr w:type="spellStart"/>
      <w:r w:rsidRPr="005B2844">
        <w:rPr>
          <w:szCs w:val="22"/>
        </w:rPr>
        <w:t>telmisartan</w:t>
      </w:r>
      <w:proofErr w:type="spellEnd"/>
      <w:r w:rsidRPr="005B2844">
        <w:rPr>
          <w:szCs w:val="22"/>
        </w:rPr>
        <w:t xml:space="preserve"> in monoterapia. La mortalità CV e la mortalità per tutte le cause sono state numericamente superiori con l’associazione. Inoltre, vi è stata un’incidenza significativamente superiore di </w:t>
      </w:r>
      <w:proofErr w:type="spellStart"/>
      <w:r w:rsidRPr="005B2844">
        <w:rPr>
          <w:szCs w:val="22"/>
        </w:rPr>
        <w:t>iperkaliemia</w:t>
      </w:r>
      <w:proofErr w:type="spellEnd"/>
      <w:r w:rsidRPr="005B2844">
        <w:rPr>
          <w:szCs w:val="22"/>
        </w:rPr>
        <w:t xml:space="preserve">, insufficienza renale, ipotensione e sincope nel braccio trattato con l’associazione. Pertanto l’utilizzo di un’associazione di </w:t>
      </w:r>
      <w:proofErr w:type="spellStart"/>
      <w:r w:rsidRPr="005B2844">
        <w:rPr>
          <w:szCs w:val="22"/>
        </w:rPr>
        <w:t>telmisartan</w:t>
      </w:r>
      <w:proofErr w:type="spellEnd"/>
      <w:r w:rsidRPr="005B2844">
        <w:rPr>
          <w:szCs w:val="22"/>
        </w:rPr>
        <w:t xml:space="preserve"> e </w:t>
      </w:r>
      <w:proofErr w:type="spellStart"/>
      <w:r w:rsidRPr="005B2844">
        <w:rPr>
          <w:szCs w:val="22"/>
        </w:rPr>
        <w:t>ramipril</w:t>
      </w:r>
      <w:proofErr w:type="spellEnd"/>
      <w:r w:rsidRPr="005B2844">
        <w:rPr>
          <w:szCs w:val="22"/>
        </w:rPr>
        <w:t xml:space="preserve"> non è raccomandato in questa popolazione di pazienti.</w:t>
      </w:r>
    </w:p>
    <w:p w:rsidR="008C69A7" w:rsidRPr="005B2844" w:rsidRDefault="008C69A7" w:rsidP="0072602F">
      <w:pPr>
        <w:rPr>
          <w:szCs w:val="22"/>
        </w:rPr>
      </w:pPr>
    </w:p>
    <w:p w:rsidR="00D45C87" w:rsidRPr="005B2844" w:rsidRDefault="00D45C87" w:rsidP="006C6068">
      <w:pPr>
        <w:rPr>
          <w:szCs w:val="22"/>
        </w:rPr>
      </w:pPr>
      <w:r w:rsidRPr="005B2844">
        <w:rPr>
          <w:szCs w:val="22"/>
        </w:rPr>
        <w:t xml:space="preserve">Nello studio “Prevention </w:t>
      </w:r>
      <w:proofErr w:type="spellStart"/>
      <w:r w:rsidRPr="005B2844">
        <w:rPr>
          <w:szCs w:val="22"/>
        </w:rPr>
        <w:t>Regimen</w:t>
      </w:r>
      <w:proofErr w:type="spellEnd"/>
      <w:r w:rsidRPr="005B2844">
        <w:rPr>
          <w:szCs w:val="22"/>
        </w:rPr>
        <w:t xml:space="preserve"> For </w:t>
      </w:r>
      <w:proofErr w:type="spellStart"/>
      <w:r w:rsidRPr="005B2844">
        <w:rPr>
          <w:szCs w:val="22"/>
        </w:rPr>
        <w:t>Effectively</w:t>
      </w:r>
      <w:proofErr w:type="spellEnd"/>
      <w:r w:rsidRPr="005B2844">
        <w:rPr>
          <w:szCs w:val="22"/>
        </w:rPr>
        <w:t xml:space="preserve"> </w:t>
      </w:r>
      <w:proofErr w:type="spellStart"/>
      <w:r w:rsidRPr="005B2844">
        <w:rPr>
          <w:szCs w:val="22"/>
        </w:rPr>
        <w:t>avoiding</w:t>
      </w:r>
      <w:proofErr w:type="spellEnd"/>
      <w:r w:rsidRPr="005B2844">
        <w:rPr>
          <w:szCs w:val="22"/>
        </w:rPr>
        <w:t xml:space="preserve"> Second </w:t>
      </w:r>
      <w:proofErr w:type="spellStart"/>
      <w:r w:rsidRPr="005B2844">
        <w:rPr>
          <w:szCs w:val="22"/>
        </w:rPr>
        <w:t>Strokes</w:t>
      </w:r>
      <w:proofErr w:type="spellEnd"/>
      <w:r w:rsidRPr="005B2844">
        <w:rPr>
          <w:szCs w:val="22"/>
        </w:rPr>
        <w:t>” (</w:t>
      </w:r>
      <w:proofErr w:type="spellStart"/>
      <w:r w:rsidRPr="005B2844">
        <w:rPr>
          <w:szCs w:val="22"/>
        </w:rPr>
        <w:t>PRoFESS</w:t>
      </w:r>
      <w:proofErr w:type="spellEnd"/>
      <w:r w:rsidRPr="005B2844">
        <w:rPr>
          <w:szCs w:val="22"/>
        </w:rPr>
        <w:t>) nei pazienti di almeno 50 anni che avevano recentemente avuto un</w:t>
      </w:r>
      <w:r w:rsidR="00E946C4" w:rsidRPr="005B2844">
        <w:rPr>
          <w:szCs w:val="22"/>
        </w:rPr>
        <w:t xml:space="preserve"> ictus</w:t>
      </w:r>
      <w:r w:rsidRPr="005B2844">
        <w:rPr>
          <w:szCs w:val="22"/>
        </w:rPr>
        <w:t xml:space="preserve"> è stata </w:t>
      </w:r>
      <w:r w:rsidR="00E946C4" w:rsidRPr="005B2844">
        <w:rPr>
          <w:szCs w:val="22"/>
        </w:rPr>
        <w:t>osservata</w:t>
      </w:r>
      <w:r w:rsidRPr="005B2844">
        <w:rPr>
          <w:szCs w:val="22"/>
        </w:rPr>
        <w:t xml:space="preserve"> un’</w:t>
      </w:r>
      <w:r w:rsidR="003941C4" w:rsidRPr="005B2844">
        <w:rPr>
          <w:szCs w:val="22"/>
        </w:rPr>
        <w:t xml:space="preserve">aumentata </w:t>
      </w:r>
      <w:r w:rsidRPr="005B2844">
        <w:rPr>
          <w:szCs w:val="22"/>
        </w:rPr>
        <w:t xml:space="preserve">incidenza di sepsi con </w:t>
      </w:r>
      <w:proofErr w:type="spellStart"/>
      <w:r w:rsidRPr="005B2844">
        <w:rPr>
          <w:szCs w:val="22"/>
        </w:rPr>
        <w:t>telmi</w:t>
      </w:r>
      <w:r w:rsidR="008A2C19" w:rsidRPr="005B2844">
        <w:rPr>
          <w:szCs w:val="22"/>
        </w:rPr>
        <w:t>sartan</w:t>
      </w:r>
      <w:proofErr w:type="spellEnd"/>
      <w:r w:rsidR="008A2C19" w:rsidRPr="005B2844">
        <w:rPr>
          <w:szCs w:val="22"/>
        </w:rPr>
        <w:t xml:space="preserve"> rispetto a placebo, 0,70% verso 0,49</w:t>
      </w:r>
      <w:r w:rsidRPr="005B2844">
        <w:rPr>
          <w:szCs w:val="22"/>
        </w:rPr>
        <w:t>% [RR 1,4</w:t>
      </w:r>
      <w:r w:rsidR="008A2C19" w:rsidRPr="005B2844">
        <w:rPr>
          <w:szCs w:val="22"/>
        </w:rPr>
        <w:t>3 (95</w:t>
      </w:r>
      <w:r w:rsidRPr="005B2844">
        <w:rPr>
          <w:szCs w:val="22"/>
        </w:rPr>
        <w:t>%</w:t>
      </w:r>
      <w:r w:rsidR="003941C4" w:rsidRPr="005B2844">
        <w:rPr>
          <w:szCs w:val="22"/>
        </w:rPr>
        <w:t xml:space="preserve"> </w:t>
      </w:r>
      <w:r w:rsidRPr="005B2844">
        <w:rPr>
          <w:szCs w:val="22"/>
        </w:rPr>
        <w:t>intervallo di confidenza 1,00 – 2,06)]; l’incidenza dei casi fatali di sepsi era aumentata per i pazienti in tr</w:t>
      </w:r>
      <w:r w:rsidR="008A2C19" w:rsidRPr="005B2844">
        <w:rPr>
          <w:szCs w:val="22"/>
        </w:rPr>
        <w:t xml:space="preserve">attamento con </w:t>
      </w:r>
      <w:proofErr w:type="spellStart"/>
      <w:r w:rsidR="008A2C19" w:rsidRPr="005B2844">
        <w:rPr>
          <w:szCs w:val="22"/>
        </w:rPr>
        <w:t>telmisartan</w:t>
      </w:r>
      <w:proofErr w:type="spellEnd"/>
      <w:r w:rsidR="008A2C19" w:rsidRPr="005B2844">
        <w:rPr>
          <w:szCs w:val="22"/>
        </w:rPr>
        <w:t xml:space="preserve"> (0,33</w:t>
      </w:r>
      <w:r w:rsidRPr="005B2844">
        <w:rPr>
          <w:szCs w:val="22"/>
        </w:rPr>
        <w:t>%) rispetto ai pazienti i</w:t>
      </w:r>
      <w:r w:rsidR="008A2C19" w:rsidRPr="005B2844">
        <w:rPr>
          <w:szCs w:val="22"/>
        </w:rPr>
        <w:t>n trattamento con placebo (0,16</w:t>
      </w:r>
      <w:r w:rsidRPr="005B2844">
        <w:rPr>
          <w:szCs w:val="22"/>
        </w:rPr>
        <w:t>%)</w:t>
      </w:r>
      <w:r w:rsidR="003941C4" w:rsidRPr="005B2844">
        <w:rPr>
          <w:szCs w:val="22"/>
        </w:rPr>
        <w:t xml:space="preserve"> </w:t>
      </w:r>
      <w:r w:rsidR="008A2C19" w:rsidRPr="005B2844">
        <w:rPr>
          <w:szCs w:val="22"/>
        </w:rPr>
        <w:t>[RR 2,07 (95</w:t>
      </w:r>
      <w:r w:rsidRPr="005B2844">
        <w:rPr>
          <w:szCs w:val="22"/>
        </w:rPr>
        <w:t>%</w:t>
      </w:r>
      <w:r w:rsidR="00821CDD" w:rsidRPr="005B2844">
        <w:rPr>
          <w:szCs w:val="22"/>
        </w:rPr>
        <w:t xml:space="preserve"> </w:t>
      </w:r>
      <w:r w:rsidRPr="005B2844">
        <w:rPr>
          <w:szCs w:val="22"/>
        </w:rPr>
        <w:t>intervallo di confidenza 1,14 – 3,76)]. L’</w:t>
      </w:r>
      <w:r w:rsidR="003941C4" w:rsidRPr="005B2844">
        <w:rPr>
          <w:szCs w:val="22"/>
        </w:rPr>
        <w:t>aumentata</w:t>
      </w:r>
      <w:r w:rsidRPr="005B2844">
        <w:rPr>
          <w:szCs w:val="22"/>
        </w:rPr>
        <w:t xml:space="preserve"> incidenza </w:t>
      </w:r>
      <w:r w:rsidR="00E946C4" w:rsidRPr="005B2844">
        <w:rPr>
          <w:szCs w:val="22"/>
        </w:rPr>
        <w:t xml:space="preserve">di sepsi </w:t>
      </w:r>
      <w:r w:rsidRPr="005B2844">
        <w:rPr>
          <w:szCs w:val="22"/>
        </w:rPr>
        <w:t xml:space="preserve">osservata </w:t>
      </w:r>
      <w:r w:rsidR="00E946C4" w:rsidRPr="005B2844">
        <w:rPr>
          <w:szCs w:val="22"/>
        </w:rPr>
        <w:t xml:space="preserve">in </w:t>
      </w:r>
      <w:r w:rsidRPr="005B2844">
        <w:rPr>
          <w:szCs w:val="22"/>
        </w:rPr>
        <w:t>associa</w:t>
      </w:r>
      <w:r w:rsidR="00E946C4" w:rsidRPr="005B2844">
        <w:rPr>
          <w:szCs w:val="22"/>
        </w:rPr>
        <w:t>zione</w:t>
      </w:r>
      <w:r w:rsidRPr="005B2844">
        <w:rPr>
          <w:szCs w:val="22"/>
        </w:rPr>
        <w:t xml:space="preserve"> all’uso di </w:t>
      </w:r>
      <w:proofErr w:type="spellStart"/>
      <w:r w:rsidRPr="005B2844">
        <w:rPr>
          <w:szCs w:val="22"/>
        </w:rPr>
        <w:t>telmisartan</w:t>
      </w:r>
      <w:proofErr w:type="spellEnd"/>
      <w:r w:rsidRPr="005B2844">
        <w:rPr>
          <w:szCs w:val="22"/>
        </w:rPr>
        <w:t xml:space="preserve"> può essere un risultato </w:t>
      </w:r>
      <w:r w:rsidR="003941C4" w:rsidRPr="005B2844">
        <w:rPr>
          <w:szCs w:val="22"/>
        </w:rPr>
        <w:t xml:space="preserve">casuale </w:t>
      </w:r>
      <w:r w:rsidRPr="005B2844">
        <w:rPr>
          <w:szCs w:val="22"/>
        </w:rPr>
        <w:t>o correlato ad un meccanismo attualmente sconosciuto.</w:t>
      </w:r>
    </w:p>
    <w:p w:rsidR="00D45C87" w:rsidRPr="005B2844" w:rsidRDefault="00D45C87" w:rsidP="0072602F">
      <w:pPr>
        <w:rPr>
          <w:szCs w:val="22"/>
        </w:rPr>
      </w:pPr>
    </w:p>
    <w:p w:rsidR="00E7657F" w:rsidRPr="005B2844" w:rsidRDefault="00E7657F" w:rsidP="00E7657F">
      <w:pPr>
        <w:suppressAutoHyphens/>
        <w:rPr>
          <w:szCs w:val="22"/>
        </w:rPr>
      </w:pPr>
      <w:r w:rsidRPr="005B2844">
        <w:rPr>
          <w:szCs w:val="22"/>
        </w:rPr>
        <w:t>Due grandi studi randomizzati e controllati (ONTARGET (</w:t>
      </w:r>
      <w:proofErr w:type="spellStart"/>
      <w:r w:rsidRPr="005B2844">
        <w:rPr>
          <w:szCs w:val="22"/>
        </w:rPr>
        <w:t>ONgoing</w:t>
      </w:r>
      <w:proofErr w:type="spellEnd"/>
      <w:r w:rsidRPr="005B2844">
        <w:rPr>
          <w:szCs w:val="22"/>
        </w:rPr>
        <w:t xml:space="preserve"> </w:t>
      </w:r>
      <w:proofErr w:type="spellStart"/>
      <w:r w:rsidRPr="005B2844">
        <w:rPr>
          <w:szCs w:val="22"/>
        </w:rPr>
        <w:t>Telmisartan</w:t>
      </w:r>
      <w:proofErr w:type="spellEnd"/>
      <w:r w:rsidRPr="005B2844">
        <w:rPr>
          <w:szCs w:val="22"/>
        </w:rPr>
        <w:t xml:space="preserve"> Alone and in combination with </w:t>
      </w:r>
      <w:proofErr w:type="spellStart"/>
      <w:r w:rsidRPr="005B2844">
        <w:rPr>
          <w:szCs w:val="22"/>
        </w:rPr>
        <w:t>Ramipril</w:t>
      </w:r>
      <w:proofErr w:type="spellEnd"/>
      <w:r w:rsidRPr="005B2844">
        <w:rPr>
          <w:szCs w:val="22"/>
        </w:rPr>
        <w:t xml:space="preserve"> Global Endpoint Trial) e VA </w:t>
      </w:r>
      <w:proofErr w:type="spellStart"/>
      <w:r w:rsidRPr="005B2844">
        <w:rPr>
          <w:szCs w:val="22"/>
        </w:rPr>
        <w:t>Nephron</w:t>
      </w:r>
      <w:proofErr w:type="spellEnd"/>
      <w:r w:rsidRPr="005B2844">
        <w:rPr>
          <w:szCs w:val="22"/>
        </w:rPr>
        <w:t xml:space="preserve">-D (The </w:t>
      </w:r>
      <w:proofErr w:type="spellStart"/>
      <w:r w:rsidRPr="005B2844">
        <w:rPr>
          <w:szCs w:val="22"/>
        </w:rPr>
        <w:t>Veterans</w:t>
      </w:r>
      <w:proofErr w:type="spellEnd"/>
      <w:r w:rsidRPr="005B2844">
        <w:rPr>
          <w:szCs w:val="22"/>
        </w:rPr>
        <w:t xml:space="preserve"> Affairs </w:t>
      </w:r>
      <w:proofErr w:type="spellStart"/>
      <w:r w:rsidRPr="005B2844">
        <w:rPr>
          <w:szCs w:val="22"/>
        </w:rPr>
        <w:t>Nephropathy</w:t>
      </w:r>
      <w:proofErr w:type="spellEnd"/>
      <w:r w:rsidRPr="005B2844">
        <w:rPr>
          <w:szCs w:val="22"/>
        </w:rPr>
        <w:t xml:space="preserve"> in </w:t>
      </w:r>
      <w:proofErr w:type="spellStart"/>
      <w:r w:rsidRPr="005B2844">
        <w:rPr>
          <w:szCs w:val="22"/>
        </w:rPr>
        <w:t>Diabetes</w:t>
      </w:r>
      <w:proofErr w:type="spellEnd"/>
      <w:r w:rsidRPr="005B2844">
        <w:rPr>
          <w:szCs w:val="22"/>
        </w:rPr>
        <w:t>)) hanno esaminato l’uso della combinazione di un ACE-inibitore con un antagonista del recettore dell’angiotensina II.</w:t>
      </w:r>
    </w:p>
    <w:p w:rsidR="00E7657F" w:rsidRPr="005B2844" w:rsidRDefault="00E7657F" w:rsidP="00E7657F">
      <w:pPr>
        <w:suppressAutoHyphens/>
        <w:rPr>
          <w:szCs w:val="22"/>
        </w:rPr>
      </w:pPr>
      <w:r w:rsidRPr="005B2844">
        <w:rPr>
          <w:szCs w:val="22"/>
        </w:rPr>
        <w:t>ONTARGET è stato uno studio condotto in pazienti con anamnesi di patologia cardiovascolare o cerebrovascolare, o diabete mellito tipo 2 associato all’evidenza di danno d’organo. Per informazioni più dettagliate vedere sopra alla voce “Prevenzione cardiovascolare”.</w:t>
      </w:r>
    </w:p>
    <w:p w:rsidR="00E7657F" w:rsidRPr="005B2844" w:rsidRDefault="00E7657F" w:rsidP="00E7657F">
      <w:pPr>
        <w:suppressAutoHyphens/>
        <w:rPr>
          <w:szCs w:val="22"/>
        </w:rPr>
      </w:pPr>
      <w:r w:rsidRPr="005B2844">
        <w:rPr>
          <w:szCs w:val="22"/>
        </w:rPr>
        <w:t>VA NEPHRON-D è stato uno studio condotto in pazienti con diabete mellito tipo 2 e nefropatia diabetica.</w:t>
      </w:r>
    </w:p>
    <w:p w:rsidR="00E7657F" w:rsidRPr="005B2844" w:rsidRDefault="00E7657F" w:rsidP="00E7657F">
      <w:pPr>
        <w:suppressAutoHyphens/>
        <w:rPr>
          <w:szCs w:val="22"/>
        </w:rPr>
      </w:pPr>
      <w:r w:rsidRPr="005B2844">
        <w:rPr>
          <w:szCs w:val="22"/>
        </w:rPr>
        <w:t xml:space="preserve">Questi studi non hanno dimostrato alcun significativo effetto benefico sugli esiti e sulla mortalità renale e/o cardiovascolare, mentre è stato osservato un aumento del rischio di </w:t>
      </w:r>
      <w:proofErr w:type="spellStart"/>
      <w:r w:rsidRPr="005B2844">
        <w:rPr>
          <w:szCs w:val="22"/>
        </w:rPr>
        <w:t>iperpotassiemia</w:t>
      </w:r>
      <w:proofErr w:type="spellEnd"/>
      <w:r w:rsidRPr="005B2844">
        <w:rPr>
          <w:szCs w:val="22"/>
        </w:rPr>
        <w:t>, danno renale acuto e/o ipotensione rispetto alla monoterapia. Questi risultati sono pertinenti anche per gli altri ACE-inibitori e per gli antagonisti del recettore dell’angiotensina II, date le loro simili proprietà farmacodinamiche.</w:t>
      </w:r>
    </w:p>
    <w:p w:rsidR="00E7657F" w:rsidRPr="005B2844" w:rsidRDefault="00E7657F" w:rsidP="00E7657F">
      <w:pPr>
        <w:suppressAutoHyphens/>
        <w:rPr>
          <w:szCs w:val="22"/>
        </w:rPr>
      </w:pPr>
      <w:r w:rsidRPr="005B2844">
        <w:rPr>
          <w:szCs w:val="22"/>
        </w:rPr>
        <w:t>Gli ACE-inibitori e gli antagonisti del recettore dell’angiotensina II non devono quindi essere usati contemporaneamente in pazienti con nefropatia diabetica.</w:t>
      </w:r>
    </w:p>
    <w:p w:rsidR="00E7657F" w:rsidRPr="005B2844" w:rsidRDefault="00E7657F" w:rsidP="00E7657F">
      <w:pPr>
        <w:suppressAutoHyphens/>
        <w:rPr>
          <w:szCs w:val="22"/>
        </w:rPr>
      </w:pPr>
    </w:p>
    <w:p w:rsidR="00E7657F" w:rsidRPr="005B2844" w:rsidRDefault="00E7657F" w:rsidP="00E7657F">
      <w:pPr>
        <w:suppressAutoHyphens/>
        <w:rPr>
          <w:szCs w:val="22"/>
        </w:rPr>
      </w:pPr>
      <w:r w:rsidRPr="005B2844">
        <w:rPr>
          <w:szCs w:val="22"/>
        </w:rPr>
        <w:t>ALTITUDE (</w:t>
      </w:r>
      <w:proofErr w:type="spellStart"/>
      <w:r w:rsidRPr="005B2844">
        <w:rPr>
          <w:szCs w:val="22"/>
        </w:rPr>
        <w:t>Aliskiren</w:t>
      </w:r>
      <w:proofErr w:type="spellEnd"/>
      <w:r w:rsidRPr="005B2844">
        <w:rPr>
          <w:szCs w:val="22"/>
        </w:rPr>
        <w:t xml:space="preserve"> Trial in </w:t>
      </w:r>
      <w:proofErr w:type="spellStart"/>
      <w:r w:rsidRPr="005B2844">
        <w:rPr>
          <w:szCs w:val="22"/>
        </w:rPr>
        <w:t>Type</w:t>
      </w:r>
      <w:proofErr w:type="spellEnd"/>
      <w:r w:rsidRPr="005B2844">
        <w:rPr>
          <w:szCs w:val="22"/>
        </w:rPr>
        <w:t xml:space="preserve"> 2 </w:t>
      </w:r>
      <w:proofErr w:type="spellStart"/>
      <w:r w:rsidRPr="005B2844">
        <w:rPr>
          <w:szCs w:val="22"/>
        </w:rPr>
        <w:t>Diabetes</w:t>
      </w:r>
      <w:proofErr w:type="spellEnd"/>
      <w:r w:rsidRPr="005B2844">
        <w:rPr>
          <w:szCs w:val="22"/>
        </w:rPr>
        <w:t xml:space="preserve"> Using </w:t>
      </w:r>
      <w:proofErr w:type="spellStart"/>
      <w:r w:rsidRPr="005B2844">
        <w:rPr>
          <w:szCs w:val="22"/>
        </w:rPr>
        <w:t>Cardiovascular</w:t>
      </w:r>
      <w:proofErr w:type="spellEnd"/>
      <w:r w:rsidRPr="005B2844">
        <w:rPr>
          <w:szCs w:val="22"/>
        </w:rPr>
        <w:t xml:space="preserve"> and </w:t>
      </w:r>
      <w:proofErr w:type="spellStart"/>
      <w:r w:rsidRPr="005B2844">
        <w:rPr>
          <w:szCs w:val="22"/>
        </w:rPr>
        <w:t>Renal</w:t>
      </w:r>
      <w:proofErr w:type="spellEnd"/>
      <w:r w:rsidRPr="005B2844">
        <w:rPr>
          <w:szCs w:val="22"/>
        </w:rPr>
        <w:t xml:space="preserve"> Disease Endpoints) è stato uno studio volto a verificare il vantaggio di aggiungere </w:t>
      </w:r>
      <w:proofErr w:type="spellStart"/>
      <w:r w:rsidRPr="005B2844">
        <w:rPr>
          <w:szCs w:val="22"/>
        </w:rPr>
        <w:t>aliskiren</w:t>
      </w:r>
      <w:proofErr w:type="spellEnd"/>
      <w:r w:rsidRPr="005B2844">
        <w:rPr>
          <w:szCs w:val="22"/>
        </w:rPr>
        <w:t xml:space="preserve">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w:t>
      </w:r>
      <w:proofErr w:type="spellStart"/>
      <w:r w:rsidRPr="005B2844">
        <w:rPr>
          <w:szCs w:val="22"/>
        </w:rPr>
        <w:t>aliskiren</w:t>
      </w:r>
      <w:proofErr w:type="spellEnd"/>
      <w:r w:rsidRPr="005B2844">
        <w:rPr>
          <w:szCs w:val="22"/>
        </w:rPr>
        <w:t xml:space="preserve"> rispetto al gruppo placebo e gli eventi avversi e gli eventi avversi gravi di interesse (</w:t>
      </w:r>
      <w:proofErr w:type="spellStart"/>
      <w:r w:rsidRPr="005B2844">
        <w:rPr>
          <w:szCs w:val="22"/>
        </w:rPr>
        <w:t>iperpotassiemia</w:t>
      </w:r>
      <w:proofErr w:type="spellEnd"/>
      <w:r w:rsidRPr="005B2844">
        <w:rPr>
          <w:szCs w:val="22"/>
        </w:rPr>
        <w:t xml:space="preserve">, ipotensione e disfunzione renale) sono stati riportati più frequentemente nel gruppo </w:t>
      </w:r>
      <w:proofErr w:type="spellStart"/>
      <w:r w:rsidRPr="005B2844">
        <w:rPr>
          <w:szCs w:val="22"/>
        </w:rPr>
        <w:t>aliskiren</w:t>
      </w:r>
      <w:proofErr w:type="spellEnd"/>
      <w:r w:rsidRPr="005B2844">
        <w:rPr>
          <w:szCs w:val="22"/>
        </w:rPr>
        <w:t xml:space="preserve"> rispetto al gruppo placebo.</w:t>
      </w:r>
    </w:p>
    <w:p w:rsidR="00E7657F" w:rsidRPr="005B2844" w:rsidRDefault="00E7657F" w:rsidP="0072602F">
      <w:pPr>
        <w:rPr>
          <w:szCs w:val="22"/>
        </w:rPr>
      </w:pPr>
    </w:p>
    <w:p w:rsidR="00FC113F" w:rsidRPr="005B2844" w:rsidRDefault="00FC113F" w:rsidP="0072602F">
      <w:pPr>
        <w:rPr>
          <w:szCs w:val="22"/>
        </w:rPr>
      </w:pPr>
      <w:r w:rsidRPr="005B2844">
        <w:rPr>
          <w:szCs w:val="22"/>
        </w:rPr>
        <w:t>Studi epidemiologici hanno dimostrato che il trattamento a lungo termine con l’</w:t>
      </w:r>
      <w:proofErr w:type="spellStart"/>
      <w:r w:rsidRPr="005B2844">
        <w:rPr>
          <w:szCs w:val="22"/>
        </w:rPr>
        <w:t>idroclorotiazide</w:t>
      </w:r>
      <w:proofErr w:type="spellEnd"/>
      <w:r w:rsidRPr="005B2844">
        <w:rPr>
          <w:szCs w:val="22"/>
        </w:rPr>
        <w:t xml:space="preserve"> riduce il rischio di mortalità e morbilità cardiovascolare.</w:t>
      </w:r>
    </w:p>
    <w:p w:rsidR="00FC113F" w:rsidRPr="005B2844" w:rsidRDefault="00FC113F" w:rsidP="0072602F">
      <w:pPr>
        <w:rPr>
          <w:szCs w:val="22"/>
        </w:rPr>
      </w:pPr>
    </w:p>
    <w:p w:rsidR="00FC113F" w:rsidRPr="005B2844" w:rsidRDefault="00FC113F" w:rsidP="0072602F">
      <w:pPr>
        <w:rPr>
          <w:szCs w:val="22"/>
        </w:rPr>
      </w:pPr>
      <w:r w:rsidRPr="005B2844">
        <w:rPr>
          <w:szCs w:val="22"/>
        </w:rPr>
        <w:t xml:space="preserve">Gli effetti dell’associazione fissa </w:t>
      </w: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r w:rsidRPr="005B2844">
        <w:rPr>
          <w:szCs w:val="22"/>
        </w:rPr>
        <w:t xml:space="preserve"> sulla mortalità e sulla morbilità cardiovascolare sono attualmente sconosciuti.</w:t>
      </w:r>
    </w:p>
    <w:p w:rsidR="00FC113F" w:rsidRPr="005B2844" w:rsidRDefault="00FC113F" w:rsidP="0072602F">
      <w:pPr>
        <w:rPr>
          <w:szCs w:val="22"/>
        </w:rPr>
      </w:pPr>
    </w:p>
    <w:p w:rsidR="00263CA9" w:rsidRPr="005B2844" w:rsidRDefault="00263CA9" w:rsidP="00263CA9">
      <w:pPr>
        <w:keepNext/>
        <w:rPr>
          <w:szCs w:val="22"/>
        </w:rPr>
      </w:pPr>
      <w:r w:rsidRPr="005B2844">
        <w:rPr>
          <w:szCs w:val="22"/>
        </w:rPr>
        <w:t>Cancro cutaneo non melanoma</w:t>
      </w:r>
    </w:p>
    <w:p w:rsidR="00263CA9" w:rsidRPr="005B2844" w:rsidRDefault="00263CA9" w:rsidP="00F62E30">
      <w:pPr>
        <w:keepNext/>
        <w:rPr>
          <w:szCs w:val="22"/>
        </w:rPr>
      </w:pPr>
      <w:r w:rsidRPr="005B2844">
        <w:rPr>
          <w:szCs w:val="22"/>
        </w:rPr>
        <w:t xml:space="preserve">Sulla base dei dati disponibili provenienti da studi epidemiologici, è stata osservata un’associazione tra HCTZ e NMSC correlata alla dose </w:t>
      </w:r>
      <w:proofErr w:type="spellStart"/>
      <w:r w:rsidRPr="005B2844">
        <w:rPr>
          <w:szCs w:val="22"/>
        </w:rPr>
        <w:t>cumulativaassunta</w:t>
      </w:r>
      <w:proofErr w:type="spellEnd"/>
      <w:r w:rsidRPr="005B2844">
        <w:rPr>
          <w:szCs w:val="22"/>
        </w:rPr>
        <w:t xml:space="preserve"> Uno studio ha incluso </w:t>
      </w:r>
      <w:r w:rsidR="00F62E30">
        <w:rPr>
          <w:szCs w:val="22"/>
        </w:rPr>
        <w:t>una popolazione comprendente 71 </w:t>
      </w:r>
      <w:r w:rsidRPr="005B2844">
        <w:rPr>
          <w:szCs w:val="22"/>
        </w:rPr>
        <w:t>533 casi di BCC e 8</w:t>
      </w:r>
      <w:r w:rsidR="00F62E30">
        <w:rPr>
          <w:szCs w:val="22"/>
        </w:rPr>
        <w:t> </w:t>
      </w:r>
      <w:r w:rsidRPr="005B2844">
        <w:rPr>
          <w:szCs w:val="22"/>
        </w:rPr>
        <w:t>629 casi di SCC confrontati rispettivamente con 1</w:t>
      </w:r>
      <w:r w:rsidR="00F62E30">
        <w:rPr>
          <w:szCs w:val="22"/>
        </w:rPr>
        <w:t> </w:t>
      </w:r>
      <w:r w:rsidRPr="005B2844">
        <w:rPr>
          <w:szCs w:val="22"/>
        </w:rPr>
        <w:t>430</w:t>
      </w:r>
      <w:r w:rsidR="00F62E30">
        <w:rPr>
          <w:szCs w:val="22"/>
        </w:rPr>
        <w:t> </w:t>
      </w:r>
      <w:r w:rsidRPr="005B2844">
        <w:rPr>
          <w:szCs w:val="22"/>
        </w:rPr>
        <w:t>833 e 172</w:t>
      </w:r>
      <w:r w:rsidR="00F62E30">
        <w:rPr>
          <w:szCs w:val="22"/>
        </w:rPr>
        <w:t> </w:t>
      </w:r>
      <w:r w:rsidRPr="005B2844">
        <w:rPr>
          <w:szCs w:val="22"/>
        </w:rPr>
        <w:t>462 soggetti nella popolazione di controllo. Un elevato utilizzo di HCTZ (dose cumulativa ≥50</w:t>
      </w:r>
      <w:r w:rsidR="002A215B" w:rsidRPr="005B2844">
        <w:rPr>
          <w:szCs w:val="22"/>
        </w:rPr>
        <w:t> </w:t>
      </w:r>
      <w:r w:rsidRPr="005B2844">
        <w:rPr>
          <w:szCs w:val="22"/>
        </w:rPr>
        <w:t>000 mg) è stato associato a un OR (</w:t>
      </w:r>
      <w:proofErr w:type="spellStart"/>
      <w:r w:rsidRPr="005B2844">
        <w:rPr>
          <w:szCs w:val="22"/>
        </w:rPr>
        <w:t>odds</w:t>
      </w:r>
      <w:proofErr w:type="spellEnd"/>
      <w:r w:rsidRPr="005B2844">
        <w:rPr>
          <w:szCs w:val="22"/>
        </w:rPr>
        <w:t xml:space="preserve"> ratio) aggiustato per confondenti pari a 1,29 (95 % CI: 1,23-1,35) per il BCC e pari a 3,98 (95 % CI: 3,68-4,31) per l’SCC. È stata osservata un’evidente relazione tra dose cumulativa assunta e risposta sia per il BCC che per l’SCC. Un altro studio ha dimostrato una possibile associazione tra il cancro delle labbra (SCC) e l’esposizione all’HCTZ,: 633 casi di cancro delle labbra confrontati con 63</w:t>
      </w:r>
      <w:r w:rsidR="00F62E30">
        <w:rPr>
          <w:szCs w:val="22"/>
        </w:rPr>
        <w:t> </w:t>
      </w:r>
      <w:r w:rsidRPr="005B2844">
        <w:rPr>
          <w:szCs w:val="22"/>
        </w:rPr>
        <w:t>067 soggetti nella popolazione di controllo, utilizzando una strategia di campionamento dei soggetti a rischio (</w:t>
      </w:r>
      <w:r w:rsidRPr="005B2844">
        <w:rPr>
          <w:i/>
          <w:iCs/>
          <w:szCs w:val="22"/>
        </w:rPr>
        <w:t>risk-set sampling</w:t>
      </w:r>
      <w:r w:rsidRPr="005B2844">
        <w:rPr>
          <w:szCs w:val="22"/>
        </w:rPr>
        <w:t>). È stata dimostrata una relazione tra la risposta e la dose cumulativa con un OR aggiustato di 2,1 (95 % CI: 1,7-2,6), aumentato fino a 3,9 (3,0-4,9) in caso di un utilizzo elevato (~25</w:t>
      </w:r>
      <w:r w:rsidR="002A215B" w:rsidRPr="005B2844">
        <w:rPr>
          <w:szCs w:val="22"/>
        </w:rPr>
        <w:t> </w:t>
      </w:r>
      <w:r w:rsidRPr="005B2844">
        <w:rPr>
          <w:szCs w:val="22"/>
        </w:rPr>
        <w:t>000 mg) e fino a 7,7 (5,7- 10,5) con la massima dose cumulativa assunta (~100</w:t>
      </w:r>
      <w:r w:rsidR="002A215B" w:rsidRPr="005B2844">
        <w:rPr>
          <w:szCs w:val="22"/>
        </w:rPr>
        <w:t> </w:t>
      </w:r>
      <w:r w:rsidRPr="005B2844">
        <w:rPr>
          <w:szCs w:val="22"/>
        </w:rPr>
        <w:t>000 mg) (vedere anche il paragrafo </w:t>
      </w:r>
      <w:r w:rsidR="00377B0A" w:rsidRPr="005B2844">
        <w:rPr>
          <w:szCs w:val="22"/>
        </w:rPr>
        <w:t>4.4).</w:t>
      </w:r>
    </w:p>
    <w:p w:rsidR="00263CA9" w:rsidRPr="005B2844" w:rsidRDefault="00263CA9" w:rsidP="00263CA9">
      <w:pPr>
        <w:keepNext/>
        <w:rPr>
          <w:szCs w:val="22"/>
          <w:u w:val="single"/>
        </w:rPr>
      </w:pPr>
    </w:p>
    <w:p w:rsidR="00843B2F" w:rsidRPr="005B2844" w:rsidRDefault="00843B2F" w:rsidP="00263CA9">
      <w:pPr>
        <w:keepNext/>
        <w:rPr>
          <w:szCs w:val="22"/>
          <w:u w:val="single"/>
        </w:rPr>
      </w:pPr>
      <w:r w:rsidRPr="005B2844">
        <w:rPr>
          <w:szCs w:val="22"/>
          <w:u w:val="single"/>
        </w:rPr>
        <w:t>Popolazione pediatrica</w:t>
      </w:r>
    </w:p>
    <w:p w:rsidR="00F84023" w:rsidRPr="005B2844" w:rsidRDefault="00F84023" w:rsidP="0072602F">
      <w:pPr>
        <w:rPr>
          <w:szCs w:val="22"/>
        </w:rPr>
      </w:pPr>
      <w:r w:rsidRPr="005B2844">
        <w:rPr>
          <w:szCs w:val="22"/>
        </w:rPr>
        <w:t xml:space="preserve">L’Agenzia europea dei medicinali ha previsto l’esonero dall’obbligo di presentare i risultati degli studi con </w:t>
      </w:r>
      <w:proofErr w:type="spellStart"/>
      <w:r w:rsidRPr="005B2844">
        <w:rPr>
          <w:szCs w:val="22"/>
        </w:rPr>
        <w:t>MicardisPlus</w:t>
      </w:r>
      <w:proofErr w:type="spellEnd"/>
      <w:r w:rsidRPr="005B2844">
        <w:rPr>
          <w:szCs w:val="22"/>
        </w:rPr>
        <w:t xml:space="preserve"> in tutti i sottogruppi della popolazione pediatrica per l’ipertensione</w:t>
      </w:r>
      <w:r w:rsidRPr="005B2844">
        <w:rPr>
          <w:color w:val="008000"/>
          <w:szCs w:val="22"/>
        </w:rPr>
        <w:t xml:space="preserve"> </w:t>
      </w:r>
      <w:r w:rsidR="00042902" w:rsidRPr="005B2844">
        <w:rPr>
          <w:szCs w:val="22"/>
        </w:rPr>
        <w:t>(vedere paragrafo </w:t>
      </w:r>
      <w:r w:rsidRPr="005B2844">
        <w:rPr>
          <w:szCs w:val="22"/>
        </w:rPr>
        <w:t>4.2 per informazioni sull’uso pediatrico).</w:t>
      </w:r>
    </w:p>
    <w:p w:rsidR="00F84023" w:rsidRPr="005B2844" w:rsidRDefault="00F84023" w:rsidP="0072602F">
      <w:pPr>
        <w:rPr>
          <w:szCs w:val="22"/>
        </w:rPr>
      </w:pPr>
    </w:p>
    <w:p w:rsidR="00FC113F" w:rsidRPr="005B2844" w:rsidRDefault="00FC113F" w:rsidP="00126264">
      <w:pPr>
        <w:keepNext/>
        <w:tabs>
          <w:tab w:val="left" w:pos="567"/>
        </w:tabs>
        <w:rPr>
          <w:b/>
          <w:szCs w:val="22"/>
        </w:rPr>
      </w:pPr>
      <w:r w:rsidRPr="005B2844">
        <w:rPr>
          <w:b/>
          <w:szCs w:val="22"/>
        </w:rPr>
        <w:t>5.2</w:t>
      </w:r>
      <w:r w:rsidRPr="005B2844">
        <w:rPr>
          <w:b/>
          <w:szCs w:val="22"/>
        </w:rPr>
        <w:tab/>
        <w:t>Proprietà farmacocinetiche</w:t>
      </w:r>
    </w:p>
    <w:p w:rsidR="00FC113F" w:rsidRPr="005B2844" w:rsidRDefault="00FC113F" w:rsidP="00126264">
      <w:pPr>
        <w:keepNext/>
        <w:rPr>
          <w:szCs w:val="22"/>
        </w:rPr>
      </w:pPr>
    </w:p>
    <w:p w:rsidR="00FC113F" w:rsidRPr="005B2844" w:rsidRDefault="00FC113F" w:rsidP="0072602F">
      <w:pPr>
        <w:rPr>
          <w:szCs w:val="22"/>
        </w:rPr>
      </w:pPr>
      <w:r w:rsidRPr="005B2844">
        <w:rPr>
          <w:szCs w:val="22"/>
        </w:rPr>
        <w:t xml:space="preserve">La </w:t>
      </w:r>
      <w:r w:rsidR="00D54CEC" w:rsidRPr="005B2844">
        <w:rPr>
          <w:szCs w:val="22"/>
        </w:rPr>
        <w:t>somministrazione concomitante d</w:t>
      </w:r>
      <w:r w:rsidRPr="005B2844">
        <w:rPr>
          <w:szCs w:val="22"/>
        </w:rPr>
        <w:t xml:space="preserve">i </w:t>
      </w:r>
      <w:proofErr w:type="spellStart"/>
      <w:r w:rsidRPr="005B2844">
        <w:rPr>
          <w:szCs w:val="22"/>
        </w:rPr>
        <w:t>idroclorotiazide</w:t>
      </w:r>
      <w:proofErr w:type="spellEnd"/>
      <w:r w:rsidRPr="005B2844">
        <w:rPr>
          <w:szCs w:val="22"/>
        </w:rPr>
        <w:t xml:space="preserve"> e di </w:t>
      </w:r>
      <w:proofErr w:type="spellStart"/>
      <w:r w:rsidRPr="005B2844">
        <w:rPr>
          <w:szCs w:val="22"/>
        </w:rPr>
        <w:t>telmisartan</w:t>
      </w:r>
      <w:proofErr w:type="spellEnd"/>
      <w:r w:rsidRPr="005B2844">
        <w:rPr>
          <w:szCs w:val="22"/>
        </w:rPr>
        <w:t xml:space="preserve"> non ha effetti sulla farmacocinetica di ciascun</w:t>
      </w:r>
      <w:r w:rsidR="00AB476D" w:rsidRPr="005B2844">
        <w:rPr>
          <w:szCs w:val="22"/>
        </w:rPr>
        <w:t>a</w:t>
      </w:r>
      <w:r w:rsidRPr="005B2844">
        <w:rPr>
          <w:szCs w:val="22"/>
        </w:rPr>
        <w:t xml:space="preserve"> de</w:t>
      </w:r>
      <w:r w:rsidR="00AB476D" w:rsidRPr="005B2844">
        <w:rPr>
          <w:szCs w:val="22"/>
        </w:rPr>
        <w:t>lle</w:t>
      </w:r>
      <w:r w:rsidRPr="005B2844">
        <w:rPr>
          <w:szCs w:val="22"/>
        </w:rPr>
        <w:t xml:space="preserve"> due </w:t>
      </w:r>
      <w:r w:rsidR="00AB476D" w:rsidRPr="005B2844">
        <w:rPr>
          <w:szCs w:val="22"/>
        </w:rPr>
        <w:t xml:space="preserve">sostanze </w:t>
      </w:r>
      <w:r w:rsidRPr="005B2844">
        <w:rPr>
          <w:szCs w:val="22"/>
        </w:rPr>
        <w:t>nei soggetti sani.</w:t>
      </w:r>
    </w:p>
    <w:p w:rsidR="00FC113F" w:rsidRPr="005B2844" w:rsidRDefault="00FC113F" w:rsidP="0072602F">
      <w:pPr>
        <w:rPr>
          <w:szCs w:val="22"/>
        </w:rPr>
      </w:pPr>
    </w:p>
    <w:p w:rsidR="0000752B" w:rsidRPr="005B2844" w:rsidRDefault="00FC113F" w:rsidP="00126264">
      <w:pPr>
        <w:pStyle w:val="BodyText20"/>
        <w:keepNext/>
        <w:spacing w:line="240" w:lineRule="auto"/>
        <w:jc w:val="left"/>
        <w:rPr>
          <w:szCs w:val="22"/>
        </w:rPr>
      </w:pPr>
      <w:r w:rsidRPr="005B2844">
        <w:rPr>
          <w:szCs w:val="22"/>
          <w:u w:val="single"/>
        </w:rPr>
        <w:t>Assorbimento</w:t>
      </w:r>
    </w:p>
    <w:p w:rsidR="00FC113F" w:rsidRPr="005B2844" w:rsidRDefault="00FC113F" w:rsidP="0072602F">
      <w:pPr>
        <w:pStyle w:val="BodyText20"/>
        <w:spacing w:line="240" w:lineRule="auto"/>
        <w:jc w:val="left"/>
        <w:rPr>
          <w:szCs w:val="22"/>
        </w:rPr>
      </w:pPr>
      <w:proofErr w:type="spellStart"/>
      <w:r w:rsidRPr="005B2844">
        <w:rPr>
          <w:szCs w:val="22"/>
        </w:rPr>
        <w:t>Telmisartan</w:t>
      </w:r>
      <w:proofErr w:type="spellEnd"/>
      <w:r w:rsidRPr="005B2844">
        <w:rPr>
          <w:szCs w:val="22"/>
        </w:rPr>
        <w:t xml:space="preserve">: </w:t>
      </w:r>
      <w:r w:rsidR="0089131A" w:rsidRPr="005B2844">
        <w:rPr>
          <w:szCs w:val="22"/>
        </w:rPr>
        <w:t>D</w:t>
      </w:r>
      <w:r w:rsidRPr="005B2844">
        <w:rPr>
          <w:szCs w:val="22"/>
        </w:rPr>
        <w:t xml:space="preserve">opo somministrazione orale le concentrazioni massime di </w:t>
      </w:r>
      <w:proofErr w:type="spellStart"/>
      <w:r w:rsidRPr="005B2844">
        <w:rPr>
          <w:szCs w:val="22"/>
        </w:rPr>
        <w:t>telmisartan</w:t>
      </w:r>
      <w:proofErr w:type="spellEnd"/>
      <w:r w:rsidRPr="005B2844">
        <w:rPr>
          <w:szCs w:val="22"/>
        </w:rPr>
        <w:t xml:space="preserve"> sono raggiunte in 0,5-1,5 ore. La biodisponibilità assoluta di dosi di </w:t>
      </w:r>
      <w:proofErr w:type="spellStart"/>
      <w:r w:rsidRPr="005B2844">
        <w:rPr>
          <w:szCs w:val="22"/>
        </w:rPr>
        <w:t>telmisartan</w:t>
      </w:r>
      <w:proofErr w:type="spellEnd"/>
      <w:r w:rsidRPr="005B2844">
        <w:rPr>
          <w:szCs w:val="22"/>
        </w:rPr>
        <w:t xml:space="preserve"> pari a 40 mg e </w:t>
      </w:r>
      <w:r w:rsidR="008A2C19" w:rsidRPr="005B2844">
        <w:rPr>
          <w:szCs w:val="22"/>
        </w:rPr>
        <w:t>160 mg è rispettivamente del 42% e del 58</w:t>
      </w:r>
      <w:r w:rsidRPr="005B2844">
        <w:rPr>
          <w:szCs w:val="22"/>
        </w:rPr>
        <w:t xml:space="preserve">%. Il cibo riduce lievemente la biodisponibilità di </w:t>
      </w:r>
      <w:proofErr w:type="spellStart"/>
      <w:r w:rsidRPr="005B2844">
        <w:rPr>
          <w:szCs w:val="22"/>
        </w:rPr>
        <w:t>telmisartan</w:t>
      </w:r>
      <w:proofErr w:type="spellEnd"/>
      <w:r w:rsidRPr="005B2844">
        <w:rPr>
          <w:szCs w:val="22"/>
        </w:rPr>
        <w:t>, con una riduzione dell’area sotto la curva delle concentrazioni plasmatich</w:t>
      </w:r>
      <w:r w:rsidR="008A2C19" w:rsidRPr="005B2844">
        <w:rPr>
          <w:szCs w:val="22"/>
        </w:rPr>
        <w:t>e/tempo (AUC) compresa tra il 6% con una dose di 40 mg e il 19</w:t>
      </w:r>
      <w:r w:rsidRPr="005B2844">
        <w:rPr>
          <w:szCs w:val="22"/>
        </w:rPr>
        <w:t xml:space="preserve">% circa con una dose di 160 mg. Entro 3 ore dalla somministrazione le concentrazioni plasmatiche risultano simili sia che il </w:t>
      </w:r>
      <w:proofErr w:type="spellStart"/>
      <w:r w:rsidRPr="005B2844">
        <w:rPr>
          <w:szCs w:val="22"/>
        </w:rPr>
        <w:t>telmisartan</w:t>
      </w:r>
      <w:proofErr w:type="spellEnd"/>
      <w:r w:rsidRPr="005B2844">
        <w:rPr>
          <w:szCs w:val="22"/>
        </w:rPr>
        <w:t xml:space="preserve"> venga assunto a digiuno che con un pasto. Non si ritiene che la lieve riduzione nell’AUC causi una riduzione dell’efficacia terapeutica. Il </w:t>
      </w:r>
      <w:proofErr w:type="spellStart"/>
      <w:r w:rsidRPr="005B2844">
        <w:rPr>
          <w:szCs w:val="22"/>
        </w:rPr>
        <w:t>telmisartan</w:t>
      </w:r>
      <w:proofErr w:type="spellEnd"/>
      <w:r w:rsidRPr="005B2844">
        <w:rPr>
          <w:szCs w:val="22"/>
        </w:rPr>
        <w:t xml:space="preserve"> a dosi ripetute non si accumula in modo significativo nel plasma.</w:t>
      </w:r>
    </w:p>
    <w:p w:rsidR="00FC113F" w:rsidRPr="005B2844" w:rsidRDefault="00FC113F" w:rsidP="0072602F">
      <w:pPr>
        <w:rPr>
          <w:szCs w:val="22"/>
        </w:rPr>
      </w:pPr>
      <w:proofErr w:type="spellStart"/>
      <w:r w:rsidRPr="005B2844">
        <w:rPr>
          <w:szCs w:val="22"/>
        </w:rPr>
        <w:t>Idroclorotiazide</w:t>
      </w:r>
      <w:proofErr w:type="spellEnd"/>
      <w:r w:rsidRPr="005B2844">
        <w:rPr>
          <w:szCs w:val="22"/>
        </w:rPr>
        <w:t>:</w:t>
      </w:r>
      <w:r w:rsidRPr="005B2844">
        <w:rPr>
          <w:i/>
          <w:szCs w:val="22"/>
        </w:rPr>
        <w:t xml:space="preserve"> </w:t>
      </w:r>
      <w:r w:rsidR="0089131A" w:rsidRPr="005B2844">
        <w:rPr>
          <w:szCs w:val="22"/>
        </w:rPr>
        <w:t>D</w:t>
      </w:r>
      <w:r w:rsidRPr="005B2844">
        <w:rPr>
          <w:szCs w:val="22"/>
        </w:rPr>
        <w:t xml:space="preserve">opo somministrazione orale di </w:t>
      </w:r>
      <w:proofErr w:type="spellStart"/>
      <w:r w:rsidRPr="005B2844">
        <w:rPr>
          <w:szCs w:val="22"/>
        </w:rPr>
        <w:t>MicardisPlus</w:t>
      </w:r>
      <w:proofErr w:type="spellEnd"/>
      <w:r w:rsidRPr="005B2844">
        <w:rPr>
          <w:szCs w:val="22"/>
        </w:rPr>
        <w:t xml:space="preserve"> le </w:t>
      </w:r>
      <w:r w:rsidR="00D54CEC" w:rsidRPr="005B2844">
        <w:rPr>
          <w:szCs w:val="22"/>
        </w:rPr>
        <w:t xml:space="preserve">concentrazioni massime di </w:t>
      </w:r>
      <w:proofErr w:type="spellStart"/>
      <w:r w:rsidR="00D54CEC" w:rsidRPr="005B2844">
        <w:rPr>
          <w:szCs w:val="22"/>
        </w:rPr>
        <w:t>idroc</w:t>
      </w:r>
      <w:r w:rsidRPr="005B2844">
        <w:rPr>
          <w:szCs w:val="22"/>
        </w:rPr>
        <w:t>lorotiazide</w:t>
      </w:r>
      <w:proofErr w:type="spellEnd"/>
      <w:r w:rsidRPr="005B2844">
        <w:rPr>
          <w:szCs w:val="22"/>
        </w:rPr>
        <w:t xml:space="preserve"> sono raggiunte in circa 1,0-3,0 ore. Sulla base dell’escrezione renale cumulativa di </w:t>
      </w:r>
      <w:proofErr w:type="spellStart"/>
      <w:r w:rsidRPr="005B2844">
        <w:rPr>
          <w:szCs w:val="22"/>
        </w:rPr>
        <w:t>idroclorotiazide</w:t>
      </w:r>
      <w:proofErr w:type="spellEnd"/>
      <w:r w:rsidRPr="005B2844">
        <w:rPr>
          <w:szCs w:val="22"/>
        </w:rPr>
        <w:t xml:space="preserve"> la bio</w:t>
      </w:r>
      <w:r w:rsidR="008A2C19" w:rsidRPr="005B2844">
        <w:rPr>
          <w:szCs w:val="22"/>
        </w:rPr>
        <w:t>disponibilità assoluta è del 60</w:t>
      </w:r>
      <w:r w:rsidRPr="005B2844">
        <w:rPr>
          <w:szCs w:val="22"/>
        </w:rPr>
        <w:t>% circa.</w:t>
      </w:r>
    </w:p>
    <w:p w:rsidR="00473C62" w:rsidRPr="005B2844" w:rsidRDefault="00473C62" w:rsidP="0072602F">
      <w:pPr>
        <w:rPr>
          <w:szCs w:val="22"/>
        </w:rPr>
      </w:pPr>
    </w:p>
    <w:p w:rsidR="0000752B" w:rsidRPr="005B2844" w:rsidRDefault="00FC113F" w:rsidP="00126264">
      <w:pPr>
        <w:pStyle w:val="BodyText20"/>
        <w:keepNext/>
        <w:spacing w:line="240" w:lineRule="auto"/>
        <w:rPr>
          <w:szCs w:val="22"/>
        </w:rPr>
      </w:pPr>
      <w:r w:rsidRPr="005B2844">
        <w:rPr>
          <w:szCs w:val="22"/>
          <w:u w:val="single"/>
        </w:rPr>
        <w:t>Distribuzione</w:t>
      </w:r>
    </w:p>
    <w:p w:rsidR="00FC113F" w:rsidRPr="005B2844" w:rsidRDefault="00FC113F" w:rsidP="0072602F">
      <w:pPr>
        <w:pStyle w:val="BodyText20"/>
        <w:spacing w:line="240" w:lineRule="auto"/>
        <w:rPr>
          <w:szCs w:val="22"/>
        </w:rPr>
      </w:pPr>
      <w:proofErr w:type="spellStart"/>
      <w:r w:rsidRPr="005B2844">
        <w:rPr>
          <w:szCs w:val="22"/>
        </w:rPr>
        <w:t>Telmisartan</w:t>
      </w:r>
      <w:proofErr w:type="spellEnd"/>
      <w:r w:rsidRPr="005B2844">
        <w:rPr>
          <w:szCs w:val="22"/>
        </w:rPr>
        <w:t xml:space="preserve"> si lega fortemente alle prote</w:t>
      </w:r>
      <w:r w:rsidR="008A2C19" w:rsidRPr="005B2844">
        <w:rPr>
          <w:szCs w:val="22"/>
        </w:rPr>
        <w:t>ine plasmatiche (&gt; 99,5</w:t>
      </w:r>
      <w:r w:rsidRPr="005B2844">
        <w:rPr>
          <w:szCs w:val="22"/>
        </w:rPr>
        <w:t xml:space="preserve">%), in particolare all’albumina e alla glicoproteina acida alfa-1. Il volume </w:t>
      </w:r>
      <w:r w:rsidR="00602094" w:rsidRPr="005B2844">
        <w:rPr>
          <w:szCs w:val="22"/>
        </w:rPr>
        <w:t>apparente</w:t>
      </w:r>
      <w:r w:rsidRPr="005B2844">
        <w:rPr>
          <w:szCs w:val="22"/>
        </w:rPr>
        <w:t xml:space="preserve"> di distribuzione per il </w:t>
      </w:r>
      <w:proofErr w:type="spellStart"/>
      <w:r w:rsidRPr="005B2844">
        <w:rPr>
          <w:szCs w:val="22"/>
        </w:rPr>
        <w:t>telmisartan</w:t>
      </w:r>
      <w:proofErr w:type="spellEnd"/>
      <w:r w:rsidRPr="005B2844">
        <w:rPr>
          <w:szCs w:val="22"/>
        </w:rPr>
        <w:t xml:space="preserve"> è di circa 500 l indicativo di un ulteriore legame tessutale.</w:t>
      </w:r>
    </w:p>
    <w:p w:rsidR="00FC113F" w:rsidRPr="005B2844" w:rsidRDefault="00FC113F" w:rsidP="0072602F">
      <w:pPr>
        <w:pStyle w:val="BodyText30"/>
        <w:widowControl/>
        <w:rPr>
          <w:szCs w:val="22"/>
          <w:lang w:val="it-IT"/>
        </w:rPr>
      </w:pPr>
      <w:proofErr w:type="spellStart"/>
      <w:r w:rsidRPr="005B2844">
        <w:rPr>
          <w:szCs w:val="22"/>
          <w:lang w:val="it-IT"/>
        </w:rPr>
        <w:t>Idr</w:t>
      </w:r>
      <w:r w:rsidR="008A2C19" w:rsidRPr="005B2844">
        <w:rPr>
          <w:szCs w:val="22"/>
          <w:lang w:val="it-IT"/>
        </w:rPr>
        <w:t>oclorotiazide</w:t>
      </w:r>
      <w:proofErr w:type="spellEnd"/>
      <w:r w:rsidR="008A2C19" w:rsidRPr="005B2844">
        <w:rPr>
          <w:szCs w:val="22"/>
          <w:lang w:val="it-IT"/>
        </w:rPr>
        <w:t xml:space="preserve"> si lega per il 68</w:t>
      </w:r>
      <w:r w:rsidRPr="005B2844">
        <w:rPr>
          <w:szCs w:val="22"/>
          <w:lang w:val="it-IT"/>
        </w:rPr>
        <w:t xml:space="preserve">% alle proteine plasmatiche e il suo volume </w:t>
      </w:r>
      <w:r w:rsidR="00602094" w:rsidRPr="005B2844">
        <w:rPr>
          <w:szCs w:val="22"/>
          <w:lang w:val="it-IT"/>
        </w:rPr>
        <w:t>apparente</w:t>
      </w:r>
      <w:r w:rsidRPr="005B2844">
        <w:rPr>
          <w:szCs w:val="22"/>
          <w:lang w:val="it-IT"/>
        </w:rPr>
        <w:t xml:space="preserve"> di distribuzione è 0,83-1,14  l/kg.</w:t>
      </w:r>
    </w:p>
    <w:p w:rsidR="00FC113F" w:rsidRPr="005B2844" w:rsidRDefault="00FC113F" w:rsidP="0072602F">
      <w:pPr>
        <w:rPr>
          <w:i/>
          <w:szCs w:val="22"/>
        </w:rPr>
      </w:pPr>
    </w:p>
    <w:p w:rsidR="001A49EA" w:rsidRPr="005B2844" w:rsidRDefault="00FC113F" w:rsidP="00126264">
      <w:pPr>
        <w:pStyle w:val="BodyText20"/>
        <w:keepNext/>
        <w:spacing w:line="240" w:lineRule="auto"/>
        <w:jc w:val="left"/>
        <w:rPr>
          <w:szCs w:val="22"/>
        </w:rPr>
      </w:pPr>
      <w:r w:rsidRPr="005B2844">
        <w:rPr>
          <w:szCs w:val="22"/>
          <w:u w:val="single"/>
        </w:rPr>
        <w:t>Biotrasformazione</w:t>
      </w:r>
    </w:p>
    <w:p w:rsidR="001A49EA" w:rsidRPr="005B2844" w:rsidRDefault="00FC113F" w:rsidP="00473C62">
      <w:pPr>
        <w:pStyle w:val="BodyText20"/>
        <w:spacing w:line="240" w:lineRule="auto"/>
        <w:jc w:val="left"/>
        <w:rPr>
          <w:szCs w:val="22"/>
        </w:rPr>
      </w:pPr>
      <w:r w:rsidRPr="005B2844">
        <w:rPr>
          <w:szCs w:val="22"/>
        </w:rPr>
        <w:t xml:space="preserve">Il </w:t>
      </w:r>
      <w:proofErr w:type="spellStart"/>
      <w:r w:rsidRPr="005B2844">
        <w:rPr>
          <w:szCs w:val="22"/>
        </w:rPr>
        <w:t>telmisartan</w:t>
      </w:r>
      <w:proofErr w:type="spellEnd"/>
      <w:r w:rsidRPr="005B2844">
        <w:rPr>
          <w:szCs w:val="22"/>
        </w:rPr>
        <w:t xml:space="preserve"> è metabolizzato mediante coniugazione che forma un </w:t>
      </w:r>
      <w:proofErr w:type="spellStart"/>
      <w:r w:rsidRPr="005B2844">
        <w:rPr>
          <w:szCs w:val="22"/>
        </w:rPr>
        <w:t>acilglucuronide</w:t>
      </w:r>
      <w:proofErr w:type="spellEnd"/>
      <w:r w:rsidRPr="005B2844">
        <w:rPr>
          <w:szCs w:val="22"/>
        </w:rPr>
        <w:t xml:space="preserve"> farmacologicamente inattivo. Il glucuronide del composto precursore è l’unico metabolita che è stato identificato nell’uomo. Dopo una dose singola di </w:t>
      </w:r>
      <w:proofErr w:type="spellStart"/>
      <w:r w:rsidRPr="005B2844">
        <w:rPr>
          <w:szCs w:val="22"/>
        </w:rPr>
        <w:t>telmisartan</w:t>
      </w:r>
      <w:proofErr w:type="spellEnd"/>
      <w:r w:rsidRPr="005B2844">
        <w:rPr>
          <w:szCs w:val="22"/>
        </w:rPr>
        <w:t xml:space="preserve"> marcato con </w:t>
      </w:r>
      <w:r w:rsidRPr="005B2844">
        <w:rPr>
          <w:szCs w:val="22"/>
          <w:vertAlign w:val="superscript"/>
        </w:rPr>
        <w:t>14</w:t>
      </w:r>
      <w:r w:rsidRPr="005B2844">
        <w:rPr>
          <w:szCs w:val="22"/>
        </w:rPr>
        <w:t>C il glu</w:t>
      </w:r>
      <w:r w:rsidR="008A2C19" w:rsidRPr="005B2844">
        <w:rPr>
          <w:szCs w:val="22"/>
        </w:rPr>
        <w:t>curonide rappresenta circa l’11</w:t>
      </w:r>
      <w:r w:rsidRPr="005B2844">
        <w:rPr>
          <w:szCs w:val="22"/>
        </w:rPr>
        <w:t xml:space="preserve">% della radioattività misurata nel plasma. Gli isoenzimi del citocromo P450 non sono coinvolti nel metabolismo del </w:t>
      </w:r>
      <w:proofErr w:type="spellStart"/>
      <w:r w:rsidRPr="005B2844">
        <w:rPr>
          <w:szCs w:val="22"/>
        </w:rPr>
        <w:t>telmisartan</w:t>
      </w:r>
      <w:proofErr w:type="spellEnd"/>
      <w:r w:rsidRPr="005B2844">
        <w:rPr>
          <w:szCs w:val="22"/>
        </w:rPr>
        <w:t xml:space="preserve">. </w:t>
      </w:r>
    </w:p>
    <w:p w:rsidR="00FC113F" w:rsidRPr="005B2844" w:rsidRDefault="001A49EA" w:rsidP="00473C62">
      <w:pPr>
        <w:pStyle w:val="BodyText20"/>
        <w:spacing w:line="240" w:lineRule="auto"/>
        <w:jc w:val="left"/>
        <w:rPr>
          <w:szCs w:val="22"/>
        </w:rPr>
      </w:pPr>
      <w:r w:rsidRPr="005B2844">
        <w:rPr>
          <w:szCs w:val="22"/>
        </w:rPr>
        <w:t>L’</w:t>
      </w:r>
      <w:proofErr w:type="spellStart"/>
      <w:r w:rsidRPr="005B2844">
        <w:rPr>
          <w:szCs w:val="22"/>
        </w:rPr>
        <w:t>idroclorotiazide</w:t>
      </w:r>
      <w:proofErr w:type="spellEnd"/>
      <w:r w:rsidRPr="005B2844">
        <w:rPr>
          <w:szCs w:val="22"/>
        </w:rPr>
        <w:t xml:space="preserve"> non è metabolizzata nell’uomo.</w:t>
      </w:r>
    </w:p>
    <w:p w:rsidR="001A49EA" w:rsidRPr="005B2844" w:rsidRDefault="001A49EA" w:rsidP="0072602F">
      <w:pPr>
        <w:rPr>
          <w:szCs w:val="22"/>
        </w:rPr>
      </w:pPr>
    </w:p>
    <w:p w:rsidR="001A49EA" w:rsidRPr="005B2844" w:rsidRDefault="001A49EA" w:rsidP="00126264">
      <w:pPr>
        <w:keepNext/>
        <w:rPr>
          <w:szCs w:val="22"/>
          <w:u w:val="single"/>
        </w:rPr>
      </w:pPr>
      <w:r w:rsidRPr="005B2844">
        <w:rPr>
          <w:szCs w:val="22"/>
          <w:u w:val="single"/>
        </w:rPr>
        <w:t>Eliminazione</w:t>
      </w:r>
    </w:p>
    <w:p w:rsidR="001A49EA" w:rsidRPr="005B2844" w:rsidRDefault="001A49EA" w:rsidP="001A49EA">
      <w:pPr>
        <w:rPr>
          <w:szCs w:val="22"/>
        </w:rPr>
      </w:pPr>
      <w:proofErr w:type="spellStart"/>
      <w:r w:rsidRPr="005B2844">
        <w:rPr>
          <w:szCs w:val="22"/>
        </w:rPr>
        <w:t>Telmisartan</w:t>
      </w:r>
      <w:proofErr w:type="spellEnd"/>
      <w:r w:rsidRPr="005B2844">
        <w:rPr>
          <w:szCs w:val="22"/>
        </w:rPr>
        <w:t xml:space="preserve">: </w:t>
      </w:r>
      <w:r w:rsidR="0089131A" w:rsidRPr="005B2844">
        <w:rPr>
          <w:szCs w:val="22"/>
        </w:rPr>
        <w:t>I</w:t>
      </w:r>
      <w:r w:rsidRPr="005B2844">
        <w:rPr>
          <w:szCs w:val="22"/>
        </w:rPr>
        <w:t xml:space="preserve">n seguito a somministrazione sia endovenosa che orale di </w:t>
      </w:r>
      <w:proofErr w:type="spellStart"/>
      <w:r w:rsidRPr="005B2844">
        <w:rPr>
          <w:szCs w:val="22"/>
        </w:rPr>
        <w:t>telmisartan</w:t>
      </w:r>
      <w:proofErr w:type="spellEnd"/>
      <w:r w:rsidRPr="005B2844">
        <w:rPr>
          <w:szCs w:val="22"/>
        </w:rPr>
        <w:t xml:space="preserve"> marcato con </w:t>
      </w:r>
      <w:r w:rsidRPr="005B2844">
        <w:rPr>
          <w:szCs w:val="22"/>
          <w:vertAlign w:val="superscript"/>
        </w:rPr>
        <w:t>14</w:t>
      </w:r>
      <w:r w:rsidRPr="005B2844">
        <w:rPr>
          <w:szCs w:val="22"/>
        </w:rPr>
        <w:t>C</w:t>
      </w:r>
      <w:r w:rsidRPr="005B2844">
        <w:rPr>
          <w:szCs w:val="22"/>
          <w:vertAlign w:val="superscript"/>
        </w:rPr>
        <w:t xml:space="preserve"> </w:t>
      </w:r>
      <w:r w:rsidRPr="005B2844">
        <w:rPr>
          <w:szCs w:val="22"/>
        </w:rPr>
        <w:t xml:space="preserve"> la maggior parte della dose somministrata (&gt; 97%) è stata eliminata nelle feci attraverso escrezione biliare. Solo piccole quantità sono state trovate nelle urine. La clearance plasmatica totale di </w:t>
      </w:r>
      <w:proofErr w:type="spellStart"/>
      <w:r w:rsidRPr="005B2844">
        <w:rPr>
          <w:szCs w:val="22"/>
        </w:rPr>
        <w:t>telmisartan</w:t>
      </w:r>
      <w:proofErr w:type="spellEnd"/>
      <w:r w:rsidRPr="005B2844">
        <w:rPr>
          <w:szCs w:val="22"/>
        </w:rPr>
        <w:t xml:space="preserve"> dopo somministrazione orale è &gt; 1.500 ml/min. L’emivita terminale di eliminazione è </w:t>
      </w:r>
      <w:r w:rsidR="0089131A" w:rsidRPr="005B2844">
        <w:rPr>
          <w:szCs w:val="22"/>
        </w:rPr>
        <w:t xml:space="preserve">stata </w:t>
      </w:r>
      <w:r w:rsidRPr="005B2844">
        <w:rPr>
          <w:szCs w:val="22"/>
        </w:rPr>
        <w:t>&gt;20 ore.</w:t>
      </w:r>
    </w:p>
    <w:p w:rsidR="00FC113F" w:rsidRPr="005B2844" w:rsidRDefault="001A49EA" w:rsidP="001A49EA">
      <w:pPr>
        <w:rPr>
          <w:szCs w:val="22"/>
        </w:rPr>
      </w:pPr>
      <w:r w:rsidRPr="005B2844">
        <w:rPr>
          <w:szCs w:val="22"/>
        </w:rPr>
        <w:t>L’</w:t>
      </w:r>
      <w:proofErr w:type="spellStart"/>
      <w:r w:rsidRPr="005B2844">
        <w:rPr>
          <w:szCs w:val="22"/>
        </w:rPr>
        <w:t>idroclorotiazide</w:t>
      </w:r>
      <w:proofErr w:type="spellEnd"/>
      <w:r w:rsidRPr="005B2844">
        <w:rPr>
          <w:szCs w:val="22"/>
        </w:rPr>
        <w:t xml:space="preserve"> è escreta quasi completamente immodificata nelle urine.</w:t>
      </w:r>
      <w:r w:rsidR="00133C7E" w:rsidRPr="005B2844">
        <w:rPr>
          <w:szCs w:val="22"/>
        </w:rPr>
        <w:t xml:space="preserve"> Circa il 60</w:t>
      </w:r>
      <w:r w:rsidR="00FC113F" w:rsidRPr="005B2844">
        <w:rPr>
          <w:szCs w:val="22"/>
        </w:rPr>
        <w:t>% della dose orale viene eliminata entro 48 ore. La clearance renale è circa 250-300  ml/min. L’emivita terminale di eliminazione dell’</w:t>
      </w:r>
      <w:proofErr w:type="spellStart"/>
      <w:r w:rsidR="00FC113F" w:rsidRPr="005B2844">
        <w:rPr>
          <w:szCs w:val="22"/>
        </w:rPr>
        <w:t>idroclorotiazide</w:t>
      </w:r>
      <w:proofErr w:type="spellEnd"/>
      <w:r w:rsidR="00FC113F" w:rsidRPr="005B2844">
        <w:rPr>
          <w:szCs w:val="22"/>
        </w:rPr>
        <w:t xml:space="preserve"> è 10-15 ore.</w:t>
      </w:r>
    </w:p>
    <w:p w:rsidR="00FC113F" w:rsidRPr="005B2844" w:rsidRDefault="00FC113F" w:rsidP="0072602F">
      <w:pPr>
        <w:rPr>
          <w:szCs w:val="22"/>
        </w:rPr>
      </w:pPr>
    </w:p>
    <w:p w:rsidR="00F84023" w:rsidRPr="005B2844" w:rsidRDefault="00F84023" w:rsidP="000709BC">
      <w:pPr>
        <w:keepNext/>
        <w:rPr>
          <w:szCs w:val="22"/>
          <w:u w:val="single"/>
        </w:rPr>
      </w:pPr>
      <w:r w:rsidRPr="005B2844">
        <w:rPr>
          <w:szCs w:val="22"/>
          <w:u w:val="single"/>
        </w:rPr>
        <w:t>Linearità/Non linearità</w:t>
      </w:r>
    </w:p>
    <w:p w:rsidR="00F84023" w:rsidRPr="005B2844" w:rsidRDefault="00F84023" w:rsidP="005E749A">
      <w:pPr>
        <w:rPr>
          <w:szCs w:val="22"/>
        </w:rPr>
      </w:pPr>
      <w:proofErr w:type="spellStart"/>
      <w:r w:rsidRPr="005B2844">
        <w:rPr>
          <w:szCs w:val="22"/>
        </w:rPr>
        <w:t>Telmisartan</w:t>
      </w:r>
      <w:proofErr w:type="spellEnd"/>
      <w:r w:rsidRPr="005B2844">
        <w:rPr>
          <w:szCs w:val="22"/>
        </w:rPr>
        <w:t xml:space="preserve">: La farmacocinetica di </w:t>
      </w:r>
      <w:proofErr w:type="spellStart"/>
      <w:r w:rsidRPr="005B2844">
        <w:rPr>
          <w:szCs w:val="22"/>
        </w:rPr>
        <w:t>telmisartan</w:t>
      </w:r>
      <w:proofErr w:type="spellEnd"/>
      <w:r w:rsidRPr="005B2844">
        <w:rPr>
          <w:szCs w:val="22"/>
        </w:rPr>
        <w:t xml:space="preserve"> somministrato per via orale non è lineare nell’intervallo </w:t>
      </w:r>
      <w:r w:rsidR="00D74677" w:rsidRPr="005B2844">
        <w:rPr>
          <w:szCs w:val="22"/>
        </w:rPr>
        <w:t xml:space="preserve">di dosi da </w:t>
      </w:r>
      <w:r w:rsidRPr="005B2844">
        <w:rPr>
          <w:szCs w:val="22"/>
        </w:rPr>
        <w:t>20</w:t>
      </w:r>
      <w:r w:rsidR="00E76387" w:rsidRPr="005B2844">
        <w:rPr>
          <w:szCs w:val="22"/>
        </w:rPr>
        <w:t> </w:t>
      </w:r>
      <w:r w:rsidR="00D74677" w:rsidRPr="005B2844">
        <w:rPr>
          <w:szCs w:val="22"/>
        </w:rPr>
        <w:t>a</w:t>
      </w:r>
      <w:r w:rsidR="00661368" w:rsidRPr="005B2844">
        <w:rPr>
          <w:szCs w:val="22"/>
        </w:rPr>
        <w:t> </w:t>
      </w:r>
      <w:r w:rsidRPr="005B2844">
        <w:rPr>
          <w:szCs w:val="22"/>
        </w:rPr>
        <w:t xml:space="preserve">160 mg, con aumenti </w:t>
      </w:r>
      <w:r w:rsidR="00962BA2" w:rsidRPr="005B2844">
        <w:rPr>
          <w:szCs w:val="22"/>
        </w:rPr>
        <w:t xml:space="preserve">più che proporzionali </w:t>
      </w:r>
      <w:r w:rsidRPr="005B2844">
        <w:rPr>
          <w:szCs w:val="22"/>
        </w:rPr>
        <w:t>delle concentrazioni plasmatiche (C</w:t>
      </w:r>
      <w:r w:rsidRPr="005B2844">
        <w:rPr>
          <w:szCs w:val="22"/>
          <w:vertAlign w:val="subscript"/>
        </w:rPr>
        <w:t>max</w:t>
      </w:r>
      <w:r w:rsidRPr="005B2844">
        <w:rPr>
          <w:szCs w:val="22"/>
        </w:rPr>
        <w:t xml:space="preserve"> e AUC) all’aumentare delle dosi.</w:t>
      </w:r>
    </w:p>
    <w:p w:rsidR="00F84023" w:rsidRPr="005B2844" w:rsidRDefault="00F84023" w:rsidP="00F84023">
      <w:pPr>
        <w:rPr>
          <w:szCs w:val="22"/>
        </w:rPr>
      </w:pPr>
      <w:proofErr w:type="spellStart"/>
      <w:r w:rsidRPr="005B2844">
        <w:rPr>
          <w:szCs w:val="22"/>
        </w:rPr>
        <w:t>Idroclorotiazide</w:t>
      </w:r>
      <w:proofErr w:type="spellEnd"/>
      <w:r w:rsidRPr="005B2844">
        <w:rPr>
          <w:szCs w:val="22"/>
        </w:rPr>
        <w:t xml:space="preserve"> mostra una farmacocinetica lineare.</w:t>
      </w:r>
    </w:p>
    <w:p w:rsidR="00FC113F" w:rsidRPr="005B2844" w:rsidRDefault="00FC113F" w:rsidP="00126264">
      <w:pPr>
        <w:keepNext/>
        <w:rPr>
          <w:szCs w:val="22"/>
        </w:rPr>
      </w:pPr>
    </w:p>
    <w:p w:rsidR="005601FD" w:rsidRPr="005B2844" w:rsidRDefault="005601FD" w:rsidP="00126264">
      <w:pPr>
        <w:pStyle w:val="BodyText20"/>
        <w:keepNext/>
        <w:spacing w:line="240" w:lineRule="auto"/>
        <w:jc w:val="left"/>
        <w:rPr>
          <w:szCs w:val="22"/>
        </w:rPr>
      </w:pPr>
      <w:r w:rsidRPr="005B2844">
        <w:rPr>
          <w:szCs w:val="22"/>
          <w:u w:val="single"/>
        </w:rPr>
        <w:t>A</w:t>
      </w:r>
      <w:r w:rsidR="00FC113F" w:rsidRPr="005B2844">
        <w:rPr>
          <w:szCs w:val="22"/>
          <w:u w:val="single"/>
        </w:rPr>
        <w:t>nziani</w:t>
      </w:r>
    </w:p>
    <w:p w:rsidR="00FC113F" w:rsidRPr="005B2844" w:rsidRDefault="00FC113F" w:rsidP="0072602F">
      <w:pPr>
        <w:pStyle w:val="BodyText20"/>
        <w:spacing w:line="240" w:lineRule="auto"/>
        <w:jc w:val="left"/>
        <w:rPr>
          <w:szCs w:val="22"/>
        </w:rPr>
      </w:pPr>
      <w:r w:rsidRPr="005B2844">
        <w:rPr>
          <w:szCs w:val="22"/>
        </w:rPr>
        <w:t xml:space="preserve">La farmacocinetica del </w:t>
      </w:r>
      <w:proofErr w:type="spellStart"/>
      <w:r w:rsidRPr="005B2844">
        <w:rPr>
          <w:szCs w:val="22"/>
        </w:rPr>
        <w:t>telmisartan</w:t>
      </w:r>
      <w:proofErr w:type="spellEnd"/>
      <w:r w:rsidRPr="005B2844">
        <w:rPr>
          <w:szCs w:val="22"/>
        </w:rPr>
        <w:t xml:space="preserve"> non differisce nei pazienti anziani rispetto ai soggetti di età inferiore a 65 anni.</w:t>
      </w:r>
    </w:p>
    <w:p w:rsidR="00FC113F" w:rsidRPr="005B2844" w:rsidRDefault="00FC113F" w:rsidP="0072602F">
      <w:pPr>
        <w:rPr>
          <w:szCs w:val="22"/>
        </w:rPr>
      </w:pPr>
    </w:p>
    <w:p w:rsidR="005601FD" w:rsidRPr="005B2844" w:rsidRDefault="00FC113F" w:rsidP="00126264">
      <w:pPr>
        <w:pStyle w:val="BodyText20"/>
        <w:keepNext/>
        <w:spacing w:line="240" w:lineRule="auto"/>
        <w:jc w:val="left"/>
        <w:rPr>
          <w:szCs w:val="22"/>
        </w:rPr>
      </w:pPr>
      <w:r w:rsidRPr="005B2844">
        <w:rPr>
          <w:szCs w:val="22"/>
          <w:u w:val="single"/>
        </w:rPr>
        <w:t>Sesso</w:t>
      </w:r>
    </w:p>
    <w:p w:rsidR="00FC113F" w:rsidRPr="005B2844" w:rsidRDefault="00FC113F" w:rsidP="0072602F">
      <w:pPr>
        <w:pStyle w:val="BodyText20"/>
        <w:spacing w:line="240" w:lineRule="auto"/>
        <w:jc w:val="left"/>
        <w:rPr>
          <w:szCs w:val="22"/>
        </w:rPr>
      </w:pPr>
      <w:r w:rsidRPr="005B2844">
        <w:rPr>
          <w:szCs w:val="22"/>
        </w:rPr>
        <w:t xml:space="preserve">Le concentrazioni plasmatiche di </w:t>
      </w:r>
      <w:proofErr w:type="spellStart"/>
      <w:r w:rsidRPr="005B2844">
        <w:rPr>
          <w:szCs w:val="22"/>
        </w:rPr>
        <w:t>telmisartan</w:t>
      </w:r>
      <w:proofErr w:type="spellEnd"/>
      <w:r w:rsidRPr="005B2844">
        <w:rPr>
          <w:szCs w:val="22"/>
        </w:rPr>
        <w:t xml:space="preserve"> sono generalmente 2-3 volte superiori nelle donne che negli uomini. Tuttavia negli studi clinici non sono stati riscontrati nelle donne aumenti significativi nella risposta al trattamento o nell’incidenza dell’ipotensione ortostatica. Non è stato necessario un aggiustamento posologico. Le concentrazioni plasmatiche di </w:t>
      </w:r>
      <w:proofErr w:type="spellStart"/>
      <w:r w:rsidR="00D54CEC" w:rsidRPr="005B2844">
        <w:rPr>
          <w:szCs w:val="22"/>
        </w:rPr>
        <w:t>idroc</w:t>
      </w:r>
      <w:r w:rsidRPr="005B2844">
        <w:rPr>
          <w:szCs w:val="22"/>
        </w:rPr>
        <w:t>lorotiazide</w:t>
      </w:r>
      <w:proofErr w:type="spellEnd"/>
      <w:r w:rsidRPr="005B2844">
        <w:rPr>
          <w:szCs w:val="22"/>
        </w:rPr>
        <w:t xml:space="preserve"> sono tendenzialmente più alte nelle donne che negli uomini. Ciò non è considerato di importanza clinica.</w:t>
      </w:r>
    </w:p>
    <w:p w:rsidR="00FC113F" w:rsidRPr="005B2844" w:rsidRDefault="00FC113F" w:rsidP="0072602F">
      <w:pPr>
        <w:pStyle w:val="BodyText20"/>
        <w:spacing w:line="240" w:lineRule="auto"/>
        <w:rPr>
          <w:szCs w:val="22"/>
        </w:rPr>
      </w:pPr>
    </w:p>
    <w:p w:rsidR="005601FD" w:rsidRPr="005B2844" w:rsidRDefault="005601FD" w:rsidP="00126264">
      <w:pPr>
        <w:pStyle w:val="BodyText20"/>
        <w:keepNext/>
        <w:spacing w:line="240" w:lineRule="auto"/>
        <w:jc w:val="left"/>
        <w:rPr>
          <w:szCs w:val="22"/>
        </w:rPr>
      </w:pPr>
      <w:r w:rsidRPr="005B2844">
        <w:rPr>
          <w:szCs w:val="22"/>
          <w:u w:val="single"/>
        </w:rPr>
        <w:t>D</w:t>
      </w:r>
      <w:r w:rsidR="00FC113F" w:rsidRPr="005B2844">
        <w:rPr>
          <w:szCs w:val="22"/>
          <w:u w:val="single"/>
        </w:rPr>
        <w:t>isfunzioni renali</w:t>
      </w:r>
    </w:p>
    <w:p w:rsidR="00FC113F" w:rsidRPr="005B2844" w:rsidRDefault="00FC113F" w:rsidP="0072602F">
      <w:pPr>
        <w:pStyle w:val="BodyText20"/>
        <w:spacing w:line="240" w:lineRule="auto"/>
        <w:jc w:val="left"/>
        <w:rPr>
          <w:szCs w:val="22"/>
        </w:rPr>
      </w:pPr>
      <w:r w:rsidRPr="005B2844">
        <w:rPr>
          <w:szCs w:val="22"/>
        </w:rPr>
        <w:t xml:space="preserve">L’escrezione renale non contribuisce alla clearance di </w:t>
      </w:r>
      <w:proofErr w:type="spellStart"/>
      <w:r w:rsidRPr="005B2844">
        <w:rPr>
          <w:szCs w:val="22"/>
        </w:rPr>
        <w:t>telmisartan</w:t>
      </w:r>
      <w:proofErr w:type="spellEnd"/>
      <w:r w:rsidRPr="005B2844">
        <w:rPr>
          <w:szCs w:val="22"/>
        </w:rPr>
        <w:t>. Non è necessario un aggiustamento posologico in pazienti con funzionalità renale ridotta, sulla base dell’esperienza limitata ai pazienti con disfunzione renale da lieve a moderata (clearance della creatinina di 30-60 ml/</w:t>
      </w:r>
      <w:proofErr w:type="spellStart"/>
      <w:r w:rsidRPr="005B2844">
        <w:rPr>
          <w:szCs w:val="22"/>
        </w:rPr>
        <w:t>min</w:t>
      </w:r>
      <w:proofErr w:type="spellEnd"/>
      <w:r w:rsidRPr="005B2844">
        <w:rPr>
          <w:szCs w:val="22"/>
        </w:rPr>
        <w:t>, media circa 50 ml/</w:t>
      </w:r>
      <w:proofErr w:type="spellStart"/>
      <w:r w:rsidRPr="005B2844">
        <w:rPr>
          <w:szCs w:val="22"/>
        </w:rPr>
        <w:t>min</w:t>
      </w:r>
      <w:proofErr w:type="spellEnd"/>
      <w:r w:rsidRPr="005B2844">
        <w:rPr>
          <w:szCs w:val="22"/>
        </w:rPr>
        <w:t xml:space="preserve">). Il </w:t>
      </w:r>
      <w:proofErr w:type="spellStart"/>
      <w:r w:rsidRPr="005B2844">
        <w:rPr>
          <w:szCs w:val="22"/>
        </w:rPr>
        <w:t>telmisartan</w:t>
      </w:r>
      <w:proofErr w:type="spellEnd"/>
      <w:r w:rsidRPr="005B2844">
        <w:rPr>
          <w:szCs w:val="22"/>
        </w:rPr>
        <w:t xml:space="preserve"> non è eliminato dal sangue con l’emodialisi. Nei pazienti con funzionalità renale compromessa la velocità di eliminazione dell’</w:t>
      </w:r>
      <w:proofErr w:type="spellStart"/>
      <w:r w:rsidRPr="005B2844">
        <w:rPr>
          <w:szCs w:val="22"/>
        </w:rPr>
        <w:t>idroclorotiazide</w:t>
      </w:r>
      <w:proofErr w:type="spellEnd"/>
      <w:r w:rsidRPr="005B2844">
        <w:rPr>
          <w:szCs w:val="22"/>
        </w:rPr>
        <w:t xml:space="preserve"> è ridotta. In uno studio condotto in pazienti con una clearance media della creatinina pari a 90 ml/</w:t>
      </w:r>
      <w:proofErr w:type="spellStart"/>
      <w:r w:rsidRPr="005B2844">
        <w:rPr>
          <w:szCs w:val="22"/>
        </w:rPr>
        <w:t>min</w:t>
      </w:r>
      <w:proofErr w:type="spellEnd"/>
      <w:r w:rsidRPr="005B2844">
        <w:rPr>
          <w:szCs w:val="22"/>
        </w:rPr>
        <w:t xml:space="preserve"> l’emivita di eliminazione dell’</w:t>
      </w:r>
      <w:proofErr w:type="spellStart"/>
      <w:r w:rsidRPr="005B2844">
        <w:rPr>
          <w:szCs w:val="22"/>
        </w:rPr>
        <w:t>idroclorotiazide</w:t>
      </w:r>
      <w:proofErr w:type="spellEnd"/>
      <w:r w:rsidRPr="005B2844">
        <w:rPr>
          <w:szCs w:val="22"/>
        </w:rPr>
        <w:t xml:space="preserve"> era aumentata. In pazienti funzionalmente </w:t>
      </w:r>
      <w:proofErr w:type="spellStart"/>
      <w:r w:rsidRPr="005B2844">
        <w:rPr>
          <w:szCs w:val="22"/>
        </w:rPr>
        <w:t>anefrici</w:t>
      </w:r>
      <w:proofErr w:type="spellEnd"/>
      <w:r w:rsidRPr="005B2844">
        <w:rPr>
          <w:szCs w:val="22"/>
        </w:rPr>
        <w:t xml:space="preserve"> l’emivita di eliminazione è circa di 34 ore.</w:t>
      </w:r>
    </w:p>
    <w:p w:rsidR="00B8759F" w:rsidRPr="005B2844" w:rsidRDefault="00B8759F" w:rsidP="00B8759F">
      <w:pPr>
        <w:pStyle w:val="BodyText20"/>
        <w:spacing w:line="240" w:lineRule="auto"/>
        <w:jc w:val="left"/>
        <w:rPr>
          <w:szCs w:val="22"/>
        </w:rPr>
      </w:pPr>
    </w:p>
    <w:p w:rsidR="005601FD" w:rsidRPr="005B2844" w:rsidRDefault="005601FD" w:rsidP="00126264">
      <w:pPr>
        <w:pStyle w:val="BodyText20"/>
        <w:keepNext/>
        <w:spacing w:line="240" w:lineRule="auto"/>
        <w:jc w:val="left"/>
        <w:rPr>
          <w:szCs w:val="22"/>
        </w:rPr>
      </w:pPr>
      <w:r w:rsidRPr="005B2844">
        <w:rPr>
          <w:szCs w:val="22"/>
          <w:u w:val="single"/>
        </w:rPr>
        <w:t>D</w:t>
      </w:r>
      <w:r w:rsidR="00FC113F" w:rsidRPr="005B2844">
        <w:rPr>
          <w:szCs w:val="22"/>
          <w:u w:val="single"/>
        </w:rPr>
        <w:t>isfunzioni epatiche</w:t>
      </w:r>
    </w:p>
    <w:p w:rsidR="00FC113F" w:rsidRPr="005B2844" w:rsidRDefault="00FC113F" w:rsidP="0072602F">
      <w:pPr>
        <w:pStyle w:val="BodyText20"/>
        <w:spacing w:line="240" w:lineRule="auto"/>
        <w:jc w:val="left"/>
        <w:rPr>
          <w:szCs w:val="22"/>
        </w:rPr>
      </w:pPr>
      <w:r w:rsidRPr="005B2844">
        <w:rPr>
          <w:szCs w:val="22"/>
        </w:rPr>
        <w:t>Negli studi di farmacocinetica in pazienti con insufficienza epatica è stato osservato un aumento nella biodisponibili</w:t>
      </w:r>
      <w:r w:rsidR="00133C7E" w:rsidRPr="005B2844">
        <w:rPr>
          <w:szCs w:val="22"/>
        </w:rPr>
        <w:t>tà assoluta fino a quasi il 100</w:t>
      </w:r>
      <w:r w:rsidRPr="005B2844">
        <w:rPr>
          <w:szCs w:val="22"/>
        </w:rPr>
        <w:t>%. Nei pazienti con disfunzioni epatiche l'emivita di eliminazione non varia.</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5.3</w:t>
      </w:r>
      <w:r w:rsidRPr="005B2844">
        <w:rPr>
          <w:b/>
          <w:szCs w:val="22"/>
        </w:rPr>
        <w:tab/>
        <w:t>Dati preclinici di sicurezza</w:t>
      </w:r>
    </w:p>
    <w:p w:rsidR="00FC113F" w:rsidRPr="005B2844" w:rsidRDefault="00FC113F" w:rsidP="00126264">
      <w:pPr>
        <w:keepNext/>
        <w:rPr>
          <w:szCs w:val="22"/>
        </w:rPr>
      </w:pPr>
    </w:p>
    <w:p w:rsidR="00FC113F" w:rsidRPr="005B2844" w:rsidRDefault="00FC113F" w:rsidP="0072602F">
      <w:pPr>
        <w:rPr>
          <w:szCs w:val="22"/>
        </w:rPr>
      </w:pPr>
      <w:r w:rsidRPr="005B2844">
        <w:rPr>
          <w:szCs w:val="22"/>
        </w:rPr>
        <w:t>N</w:t>
      </w:r>
      <w:r w:rsidR="00E32211" w:rsidRPr="005B2844">
        <w:rPr>
          <w:szCs w:val="22"/>
        </w:rPr>
        <w:t xml:space="preserve">on sono stati effettuati </w:t>
      </w:r>
      <w:r w:rsidR="00DB2BF9" w:rsidRPr="005B2844">
        <w:rPr>
          <w:szCs w:val="22"/>
        </w:rPr>
        <w:t xml:space="preserve">ulteriori </w:t>
      </w:r>
      <w:r w:rsidR="00E32211" w:rsidRPr="005B2844">
        <w:rPr>
          <w:szCs w:val="22"/>
        </w:rPr>
        <w:t xml:space="preserve">studi preclinici con l’associazione a dose fissa 80 mg/25 mg. </w:t>
      </w:r>
      <w:r w:rsidR="00DB2BF9" w:rsidRPr="005B2844">
        <w:rPr>
          <w:szCs w:val="22"/>
        </w:rPr>
        <w:t>Precedenti s</w:t>
      </w:r>
      <w:r w:rsidRPr="005B2844">
        <w:rPr>
          <w:szCs w:val="22"/>
        </w:rPr>
        <w:t xml:space="preserve">tudi preclinici di sicurezza condotti con la co-somministrazione di </w:t>
      </w:r>
      <w:proofErr w:type="spellStart"/>
      <w:r w:rsidRPr="005B2844">
        <w:rPr>
          <w:szCs w:val="22"/>
        </w:rPr>
        <w:t>telmisartan</w:t>
      </w:r>
      <w:proofErr w:type="spellEnd"/>
      <w:r w:rsidRPr="005B2844">
        <w:rPr>
          <w:szCs w:val="22"/>
        </w:rPr>
        <w:t xml:space="preserve"> ed </w:t>
      </w:r>
      <w:proofErr w:type="spellStart"/>
      <w:r w:rsidRPr="005B2844">
        <w:rPr>
          <w:szCs w:val="22"/>
        </w:rPr>
        <w:t>idroclorotiazide</w:t>
      </w:r>
      <w:proofErr w:type="spellEnd"/>
      <w:r w:rsidRPr="005B2844">
        <w:rPr>
          <w:szCs w:val="22"/>
        </w:rPr>
        <w:t xml:space="preserve"> in ratti e cani normotesi, </w:t>
      </w:r>
      <w:r w:rsidR="00E32211" w:rsidRPr="005B2844">
        <w:rPr>
          <w:szCs w:val="22"/>
        </w:rPr>
        <w:t xml:space="preserve">a </w:t>
      </w:r>
      <w:r w:rsidRPr="005B2844">
        <w:rPr>
          <w:szCs w:val="22"/>
        </w:rPr>
        <w:t xml:space="preserve">dosi tali da determinare un’esposizione confrontabile a quella del range di dosi da impiegarsi nella terapia clinica non hanno evidenziato ulteriori dati che non fossero già stati osservati con la somministrazione dei singoli </w:t>
      </w:r>
      <w:r w:rsidR="006F476C" w:rsidRPr="005B2844">
        <w:rPr>
          <w:szCs w:val="22"/>
        </w:rPr>
        <w:t>medicinali</w:t>
      </w:r>
      <w:r w:rsidRPr="005B2844">
        <w:rPr>
          <w:szCs w:val="22"/>
        </w:rPr>
        <w:t>. Non sono stati riscontrati risultati tossicologici significativi per l’uso terapeutico nell’uomo.</w:t>
      </w:r>
    </w:p>
    <w:p w:rsidR="00FC113F" w:rsidRPr="005B2844" w:rsidRDefault="00FC113F" w:rsidP="0072602F">
      <w:pPr>
        <w:rPr>
          <w:szCs w:val="22"/>
        </w:rPr>
      </w:pPr>
    </w:p>
    <w:p w:rsidR="00FC113F" w:rsidRPr="005B2844" w:rsidRDefault="00FC113F" w:rsidP="0072602F">
      <w:pPr>
        <w:rPr>
          <w:szCs w:val="22"/>
        </w:rPr>
      </w:pPr>
      <w:r w:rsidRPr="005B2844">
        <w:rPr>
          <w:szCs w:val="22"/>
        </w:rPr>
        <w:t xml:space="preserve">Dati tossicologici noti anche negli studi preclinici condotti con ACE inibitori e antagonisti dell'angiotensina II sono stati: una riduzione dei parametri eritrocitari (eritrociti, emoglobina, ematocrito), alterazioni nell’emodinamica renale (aumento di azotemia e </w:t>
      </w:r>
      <w:proofErr w:type="spellStart"/>
      <w:r w:rsidRPr="005B2844">
        <w:rPr>
          <w:szCs w:val="22"/>
        </w:rPr>
        <w:t>creatininemia</w:t>
      </w:r>
      <w:proofErr w:type="spellEnd"/>
      <w:r w:rsidRPr="005B2844">
        <w:rPr>
          <w:szCs w:val="22"/>
        </w:rPr>
        <w:t xml:space="preserve">), aumento dell’attività della renina plasmatica, ipertrofia/iperplasia delle cellule iuxtaglomerulari renali e lesione della mucosa gastrica. Le lesioni gastriche potrebbero essere prevenute/migliorate somministrando supplementi salini orali e raggruppando più animali per gabbia. Nel cane sono state osservate dilatazione ed atrofia dei tubuli renali. Si ritiene che questi risultati siano dovuti all’attività farmacologica del </w:t>
      </w:r>
      <w:proofErr w:type="spellStart"/>
      <w:r w:rsidRPr="005B2844">
        <w:rPr>
          <w:szCs w:val="22"/>
        </w:rPr>
        <w:t>telmisartan</w:t>
      </w:r>
      <w:proofErr w:type="spellEnd"/>
      <w:r w:rsidRPr="005B2844">
        <w:rPr>
          <w:szCs w:val="22"/>
        </w:rPr>
        <w:t>.</w:t>
      </w:r>
    </w:p>
    <w:p w:rsidR="00FC113F" w:rsidRPr="005B2844" w:rsidRDefault="00FC113F" w:rsidP="0072602F">
      <w:pPr>
        <w:rPr>
          <w:szCs w:val="22"/>
        </w:rPr>
      </w:pPr>
    </w:p>
    <w:p w:rsidR="00E25481" w:rsidRPr="005B2844" w:rsidRDefault="004A58C6" w:rsidP="0072602F">
      <w:pPr>
        <w:rPr>
          <w:szCs w:val="22"/>
        </w:rPr>
      </w:pPr>
      <w:r w:rsidRPr="005B2844">
        <w:rPr>
          <w:szCs w:val="22"/>
        </w:rPr>
        <w:t xml:space="preserve">Non è stata osservata una chiara evidenza di un effetto teratogeno, tuttavia a dosi tossiche di </w:t>
      </w:r>
      <w:proofErr w:type="spellStart"/>
      <w:r w:rsidRPr="005B2844">
        <w:rPr>
          <w:szCs w:val="22"/>
        </w:rPr>
        <w:t>telmisartan</w:t>
      </w:r>
      <w:proofErr w:type="spellEnd"/>
      <w:r w:rsidRPr="005B2844">
        <w:rPr>
          <w:szCs w:val="22"/>
        </w:rPr>
        <w:t xml:space="preserve"> sono stati osservati effetti sullo sviluppo postnatale della prole, quali minore peso corporeo e apertura ritardata degli occhi.</w:t>
      </w:r>
    </w:p>
    <w:p w:rsidR="00FC113F" w:rsidRPr="005B2844" w:rsidRDefault="00FC113F" w:rsidP="0072602F">
      <w:pPr>
        <w:rPr>
          <w:szCs w:val="22"/>
        </w:rPr>
      </w:pPr>
      <w:r w:rsidRPr="005B2844">
        <w:rPr>
          <w:szCs w:val="22"/>
        </w:rPr>
        <w:t xml:space="preserve">Con il </w:t>
      </w:r>
      <w:proofErr w:type="spellStart"/>
      <w:r w:rsidRPr="005B2844">
        <w:rPr>
          <w:szCs w:val="22"/>
        </w:rPr>
        <w:t>telmisartan</w:t>
      </w:r>
      <w:proofErr w:type="spellEnd"/>
      <w:r w:rsidRPr="005B2844">
        <w:rPr>
          <w:szCs w:val="22"/>
        </w:rPr>
        <w:t xml:space="preserve"> non vi è stata alcuna evidenza di mutagenesi, né di attività </w:t>
      </w:r>
      <w:proofErr w:type="spellStart"/>
      <w:r w:rsidRPr="005B2844">
        <w:rPr>
          <w:szCs w:val="22"/>
        </w:rPr>
        <w:t>clastogena</w:t>
      </w:r>
      <w:proofErr w:type="spellEnd"/>
      <w:r w:rsidRPr="005B2844">
        <w:rPr>
          <w:szCs w:val="22"/>
        </w:rPr>
        <w:t xml:space="preserve"> rilevante negli studi in vitro, né di cancerogenicità nel ratto e nel topo. Gli studi condotti con </w:t>
      </w:r>
      <w:proofErr w:type="spellStart"/>
      <w:r w:rsidRPr="005B2844">
        <w:rPr>
          <w:szCs w:val="22"/>
        </w:rPr>
        <w:t>idroclorotiazide</w:t>
      </w:r>
      <w:proofErr w:type="spellEnd"/>
      <w:r w:rsidRPr="005B2844">
        <w:rPr>
          <w:szCs w:val="22"/>
        </w:rPr>
        <w:t xml:space="preserve"> hanno mostrato evidenza equivoca di effetti genotossici o carcinogeni in alcuni modelli sperimentali. Tuttavia l’ampia esperienza nell’uomo sull’utilizzo dell’</w:t>
      </w:r>
      <w:proofErr w:type="spellStart"/>
      <w:r w:rsidRPr="005B2844">
        <w:rPr>
          <w:szCs w:val="22"/>
        </w:rPr>
        <w:t>idroclorotiazide</w:t>
      </w:r>
      <w:proofErr w:type="spellEnd"/>
      <w:r w:rsidRPr="005B2844">
        <w:rPr>
          <w:szCs w:val="22"/>
        </w:rPr>
        <w:t xml:space="preserve"> non ha mostrato l’esistenza di una correlazione tra il suo uso e l’aumento di neoplasie.</w:t>
      </w:r>
    </w:p>
    <w:p w:rsidR="00FC113F" w:rsidRPr="005B2844" w:rsidRDefault="00FC113F" w:rsidP="0072602F">
      <w:pPr>
        <w:rPr>
          <w:szCs w:val="22"/>
        </w:rPr>
      </w:pPr>
      <w:r w:rsidRPr="005B2844">
        <w:rPr>
          <w:szCs w:val="22"/>
        </w:rPr>
        <w:t xml:space="preserve">Per il potenziale </w:t>
      </w:r>
      <w:proofErr w:type="spellStart"/>
      <w:r w:rsidRPr="005B2844">
        <w:rPr>
          <w:szCs w:val="22"/>
        </w:rPr>
        <w:t>fetotossico</w:t>
      </w:r>
      <w:proofErr w:type="spellEnd"/>
      <w:r w:rsidRPr="005B2844">
        <w:rPr>
          <w:szCs w:val="22"/>
        </w:rPr>
        <w:t xml:space="preserve"> dell’associazione </w:t>
      </w: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r w:rsidRPr="005B2844">
        <w:rPr>
          <w:szCs w:val="22"/>
        </w:rPr>
        <w:t>, vedere paragrafo 4.6.</w:t>
      </w:r>
    </w:p>
    <w:p w:rsidR="00FC113F" w:rsidRPr="005B2844" w:rsidRDefault="00FC113F" w:rsidP="0072602F">
      <w:pPr>
        <w:rPr>
          <w:szCs w:val="22"/>
        </w:rPr>
      </w:pP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6.</w:t>
      </w:r>
      <w:r w:rsidRPr="005B2844">
        <w:rPr>
          <w:b/>
          <w:szCs w:val="22"/>
        </w:rPr>
        <w:tab/>
        <w:t>INFORMAZIONI FARMACEUTICHE</w:t>
      </w:r>
    </w:p>
    <w:p w:rsidR="00FC113F" w:rsidRPr="005B2844" w:rsidRDefault="00FC113F" w:rsidP="00126264">
      <w:pPr>
        <w:keepNext/>
        <w:rPr>
          <w:szCs w:val="22"/>
        </w:rPr>
      </w:pPr>
    </w:p>
    <w:p w:rsidR="00FC113F" w:rsidRPr="005B2844" w:rsidRDefault="00FC113F" w:rsidP="00126264">
      <w:pPr>
        <w:keepNext/>
        <w:tabs>
          <w:tab w:val="left" w:pos="567"/>
        </w:tabs>
        <w:rPr>
          <w:b/>
          <w:szCs w:val="22"/>
        </w:rPr>
      </w:pPr>
      <w:r w:rsidRPr="005B2844">
        <w:rPr>
          <w:b/>
          <w:szCs w:val="22"/>
        </w:rPr>
        <w:t>6.1</w:t>
      </w:r>
      <w:r w:rsidRPr="005B2844">
        <w:rPr>
          <w:b/>
          <w:szCs w:val="22"/>
        </w:rPr>
        <w:tab/>
        <w:t>Elenco degli eccipienti</w:t>
      </w:r>
    </w:p>
    <w:p w:rsidR="00FC113F" w:rsidRPr="005B2844" w:rsidRDefault="00FC113F" w:rsidP="00126264">
      <w:pPr>
        <w:pStyle w:val="BodyText2"/>
        <w:keepNext/>
        <w:tabs>
          <w:tab w:val="clear" w:pos="567"/>
        </w:tabs>
        <w:ind w:left="0" w:firstLine="0"/>
        <w:rPr>
          <w:szCs w:val="22"/>
        </w:rPr>
      </w:pPr>
    </w:p>
    <w:p w:rsidR="00FC113F" w:rsidRPr="005B2844" w:rsidRDefault="00FC113F" w:rsidP="0072602F">
      <w:pPr>
        <w:pStyle w:val="BodyText2"/>
        <w:tabs>
          <w:tab w:val="clear" w:pos="567"/>
        </w:tabs>
        <w:ind w:left="0" w:firstLine="0"/>
        <w:rPr>
          <w:szCs w:val="22"/>
        </w:rPr>
      </w:pPr>
      <w:r w:rsidRPr="005B2844">
        <w:rPr>
          <w:szCs w:val="22"/>
        </w:rPr>
        <w:t>Lattosio monoidrato</w:t>
      </w:r>
    </w:p>
    <w:p w:rsidR="00FC113F" w:rsidRPr="005B2844" w:rsidRDefault="00185C02" w:rsidP="0072602F">
      <w:pPr>
        <w:pStyle w:val="BodyText2"/>
        <w:tabs>
          <w:tab w:val="clear" w:pos="567"/>
        </w:tabs>
        <w:ind w:left="0" w:firstLine="0"/>
        <w:rPr>
          <w:szCs w:val="22"/>
        </w:rPr>
      </w:pPr>
      <w:r w:rsidRPr="005B2844">
        <w:rPr>
          <w:szCs w:val="22"/>
        </w:rPr>
        <w:t>M</w:t>
      </w:r>
      <w:r w:rsidR="00FC113F" w:rsidRPr="005B2844">
        <w:rPr>
          <w:szCs w:val="22"/>
        </w:rPr>
        <w:t>agnesio stearato</w:t>
      </w:r>
    </w:p>
    <w:p w:rsidR="00FC113F" w:rsidRPr="005B2844" w:rsidRDefault="00185C02" w:rsidP="0072602F">
      <w:pPr>
        <w:pStyle w:val="BodyText2"/>
        <w:tabs>
          <w:tab w:val="clear" w:pos="567"/>
        </w:tabs>
        <w:ind w:left="0" w:firstLine="0"/>
        <w:rPr>
          <w:szCs w:val="22"/>
        </w:rPr>
      </w:pPr>
      <w:r w:rsidRPr="005B2844">
        <w:rPr>
          <w:szCs w:val="22"/>
        </w:rPr>
        <w:t>A</w:t>
      </w:r>
      <w:r w:rsidR="00FC113F" w:rsidRPr="005B2844">
        <w:rPr>
          <w:szCs w:val="22"/>
        </w:rPr>
        <w:t>mido di mais</w:t>
      </w:r>
    </w:p>
    <w:p w:rsidR="00FC113F" w:rsidRPr="005B2844" w:rsidRDefault="00185C02" w:rsidP="0072602F">
      <w:pPr>
        <w:pStyle w:val="BodyText2"/>
        <w:tabs>
          <w:tab w:val="clear" w:pos="567"/>
        </w:tabs>
        <w:ind w:left="0" w:firstLine="0"/>
        <w:rPr>
          <w:szCs w:val="22"/>
        </w:rPr>
      </w:pPr>
      <w:proofErr w:type="spellStart"/>
      <w:r w:rsidRPr="005B2844">
        <w:rPr>
          <w:szCs w:val="22"/>
        </w:rPr>
        <w:t>M</w:t>
      </w:r>
      <w:r w:rsidR="00FC113F" w:rsidRPr="005B2844">
        <w:rPr>
          <w:szCs w:val="22"/>
        </w:rPr>
        <w:t>eglumina</w:t>
      </w:r>
      <w:proofErr w:type="spellEnd"/>
    </w:p>
    <w:p w:rsidR="00FC113F" w:rsidRPr="005B2844" w:rsidRDefault="00185C02" w:rsidP="0072602F">
      <w:pPr>
        <w:pStyle w:val="BodyText2"/>
        <w:tabs>
          <w:tab w:val="clear" w:pos="567"/>
        </w:tabs>
        <w:ind w:left="0" w:firstLine="0"/>
        <w:rPr>
          <w:szCs w:val="22"/>
        </w:rPr>
      </w:pPr>
      <w:r w:rsidRPr="005B2844">
        <w:rPr>
          <w:szCs w:val="22"/>
        </w:rPr>
        <w:t>C</w:t>
      </w:r>
      <w:r w:rsidR="00FC113F" w:rsidRPr="005B2844">
        <w:rPr>
          <w:szCs w:val="22"/>
        </w:rPr>
        <w:t>ellulosa microcristallina</w:t>
      </w:r>
    </w:p>
    <w:p w:rsidR="00FC113F" w:rsidRPr="005B2844" w:rsidRDefault="00185C02" w:rsidP="0072602F">
      <w:pPr>
        <w:pStyle w:val="BodyText2"/>
        <w:tabs>
          <w:tab w:val="clear" w:pos="567"/>
        </w:tabs>
        <w:ind w:left="0" w:firstLine="0"/>
        <w:rPr>
          <w:szCs w:val="22"/>
        </w:rPr>
      </w:pPr>
      <w:r w:rsidRPr="005B2844">
        <w:rPr>
          <w:szCs w:val="22"/>
        </w:rPr>
        <w:t>P</w:t>
      </w:r>
      <w:r w:rsidR="00FC113F" w:rsidRPr="005B2844">
        <w:rPr>
          <w:szCs w:val="22"/>
        </w:rPr>
        <w:t>ovidone (K25)</w:t>
      </w:r>
    </w:p>
    <w:p w:rsidR="00FC113F" w:rsidRPr="005B2844" w:rsidRDefault="00185C02" w:rsidP="0072602F">
      <w:pPr>
        <w:pStyle w:val="BodyText2"/>
        <w:tabs>
          <w:tab w:val="clear" w:pos="567"/>
        </w:tabs>
        <w:ind w:left="0" w:firstLine="0"/>
        <w:rPr>
          <w:szCs w:val="22"/>
        </w:rPr>
      </w:pPr>
      <w:r w:rsidRPr="005B2844">
        <w:rPr>
          <w:szCs w:val="22"/>
        </w:rPr>
        <w:t>F</w:t>
      </w:r>
      <w:r w:rsidR="00FC113F" w:rsidRPr="005B2844">
        <w:rPr>
          <w:szCs w:val="22"/>
        </w:rPr>
        <w:t xml:space="preserve">erro ossido </w:t>
      </w:r>
      <w:r w:rsidR="00195C89" w:rsidRPr="005B2844">
        <w:rPr>
          <w:szCs w:val="22"/>
        </w:rPr>
        <w:t xml:space="preserve">giallo </w:t>
      </w:r>
      <w:r w:rsidR="00FC113F" w:rsidRPr="005B2844">
        <w:rPr>
          <w:szCs w:val="22"/>
        </w:rPr>
        <w:t>(E172)</w:t>
      </w:r>
    </w:p>
    <w:p w:rsidR="00FC113F" w:rsidRPr="005B2844" w:rsidRDefault="00185C02" w:rsidP="0072602F">
      <w:pPr>
        <w:pStyle w:val="BodyText2"/>
        <w:tabs>
          <w:tab w:val="clear" w:pos="567"/>
        </w:tabs>
        <w:ind w:left="0" w:firstLine="0"/>
        <w:rPr>
          <w:szCs w:val="22"/>
        </w:rPr>
      </w:pPr>
      <w:r w:rsidRPr="005B2844">
        <w:rPr>
          <w:szCs w:val="22"/>
        </w:rPr>
        <w:t>S</w:t>
      </w:r>
      <w:r w:rsidR="00FC113F" w:rsidRPr="005B2844">
        <w:rPr>
          <w:szCs w:val="22"/>
        </w:rPr>
        <w:t>odio idrossido</w:t>
      </w:r>
    </w:p>
    <w:p w:rsidR="00FC113F" w:rsidRPr="005B2844" w:rsidRDefault="00185C02" w:rsidP="0072602F">
      <w:pPr>
        <w:pStyle w:val="BodyText2"/>
        <w:tabs>
          <w:tab w:val="clear" w:pos="567"/>
        </w:tabs>
        <w:ind w:left="0" w:firstLine="0"/>
        <w:rPr>
          <w:szCs w:val="22"/>
        </w:rPr>
      </w:pPr>
      <w:proofErr w:type="spellStart"/>
      <w:r w:rsidRPr="005B2844">
        <w:rPr>
          <w:szCs w:val="22"/>
        </w:rPr>
        <w:t>C</w:t>
      </w:r>
      <w:r w:rsidR="00FC113F" w:rsidRPr="005B2844">
        <w:rPr>
          <w:szCs w:val="22"/>
        </w:rPr>
        <w:t>arbossimetilamido</w:t>
      </w:r>
      <w:proofErr w:type="spellEnd"/>
      <w:r w:rsidR="00FC113F" w:rsidRPr="005B2844">
        <w:rPr>
          <w:szCs w:val="22"/>
        </w:rPr>
        <w:t xml:space="preserve"> sodico (tipo A)</w:t>
      </w:r>
    </w:p>
    <w:p w:rsidR="00FC113F" w:rsidRPr="005B2844" w:rsidRDefault="00185C02" w:rsidP="0072602F">
      <w:pPr>
        <w:pStyle w:val="BodyText2"/>
        <w:tabs>
          <w:tab w:val="clear" w:pos="567"/>
        </w:tabs>
        <w:ind w:left="0" w:firstLine="0"/>
        <w:rPr>
          <w:szCs w:val="22"/>
        </w:rPr>
      </w:pPr>
      <w:r w:rsidRPr="005B2844">
        <w:rPr>
          <w:szCs w:val="22"/>
        </w:rPr>
        <w:t>S</w:t>
      </w:r>
      <w:r w:rsidR="00FC113F" w:rsidRPr="005B2844">
        <w:rPr>
          <w:szCs w:val="22"/>
        </w:rPr>
        <w:t>orbitolo (E420).</w:t>
      </w:r>
    </w:p>
    <w:p w:rsidR="00FC113F" w:rsidRPr="005B2844" w:rsidRDefault="00FC113F" w:rsidP="0072602F">
      <w:pPr>
        <w:rPr>
          <w:szCs w:val="22"/>
        </w:rPr>
      </w:pPr>
    </w:p>
    <w:p w:rsidR="00FC113F" w:rsidRPr="005B2844" w:rsidRDefault="00FC113F" w:rsidP="00126264">
      <w:pPr>
        <w:pStyle w:val="BodyText2"/>
        <w:keepNext/>
        <w:tabs>
          <w:tab w:val="clear" w:pos="567"/>
        </w:tabs>
        <w:ind w:left="0" w:firstLine="0"/>
        <w:rPr>
          <w:b/>
          <w:szCs w:val="22"/>
        </w:rPr>
      </w:pPr>
      <w:r w:rsidRPr="005B2844">
        <w:rPr>
          <w:b/>
          <w:szCs w:val="22"/>
        </w:rPr>
        <w:t>6.2</w:t>
      </w:r>
      <w:r w:rsidRPr="005B2844">
        <w:rPr>
          <w:b/>
          <w:szCs w:val="22"/>
        </w:rPr>
        <w:tab/>
        <w:t>Incompatibilità</w:t>
      </w:r>
    </w:p>
    <w:p w:rsidR="00FC113F" w:rsidRPr="005B2844" w:rsidRDefault="00FC113F" w:rsidP="00126264">
      <w:pPr>
        <w:keepNext/>
        <w:rPr>
          <w:szCs w:val="22"/>
        </w:rPr>
      </w:pPr>
    </w:p>
    <w:p w:rsidR="00FC113F" w:rsidRPr="005B2844" w:rsidRDefault="00FC113F" w:rsidP="0072602F">
      <w:pPr>
        <w:rPr>
          <w:szCs w:val="22"/>
        </w:rPr>
      </w:pPr>
      <w:r w:rsidRPr="005B2844">
        <w:rPr>
          <w:szCs w:val="22"/>
        </w:rPr>
        <w:t>Non pertinente.</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6.3</w:t>
      </w:r>
      <w:r w:rsidRPr="005B2844">
        <w:rPr>
          <w:b/>
          <w:szCs w:val="22"/>
        </w:rPr>
        <w:tab/>
        <w:t>Periodo di validità</w:t>
      </w:r>
    </w:p>
    <w:p w:rsidR="00FC113F" w:rsidRPr="005B2844" w:rsidRDefault="00FC113F" w:rsidP="00126264">
      <w:pPr>
        <w:keepNext/>
        <w:rPr>
          <w:szCs w:val="22"/>
        </w:rPr>
      </w:pPr>
    </w:p>
    <w:p w:rsidR="00FC113F" w:rsidRPr="005B2844" w:rsidRDefault="00FC113F" w:rsidP="0072602F">
      <w:pPr>
        <w:rPr>
          <w:szCs w:val="22"/>
        </w:rPr>
      </w:pPr>
      <w:r w:rsidRPr="005B2844">
        <w:rPr>
          <w:szCs w:val="22"/>
        </w:rPr>
        <w:t>3 anni</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6.4</w:t>
      </w:r>
      <w:r w:rsidRPr="005B2844">
        <w:rPr>
          <w:b/>
          <w:szCs w:val="22"/>
        </w:rPr>
        <w:tab/>
        <w:t>Precauzioni particolari per la conservazione</w:t>
      </w:r>
    </w:p>
    <w:p w:rsidR="00FC113F" w:rsidRPr="005B2844" w:rsidRDefault="00FC113F" w:rsidP="00126264">
      <w:pPr>
        <w:keepNext/>
        <w:rPr>
          <w:szCs w:val="22"/>
        </w:rPr>
      </w:pPr>
    </w:p>
    <w:p w:rsidR="00FC113F" w:rsidRPr="005B2844" w:rsidRDefault="00E32211" w:rsidP="0072602F">
      <w:pPr>
        <w:rPr>
          <w:szCs w:val="22"/>
        </w:rPr>
      </w:pPr>
      <w:bookmarkStart w:id="13" w:name="OLE_LINK12"/>
      <w:r w:rsidRPr="005B2844">
        <w:rPr>
          <w:noProof/>
          <w:szCs w:val="22"/>
        </w:rPr>
        <w:t xml:space="preserve">Questo medicinale non richiede alcuna </w:t>
      </w:r>
      <w:r w:rsidR="00DB0799" w:rsidRPr="005B2844">
        <w:rPr>
          <w:noProof/>
          <w:szCs w:val="22"/>
        </w:rPr>
        <w:t>temperatura</w:t>
      </w:r>
      <w:r w:rsidRPr="005B2844">
        <w:rPr>
          <w:noProof/>
          <w:szCs w:val="22"/>
        </w:rPr>
        <w:t xml:space="preserve"> particolare di conservazione. </w:t>
      </w:r>
      <w:bookmarkEnd w:id="13"/>
      <w:r w:rsidR="00FC113F" w:rsidRPr="005B2844">
        <w:rPr>
          <w:szCs w:val="22"/>
        </w:rPr>
        <w:t xml:space="preserve">Conservare nella confezione originale per </w:t>
      </w:r>
      <w:r w:rsidR="00333BE9" w:rsidRPr="005B2844">
        <w:rPr>
          <w:szCs w:val="22"/>
        </w:rPr>
        <w:t>proteggere il medicinale</w:t>
      </w:r>
      <w:r w:rsidR="00FC113F" w:rsidRPr="005B2844">
        <w:rPr>
          <w:szCs w:val="22"/>
        </w:rPr>
        <w:t xml:space="preserve"> dall’umidità.</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6.5</w:t>
      </w:r>
      <w:r w:rsidRPr="005B2844">
        <w:rPr>
          <w:b/>
          <w:szCs w:val="22"/>
        </w:rPr>
        <w:tab/>
        <w:t>Natura e contenuto del contenitore</w:t>
      </w:r>
    </w:p>
    <w:p w:rsidR="00FC113F" w:rsidRPr="005B2844" w:rsidRDefault="00FC113F" w:rsidP="00126264">
      <w:pPr>
        <w:pStyle w:val="BodyText3"/>
        <w:keepNext/>
        <w:jc w:val="left"/>
        <w:rPr>
          <w:szCs w:val="22"/>
          <w:lang w:val="it-IT"/>
        </w:rPr>
      </w:pPr>
    </w:p>
    <w:p w:rsidR="007432CD" w:rsidRPr="005B2844" w:rsidRDefault="007432CD" w:rsidP="0072602F">
      <w:pPr>
        <w:pStyle w:val="BodyText3"/>
        <w:jc w:val="left"/>
        <w:rPr>
          <w:szCs w:val="22"/>
          <w:lang w:val="it-IT"/>
        </w:rPr>
      </w:pPr>
      <w:r w:rsidRPr="005B2844">
        <w:rPr>
          <w:szCs w:val="22"/>
          <w:lang w:val="it-IT"/>
        </w:rPr>
        <w:t>Blister di alluminio/alluminio (PA/Al/PVC/Al o PA/PA/Al/PVC/Al). Un blister contiene 7 o 10 compresse.</w:t>
      </w:r>
    </w:p>
    <w:p w:rsidR="007432CD" w:rsidRPr="005B2844" w:rsidRDefault="007432CD" w:rsidP="0072602F">
      <w:pPr>
        <w:pStyle w:val="BodyText3"/>
        <w:jc w:val="left"/>
        <w:rPr>
          <w:szCs w:val="22"/>
          <w:lang w:val="it-IT"/>
        </w:rPr>
      </w:pPr>
    </w:p>
    <w:p w:rsidR="00DB0799" w:rsidRPr="005B2844" w:rsidRDefault="007432CD" w:rsidP="0072602F">
      <w:pPr>
        <w:pStyle w:val="BodyText3"/>
        <w:jc w:val="left"/>
        <w:rPr>
          <w:szCs w:val="22"/>
          <w:lang w:val="it-IT"/>
        </w:rPr>
      </w:pPr>
      <w:r w:rsidRPr="005B2844">
        <w:rPr>
          <w:szCs w:val="22"/>
          <w:lang w:val="it-IT"/>
        </w:rPr>
        <w:t xml:space="preserve">Confezioni: </w:t>
      </w:r>
    </w:p>
    <w:p w:rsidR="00DB0799" w:rsidRPr="005B2844" w:rsidRDefault="007432CD" w:rsidP="00DB0799">
      <w:pPr>
        <w:pStyle w:val="BodyText3"/>
        <w:numPr>
          <w:ilvl w:val="0"/>
          <w:numId w:val="19"/>
        </w:numPr>
        <w:ind w:left="567" w:hanging="567"/>
        <w:jc w:val="left"/>
        <w:rPr>
          <w:szCs w:val="22"/>
          <w:lang w:val="it-IT"/>
        </w:rPr>
      </w:pPr>
      <w:r w:rsidRPr="005B2844">
        <w:rPr>
          <w:szCs w:val="22"/>
          <w:lang w:val="it-IT"/>
        </w:rPr>
        <w:t>Blister con 14, 28, 56</w:t>
      </w:r>
      <w:r w:rsidR="00AA0919" w:rsidRPr="005B2844">
        <w:rPr>
          <w:szCs w:val="22"/>
          <w:lang w:val="it-IT"/>
        </w:rPr>
        <w:t xml:space="preserve"> </w:t>
      </w:r>
      <w:r w:rsidRPr="005B2844">
        <w:rPr>
          <w:szCs w:val="22"/>
          <w:lang w:val="it-IT"/>
        </w:rPr>
        <w:t xml:space="preserve">o 98 compresse o </w:t>
      </w:r>
    </w:p>
    <w:p w:rsidR="007432CD" w:rsidRPr="005B2844" w:rsidRDefault="00DB0799" w:rsidP="00DB0799">
      <w:pPr>
        <w:pStyle w:val="BodyText3"/>
        <w:numPr>
          <w:ilvl w:val="0"/>
          <w:numId w:val="19"/>
        </w:numPr>
        <w:ind w:left="567" w:hanging="567"/>
        <w:jc w:val="left"/>
        <w:rPr>
          <w:szCs w:val="22"/>
          <w:lang w:val="it-IT"/>
        </w:rPr>
      </w:pPr>
      <w:r w:rsidRPr="005B2844">
        <w:rPr>
          <w:szCs w:val="22"/>
          <w:lang w:val="it-IT"/>
        </w:rPr>
        <w:t>B</w:t>
      </w:r>
      <w:r w:rsidR="007432CD" w:rsidRPr="005B2844">
        <w:rPr>
          <w:szCs w:val="22"/>
          <w:lang w:val="it-IT"/>
        </w:rPr>
        <w:t>lister divisibile per dose unitaria con 28 x 1</w:t>
      </w:r>
      <w:r w:rsidR="00AA0919" w:rsidRPr="005B2844">
        <w:rPr>
          <w:szCs w:val="22"/>
          <w:lang w:val="it-IT"/>
        </w:rPr>
        <w:t>, 30 x 1 o 90 x 1</w:t>
      </w:r>
      <w:r w:rsidR="007432CD" w:rsidRPr="005B2844">
        <w:rPr>
          <w:szCs w:val="22"/>
          <w:lang w:val="it-IT"/>
        </w:rPr>
        <w:t xml:space="preserve"> compresse.</w:t>
      </w:r>
    </w:p>
    <w:p w:rsidR="00FC113F" w:rsidRPr="005B2844" w:rsidRDefault="00FC113F" w:rsidP="0072602F">
      <w:pPr>
        <w:pStyle w:val="BodyText3"/>
        <w:jc w:val="left"/>
        <w:rPr>
          <w:szCs w:val="22"/>
          <w:lang w:val="it-IT"/>
        </w:rPr>
      </w:pPr>
    </w:p>
    <w:p w:rsidR="00FC113F" w:rsidRPr="005B2844" w:rsidRDefault="00A133EA" w:rsidP="0072602F">
      <w:pPr>
        <w:rPr>
          <w:szCs w:val="22"/>
        </w:rPr>
      </w:pPr>
      <w:r w:rsidRPr="005B2844">
        <w:rPr>
          <w:szCs w:val="22"/>
        </w:rPr>
        <w:t xml:space="preserve">È </w:t>
      </w:r>
      <w:r w:rsidR="00FC113F" w:rsidRPr="005B2844">
        <w:rPr>
          <w:szCs w:val="22"/>
        </w:rPr>
        <w:t>possibile che non tutte le confezioni siano commercializzate</w:t>
      </w:r>
      <w:r w:rsidR="00B86F37" w:rsidRPr="005B2844">
        <w:rPr>
          <w:szCs w:val="22"/>
        </w:rPr>
        <w:t>.</w:t>
      </w:r>
    </w:p>
    <w:p w:rsidR="00FC113F" w:rsidRPr="005B2844" w:rsidRDefault="00FC113F" w:rsidP="0072602F">
      <w:pPr>
        <w:rPr>
          <w:szCs w:val="22"/>
        </w:rPr>
      </w:pPr>
    </w:p>
    <w:p w:rsidR="00FC113F" w:rsidRPr="005B2844" w:rsidRDefault="00FC113F" w:rsidP="00126264">
      <w:pPr>
        <w:keepNext/>
        <w:tabs>
          <w:tab w:val="left" w:pos="567"/>
        </w:tabs>
        <w:rPr>
          <w:b/>
          <w:szCs w:val="22"/>
        </w:rPr>
      </w:pPr>
      <w:r w:rsidRPr="005B2844">
        <w:rPr>
          <w:b/>
          <w:szCs w:val="22"/>
        </w:rPr>
        <w:t>6.6</w:t>
      </w:r>
      <w:r w:rsidRPr="005B2844">
        <w:rPr>
          <w:b/>
          <w:szCs w:val="22"/>
        </w:rPr>
        <w:tab/>
        <w:t>Precauzioni particolari per lo smaltimento</w:t>
      </w:r>
      <w:r w:rsidR="0083054D" w:rsidRPr="005B2844">
        <w:rPr>
          <w:b/>
          <w:szCs w:val="22"/>
        </w:rPr>
        <w:t xml:space="preserve"> e la manipolazione</w:t>
      </w:r>
    </w:p>
    <w:p w:rsidR="00FC113F" w:rsidRPr="005B2844" w:rsidRDefault="00FC113F" w:rsidP="00126264">
      <w:pPr>
        <w:keepNext/>
        <w:rPr>
          <w:szCs w:val="22"/>
        </w:rPr>
      </w:pPr>
    </w:p>
    <w:p w:rsidR="00E86D24" w:rsidRPr="005B2844" w:rsidRDefault="00E86D24" w:rsidP="00E86D24">
      <w:pPr>
        <w:rPr>
          <w:szCs w:val="22"/>
        </w:rPr>
      </w:pPr>
      <w:proofErr w:type="spellStart"/>
      <w:r w:rsidRPr="005B2844">
        <w:rPr>
          <w:szCs w:val="22"/>
        </w:rPr>
        <w:t>MicardisPlus</w:t>
      </w:r>
      <w:proofErr w:type="spellEnd"/>
      <w:r w:rsidRPr="005B2844">
        <w:rPr>
          <w:szCs w:val="22"/>
        </w:rPr>
        <w:t xml:space="preserve"> deve essere conservato nel blister sigillato a causa delle caratteristiche igroscopiche delle compresse. Le compresse devono essere estratte dal blister poco prima della somministrazione.</w:t>
      </w:r>
    </w:p>
    <w:p w:rsidR="00FC113F" w:rsidRPr="005B2844" w:rsidRDefault="00FC113F" w:rsidP="0072602F">
      <w:pPr>
        <w:rPr>
          <w:szCs w:val="22"/>
        </w:rPr>
      </w:pPr>
      <w:r w:rsidRPr="005B2844">
        <w:rPr>
          <w:szCs w:val="22"/>
        </w:rPr>
        <w:t>Occasionalmente è stato osservato che lo strato esterno del blister può separarsi dallo strato interno tra gli alveoli. Se ciò si verificasse, non è necessario prendere alcuna precauzione.</w:t>
      </w:r>
    </w:p>
    <w:p w:rsidR="00FC113F" w:rsidRPr="005B2844" w:rsidRDefault="00FC113F" w:rsidP="0072602F">
      <w:pPr>
        <w:rPr>
          <w:szCs w:val="22"/>
        </w:rPr>
      </w:pPr>
    </w:p>
    <w:p w:rsidR="00FC113F" w:rsidRPr="005B2844" w:rsidRDefault="00F84023" w:rsidP="0072602F">
      <w:pPr>
        <w:rPr>
          <w:szCs w:val="22"/>
        </w:rPr>
      </w:pPr>
      <w:r w:rsidRPr="005B2844">
        <w:rPr>
          <w:szCs w:val="22"/>
        </w:rPr>
        <w:t>Il medicinale non utilizzato e i rifiuti derivati da tale medicinale devono essere smaltiti in conformità alla normativa locale vigente.</w:t>
      </w:r>
    </w:p>
    <w:p w:rsidR="00F82DC1" w:rsidRPr="005B2844" w:rsidRDefault="00F82DC1" w:rsidP="0072602F">
      <w:pPr>
        <w:rPr>
          <w:szCs w:val="22"/>
        </w:rPr>
      </w:pPr>
    </w:p>
    <w:p w:rsidR="00F84023" w:rsidRPr="005B2844" w:rsidRDefault="00F84023" w:rsidP="0072602F">
      <w:pPr>
        <w:rPr>
          <w:szCs w:val="22"/>
        </w:rPr>
      </w:pPr>
    </w:p>
    <w:p w:rsidR="00FC113F" w:rsidRPr="005B2844" w:rsidRDefault="00FC113F" w:rsidP="00126264">
      <w:pPr>
        <w:keepNext/>
        <w:tabs>
          <w:tab w:val="left" w:pos="567"/>
        </w:tabs>
        <w:rPr>
          <w:b/>
          <w:szCs w:val="22"/>
        </w:rPr>
      </w:pPr>
      <w:r w:rsidRPr="005B2844">
        <w:rPr>
          <w:b/>
          <w:szCs w:val="22"/>
        </w:rPr>
        <w:t>7.</w:t>
      </w:r>
      <w:r w:rsidRPr="005B2844">
        <w:rPr>
          <w:b/>
          <w:szCs w:val="22"/>
        </w:rPr>
        <w:tab/>
        <w:t>TITOLARE DELL</w:t>
      </w:r>
      <w:r w:rsidR="008B26C2" w:rsidRPr="005B2844">
        <w:rPr>
          <w:b/>
          <w:szCs w:val="22"/>
        </w:rPr>
        <w:t>’</w:t>
      </w:r>
      <w:r w:rsidRPr="005B2844">
        <w:rPr>
          <w:b/>
          <w:szCs w:val="22"/>
        </w:rPr>
        <w:t>AUTORIZZAZIONE ALL</w:t>
      </w:r>
      <w:r w:rsidR="008B26C2" w:rsidRPr="005B2844">
        <w:rPr>
          <w:b/>
          <w:szCs w:val="22"/>
        </w:rPr>
        <w:t>’</w:t>
      </w:r>
      <w:r w:rsidRPr="005B2844">
        <w:rPr>
          <w:b/>
          <w:szCs w:val="22"/>
        </w:rPr>
        <w:t>IMMISSIONE IN COMMERCIO</w:t>
      </w:r>
    </w:p>
    <w:p w:rsidR="00FC113F" w:rsidRPr="005B2844" w:rsidRDefault="00FC113F" w:rsidP="00126264">
      <w:pPr>
        <w:keepNext/>
        <w:rPr>
          <w:szCs w:val="22"/>
        </w:rPr>
      </w:pPr>
    </w:p>
    <w:p w:rsidR="00FC113F" w:rsidRPr="005B2844" w:rsidRDefault="00FC113F"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International GmbH</w:t>
      </w:r>
    </w:p>
    <w:p w:rsidR="00FC113F" w:rsidRPr="005B2844" w:rsidRDefault="00FC113F" w:rsidP="0072602F">
      <w:pPr>
        <w:rPr>
          <w:szCs w:val="22"/>
        </w:rPr>
      </w:pPr>
      <w:proofErr w:type="spellStart"/>
      <w:r w:rsidRPr="005B2844">
        <w:rPr>
          <w:szCs w:val="22"/>
        </w:rPr>
        <w:t>Binger</w:t>
      </w:r>
      <w:proofErr w:type="spellEnd"/>
      <w:r w:rsidRPr="005B2844">
        <w:rPr>
          <w:szCs w:val="22"/>
        </w:rPr>
        <w:t xml:space="preserve"> </w:t>
      </w:r>
      <w:proofErr w:type="spellStart"/>
      <w:r w:rsidRPr="005B2844">
        <w:rPr>
          <w:szCs w:val="22"/>
        </w:rPr>
        <w:t>Str</w:t>
      </w:r>
      <w:proofErr w:type="spellEnd"/>
      <w:r w:rsidR="00894FE0" w:rsidRPr="005B2844">
        <w:rPr>
          <w:szCs w:val="22"/>
        </w:rPr>
        <w:t>.</w:t>
      </w:r>
      <w:r w:rsidRPr="005B2844">
        <w:rPr>
          <w:szCs w:val="22"/>
        </w:rPr>
        <w:t xml:space="preserve"> 173 </w:t>
      </w:r>
    </w:p>
    <w:p w:rsidR="00FC113F" w:rsidRPr="005B2844" w:rsidRDefault="00FC113F" w:rsidP="0072602F">
      <w:pPr>
        <w:rPr>
          <w:szCs w:val="22"/>
        </w:rPr>
      </w:pPr>
      <w:r w:rsidRPr="005B2844">
        <w:rPr>
          <w:szCs w:val="22"/>
        </w:rPr>
        <w:t xml:space="preserve">D-55216 </w:t>
      </w:r>
      <w:proofErr w:type="spellStart"/>
      <w:r w:rsidRPr="005B2844">
        <w:rPr>
          <w:szCs w:val="22"/>
        </w:rPr>
        <w:t>Ingelheim</w:t>
      </w:r>
      <w:proofErr w:type="spellEnd"/>
      <w:r w:rsidRPr="005B2844">
        <w:rPr>
          <w:szCs w:val="22"/>
        </w:rPr>
        <w:t xml:space="preserve"> </w:t>
      </w:r>
      <w:proofErr w:type="spellStart"/>
      <w:r w:rsidR="007432CD" w:rsidRPr="005B2844">
        <w:rPr>
          <w:szCs w:val="22"/>
        </w:rPr>
        <w:t>am</w:t>
      </w:r>
      <w:proofErr w:type="spellEnd"/>
      <w:r w:rsidR="007432CD" w:rsidRPr="005B2844">
        <w:rPr>
          <w:szCs w:val="22"/>
        </w:rPr>
        <w:t xml:space="preserve"> </w:t>
      </w:r>
      <w:proofErr w:type="spellStart"/>
      <w:r w:rsidRPr="005B2844">
        <w:rPr>
          <w:szCs w:val="22"/>
        </w:rPr>
        <w:t>Rhein</w:t>
      </w:r>
      <w:proofErr w:type="spellEnd"/>
    </w:p>
    <w:p w:rsidR="00FC113F" w:rsidRPr="005B2844" w:rsidRDefault="00FC113F" w:rsidP="0072602F">
      <w:pPr>
        <w:rPr>
          <w:szCs w:val="22"/>
        </w:rPr>
      </w:pPr>
      <w:r w:rsidRPr="005B2844">
        <w:rPr>
          <w:szCs w:val="22"/>
        </w:rPr>
        <w:t>Germania</w:t>
      </w:r>
    </w:p>
    <w:p w:rsidR="00FC113F" w:rsidRPr="005B2844" w:rsidRDefault="00FC113F" w:rsidP="0072602F">
      <w:pPr>
        <w:rPr>
          <w:szCs w:val="22"/>
        </w:rPr>
      </w:pPr>
    </w:p>
    <w:p w:rsidR="00FC113F" w:rsidRPr="005B2844" w:rsidRDefault="00FC113F" w:rsidP="0072602F">
      <w:pPr>
        <w:tabs>
          <w:tab w:val="left" w:pos="567"/>
        </w:tabs>
        <w:rPr>
          <w:szCs w:val="22"/>
        </w:rPr>
      </w:pPr>
    </w:p>
    <w:p w:rsidR="00FC113F" w:rsidRPr="005B2844" w:rsidRDefault="007432CD" w:rsidP="00126264">
      <w:pPr>
        <w:keepNext/>
        <w:tabs>
          <w:tab w:val="left" w:pos="567"/>
        </w:tabs>
        <w:rPr>
          <w:b/>
          <w:szCs w:val="22"/>
        </w:rPr>
      </w:pPr>
      <w:r w:rsidRPr="005B2844">
        <w:rPr>
          <w:b/>
          <w:szCs w:val="22"/>
        </w:rPr>
        <w:t>8.</w:t>
      </w:r>
      <w:r w:rsidRPr="005B2844">
        <w:rPr>
          <w:b/>
          <w:szCs w:val="22"/>
        </w:rPr>
        <w:tab/>
      </w:r>
      <w:r w:rsidR="00FC113F" w:rsidRPr="005B2844">
        <w:rPr>
          <w:b/>
          <w:szCs w:val="22"/>
        </w:rPr>
        <w:t>NUMER</w:t>
      </w:r>
      <w:r w:rsidR="00333BE9" w:rsidRPr="005B2844">
        <w:rPr>
          <w:b/>
          <w:szCs w:val="22"/>
        </w:rPr>
        <w:t>O(</w:t>
      </w:r>
      <w:r w:rsidR="00FC113F" w:rsidRPr="005B2844">
        <w:rPr>
          <w:b/>
          <w:szCs w:val="22"/>
        </w:rPr>
        <w:t>I</w:t>
      </w:r>
      <w:r w:rsidR="00333BE9" w:rsidRPr="005B2844">
        <w:rPr>
          <w:b/>
          <w:szCs w:val="22"/>
        </w:rPr>
        <w:t>)</w:t>
      </w:r>
      <w:r w:rsidR="00FC113F" w:rsidRPr="005B2844">
        <w:rPr>
          <w:b/>
          <w:szCs w:val="22"/>
        </w:rPr>
        <w:t xml:space="preserve"> DELL’AUTORIZZAZIONE ALL’IMMISSIONE IN COMMERCIO</w:t>
      </w:r>
    </w:p>
    <w:p w:rsidR="00FC113F" w:rsidRPr="005B2844" w:rsidRDefault="00FC113F" w:rsidP="00126264">
      <w:pPr>
        <w:keepNext/>
        <w:rPr>
          <w:szCs w:val="22"/>
        </w:rPr>
      </w:pPr>
    </w:p>
    <w:p w:rsidR="00415ED7" w:rsidRPr="005B2844" w:rsidRDefault="00415ED7" w:rsidP="0072602F">
      <w:pPr>
        <w:rPr>
          <w:szCs w:val="22"/>
        </w:rPr>
      </w:pPr>
      <w:r w:rsidRPr="005B2844">
        <w:rPr>
          <w:szCs w:val="22"/>
        </w:rPr>
        <w:t>EU/1/02/213/017-023</w:t>
      </w:r>
    </w:p>
    <w:p w:rsidR="00FC113F" w:rsidRPr="005B2844" w:rsidRDefault="00FC113F" w:rsidP="0072602F">
      <w:pPr>
        <w:rPr>
          <w:szCs w:val="22"/>
        </w:rPr>
      </w:pPr>
    </w:p>
    <w:p w:rsidR="00415ED7" w:rsidRPr="005B2844" w:rsidRDefault="00415ED7" w:rsidP="0072602F">
      <w:pPr>
        <w:rPr>
          <w:szCs w:val="22"/>
        </w:rPr>
      </w:pPr>
    </w:p>
    <w:p w:rsidR="00FC113F" w:rsidRPr="005B2844" w:rsidRDefault="00473C62" w:rsidP="00126264">
      <w:pPr>
        <w:keepNext/>
        <w:rPr>
          <w:szCs w:val="22"/>
        </w:rPr>
      </w:pPr>
      <w:r w:rsidRPr="005B2844">
        <w:rPr>
          <w:b/>
          <w:szCs w:val="22"/>
        </w:rPr>
        <w:t>9.</w:t>
      </w:r>
      <w:r w:rsidRPr="005B2844">
        <w:rPr>
          <w:b/>
          <w:szCs w:val="22"/>
        </w:rPr>
        <w:tab/>
        <w:t>DATA DELLA PRIMA AUTORIZZAZIONE/RINNOVO DELL</w:t>
      </w:r>
      <w:r w:rsidR="002C4BE9" w:rsidRPr="005B2844">
        <w:rPr>
          <w:b/>
          <w:szCs w:val="22"/>
        </w:rPr>
        <w:t>’</w:t>
      </w:r>
      <w:r w:rsidRPr="005B2844">
        <w:rPr>
          <w:b/>
          <w:szCs w:val="22"/>
        </w:rPr>
        <w:t>AUTORIZZAZIONE</w:t>
      </w:r>
    </w:p>
    <w:p w:rsidR="00473C62" w:rsidRPr="005B2844" w:rsidRDefault="00473C62" w:rsidP="00126264">
      <w:pPr>
        <w:keepNext/>
        <w:rPr>
          <w:szCs w:val="22"/>
        </w:rPr>
      </w:pPr>
    </w:p>
    <w:p w:rsidR="00FC113F" w:rsidRPr="005B2844" w:rsidRDefault="00FC113F" w:rsidP="0072602F">
      <w:pPr>
        <w:rPr>
          <w:snapToGrid w:val="0"/>
          <w:szCs w:val="22"/>
          <w:lang w:eastAsia="de-DE"/>
        </w:rPr>
      </w:pPr>
      <w:r w:rsidRPr="005B2844">
        <w:rPr>
          <w:snapToGrid w:val="0"/>
          <w:szCs w:val="22"/>
          <w:lang w:eastAsia="de-DE"/>
        </w:rPr>
        <w:t>Data della prima autorizzazione: 19 Aprile 2002</w:t>
      </w:r>
    </w:p>
    <w:p w:rsidR="00FC113F" w:rsidRPr="005B2844" w:rsidRDefault="00FC113F" w:rsidP="0072602F">
      <w:pPr>
        <w:rPr>
          <w:snapToGrid w:val="0"/>
          <w:szCs w:val="22"/>
          <w:lang w:eastAsia="de-DE"/>
        </w:rPr>
      </w:pPr>
      <w:r w:rsidRPr="005B2844">
        <w:rPr>
          <w:snapToGrid w:val="0"/>
          <w:szCs w:val="22"/>
          <w:lang w:eastAsia="de-DE"/>
        </w:rPr>
        <w:t>Data del rinnovo</w:t>
      </w:r>
      <w:r w:rsidR="00F76568" w:rsidRPr="005B2844">
        <w:rPr>
          <w:snapToGrid w:val="0"/>
          <w:szCs w:val="22"/>
          <w:lang w:eastAsia="de-DE"/>
        </w:rPr>
        <w:t xml:space="preserve"> più recente</w:t>
      </w:r>
      <w:r w:rsidRPr="005B2844">
        <w:rPr>
          <w:snapToGrid w:val="0"/>
          <w:szCs w:val="22"/>
          <w:lang w:eastAsia="de-DE"/>
        </w:rPr>
        <w:t xml:space="preserve">: </w:t>
      </w:r>
      <w:r w:rsidR="00555A51" w:rsidRPr="005B2844">
        <w:rPr>
          <w:snapToGrid w:val="0"/>
          <w:szCs w:val="22"/>
          <w:lang w:eastAsia="de-DE"/>
        </w:rPr>
        <w:t>23</w:t>
      </w:r>
      <w:r w:rsidRPr="005B2844">
        <w:rPr>
          <w:snapToGrid w:val="0"/>
          <w:szCs w:val="22"/>
          <w:lang w:eastAsia="de-DE"/>
        </w:rPr>
        <w:t xml:space="preserve"> Aprile 2007</w:t>
      </w:r>
    </w:p>
    <w:p w:rsidR="00FC113F" w:rsidRPr="005B2844" w:rsidRDefault="00FC113F" w:rsidP="0072602F">
      <w:pPr>
        <w:rPr>
          <w:szCs w:val="22"/>
        </w:rPr>
      </w:pPr>
    </w:p>
    <w:p w:rsidR="00FC113F" w:rsidRPr="005B2844" w:rsidRDefault="00FC113F" w:rsidP="0072602F">
      <w:pPr>
        <w:rPr>
          <w:szCs w:val="22"/>
        </w:rPr>
      </w:pPr>
    </w:p>
    <w:p w:rsidR="00FC113F" w:rsidRPr="005B2844" w:rsidRDefault="00A80B4F" w:rsidP="00126264">
      <w:pPr>
        <w:keepNext/>
        <w:tabs>
          <w:tab w:val="left" w:pos="567"/>
        </w:tabs>
        <w:rPr>
          <w:b/>
          <w:szCs w:val="22"/>
        </w:rPr>
      </w:pPr>
      <w:r w:rsidRPr="005B2844">
        <w:rPr>
          <w:b/>
          <w:szCs w:val="22"/>
        </w:rPr>
        <w:t>10</w:t>
      </w:r>
      <w:r w:rsidR="00AB6F0C" w:rsidRPr="005B2844">
        <w:rPr>
          <w:b/>
          <w:szCs w:val="22"/>
        </w:rPr>
        <w:t>.</w:t>
      </w:r>
      <w:r w:rsidRPr="005B2844">
        <w:rPr>
          <w:b/>
          <w:szCs w:val="22"/>
        </w:rPr>
        <w:tab/>
      </w:r>
      <w:r w:rsidR="00FC113F" w:rsidRPr="005B2844">
        <w:rPr>
          <w:b/>
          <w:szCs w:val="22"/>
        </w:rPr>
        <w:t>DATA DI REVISIONE DEL TESTO</w:t>
      </w:r>
    </w:p>
    <w:p w:rsidR="00D47F9B" w:rsidRPr="005B2844" w:rsidRDefault="00D47F9B" w:rsidP="00126264">
      <w:pPr>
        <w:keepNext/>
        <w:rPr>
          <w:b/>
          <w:szCs w:val="22"/>
        </w:rPr>
      </w:pPr>
    </w:p>
    <w:p w:rsidR="00FC113F" w:rsidRPr="005B2844" w:rsidRDefault="00FC113F" w:rsidP="0072602F">
      <w:pPr>
        <w:suppressAutoHyphens/>
        <w:rPr>
          <w:szCs w:val="22"/>
        </w:rPr>
      </w:pPr>
      <w:r w:rsidRPr="005B2844">
        <w:rPr>
          <w:noProof/>
          <w:szCs w:val="22"/>
        </w:rPr>
        <w:t>Informazioni più dettagliate su questo medicinale sono disponibili sul sito web dell</w:t>
      </w:r>
      <w:r w:rsidR="002B6A37" w:rsidRPr="005B2844">
        <w:rPr>
          <w:noProof/>
          <w:szCs w:val="22"/>
        </w:rPr>
        <w:t>’</w:t>
      </w:r>
      <w:r w:rsidRPr="005B2844">
        <w:rPr>
          <w:noProof/>
          <w:szCs w:val="22"/>
        </w:rPr>
        <w:t xml:space="preserve">Agenzia </w:t>
      </w:r>
      <w:r w:rsidR="00180EA4" w:rsidRPr="005B2844">
        <w:rPr>
          <w:noProof/>
          <w:szCs w:val="22"/>
        </w:rPr>
        <w:t>e</w:t>
      </w:r>
      <w:r w:rsidRPr="005B2844">
        <w:rPr>
          <w:noProof/>
          <w:szCs w:val="22"/>
        </w:rPr>
        <w:t xml:space="preserve">uropea dei </w:t>
      </w:r>
      <w:r w:rsidR="00180EA4" w:rsidRPr="005B2844">
        <w:rPr>
          <w:noProof/>
          <w:szCs w:val="22"/>
        </w:rPr>
        <w:t>m</w:t>
      </w:r>
      <w:r w:rsidRPr="005B2844">
        <w:rPr>
          <w:noProof/>
          <w:szCs w:val="22"/>
        </w:rPr>
        <w:t>edicinali</w:t>
      </w:r>
      <w:r w:rsidR="00F84023" w:rsidRPr="005B2844">
        <w:rPr>
          <w:noProof/>
          <w:szCs w:val="22"/>
        </w:rPr>
        <w:t xml:space="preserve">, </w:t>
      </w:r>
      <w:hyperlink r:id="rId13" w:history="1">
        <w:r w:rsidRPr="005B2844">
          <w:rPr>
            <w:rStyle w:val="Hyperlink"/>
            <w:noProof/>
            <w:szCs w:val="22"/>
          </w:rPr>
          <w:t>http://www.ema.</w:t>
        </w:r>
        <w:r w:rsidRPr="005B2844">
          <w:rPr>
            <w:rStyle w:val="Hyperlink"/>
            <w:noProof/>
            <w:szCs w:val="22"/>
          </w:rPr>
          <w:t>e</w:t>
        </w:r>
        <w:r w:rsidRPr="005B2844">
          <w:rPr>
            <w:rStyle w:val="Hyperlink"/>
            <w:noProof/>
            <w:szCs w:val="22"/>
          </w:rPr>
          <w:t>uropa.eu</w:t>
        </w:r>
      </w:hyperlink>
      <w:r w:rsidRPr="005B2844">
        <w:rPr>
          <w:noProof/>
          <w:color w:val="0000FF"/>
          <w:szCs w:val="22"/>
        </w:rPr>
        <w:t>.</w:t>
      </w:r>
    </w:p>
    <w:p w:rsidR="00FC113F" w:rsidRPr="005B2844" w:rsidRDefault="00FC113F" w:rsidP="0072602F">
      <w:pPr>
        <w:rPr>
          <w:szCs w:val="22"/>
        </w:rPr>
      </w:pPr>
    </w:p>
    <w:p w:rsidR="00A70FCB" w:rsidRPr="005B2844" w:rsidRDefault="003E53B9" w:rsidP="00B8759F">
      <w:pPr>
        <w:ind w:right="1416"/>
        <w:jc w:val="center"/>
        <w:rPr>
          <w:b/>
          <w:color w:val="000000"/>
          <w:szCs w:val="22"/>
        </w:rPr>
      </w:pPr>
      <w:r w:rsidRPr="005B2844">
        <w:rPr>
          <w:b/>
          <w:color w:val="000000"/>
          <w:szCs w:val="22"/>
        </w:rPr>
        <w:br w:type="page"/>
      </w:r>
    </w:p>
    <w:p w:rsidR="00A70FCB" w:rsidRPr="005B2844" w:rsidRDefault="00A70FCB" w:rsidP="00B8759F">
      <w:pPr>
        <w:ind w:right="1418"/>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8"/>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8"/>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6"/>
        <w:jc w:val="center"/>
        <w:rPr>
          <w:b/>
          <w:color w:val="000000"/>
          <w:szCs w:val="22"/>
        </w:rPr>
      </w:pPr>
    </w:p>
    <w:p w:rsidR="00A70FCB" w:rsidRPr="005B2844" w:rsidRDefault="00A70FCB" w:rsidP="00B8759F">
      <w:pPr>
        <w:ind w:right="1418"/>
        <w:jc w:val="center"/>
        <w:rPr>
          <w:b/>
          <w:color w:val="000000"/>
          <w:szCs w:val="22"/>
        </w:rPr>
      </w:pPr>
      <w:r w:rsidRPr="005B2844">
        <w:rPr>
          <w:b/>
          <w:color w:val="000000"/>
          <w:szCs w:val="22"/>
        </w:rPr>
        <w:t>ALLEGATO II</w:t>
      </w:r>
    </w:p>
    <w:p w:rsidR="00A70FCB" w:rsidRPr="005B2844" w:rsidRDefault="00A70FCB" w:rsidP="00B8759F">
      <w:pPr>
        <w:ind w:left="1701" w:right="1418" w:hanging="567"/>
        <w:rPr>
          <w:color w:val="000000"/>
          <w:szCs w:val="22"/>
        </w:rPr>
      </w:pPr>
    </w:p>
    <w:p w:rsidR="00A70FCB" w:rsidRPr="005B2844" w:rsidRDefault="00BF778E" w:rsidP="009536AB">
      <w:pPr>
        <w:numPr>
          <w:ilvl w:val="0"/>
          <w:numId w:val="10"/>
        </w:numPr>
        <w:tabs>
          <w:tab w:val="left" w:pos="567"/>
        </w:tabs>
        <w:ind w:left="1701" w:right="1128" w:hanging="567"/>
        <w:rPr>
          <w:b/>
          <w:color w:val="000000"/>
          <w:szCs w:val="22"/>
        </w:rPr>
      </w:pPr>
      <w:r w:rsidRPr="005B2844">
        <w:rPr>
          <w:b/>
          <w:color w:val="000000"/>
          <w:szCs w:val="22"/>
        </w:rPr>
        <w:t>PRODUTTORE(I)</w:t>
      </w:r>
      <w:r w:rsidR="00A70FCB" w:rsidRPr="005B2844">
        <w:rPr>
          <w:b/>
          <w:color w:val="000000"/>
          <w:szCs w:val="22"/>
        </w:rPr>
        <w:t xml:space="preserve"> RESPONSABILE</w:t>
      </w:r>
      <w:r w:rsidRPr="005B2844">
        <w:rPr>
          <w:b/>
          <w:color w:val="000000"/>
          <w:szCs w:val="22"/>
        </w:rPr>
        <w:t>(I)</w:t>
      </w:r>
      <w:r w:rsidR="00A70FCB" w:rsidRPr="005B2844">
        <w:rPr>
          <w:b/>
          <w:color w:val="000000"/>
          <w:szCs w:val="22"/>
        </w:rPr>
        <w:t xml:space="preserve"> DEL RILASCIO DEI LOTTI</w:t>
      </w:r>
    </w:p>
    <w:p w:rsidR="00A70FCB" w:rsidRPr="005B2844" w:rsidRDefault="00A70FCB" w:rsidP="00B8759F">
      <w:pPr>
        <w:numPr>
          <w:ilvl w:val="12"/>
          <w:numId w:val="0"/>
        </w:numPr>
        <w:ind w:left="1701" w:right="1418" w:hanging="567"/>
        <w:rPr>
          <w:color w:val="000000"/>
          <w:szCs w:val="22"/>
        </w:rPr>
      </w:pPr>
    </w:p>
    <w:p w:rsidR="00A70FCB" w:rsidRPr="005B2844" w:rsidRDefault="00A70FCB" w:rsidP="009536AB">
      <w:pPr>
        <w:numPr>
          <w:ilvl w:val="0"/>
          <w:numId w:val="10"/>
        </w:numPr>
        <w:tabs>
          <w:tab w:val="left" w:pos="567"/>
        </w:tabs>
        <w:ind w:left="1701" w:right="1128" w:hanging="567"/>
        <w:rPr>
          <w:b/>
          <w:color w:val="000000"/>
          <w:szCs w:val="22"/>
        </w:rPr>
      </w:pPr>
      <w:r w:rsidRPr="005B2844">
        <w:rPr>
          <w:b/>
          <w:color w:val="000000"/>
          <w:szCs w:val="22"/>
        </w:rPr>
        <w:t xml:space="preserve">CONDIZIONI </w:t>
      </w:r>
      <w:r w:rsidR="00BF778E" w:rsidRPr="005B2844">
        <w:rPr>
          <w:b/>
          <w:color w:val="000000"/>
          <w:szCs w:val="22"/>
        </w:rPr>
        <w:t>O LIM</w:t>
      </w:r>
      <w:smartTag w:uri="urn:schemas-microsoft-com:office:smarttags" w:element="PersonName">
        <w:r w:rsidR="00BF778E" w:rsidRPr="005B2844">
          <w:rPr>
            <w:b/>
            <w:color w:val="000000"/>
            <w:szCs w:val="22"/>
          </w:rPr>
          <w:t>IT</w:t>
        </w:r>
      </w:smartTag>
      <w:r w:rsidR="00BF778E" w:rsidRPr="005B2844">
        <w:rPr>
          <w:b/>
          <w:color w:val="000000"/>
          <w:szCs w:val="22"/>
        </w:rPr>
        <w:t>AZIONI DI FORN</w:t>
      </w:r>
      <w:smartTag w:uri="urn:schemas-microsoft-com:office:smarttags" w:element="PersonName">
        <w:r w:rsidR="00BF778E" w:rsidRPr="005B2844">
          <w:rPr>
            <w:b/>
            <w:color w:val="000000"/>
            <w:szCs w:val="22"/>
          </w:rPr>
          <w:t>IT</w:t>
        </w:r>
      </w:smartTag>
      <w:r w:rsidR="00BF778E" w:rsidRPr="005B2844">
        <w:rPr>
          <w:b/>
          <w:color w:val="000000"/>
          <w:szCs w:val="22"/>
        </w:rPr>
        <w:t>URA E UTILIZZO</w:t>
      </w:r>
    </w:p>
    <w:p w:rsidR="00BF778E" w:rsidRPr="005B2844" w:rsidRDefault="00BF778E" w:rsidP="00BF778E">
      <w:pPr>
        <w:pStyle w:val="ListParagraph1"/>
        <w:rPr>
          <w:b/>
          <w:color w:val="000000"/>
          <w:szCs w:val="22"/>
        </w:rPr>
      </w:pPr>
    </w:p>
    <w:p w:rsidR="00BF778E" w:rsidRPr="005B2844" w:rsidRDefault="00BF778E" w:rsidP="009536AB">
      <w:pPr>
        <w:numPr>
          <w:ilvl w:val="0"/>
          <w:numId w:val="10"/>
        </w:numPr>
        <w:tabs>
          <w:tab w:val="left" w:pos="567"/>
        </w:tabs>
        <w:ind w:left="1701" w:right="1128" w:hanging="567"/>
        <w:rPr>
          <w:b/>
          <w:color w:val="000000"/>
          <w:szCs w:val="22"/>
        </w:rPr>
      </w:pPr>
      <w:r w:rsidRPr="005B2844">
        <w:rPr>
          <w:b/>
          <w:color w:val="000000"/>
          <w:szCs w:val="22"/>
        </w:rPr>
        <w:t>ALTRE CONDIZIONI E REQUISITI DELL’AUTORIZZAZIONE ALL’IMM</w:t>
      </w:r>
      <w:smartTag w:uri="urn:schemas-microsoft-com:office:smarttags" w:element="PersonName">
        <w:r w:rsidRPr="005B2844">
          <w:rPr>
            <w:b/>
            <w:color w:val="000000"/>
            <w:szCs w:val="22"/>
          </w:rPr>
          <w:t>IS</w:t>
        </w:r>
      </w:smartTag>
      <w:smartTag w:uri="urn:schemas-microsoft-com:office:smarttags" w:element="PersonName">
        <w:r w:rsidRPr="005B2844">
          <w:rPr>
            <w:b/>
            <w:color w:val="000000"/>
            <w:szCs w:val="22"/>
          </w:rPr>
          <w:t>SI</w:t>
        </w:r>
      </w:smartTag>
      <w:r w:rsidRPr="005B2844">
        <w:rPr>
          <w:b/>
          <w:color w:val="000000"/>
          <w:szCs w:val="22"/>
        </w:rPr>
        <w:t>ONE IN COMMERCIO</w:t>
      </w:r>
    </w:p>
    <w:p w:rsidR="00A70FCB" w:rsidRPr="005B2844" w:rsidRDefault="00A70FCB" w:rsidP="00B8759F">
      <w:pPr>
        <w:ind w:left="1701" w:right="1418" w:hanging="567"/>
        <w:rPr>
          <w:color w:val="000000"/>
          <w:szCs w:val="22"/>
        </w:rPr>
      </w:pPr>
    </w:p>
    <w:p w:rsidR="00D06C9B" w:rsidRPr="005B2844" w:rsidRDefault="00D06C9B" w:rsidP="00B8759F">
      <w:pPr>
        <w:ind w:left="1701" w:right="1418" w:hanging="567"/>
        <w:rPr>
          <w:b/>
          <w:color w:val="000000"/>
          <w:szCs w:val="22"/>
        </w:rPr>
      </w:pPr>
      <w:r w:rsidRPr="005B2844">
        <w:rPr>
          <w:b/>
          <w:color w:val="000000"/>
          <w:szCs w:val="22"/>
        </w:rPr>
        <w:t>D.</w:t>
      </w:r>
      <w:r w:rsidRPr="005B2844">
        <w:rPr>
          <w:b/>
          <w:color w:val="000000"/>
          <w:szCs w:val="22"/>
        </w:rPr>
        <w:tab/>
        <w:t xml:space="preserve">CONDIZIONI O LIMITAZIONI PER QUANTO RIGUARDA L’USO </w:t>
      </w:r>
      <w:smartTag w:uri="urn:schemas-microsoft-com:office:smarttags" w:element="PersonName">
        <w:r w:rsidRPr="005B2844">
          <w:rPr>
            <w:b/>
            <w:color w:val="000000"/>
            <w:szCs w:val="22"/>
          </w:rPr>
          <w:t>SI</w:t>
        </w:r>
      </w:smartTag>
      <w:r w:rsidRPr="005B2844">
        <w:rPr>
          <w:b/>
          <w:color w:val="000000"/>
          <w:szCs w:val="22"/>
        </w:rPr>
        <w:t>CU</w:t>
      </w:r>
      <w:smartTag w:uri="urn:schemas-microsoft-com:office:smarttags" w:element="PersonName">
        <w:r w:rsidRPr="005B2844">
          <w:rPr>
            <w:b/>
            <w:color w:val="000000"/>
            <w:szCs w:val="22"/>
          </w:rPr>
          <w:t>RO</w:t>
        </w:r>
      </w:smartTag>
      <w:r w:rsidRPr="005B2844">
        <w:rPr>
          <w:b/>
          <w:color w:val="000000"/>
          <w:szCs w:val="22"/>
        </w:rPr>
        <w:t xml:space="preserve"> ED EF</w:t>
      </w:r>
      <w:smartTag w:uri="urn:schemas-microsoft-com:office:smarttags" w:element="PersonName">
        <w:r w:rsidRPr="005B2844">
          <w:rPr>
            <w:b/>
            <w:color w:val="000000"/>
            <w:szCs w:val="22"/>
          </w:rPr>
          <w:t>FI</w:t>
        </w:r>
      </w:smartTag>
      <w:r w:rsidRPr="005B2844">
        <w:rPr>
          <w:b/>
          <w:color w:val="000000"/>
          <w:szCs w:val="22"/>
        </w:rPr>
        <w:t xml:space="preserve">CACE </w:t>
      </w:r>
      <w:smartTag w:uri="urn:schemas-microsoft-com:office:smarttags" w:element="PersonName">
        <w:r w:rsidRPr="005B2844">
          <w:rPr>
            <w:b/>
            <w:color w:val="000000"/>
            <w:szCs w:val="22"/>
          </w:rPr>
          <w:t>D</w:t>
        </w:r>
        <w:smartTag w:uri="urn:schemas-microsoft-com:office:smarttags" w:element="PersonName">
          <w:r w:rsidRPr="005B2844">
            <w:rPr>
              <w:b/>
              <w:color w:val="000000"/>
              <w:szCs w:val="22"/>
            </w:rPr>
            <w:t>E</w:t>
          </w:r>
        </w:smartTag>
      </w:smartTag>
      <w:r w:rsidRPr="005B2844">
        <w:rPr>
          <w:b/>
          <w:color w:val="000000"/>
          <w:szCs w:val="22"/>
        </w:rPr>
        <w:t>L</w:t>
      </w:r>
      <w:r w:rsidRPr="005B2844">
        <w:rPr>
          <w:b/>
          <w:color w:val="000000"/>
          <w:szCs w:val="22"/>
        </w:rPr>
        <w:t xml:space="preserve"> MEDICINALE</w:t>
      </w:r>
    </w:p>
    <w:p w:rsidR="00A70FCB" w:rsidRPr="005B2844" w:rsidRDefault="00A70FCB" w:rsidP="009C7EDD">
      <w:pPr>
        <w:pStyle w:val="QRD2"/>
        <w:pageBreakBefore/>
      </w:pPr>
      <w:r w:rsidRPr="005B2844">
        <w:t>A</w:t>
      </w:r>
      <w:r w:rsidR="00BF778E" w:rsidRPr="005B2844">
        <w:t>.</w:t>
      </w:r>
      <w:r w:rsidRPr="005B2844">
        <w:tab/>
      </w:r>
      <w:r w:rsidR="00BF778E" w:rsidRPr="005B2844">
        <w:t>PRODUTTORE(I)</w:t>
      </w:r>
      <w:r w:rsidRPr="005B2844">
        <w:t xml:space="preserve"> RESPONSABILE</w:t>
      </w:r>
      <w:r w:rsidR="00BF778E" w:rsidRPr="005B2844">
        <w:t>(I)</w:t>
      </w:r>
      <w:r w:rsidRPr="005B2844">
        <w:t xml:space="preserve"> DEL RILASCIO DEI LOTTI</w:t>
      </w:r>
    </w:p>
    <w:p w:rsidR="00A70FCB" w:rsidRPr="005B2844" w:rsidRDefault="00A70FCB" w:rsidP="0072602F">
      <w:pPr>
        <w:numPr>
          <w:ilvl w:val="12"/>
          <w:numId w:val="0"/>
        </w:numPr>
        <w:ind w:right="1416"/>
        <w:rPr>
          <w:color w:val="000000"/>
          <w:szCs w:val="22"/>
        </w:rPr>
      </w:pPr>
    </w:p>
    <w:p w:rsidR="00A70FCB" w:rsidRPr="005B2844" w:rsidRDefault="00A70FCB" w:rsidP="0072602F">
      <w:pPr>
        <w:numPr>
          <w:ilvl w:val="12"/>
          <w:numId w:val="0"/>
        </w:numPr>
        <w:rPr>
          <w:color w:val="000000"/>
          <w:szCs w:val="22"/>
          <w:u w:val="single"/>
        </w:rPr>
      </w:pPr>
      <w:r w:rsidRPr="005B2844">
        <w:rPr>
          <w:color w:val="000000"/>
          <w:szCs w:val="22"/>
          <w:u w:val="single"/>
        </w:rPr>
        <w:t>Nome e indirizzo del produttore responsabile del rilascio dei lotti</w:t>
      </w:r>
    </w:p>
    <w:p w:rsidR="00A70FCB" w:rsidRPr="005B2844" w:rsidRDefault="00A70FCB" w:rsidP="0072602F">
      <w:pPr>
        <w:numPr>
          <w:ilvl w:val="12"/>
          <w:numId w:val="0"/>
        </w:numPr>
        <w:ind w:right="1416"/>
        <w:rPr>
          <w:color w:val="000000"/>
          <w:szCs w:val="22"/>
        </w:rPr>
      </w:pPr>
    </w:p>
    <w:p w:rsidR="00A70FCB" w:rsidRPr="005B2844" w:rsidRDefault="00A70FCB" w:rsidP="0072602F">
      <w:pPr>
        <w:numPr>
          <w:ilvl w:val="12"/>
          <w:numId w:val="0"/>
        </w:numPr>
        <w:rPr>
          <w:color w:val="000000"/>
          <w:szCs w:val="22"/>
        </w:rPr>
      </w:pPr>
      <w:r w:rsidRPr="005B2844">
        <w:rPr>
          <w:color w:val="000000"/>
          <w:szCs w:val="22"/>
        </w:rPr>
        <w:t xml:space="preserve">Boehringer </w:t>
      </w:r>
      <w:proofErr w:type="spellStart"/>
      <w:r w:rsidRPr="005B2844">
        <w:rPr>
          <w:color w:val="000000"/>
          <w:szCs w:val="22"/>
        </w:rPr>
        <w:t>Ingelheim</w:t>
      </w:r>
      <w:proofErr w:type="spellEnd"/>
      <w:r w:rsidRPr="005B2844">
        <w:rPr>
          <w:color w:val="000000"/>
          <w:szCs w:val="22"/>
        </w:rPr>
        <w:t xml:space="preserve"> Pharma GmbH &amp; Co. KG</w:t>
      </w:r>
    </w:p>
    <w:p w:rsidR="00A70FCB" w:rsidRPr="005B2844" w:rsidRDefault="00A70FCB" w:rsidP="0072602F">
      <w:pPr>
        <w:numPr>
          <w:ilvl w:val="12"/>
          <w:numId w:val="0"/>
        </w:numPr>
        <w:rPr>
          <w:color w:val="000000"/>
          <w:szCs w:val="22"/>
        </w:rPr>
      </w:pPr>
      <w:r w:rsidRPr="005B2844">
        <w:rPr>
          <w:color w:val="000000"/>
          <w:szCs w:val="22"/>
        </w:rPr>
        <w:t xml:space="preserve">D-55216 </w:t>
      </w:r>
      <w:proofErr w:type="spellStart"/>
      <w:r w:rsidRPr="005B2844">
        <w:rPr>
          <w:color w:val="000000"/>
          <w:szCs w:val="22"/>
        </w:rPr>
        <w:t>Ingelheim</w:t>
      </w:r>
      <w:proofErr w:type="spellEnd"/>
      <w:r w:rsidRPr="005B2844">
        <w:rPr>
          <w:color w:val="000000"/>
          <w:szCs w:val="22"/>
        </w:rPr>
        <w:t xml:space="preserve"> </w:t>
      </w:r>
      <w:proofErr w:type="spellStart"/>
      <w:r w:rsidRPr="005B2844">
        <w:rPr>
          <w:color w:val="000000"/>
          <w:szCs w:val="22"/>
        </w:rPr>
        <w:t>am</w:t>
      </w:r>
      <w:proofErr w:type="spellEnd"/>
      <w:r w:rsidRPr="005B2844">
        <w:rPr>
          <w:color w:val="000000"/>
          <w:szCs w:val="22"/>
        </w:rPr>
        <w:t xml:space="preserve"> </w:t>
      </w:r>
      <w:proofErr w:type="spellStart"/>
      <w:r w:rsidRPr="005B2844">
        <w:rPr>
          <w:color w:val="000000"/>
          <w:szCs w:val="22"/>
        </w:rPr>
        <w:t>Rhein</w:t>
      </w:r>
      <w:proofErr w:type="spellEnd"/>
    </w:p>
    <w:p w:rsidR="00A70FCB" w:rsidRPr="005B2844" w:rsidRDefault="00A70FCB" w:rsidP="0072602F">
      <w:pPr>
        <w:numPr>
          <w:ilvl w:val="12"/>
          <w:numId w:val="0"/>
        </w:numPr>
        <w:rPr>
          <w:noProof/>
          <w:color w:val="000000"/>
          <w:szCs w:val="22"/>
        </w:rPr>
      </w:pPr>
      <w:r w:rsidRPr="005B2844">
        <w:rPr>
          <w:color w:val="000000"/>
          <w:szCs w:val="22"/>
        </w:rPr>
        <w:t>Germania</w:t>
      </w:r>
    </w:p>
    <w:p w:rsidR="00A70FCB" w:rsidRPr="005B2844" w:rsidRDefault="00A70FCB" w:rsidP="0072602F">
      <w:pPr>
        <w:numPr>
          <w:ilvl w:val="12"/>
          <w:numId w:val="0"/>
        </w:numPr>
        <w:rPr>
          <w:color w:val="000000"/>
          <w:szCs w:val="22"/>
        </w:rPr>
      </w:pPr>
    </w:p>
    <w:p w:rsidR="00E73978" w:rsidRPr="005B2844" w:rsidRDefault="00836028" w:rsidP="00E73978">
      <w:pPr>
        <w:numPr>
          <w:ilvl w:val="12"/>
          <w:numId w:val="0"/>
        </w:numPr>
        <w:rPr>
          <w:color w:val="000000"/>
          <w:szCs w:val="22"/>
        </w:rPr>
      </w:pPr>
      <w:r w:rsidRPr="005B2844">
        <w:rPr>
          <w:color w:val="000000"/>
          <w:szCs w:val="22"/>
        </w:rPr>
        <w:t xml:space="preserve">Boehringer </w:t>
      </w:r>
      <w:proofErr w:type="spellStart"/>
      <w:r w:rsidRPr="005B2844">
        <w:rPr>
          <w:color w:val="000000"/>
          <w:szCs w:val="22"/>
        </w:rPr>
        <w:t>Ingelheim</w:t>
      </w:r>
      <w:proofErr w:type="spellEnd"/>
      <w:r w:rsidRPr="005B2844">
        <w:rPr>
          <w:color w:val="000000"/>
          <w:szCs w:val="22"/>
        </w:rPr>
        <w:t xml:space="preserve"> </w:t>
      </w:r>
      <w:proofErr w:type="spellStart"/>
      <w:r w:rsidRPr="005B2844">
        <w:rPr>
          <w:color w:val="000000"/>
          <w:szCs w:val="22"/>
        </w:rPr>
        <w:t>Ellas</w:t>
      </w:r>
      <w:proofErr w:type="spellEnd"/>
      <w:r w:rsidRPr="005B2844">
        <w:rPr>
          <w:color w:val="000000"/>
          <w:szCs w:val="22"/>
        </w:rPr>
        <w:t xml:space="preserve"> A.E.</w:t>
      </w:r>
    </w:p>
    <w:p w:rsidR="00E73978" w:rsidRPr="005B2844" w:rsidRDefault="00836028" w:rsidP="00E73978">
      <w:pPr>
        <w:numPr>
          <w:ilvl w:val="12"/>
          <w:numId w:val="0"/>
        </w:numPr>
        <w:rPr>
          <w:color w:val="000000"/>
          <w:szCs w:val="22"/>
        </w:rPr>
      </w:pPr>
      <w:r w:rsidRPr="005B2844">
        <w:rPr>
          <w:color w:val="000000"/>
          <w:szCs w:val="22"/>
        </w:rPr>
        <w:t xml:space="preserve">5th km </w:t>
      </w:r>
      <w:proofErr w:type="spellStart"/>
      <w:r w:rsidRPr="005B2844">
        <w:rPr>
          <w:color w:val="000000"/>
          <w:szCs w:val="22"/>
        </w:rPr>
        <w:t>Paiania</w:t>
      </w:r>
      <w:proofErr w:type="spellEnd"/>
      <w:r w:rsidRPr="005B2844">
        <w:rPr>
          <w:color w:val="000000"/>
          <w:szCs w:val="22"/>
        </w:rPr>
        <w:t xml:space="preserve"> – </w:t>
      </w:r>
      <w:proofErr w:type="spellStart"/>
      <w:r w:rsidRPr="005B2844">
        <w:rPr>
          <w:color w:val="000000"/>
          <w:szCs w:val="22"/>
        </w:rPr>
        <w:t>Markopoulo</w:t>
      </w:r>
      <w:proofErr w:type="spellEnd"/>
    </w:p>
    <w:p w:rsidR="00E73978" w:rsidRPr="005B2844" w:rsidRDefault="00E73978" w:rsidP="00E73978">
      <w:pPr>
        <w:numPr>
          <w:ilvl w:val="12"/>
          <w:numId w:val="0"/>
        </w:numPr>
        <w:rPr>
          <w:color w:val="000000"/>
          <w:szCs w:val="22"/>
        </w:rPr>
      </w:pPr>
      <w:proofErr w:type="spellStart"/>
      <w:r w:rsidRPr="005B2844">
        <w:rPr>
          <w:color w:val="000000"/>
          <w:szCs w:val="22"/>
        </w:rPr>
        <w:t>Koropi</w:t>
      </w:r>
      <w:proofErr w:type="spellEnd"/>
      <w:r w:rsidRPr="005B2844">
        <w:rPr>
          <w:color w:val="000000"/>
          <w:szCs w:val="22"/>
        </w:rPr>
        <w:t xml:space="preserve"> </w:t>
      </w:r>
      <w:proofErr w:type="spellStart"/>
      <w:r w:rsidRPr="005B2844">
        <w:rPr>
          <w:color w:val="000000"/>
          <w:szCs w:val="22"/>
        </w:rPr>
        <w:t>Attiki</w:t>
      </w:r>
      <w:proofErr w:type="spellEnd"/>
      <w:r w:rsidRPr="005B2844">
        <w:rPr>
          <w:color w:val="000000"/>
          <w:szCs w:val="22"/>
        </w:rPr>
        <w:t>, 194 00</w:t>
      </w:r>
    </w:p>
    <w:p w:rsidR="00E73978" w:rsidRPr="005B2844" w:rsidRDefault="00E73978" w:rsidP="00E73978">
      <w:pPr>
        <w:numPr>
          <w:ilvl w:val="12"/>
          <w:numId w:val="0"/>
        </w:numPr>
        <w:rPr>
          <w:color w:val="000000"/>
          <w:szCs w:val="22"/>
        </w:rPr>
      </w:pPr>
      <w:r w:rsidRPr="005B2844">
        <w:rPr>
          <w:color w:val="000000"/>
          <w:szCs w:val="22"/>
        </w:rPr>
        <w:t>Grecia</w:t>
      </w:r>
    </w:p>
    <w:p w:rsidR="00492A3C" w:rsidRPr="00492A3C" w:rsidRDefault="00492A3C" w:rsidP="00492A3C">
      <w:pPr>
        <w:numPr>
          <w:ilvl w:val="12"/>
          <w:numId w:val="0"/>
        </w:numPr>
        <w:rPr>
          <w:color w:val="000000"/>
          <w:szCs w:val="22"/>
        </w:rPr>
      </w:pPr>
    </w:p>
    <w:p w:rsidR="00492A3C" w:rsidRPr="00492A3C" w:rsidRDefault="00492A3C" w:rsidP="00492A3C">
      <w:pPr>
        <w:numPr>
          <w:ilvl w:val="12"/>
          <w:numId w:val="0"/>
        </w:numPr>
        <w:rPr>
          <w:color w:val="000000"/>
          <w:szCs w:val="22"/>
        </w:rPr>
      </w:pPr>
      <w:proofErr w:type="spellStart"/>
      <w:r w:rsidRPr="00492A3C">
        <w:rPr>
          <w:color w:val="000000"/>
          <w:szCs w:val="22"/>
        </w:rPr>
        <w:t>Rottendorf</w:t>
      </w:r>
      <w:proofErr w:type="spellEnd"/>
      <w:r w:rsidRPr="00492A3C">
        <w:rPr>
          <w:color w:val="000000"/>
          <w:szCs w:val="22"/>
        </w:rPr>
        <w:t xml:space="preserve"> Pharma GmbH</w:t>
      </w:r>
    </w:p>
    <w:p w:rsidR="00492A3C" w:rsidRPr="00492A3C" w:rsidRDefault="00492A3C" w:rsidP="00492A3C">
      <w:pPr>
        <w:numPr>
          <w:ilvl w:val="12"/>
          <w:numId w:val="0"/>
        </w:numPr>
        <w:rPr>
          <w:color w:val="000000"/>
          <w:szCs w:val="22"/>
        </w:rPr>
      </w:pPr>
      <w:proofErr w:type="spellStart"/>
      <w:r w:rsidRPr="00492A3C">
        <w:rPr>
          <w:color w:val="000000"/>
          <w:szCs w:val="22"/>
        </w:rPr>
        <w:t>Ostenfelder</w:t>
      </w:r>
      <w:proofErr w:type="spellEnd"/>
      <w:r w:rsidRPr="00492A3C">
        <w:rPr>
          <w:color w:val="000000"/>
          <w:szCs w:val="22"/>
        </w:rPr>
        <w:t xml:space="preserve"> </w:t>
      </w:r>
      <w:proofErr w:type="spellStart"/>
      <w:r w:rsidRPr="00492A3C">
        <w:rPr>
          <w:color w:val="000000"/>
          <w:szCs w:val="22"/>
        </w:rPr>
        <w:t>Straße</w:t>
      </w:r>
      <w:proofErr w:type="spellEnd"/>
      <w:r w:rsidRPr="00492A3C">
        <w:rPr>
          <w:color w:val="000000"/>
          <w:szCs w:val="22"/>
        </w:rPr>
        <w:t xml:space="preserve"> 51 - 61</w:t>
      </w:r>
    </w:p>
    <w:p w:rsidR="00492A3C" w:rsidRPr="00492A3C" w:rsidRDefault="00492A3C" w:rsidP="00492A3C">
      <w:pPr>
        <w:numPr>
          <w:ilvl w:val="12"/>
          <w:numId w:val="0"/>
        </w:numPr>
        <w:rPr>
          <w:color w:val="000000"/>
          <w:szCs w:val="22"/>
        </w:rPr>
      </w:pPr>
      <w:r w:rsidRPr="00492A3C">
        <w:rPr>
          <w:color w:val="000000"/>
          <w:szCs w:val="22"/>
        </w:rPr>
        <w:t xml:space="preserve">D-59320 </w:t>
      </w:r>
      <w:proofErr w:type="spellStart"/>
      <w:r w:rsidRPr="00492A3C">
        <w:rPr>
          <w:color w:val="000000"/>
          <w:szCs w:val="22"/>
        </w:rPr>
        <w:t>Ennigerloh</w:t>
      </w:r>
      <w:proofErr w:type="spellEnd"/>
    </w:p>
    <w:p w:rsidR="00E73978" w:rsidRDefault="00492A3C" w:rsidP="00492A3C">
      <w:pPr>
        <w:numPr>
          <w:ilvl w:val="12"/>
          <w:numId w:val="0"/>
        </w:numPr>
        <w:rPr>
          <w:color w:val="000000"/>
          <w:szCs w:val="22"/>
        </w:rPr>
      </w:pPr>
      <w:r w:rsidRPr="00492A3C">
        <w:rPr>
          <w:color w:val="000000"/>
          <w:szCs w:val="22"/>
        </w:rPr>
        <w:t>Germania</w:t>
      </w:r>
    </w:p>
    <w:p w:rsidR="00492A3C" w:rsidRPr="005B2844" w:rsidRDefault="00492A3C" w:rsidP="00492A3C">
      <w:pPr>
        <w:numPr>
          <w:ilvl w:val="12"/>
          <w:numId w:val="0"/>
        </w:numPr>
        <w:rPr>
          <w:color w:val="000000"/>
          <w:szCs w:val="22"/>
        </w:rPr>
      </w:pPr>
    </w:p>
    <w:p w:rsidR="00E73978" w:rsidRPr="005B2844" w:rsidRDefault="00E73978" w:rsidP="00E73978">
      <w:pPr>
        <w:numPr>
          <w:ilvl w:val="12"/>
          <w:numId w:val="0"/>
        </w:numPr>
        <w:rPr>
          <w:color w:val="000000"/>
          <w:szCs w:val="22"/>
        </w:rPr>
      </w:pPr>
      <w:r w:rsidRPr="005B2844">
        <w:rPr>
          <w:color w:val="000000"/>
          <w:szCs w:val="22"/>
        </w:rPr>
        <w:t>Il foglio illustrativo del medicinale deve riportare il nome e l’indirizzo del produttore responsabile del rilascio dei lotti in questione.</w:t>
      </w:r>
    </w:p>
    <w:p w:rsidR="00E73978" w:rsidRPr="005B2844" w:rsidRDefault="00E73978" w:rsidP="00E73978">
      <w:pPr>
        <w:numPr>
          <w:ilvl w:val="12"/>
          <w:numId w:val="0"/>
        </w:numPr>
        <w:rPr>
          <w:color w:val="000000"/>
          <w:szCs w:val="22"/>
        </w:rPr>
      </w:pPr>
    </w:p>
    <w:p w:rsidR="00A70FCB" w:rsidRPr="005B2844" w:rsidRDefault="00A70FCB" w:rsidP="0072602F">
      <w:pPr>
        <w:numPr>
          <w:ilvl w:val="12"/>
          <w:numId w:val="0"/>
        </w:numPr>
        <w:rPr>
          <w:color w:val="000000"/>
          <w:szCs w:val="22"/>
        </w:rPr>
      </w:pPr>
    </w:p>
    <w:p w:rsidR="00A70FCB" w:rsidRPr="005B2844" w:rsidRDefault="00A70FCB" w:rsidP="009C7EDD">
      <w:pPr>
        <w:pStyle w:val="QRD2"/>
      </w:pPr>
      <w:r w:rsidRPr="005B2844">
        <w:t>B</w:t>
      </w:r>
      <w:r w:rsidR="00BF778E" w:rsidRPr="005B2844">
        <w:t>.</w:t>
      </w:r>
      <w:r w:rsidRPr="005B2844">
        <w:tab/>
        <w:t xml:space="preserve">CONDIZIONI </w:t>
      </w:r>
      <w:r w:rsidR="00BF778E" w:rsidRPr="005B2844">
        <w:t>O LIM</w:t>
      </w:r>
      <w:smartTag w:uri="urn:schemas-microsoft-com:office:smarttags" w:element="PersonName">
        <w:r w:rsidR="00BF778E" w:rsidRPr="005B2844">
          <w:t>IT</w:t>
        </w:r>
      </w:smartTag>
      <w:r w:rsidR="00BF778E" w:rsidRPr="005B2844">
        <w:t>AZIONI DI FORN</w:t>
      </w:r>
      <w:smartTag w:uri="urn:schemas-microsoft-com:office:smarttags" w:element="PersonName">
        <w:r w:rsidR="00BF778E" w:rsidRPr="005B2844">
          <w:t>IT</w:t>
        </w:r>
      </w:smartTag>
      <w:r w:rsidR="00BF778E" w:rsidRPr="005B2844">
        <w:t>URA E UTILIZZO</w:t>
      </w:r>
    </w:p>
    <w:p w:rsidR="00A70FCB" w:rsidRPr="005B2844" w:rsidRDefault="00A70FCB" w:rsidP="0072602F">
      <w:pPr>
        <w:rPr>
          <w:color w:val="000000"/>
          <w:szCs w:val="22"/>
        </w:rPr>
      </w:pPr>
    </w:p>
    <w:p w:rsidR="00A70FCB" w:rsidRPr="005B2844" w:rsidRDefault="00A70FCB" w:rsidP="0072602F">
      <w:pPr>
        <w:numPr>
          <w:ilvl w:val="12"/>
          <w:numId w:val="0"/>
        </w:numPr>
        <w:rPr>
          <w:color w:val="000000"/>
          <w:szCs w:val="22"/>
        </w:rPr>
      </w:pPr>
      <w:r w:rsidRPr="005B2844">
        <w:rPr>
          <w:color w:val="000000"/>
          <w:szCs w:val="22"/>
        </w:rPr>
        <w:t>Medicinale soggetto a prescrizione medica</w:t>
      </w:r>
      <w:r w:rsidR="00354F9C" w:rsidRPr="005B2844">
        <w:rPr>
          <w:color w:val="000000"/>
          <w:szCs w:val="22"/>
        </w:rPr>
        <w:t>.</w:t>
      </w:r>
    </w:p>
    <w:p w:rsidR="00F5007D" w:rsidRPr="005B2844" w:rsidRDefault="00F5007D" w:rsidP="0072602F">
      <w:pPr>
        <w:numPr>
          <w:ilvl w:val="12"/>
          <w:numId w:val="0"/>
        </w:numPr>
        <w:suppressAutoHyphens/>
        <w:rPr>
          <w:szCs w:val="22"/>
        </w:rPr>
      </w:pPr>
    </w:p>
    <w:p w:rsidR="00A70FCB" w:rsidRPr="005B2844" w:rsidRDefault="00A70FCB" w:rsidP="0072602F">
      <w:pPr>
        <w:ind w:right="-1"/>
        <w:rPr>
          <w:color w:val="000000"/>
          <w:szCs w:val="22"/>
        </w:rPr>
      </w:pPr>
    </w:p>
    <w:p w:rsidR="0018097F" w:rsidRPr="005B2844" w:rsidRDefault="0018097F" w:rsidP="009C7EDD">
      <w:pPr>
        <w:pStyle w:val="QRD2"/>
      </w:pPr>
      <w:r w:rsidRPr="005B2844">
        <w:t>C.</w:t>
      </w:r>
      <w:r w:rsidRPr="005B2844">
        <w:tab/>
        <w:t>ALTRE CONDIZIONI E REQUISITI DELL’AUTORIZZAZIONE ALL’IMM</w:t>
      </w:r>
      <w:smartTag w:uri="urn:schemas-microsoft-com:office:smarttags" w:element="PersonName">
        <w:r w:rsidRPr="005B2844">
          <w:t>IS</w:t>
        </w:r>
      </w:smartTag>
      <w:smartTag w:uri="urn:schemas-microsoft-com:office:smarttags" w:element="PersonName">
        <w:r w:rsidRPr="005B2844">
          <w:t>SI</w:t>
        </w:r>
      </w:smartTag>
      <w:r w:rsidRPr="005B2844">
        <w:t>ONE IN COMMERCIO</w:t>
      </w:r>
    </w:p>
    <w:p w:rsidR="00E22C71" w:rsidRPr="005B2844" w:rsidRDefault="00E22C71" w:rsidP="0072602F">
      <w:pPr>
        <w:tabs>
          <w:tab w:val="left" w:pos="567"/>
        </w:tabs>
        <w:ind w:right="-1"/>
        <w:rPr>
          <w:szCs w:val="22"/>
        </w:rPr>
      </w:pPr>
    </w:p>
    <w:p w:rsidR="00D06C9B" w:rsidRPr="005B2844" w:rsidRDefault="00D06C9B" w:rsidP="00D06C9B">
      <w:pPr>
        <w:numPr>
          <w:ilvl w:val="0"/>
          <w:numId w:val="20"/>
        </w:numPr>
        <w:tabs>
          <w:tab w:val="left" w:pos="567"/>
        </w:tabs>
        <w:spacing w:line="260" w:lineRule="exact"/>
        <w:ind w:left="284" w:right="-1" w:hanging="284"/>
        <w:rPr>
          <w:b/>
          <w:szCs w:val="22"/>
          <w:lang w:eastAsia="en-US"/>
        </w:rPr>
      </w:pPr>
      <w:r w:rsidRPr="005B2844">
        <w:rPr>
          <w:b/>
          <w:szCs w:val="22"/>
          <w:lang w:eastAsia="en-US"/>
        </w:rPr>
        <w:t>Rapporti periodici di aggiornamento sulla sicurezza</w:t>
      </w:r>
      <w:r w:rsidR="00A133EA" w:rsidRPr="005B2844">
        <w:rPr>
          <w:b/>
          <w:szCs w:val="22"/>
          <w:lang w:eastAsia="en-US"/>
        </w:rPr>
        <w:t xml:space="preserve"> (PSUR)</w:t>
      </w:r>
    </w:p>
    <w:p w:rsidR="00D06C9B" w:rsidRPr="005B2844" w:rsidRDefault="00D06C9B" w:rsidP="00D06C9B">
      <w:pPr>
        <w:tabs>
          <w:tab w:val="left" w:pos="567"/>
        </w:tabs>
        <w:spacing w:line="260" w:lineRule="exact"/>
        <w:ind w:right="-1"/>
        <w:rPr>
          <w:szCs w:val="22"/>
          <w:lang w:eastAsia="en-US"/>
        </w:rPr>
      </w:pPr>
    </w:p>
    <w:p w:rsidR="00D06C9B" w:rsidRPr="005B2844" w:rsidRDefault="00A133EA" w:rsidP="0072602F">
      <w:pPr>
        <w:tabs>
          <w:tab w:val="left" w:pos="567"/>
        </w:tabs>
        <w:rPr>
          <w:noProof/>
          <w:szCs w:val="22"/>
        </w:rPr>
      </w:pPr>
      <w:r w:rsidRPr="005B2844">
        <w:rPr>
          <w:szCs w:val="22"/>
        </w:rPr>
        <w:t>I requisiti per la presentazione degli PSUR</w:t>
      </w:r>
      <w:r w:rsidR="00D06C9B" w:rsidRPr="005B2844">
        <w:rPr>
          <w:noProof/>
          <w:szCs w:val="22"/>
        </w:rPr>
        <w:t xml:space="preserve"> per questo medicinale </w:t>
      </w:r>
      <w:r w:rsidRPr="005B2844">
        <w:rPr>
          <w:noProof/>
          <w:szCs w:val="22"/>
        </w:rPr>
        <w:t>sono</w:t>
      </w:r>
      <w:r w:rsidR="00D06C9B" w:rsidRPr="005B2844">
        <w:rPr>
          <w:noProof/>
          <w:szCs w:val="22"/>
        </w:rPr>
        <w:t xml:space="preserve"> definiti nell’elenco delle date di riferimento per l’Unione europea (elenco EURD) di cui all’articolo 107 </w:t>
      </w:r>
      <w:r w:rsidR="00D06C9B" w:rsidRPr="005B2844">
        <w:rPr>
          <w:i/>
          <w:noProof/>
          <w:szCs w:val="22"/>
        </w:rPr>
        <w:t>quater</w:t>
      </w:r>
      <w:r w:rsidR="00D06C9B" w:rsidRPr="005B2844">
        <w:rPr>
          <w:noProof/>
          <w:szCs w:val="22"/>
        </w:rPr>
        <w:t>, par</w:t>
      </w:r>
      <w:r w:rsidRPr="005B2844">
        <w:rPr>
          <w:noProof/>
          <w:szCs w:val="22"/>
        </w:rPr>
        <w:t>agrafo</w:t>
      </w:r>
      <w:r w:rsidR="00D06C9B" w:rsidRPr="005B2844">
        <w:rPr>
          <w:noProof/>
          <w:szCs w:val="22"/>
        </w:rPr>
        <w:t xml:space="preserve"> 7</w:t>
      </w:r>
      <w:r w:rsidRPr="005B2844">
        <w:rPr>
          <w:noProof/>
          <w:szCs w:val="22"/>
        </w:rPr>
        <w:t>,</w:t>
      </w:r>
      <w:r w:rsidR="00D06C9B" w:rsidRPr="005B2844">
        <w:rPr>
          <w:noProof/>
          <w:szCs w:val="22"/>
        </w:rPr>
        <w:t xml:space="preserve"> della </w:t>
      </w:r>
      <w:r w:rsidRPr="005B2844">
        <w:rPr>
          <w:noProof/>
          <w:szCs w:val="22"/>
        </w:rPr>
        <w:t xml:space="preserve">Direttiva </w:t>
      </w:r>
      <w:r w:rsidR="00D06C9B" w:rsidRPr="005B2844">
        <w:rPr>
          <w:noProof/>
          <w:szCs w:val="22"/>
        </w:rPr>
        <w:t>20</w:t>
      </w:r>
      <w:r w:rsidR="00551770" w:rsidRPr="005B2844">
        <w:rPr>
          <w:noProof/>
          <w:szCs w:val="22"/>
        </w:rPr>
        <w:t>0</w:t>
      </w:r>
      <w:r w:rsidR="00D06C9B" w:rsidRPr="005B2844">
        <w:rPr>
          <w:noProof/>
          <w:szCs w:val="22"/>
        </w:rPr>
        <w:t>1/8</w:t>
      </w:r>
      <w:r w:rsidR="00551770" w:rsidRPr="005B2844">
        <w:rPr>
          <w:noProof/>
          <w:szCs w:val="22"/>
        </w:rPr>
        <w:t>3</w:t>
      </w:r>
      <w:r w:rsidR="00D06C9B" w:rsidRPr="005B2844">
        <w:rPr>
          <w:noProof/>
          <w:szCs w:val="22"/>
        </w:rPr>
        <w:t>/CE</w:t>
      </w:r>
      <w:r w:rsidRPr="005B2844">
        <w:rPr>
          <w:noProof/>
          <w:szCs w:val="22"/>
        </w:rPr>
        <w:t xml:space="preserve"> e successive modifiche,</w:t>
      </w:r>
      <w:r w:rsidR="00D06C9B" w:rsidRPr="005B2844">
        <w:rPr>
          <w:noProof/>
          <w:szCs w:val="22"/>
        </w:rPr>
        <w:t xml:space="preserve"> pubblicato sul </w:t>
      </w:r>
      <w:r w:rsidRPr="005B2844">
        <w:rPr>
          <w:noProof/>
          <w:szCs w:val="22"/>
        </w:rPr>
        <w:t xml:space="preserve">sito </w:t>
      </w:r>
      <w:r w:rsidR="00D06C9B" w:rsidRPr="005B2844">
        <w:rPr>
          <w:noProof/>
          <w:szCs w:val="22"/>
        </w:rPr>
        <w:t xml:space="preserve">web </w:t>
      </w:r>
      <w:r w:rsidRPr="005B2844">
        <w:rPr>
          <w:noProof/>
          <w:szCs w:val="22"/>
        </w:rPr>
        <w:t>dell’Agenzia europea dei medicinali</w:t>
      </w:r>
      <w:r w:rsidR="00D06C9B" w:rsidRPr="005B2844">
        <w:rPr>
          <w:noProof/>
          <w:szCs w:val="22"/>
        </w:rPr>
        <w:t>.</w:t>
      </w:r>
    </w:p>
    <w:p w:rsidR="00D06C9B" w:rsidRPr="005B2844" w:rsidRDefault="00D06C9B" w:rsidP="0072602F">
      <w:pPr>
        <w:tabs>
          <w:tab w:val="left" w:pos="567"/>
        </w:tabs>
        <w:rPr>
          <w:noProof/>
          <w:szCs w:val="22"/>
        </w:rPr>
      </w:pPr>
    </w:p>
    <w:p w:rsidR="00D06C9B" w:rsidRPr="005B2844" w:rsidRDefault="00D06C9B" w:rsidP="0072602F">
      <w:pPr>
        <w:tabs>
          <w:tab w:val="left" w:pos="567"/>
        </w:tabs>
        <w:rPr>
          <w:noProof/>
          <w:szCs w:val="22"/>
        </w:rPr>
      </w:pPr>
    </w:p>
    <w:p w:rsidR="00D06C9B" w:rsidRPr="005B2844" w:rsidRDefault="00D06C9B" w:rsidP="009C7EDD">
      <w:pPr>
        <w:pStyle w:val="QRD2"/>
        <w:rPr>
          <w:lang w:eastAsia="en-US"/>
        </w:rPr>
      </w:pPr>
      <w:r w:rsidRPr="005B2844">
        <w:rPr>
          <w:lang w:eastAsia="en-US"/>
        </w:rPr>
        <w:t>D.</w:t>
      </w:r>
      <w:r w:rsidRPr="005B2844">
        <w:rPr>
          <w:lang w:eastAsia="en-US"/>
        </w:rPr>
        <w:tab/>
        <w:t xml:space="preserve">CONDIZIONI O LIMITAZIONI PER QUANTO RIGUARDA L’USO </w:t>
      </w:r>
      <w:smartTag w:uri="urn:schemas-microsoft-com:office:smarttags" w:element="PersonName">
        <w:r w:rsidRPr="005B2844">
          <w:rPr>
            <w:lang w:eastAsia="en-US"/>
          </w:rPr>
          <w:t>SI</w:t>
        </w:r>
      </w:smartTag>
      <w:r w:rsidRPr="005B2844">
        <w:rPr>
          <w:lang w:eastAsia="en-US"/>
        </w:rPr>
        <w:t>CU</w:t>
      </w:r>
      <w:smartTag w:uri="urn:schemas-microsoft-com:office:smarttags" w:element="PersonName">
        <w:r w:rsidRPr="005B2844">
          <w:rPr>
            <w:lang w:eastAsia="en-US"/>
          </w:rPr>
          <w:t>RO</w:t>
        </w:r>
      </w:smartTag>
      <w:r w:rsidRPr="005B2844">
        <w:rPr>
          <w:lang w:eastAsia="en-US"/>
        </w:rPr>
        <w:t xml:space="preserve"> ED EF</w:t>
      </w:r>
      <w:smartTag w:uri="urn:schemas-microsoft-com:office:smarttags" w:element="PersonName">
        <w:r w:rsidRPr="005B2844">
          <w:rPr>
            <w:lang w:eastAsia="en-US"/>
          </w:rPr>
          <w:t>FI</w:t>
        </w:r>
      </w:smartTag>
      <w:r w:rsidRPr="005B2844">
        <w:rPr>
          <w:lang w:eastAsia="en-US"/>
        </w:rPr>
        <w:t xml:space="preserve">CACE </w:t>
      </w:r>
      <w:smartTag w:uri="urn:schemas-microsoft-com:office:smarttags" w:element="PersonName">
        <w:r w:rsidRPr="005B2844">
          <w:rPr>
            <w:lang w:eastAsia="en-US"/>
          </w:rPr>
          <w:t>D</w:t>
        </w:r>
        <w:smartTag w:uri="urn:schemas-microsoft-com:office:smarttags" w:element="PersonName">
          <w:r w:rsidRPr="005B2844">
            <w:rPr>
              <w:lang w:eastAsia="en-US"/>
            </w:rPr>
            <w:t>E</w:t>
          </w:r>
        </w:smartTag>
      </w:smartTag>
      <w:r w:rsidRPr="005B2844">
        <w:rPr>
          <w:lang w:eastAsia="en-US"/>
        </w:rPr>
        <w:t>L</w:t>
      </w:r>
      <w:r w:rsidRPr="005B2844">
        <w:rPr>
          <w:lang w:eastAsia="en-US"/>
        </w:rPr>
        <w:t xml:space="preserve"> MEDICINALE</w:t>
      </w:r>
    </w:p>
    <w:p w:rsidR="00E22C71" w:rsidRPr="005B2844" w:rsidRDefault="00E22C71" w:rsidP="0072602F">
      <w:pPr>
        <w:tabs>
          <w:tab w:val="left" w:pos="567"/>
        </w:tabs>
        <w:rPr>
          <w:noProof/>
          <w:szCs w:val="22"/>
        </w:rPr>
      </w:pPr>
    </w:p>
    <w:p w:rsidR="00D06C9B" w:rsidRPr="005B2844" w:rsidRDefault="00D06C9B" w:rsidP="00D06C9B">
      <w:pPr>
        <w:pStyle w:val="EMEABodyText"/>
        <w:numPr>
          <w:ilvl w:val="0"/>
          <w:numId w:val="20"/>
        </w:numPr>
        <w:tabs>
          <w:tab w:val="left" w:pos="567"/>
        </w:tabs>
        <w:ind w:left="0" w:firstLine="0"/>
        <w:rPr>
          <w:b/>
          <w:i/>
          <w:szCs w:val="22"/>
          <w:lang w:val="it-IT"/>
        </w:rPr>
      </w:pPr>
      <w:r w:rsidRPr="005B2844">
        <w:rPr>
          <w:b/>
          <w:noProof/>
          <w:szCs w:val="22"/>
          <w:lang w:val="it-IT"/>
        </w:rPr>
        <w:t>Piano di gestione del rischio</w:t>
      </w:r>
      <w:r w:rsidRPr="005B2844">
        <w:rPr>
          <w:b/>
          <w:i/>
          <w:szCs w:val="22"/>
          <w:lang w:val="it-IT"/>
        </w:rPr>
        <w:t xml:space="preserve"> </w:t>
      </w:r>
      <w:r w:rsidRPr="005B2844">
        <w:rPr>
          <w:b/>
          <w:noProof/>
          <w:szCs w:val="22"/>
          <w:lang w:val="it-IT"/>
        </w:rPr>
        <w:t>(RMP</w:t>
      </w:r>
      <w:r w:rsidRPr="005B2844">
        <w:rPr>
          <w:b/>
          <w:szCs w:val="22"/>
          <w:lang w:val="it-IT"/>
        </w:rPr>
        <w:t>)</w:t>
      </w:r>
    </w:p>
    <w:p w:rsidR="00D06C9B" w:rsidRPr="005B2844" w:rsidRDefault="00D06C9B" w:rsidP="0072602F">
      <w:pPr>
        <w:tabs>
          <w:tab w:val="left" w:pos="567"/>
        </w:tabs>
        <w:rPr>
          <w:noProof/>
          <w:szCs w:val="22"/>
          <w:u w:val="single"/>
        </w:rPr>
      </w:pPr>
    </w:p>
    <w:p w:rsidR="00E22C71" w:rsidRPr="005B2844" w:rsidRDefault="00E22C71" w:rsidP="0072602F">
      <w:pPr>
        <w:tabs>
          <w:tab w:val="left" w:pos="567"/>
        </w:tabs>
        <w:rPr>
          <w:noProof/>
          <w:szCs w:val="22"/>
        </w:rPr>
      </w:pPr>
      <w:r w:rsidRPr="005B2844">
        <w:rPr>
          <w:noProof/>
          <w:szCs w:val="22"/>
        </w:rPr>
        <w:t>Il titolare dell</w:t>
      </w:r>
      <w:r w:rsidR="002C4BE9" w:rsidRPr="005B2844">
        <w:rPr>
          <w:noProof/>
          <w:szCs w:val="22"/>
        </w:rPr>
        <w:t>’</w:t>
      </w:r>
      <w:r w:rsidRPr="005B2844">
        <w:rPr>
          <w:noProof/>
          <w:szCs w:val="22"/>
        </w:rPr>
        <w:t>autorizzazione all</w:t>
      </w:r>
      <w:r w:rsidR="005F6785" w:rsidRPr="005B2844">
        <w:rPr>
          <w:noProof/>
          <w:szCs w:val="22"/>
        </w:rPr>
        <w:t>’</w:t>
      </w:r>
      <w:r w:rsidRPr="005B2844">
        <w:rPr>
          <w:noProof/>
          <w:szCs w:val="22"/>
        </w:rPr>
        <w:t xml:space="preserve">immissione in commercio </w:t>
      </w:r>
      <w:r w:rsidR="00BC075C" w:rsidRPr="005B2844">
        <w:rPr>
          <w:noProof/>
          <w:szCs w:val="22"/>
        </w:rPr>
        <w:t>deve</w:t>
      </w:r>
      <w:r w:rsidRPr="005B2844">
        <w:rPr>
          <w:noProof/>
          <w:szCs w:val="22"/>
        </w:rPr>
        <w:t xml:space="preserve"> effettuare le attività </w:t>
      </w:r>
      <w:r w:rsidR="009B117C" w:rsidRPr="005B2844">
        <w:rPr>
          <w:noProof/>
          <w:szCs w:val="22"/>
        </w:rPr>
        <w:t xml:space="preserve">e </w:t>
      </w:r>
      <w:r w:rsidR="00A133EA" w:rsidRPr="005B2844">
        <w:rPr>
          <w:noProof/>
          <w:szCs w:val="22"/>
        </w:rPr>
        <w:t>le azioni</w:t>
      </w:r>
      <w:r w:rsidRPr="005B2844">
        <w:rPr>
          <w:noProof/>
          <w:szCs w:val="22"/>
        </w:rPr>
        <w:t xml:space="preserve"> di </w:t>
      </w:r>
      <w:r w:rsidR="005F6785" w:rsidRPr="005B2844">
        <w:rPr>
          <w:noProof/>
          <w:szCs w:val="22"/>
        </w:rPr>
        <w:t>f</w:t>
      </w:r>
      <w:r w:rsidRPr="005B2844">
        <w:rPr>
          <w:noProof/>
          <w:szCs w:val="22"/>
        </w:rPr>
        <w:t>armacovigilanza</w:t>
      </w:r>
      <w:r w:rsidR="009B117C" w:rsidRPr="005B2844">
        <w:rPr>
          <w:noProof/>
          <w:szCs w:val="22"/>
        </w:rPr>
        <w:t xml:space="preserve"> </w:t>
      </w:r>
      <w:r w:rsidR="00A133EA" w:rsidRPr="005B2844">
        <w:rPr>
          <w:noProof/>
          <w:szCs w:val="22"/>
        </w:rPr>
        <w:t xml:space="preserve">richieste </w:t>
      </w:r>
      <w:r w:rsidR="009B117C" w:rsidRPr="005B2844">
        <w:rPr>
          <w:noProof/>
          <w:szCs w:val="22"/>
        </w:rPr>
        <w:t xml:space="preserve">e </w:t>
      </w:r>
      <w:r w:rsidR="00A133EA" w:rsidRPr="005B2844">
        <w:rPr>
          <w:noProof/>
          <w:szCs w:val="22"/>
        </w:rPr>
        <w:t xml:space="preserve">dettagliate </w:t>
      </w:r>
      <w:r w:rsidR="00BC075C" w:rsidRPr="005B2844">
        <w:rPr>
          <w:noProof/>
          <w:szCs w:val="22"/>
        </w:rPr>
        <w:t>nel</w:t>
      </w:r>
      <w:r w:rsidRPr="005B2844">
        <w:rPr>
          <w:noProof/>
          <w:szCs w:val="22"/>
        </w:rPr>
        <w:t xml:space="preserve"> </w:t>
      </w:r>
      <w:r w:rsidR="005F6785" w:rsidRPr="005B2844">
        <w:rPr>
          <w:noProof/>
          <w:szCs w:val="22"/>
        </w:rPr>
        <w:t>RMP</w:t>
      </w:r>
      <w:r w:rsidR="00EF7B60" w:rsidRPr="005B2844">
        <w:rPr>
          <w:noProof/>
          <w:szCs w:val="22"/>
        </w:rPr>
        <w:t xml:space="preserve"> </w:t>
      </w:r>
      <w:r w:rsidR="00A133EA" w:rsidRPr="005B2844">
        <w:rPr>
          <w:noProof/>
          <w:szCs w:val="22"/>
        </w:rPr>
        <w:t xml:space="preserve">approvato </w:t>
      </w:r>
      <w:r w:rsidR="009B117C" w:rsidRPr="005B2844">
        <w:rPr>
          <w:noProof/>
          <w:szCs w:val="22"/>
        </w:rPr>
        <w:t xml:space="preserve">e </w:t>
      </w:r>
      <w:r w:rsidR="00A06DB6" w:rsidRPr="005B2844">
        <w:rPr>
          <w:noProof/>
          <w:szCs w:val="22"/>
        </w:rPr>
        <w:t>presentato</w:t>
      </w:r>
      <w:r w:rsidR="005F6785" w:rsidRPr="005B2844">
        <w:rPr>
          <w:noProof/>
          <w:szCs w:val="22"/>
        </w:rPr>
        <w:t xml:space="preserve"> </w:t>
      </w:r>
      <w:r w:rsidR="00EF7B60" w:rsidRPr="005B2844">
        <w:rPr>
          <w:noProof/>
          <w:szCs w:val="22"/>
        </w:rPr>
        <w:t xml:space="preserve">nel </w:t>
      </w:r>
      <w:r w:rsidR="00BC075C" w:rsidRPr="005B2844">
        <w:rPr>
          <w:noProof/>
          <w:szCs w:val="22"/>
        </w:rPr>
        <w:t>m</w:t>
      </w:r>
      <w:r w:rsidR="00EF7B60" w:rsidRPr="005B2844">
        <w:rPr>
          <w:noProof/>
          <w:szCs w:val="22"/>
        </w:rPr>
        <w:t>odulo 1.8.2</w:t>
      </w:r>
      <w:r w:rsidRPr="005B2844">
        <w:rPr>
          <w:noProof/>
          <w:szCs w:val="22"/>
        </w:rPr>
        <w:t xml:space="preserve"> </w:t>
      </w:r>
      <w:r w:rsidR="00BC075C" w:rsidRPr="005B2844">
        <w:rPr>
          <w:noProof/>
          <w:szCs w:val="22"/>
        </w:rPr>
        <w:t>dell’</w:t>
      </w:r>
      <w:r w:rsidRPr="005B2844">
        <w:rPr>
          <w:noProof/>
          <w:szCs w:val="22"/>
        </w:rPr>
        <w:t>autorizzazione all</w:t>
      </w:r>
      <w:r w:rsidR="007717A3" w:rsidRPr="005B2844">
        <w:rPr>
          <w:noProof/>
          <w:szCs w:val="22"/>
        </w:rPr>
        <w:t>’</w:t>
      </w:r>
      <w:r w:rsidRPr="005B2844">
        <w:rPr>
          <w:noProof/>
          <w:szCs w:val="22"/>
        </w:rPr>
        <w:t xml:space="preserve">immissione in commercio e </w:t>
      </w:r>
      <w:r w:rsidR="00A133EA" w:rsidRPr="005B2844">
        <w:rPr>
          <w:noProof/>
          <w:szCs w:val="22"/>
        </w:rPr>
        <w:t xml:space="preserve">in ogni </w:t>
      </w:r>
      <w:r w:rsidRPr="005B2844">
        <w:rPr>
          <w:noProof/>
          <w:szCs w:val="22"/>
        </w:rPr>
        <w:t xml:space="preserve">successivo aggiornamento </w:t>
      </w:r>
      <w:r w:rsidR="00A133EA" w:rsidRPr="005B2844">
        <w:rPr>
          <w:noProof/>
          <w:szCs w:val="22"/>
        </w:rPr>
        <w:t xml:space="preserve">approvato </w:t>
      </w:r>
      <w:r w:rsidRPr="005B2844">
        <w:rPr>
          <w:noProof/>
          <w:szCs w:val="22"/>
        </w:rPr>
        <w:t>del RMP.</w:t>
      </w:r>
    </w:p>
    <w:p w:rsidR="00E22C71" w:rsidRPr="005B2844" w:rsidRDefault="00E22C71" w:rsidP="0072602F">
      <w:pPr>
        <w:autoSpaceDE w:val="0"/>
        <w:autoSpaceDN w:val="0"/>
        <w:adjustRightInd w:val="0"/>
        <w:ind w:right="-1"/>
        <w:rPr>
          <w:noProof/>
          <w:szCs w:val="22"/>
        </w:rPr>
      </w:pPr>
    </w:p>
    <w:p w:rsidR="009B117C" w:rsidRPr="005B2844" w:rsidRDefault="00A133EA" w:rsidP="009B117C">
      <w:pPr>
        <w:autoSpaceDE w:val="0"/>
        <w:autoSpaceDN w:val="0"/>
        <w:adjustRightInd w:val="0"/>
        <w:ind w:right="-1"/>
        <w:rPr>
          <w:noProof/>
          <w:szCs w:val="22"/>
        </w:rPr>
      </w:pPr>
      <w:r w:rsidRPr="005B2844">
        <w:rPr>
          <w:noProof/>
          <w:szCs w:val="22"/>
        </w:rPr>
        <w:t xml:space="preserve">Il </w:t>
      </w:r>
      <w:r w:rsidR="009B117C" w:rsidRPr="005B2844">
        <w:rPr>
          <w:noProof/>
          <w:szCs w:val="22"/>
        </w:rPr>
        <w:t>RMP aggiornato deve essere presentato con cadenza triennale.</w:t>
      </w:r>
    </w:p>
    <w:p w:rsidR="009B117C" w:rsidRPr="005B2844" w:rsidRDefault="009B117C" w:rsidP="009B117C">
      <w:pPr>
        <w:autoSpaceDE w:val="0"/>
        <w:autoSpaceDN w:val="0"/>
        <w:adjustRightInd w:val="0"/>
        <w:ind w:right="-1"/>
        <w:rPr>
          <w:noProof/>
          <w:szCs w:val="22"/>
        </w:rPr>
      </w:pPr>
    </w:p>
    <w:p w:rsidR="00E22C71" w:rsidRPr="005B2844" w:rsidRDefault="00E22C71" w:rsidP="0072602F">
      <w:pPr>
        <w:autoSpaceDE w:val="0"/>
        <w:autoSpaceDN w:val="0"/>
        <w:adjustRightInd w:val="0"/>
        <w:ind w:right="-1"/>
        <w:rPr>
          <w:noProof/>
          <w:szCs w:val="22"/>
        </w:rPr>
      </w:pPr>
      <w:r w:rsidRPr="005B2844">
        <w:rPr>
          <w:noProof/>
          <w:szCs w:val="22"/>
        </w:rPr>
        <w:t xml:space="preserve">Inoltre, </w:t>
      </w:r>
      <w:r w:rsidR="00B7078C" w:rsidRPr="005B2844">
        <w:rPr>
          <w:noProof/>
          <w:szCs w:val="22"/>
        </w:rPr>
        <w:t xml:space="preserve">il </w:t>
      </w:r>
      <w:r w:rsidRPr="005B2844">
        <w:rPr>
          <w:noProof/>
          <w:szCs w:val="22"/>
        </w:rPr>
        <w:t xml:space="preserve">RMP </w:t>
      </w:r>
      <w:r w:rsidR="00834343" w:rsidRPr="005B2844">
        <w:rPr>
          <w:noProof/>
          <w:szCs w:val="22"/>
        </w:rPr>
        <w:t xml:space="preserve">aggiornato </w:t>
      </w:r>
      <w:r w:rsidRPr="005B2844">
        <w:rPr>
          <w:noProof/>
          <w:szCs w:val="22"/>
        </w:rPr>
        <w:t>deve essere presentato</w:t>
      </w:r>
      <w:r w:rsidR="00B7078C" w:rsidRPr="005B2844">
        <w:rPr>
          <w:noProof/>
          <w:szCs w:val="22"/>
        </w:rPr>
        <w:t>:</w:t>
      </w:r>
    </w:p>
    <w:p w:rsidR="009B117C" w:rsidRPr="005B2844" w:rsidRDefault="009B117C" w:rsidP="0072602F">
      <w:pPr>
        <w:autoSpaceDE w:val="0"/>
        <w:autoSpaceDN w:val="0"/>
        <w:adjustRightInd w:val="0"/>
        <w:ind w:right="-1"/>
        <w:rPr>
          <w:noProof/>
          <w:szCs w:val="22"/>
        </w:rPr>
      </w:pPr>
    </w:p>
    <w:p w:rsidR="00E22C71" w:rsidRPr="005B2844" w:rsidRDefault="00E07EAE" w:rsidP="00013B35">
      <w:pPr>
        <w:numPr>
          <w:ilvl w:val="0"/>
          <w:numId w:val="13"/>
        </w:numPr>
        <w:tabs>
          <w:tab w:val="clear" w:pos="720"/>
        </w:tabs>
        <w:autoSpaceDE w:val="0"/>
        <w:autoSpaceDN w:val="0"/>
        <w:adjustRightInd w:val="0"/>
        <w:ind w:left="567" w:hanging="210"/>
        <w:rPr>
          <w:noProof/>
          <w:szCs w:val="22"/>
        </w:rPr>
      </w:pPr>
      <w:r w:rsidRPr="005B2844">
        <w:rPr>
          <w:noProof/>
          <w:szCs w:val="22"/>
        </w:rPr>
        <w:t>s</w:t>
      </w:r>
      <w:r w:rsidR="00E22C71" w:rsidRPr="005B2844">
        <w:rPr>
          <w:noProof/>
          <w:szCs w:val="22"/>
        </w:rPr>
        <w:t xml:space="preserve">u richiesta </w:t>
      </w:r>
      <w:r w:rsidR="00330B90" w:rsidRPr="005B2844">
        <w:rPr>
          <w:noProof/>
          <w:szCs w:val="22"/>
        </w:rPr>
        <w:t>dell</w:t>
      </w:r>
      <w:r w:rsidR="00A06DB6" w:rsidRPr="005B2844">
        <w:rPr>
          <w:noProof/>
          <w:szCs w:val="22"/>
        </w:rPr>
        <w:t>’</w:t>
      </w:r>
      <w:r w:rsidR="00330B90" w:rsidRPr="005B2844">
        <w:rPr>
          <w:noProof/>
          <w:szCs w:val="22"/>
        </w:rPr>
        <w:t xml:space="preserve">Agenzia </w:t>
      </w:r>
      <w:r w:rsidR="00180EA4" w:rsidRPr="005B2844">
        <w:rPr>
          <w:noProof/>
          <w:szCs w:val="22"/>
        </w:rPr>
        <w:t>e</w:t>
      </w:r>
      <w:r w:rsidR="00330B90" w:rsidRPr="005B2844">
        <w:rPr>
          <w:noProof/>
          <w:szCs w:val="22"/>
        </w:rPr>
        <w:t xml:space="preserve">uropea </w:t>
      </w:r>
      <w:r w:rsidR="00A133EA" w:rsidRPr="005B2844">
        <w:rPr>
          <w:noProof/>
          <w:szCs w:val="22"/>
        </w:rPr>
        <w:t>de</w:t>
      </w:r>
      <w:r w:rsidR="002B6A37" w:rsidRPr="005B2844">
        <w:rPr>
          <w:noProof/>
          <w:szCs w:val="22"/>
        </w:rPr>
        <w:t>i</w:t>
      </w:r>
      <w:r w:rsidR="00330B90" w:rsidRPr="005B2844">
        <w:rPr>
          <w:noProof/>
          <w:szCs w:val="22"/>
        </w:rPr>
        <w:t xml:space="preserve"> </w:t>
      </w:r>
      <w:r w:rsidR="00180EA4" w:rsidRPr="005B2844">
        <w:rPr>
          <w:noProof/>
          <w:szCs w:val="22"/>
        </w:rPr>
        <w:t>m</w:t>
      </w:r>
      <w:r w:rsidR="00330B90" w:rsidRPr="005B2844">
        <w:rPr>
          <w:noProof/>
          <w:szCs w:val="22"/>
        </w:rPr>
        <w:t>edicinali</w:t>
      </w:r>
      <w:r w:rsidR="00494C26" w:rsidRPr="005B2844">
        <w:rPr>
          <w:noProof/>
          <w:szCs w:val="22"/>
        </w:rPr>
        <w:t>;</w:t>
      </w:r>
    </w:p>
    <w:p w:rsidR="00494C26" w:rsidRPr="005B2844" w:rsidRDefault="00494C26" w:rsidP="00013B35">
      <w:pPr>
        <w:numPr>
          <w:ilvl w:val="0"/>
          <w:numId w:val="13"/>
        </w:numPr>
        <w:tabs>
          <w:tab w:val="clear" w:pos="720"/>
        </w:tabs>
        <w:autoSpaceDE w:val="0"/>
        <w:autoSpaceDN w:val="0"/>
        <w:adjustRightInd w:val="0"/>
        <w:ind w:left="567" w:hanging="210"/>
        <w:rPr>
          <w:noProof/>
          <w:szCs w:val="22"/>
        </w:rPr>
      </w:pPr>
      <w:r w:rsidRPr="005B2844">
        <w:rPr>
          <w:iCs/>
          <w:noProof/>
          <w:szCs w:val="22"/>
        </w:rPr>
        <w:t>ogni volta che il sistema di gestione del rischio è modificato, in particolare a seguito del ricevimento di nuove informazioni</w:t>
      </w:r>
      <w:r w:rsidRPr="005B2844">
        <w:rPr>
          <w:noProof/>
          <w:szCs w:val="22"/>
        </w:rPr>
        <w:t xml:space="preserve"> che possono portare a un cambiamento significativo del profilo beneficio/rischio o </w:t>
      </w:r>
      <w:r w:rsidR="00A133EA" w:rsidRPr="005B2844">
        <w:rPr>
          <w:noProof/>
          <w:szCs w:val="22"/>
        </w:rPr>
        <w:t>a seguito</w:t>
      </w:r>
      <w:r w:rsidRPr="005B2844">
        <w:rPr>
          <w:noProof/>
          <w:szCs w:val="22"/>
        </w:rPr>
        <w:t xml:space="preserve"> del raggiungimento di un importante obiettivo (di farmacovigilanza o di minimizzazione del rischio).</w:t>
      </w:r>
    </w:p>
    <w:p w:rsidR="00A70FCB" w:rsidRPr="005B2844" w:rsidRDefault="00A70FCB" w:rsidP="00873DC1">
      <w:pPr>
        <w:suppressAutoHyphens/>
        <w:jc w:val="center"/>
        <w:rPr>
          <w:szCs w:val="22"/>
        </w:rPr>
      </w:pPr>
      <w:r w:rsidRPr="005B2844">
        <w:rPr>
          <w:color w:val="000000"/>
          <w:szCs w:val="22"/>
        </w:rPr>
        <w:br w:type="page"/>
      </w: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b/>
          <w:szCs w:val="22"/>
        </w:rPr>
      </w:pPr>
    </w:p>
    <w:p w:rsidR="00A70FCB" w:rsidRPr="005B2844" w:rsidRDefault="00A70FCB" w:rsidP="0072602F">
      <w:pPr>
        <w:suppressAutoHyphens/>
        <w:jc w:val="center"/>
        <w:rPr>
          <w:b/>
          <w:szCs w:val="22"/>
        </w:rPr>
      </w:pPr>
      <w:r w:rsidRPr="005B2844">
        <w:rPr>
          <w:b/>
          <w:szCs w:val="22"/>
        </w:rPr>
        <w:t>ALLEGATO III</w:t>
      </w:r>
    </w:p>
    <w:p w:rsidR="00A70FCB" w:rsidRPr="005B2844" w:rsidRDefault="00A70FCB" w:rsidP="0072602F">
      <w:pPr>
        <w:rPr>
          <w:szCs w:val="22"/>
        </w:rPr>
      </w:pPr>
    </w:p>
    <w:p w:rsidR="00A70FCB" w:rsidRPr="005B2844" w:rsidRDefault="00A70FCB" w:rsidP="0072602F">
      <w:pPr>
        <w:suppressAutoHyphens/>
        <w:jc w:val="center"/>
        <w:rPr>
          <w:szCs w:val="22"/>
        </w:rPr>
      </w:pPr>
      <w:r w:rsidRPr="005B2844">
        <w:rPr>
          <w:b/>
          <w:szCs w:val="22"/>
        </w:rPr>
        <w:t>ETICHETTATURA E FOGLIO ILLUSTRATIVO</w:t>
      </w:r>
    </w:p>
    <w:p w:rsidR="00A70FCB" w:rsidRPr="005B2844" w:rsidRDefault="00A70FCB" w:rsidP="0072602F">
      <w:pPr>
        <w:suppressAutoHyphens/>
        <w:jc w:val="center"/>
        <w:rPr>
          <w:szCs w:val="22"/>
        </w:rPr>
      </w:pPr>
    </w:p>
    <w:p w:rsidR="00A70FCB" w:rsidRPr="005B2844" w:rsidRDefault="00A70FCB" w:rsidP="00873DC1">
      <w:pPr>
        <w:suppressAutoHyphens/>
        <w:jc w:val="center"/>
        <w:rPr>
          <w:szCs w:val="22"/>
        </w:rPr>
      </w:pPr>
      <w:r w:rsidRPr="005B2844">
        <w:rPr>
          <w:szCs w:val="22"/>
        </w:rPr>
        <w:br w:type="page"/>
      </w:r>
    </w:p>
    <w:p w:rsidR="00A70FCB" w:rsidRPr="005B2844" w:rsidRDefault="00A70FCB" w:rsidP="00873DC1">
      <w:pPr>
        <w:suppressAutoHyphens/>
        <w:jc w:val="center"/>
        <w:rPr>
          <w:szCs w:val="22"/>
        </w:rPr>
      </w:pPr>
    </w:p>
    <w:p w:rsidR="00A70FCB" w:rsidRPr="005B2844" w:rsidRDefault="00A70FCB" w:rsidP="00873DC1">
      <w:pPr>
        <w:pStyle w:val="EndnoteText"/>
        <w:widowControl/>
        <w:tabs>
          <w:tab w:val="clear" w:pos="567"/>
        </w:tabs>
        <w:suppressAutoHyphens/>
        <w:jc w:val="center"/>
        <w:rPr>
          <w:rFonts w:ascii="Times New Roman" w:hAnsi="Times New Roman"/>
          <w:szCs w:val="22"/>
          <w:lang w:eastAsia="it-IT"/>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9C7EDD">
      <w:pPr>
        <w:pStyle w:val="QRD1"/>
      </w:pPr>
      <w:r w:rsidRPr="005B2844">
        <w:t>A. ETICHETTATURA</w:t>
      </w:r>
    </w:p>
    <w:p w:rsidR="00A70FCB" w:rsidRPr="005B2844" w:rsidRDefault="00A70FCB" w:rsidP="0072602F">
      <w:pPr>
        <w:pStyle w:val="BodyText"/>
        <w:rPr>
          <w:b/>
          <w:szCs w:val="22"/>
          <w:lang w:val="it-IT"/>
        </w:rPr>
      </w:pPr>
      <w:r w:rsidRPr="005B2844">
        <w:rPr>
          <w:szCs w:val="22"/>
          <w:lang w:val="it-IT"/>
        </w:rPr>
        <w:br w:type="page"/>
      </w:r>
      <w:r w:rsidRPr="005B2844">
        <w:rPr>
          <w:b/>
          <w:caps/>
          <w:szCs w:val="22"/>
          <w:lang w:val="it-IT"/>
        </w:rPr>
        <w:t>Informazioni</w:t>
      </w:r>
      <w:r w:rsidRPr="005B2844">
        <w:rPr>
          <w:b/>
          <w:szCs w:val="22"/>
          <w:lang w:val="it-IT"/>
        </w:rPr>
        <w:t xml:space="preserve"> DA APPORRE SUL</w:t>
      </w:r>
      <w:r w:rsidR="00145491" w:rsidRPr="005B2844">
        <w:rPr>
          <w:b/>
          <w:szCs w:val="22"/>
          <w:lang w:val="it-IT"/>
        </w:rPr>
        <w:t xml:space="preserve"> </w:t>
      </w:r>
      <w:r w:rsidR="00A50259" w:rsidRPr="005B2844">
        <w:rPr>
          <w:b/>
          <w:szCs w:val="22"/>
          <w:lang w:val="it-IT"/>
        </w:rPr>
        <w:t>CONFEZIONAMENTO</w:t>
      </w:r>
      <w:r w:rsidRPr="005B2844">
        <w:rPr>
          <w:b/>
          <w:szCs w:val="22"/>
          <w:lang w:val="it-IT"/>
        </w:rPr>
        <w:t xml:space="preserve"> </w:t>
      </w:r>
      <w:r w:rsidR="00601296" w:rsidRPr="005B2844">
        <w:rPr>
          <w:b/>
          <w:szCs w:val="22"/>
          <w:lang w:val="it-IT"/>
        </w:rPr>
        <w:t>SECONDARIO</w:t>
      </w:r>
    </w:p>
    <w:p w:rsidR="00A70FCB" w:rsidRPr="005B2844" w:rsidRDefault="00A70FCB" w:rsidP="0072602F">
      <w:pPr>
        <w:pStyle w:val="BodyText"/>
        <w:rPr>
          <w:b/>
          <w:szCs w:val="22"/>
          <w:lang w:val="it-IT"/>
        </w:rPr>
      </w:pPr>
    </w:p>
    <w:p w:rsidR="00A70FCB" w:rsidRPr="005B2844" w:rsidRDefault="0039364E" w:rsidP="0072602F">
      <w:pPr>
        <w:pStyle w:val="BodyText"/>
        <w:rPr>
          <w:b/>
          <w:szCs w:val="22"/>
          <w:lang w:val="it-IT"/>
        </w:rPr>
      </w:pPr>
      <w:r w:rsidRPr="005B2844">
        <w:rPr>
          <w:b/>
          <w:szCs w:val="22"/>
          <w:lang w:val="it-IT"/>
        </w:rPr>
        <w:t>Astuccio</w:t>
      </w:r>
    </w:p>
    <w:p w:rsidR="00A70FCB" w:rsidRPr="005B2844" w:rsidRDefault="00A70FCB" w:rsidP="0072602F">
      <w:pPr>
        <w:tabs>
          <w:tab w:val="left" w:pos="0"/>
        </w:tabs>
        <w:rPr>
          <w:b/>
          <w:caps/>
          <w:szCs w:val="22"/>
          <w:u w:val="single"/>
        </w:rPr>
      </w:pPr>
    </w:p>
    <w:p w:rsidR="00A70FCB" w:rsidRPr="005B2844" w:rsidRDefault="00A70FCB" w:rsidP="0072602F">
      <w:pPr>
        <w:tabs>
          <w:tab w:val="left" w:pos="0"/>
        </w:tabs>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w:t>
      </w:r>
      <w:r w:rsidRPr="005B2844">
        <w:rPr>
          <w:b/>
          <w:szCs w:val="22"/>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40</w:t>
      </w:r>
      <w:r w:rsidR="00111A24" w:rsidRPr="005B2844">
        <w:rPr>
          <w:szCs w:val="22"/>
        </w:rPr>
        <w:t> mg</w:t>
      </w:r>
      <w:r w:rsidRPr="005B2844">
        <w:rPr>
          <w:szCs w:val="22"/>
        </w:rPr>
        <w:t>/12,5 mg compresse</w:t>
      </w:r>
    </w:p>
    <w:p w:rsidR="00A70FCB" w:rsidRPr="005B2844" w:rsidRDefault="00111A24"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A70FCB" w:rsidRPr="005B2844" w:rsidRDefault="00A70FCB" w:rsidP="0072602F">
      <w:pPr>
        <w:rPr>
          <w:szCs w:val="22"/>
        </w:rPr>
      </w:pPr>
    </w:p>
    <w:p w:rsidR="00D23621" w:rsidRPr="005B2844" w:rsidRDefault="00D23621" w:rsidP="0072602F">
      <w:pPr>
        <w:rPr>
          <w:szCs w:val="22"/>
        </w:rPr>
      </w:pPr>
    </w:p>
    <w:p w:rsidR="00A70FCB" w:rsidRPr="005B2844" w:rsidRDefault="00A70FCB" w:rsidP="00F541E7">
      <w:pPr>
        <w:pBdr>
          <w:top w:val="single" w:sz="4" w:space="1" w:color="auto"/>
          <w:left w:val="single" w:sz="4" w:space="4" w:color="auto"/>
          <w:bottom w:val="single" w:sz="4" w:space="1" w:color="auto"/>
          <w:right w:val="single" w:sz="4" w:space="4" w:color="auto"/>
        </w:pBdr>
        <w:tabs>
          <w:tab w:val="left" w:pos="567"/>
        </w:tabs>
        <w:ind w:left="567" w:hanging="567"/>
        <w:rPr>
          <w:b/>
          <w:szCs w:val="22"/>
        </w:rPr>
      </w:pPr>
      <w:r w:rsidRPr="005B2844">
        <w:rPr>
          <w:b/>
          <w:szCs w:val="22"/>
        </w:rPr>
        <w:t>2.</w:t>
      </w:r>
      <w:r w:rsidRPr="005B2844">
        <w:rPr>
          <w:b/>
          <w:szCs w:val="22"/>
        </w:rPr>
        <w:tab/>
      </w:r>
      <w:r w:rsidR="005A1653" w:rsidRPr="005B2844">
        <w:rPr>
          <w:b/>
          <w:szCs w:val="22"/>
        </w:rPr>
        <w:t>COMPOSIZIONE QUALITATIV</w:t>
      </w:r>
      <w:r w:rsidR="008F14D0" w:rsidRPr="005B2844">
        <w:rPr>
          <w:b/>
          <w:szCs w:val="22"/>
        </w:rPr>
        <w:t>A</w:t>
      </w:r>
      <w:r w:rsidR="005A1653" w:rsidRPr="005B2844">
        <w:rPr>
          <w:b/>
          <w:szCs w:val="22"/>
        </w:rPr>
        <w:t xml:space="preserve"> E QUANTITATIVA</w:t>
      </w:r>
      <w:r w:rsidR="008F14D0" w:rsidRPr="005B2844">
        <w:rPr>
          <w:b/>
          <w:szCs w:val="22"/>
        </w:rPr>
        <w:t xml:space="preserve"> </w:t>
      </w:r>
      <w:r w:rsidR="008A7F78" w:rsidRPr="005B2844">
        <w:rPr>
          <w:b/>
          <w:szCs w:val="22"/>
        </w:rPr>
        <w:t xml:space="preserve">IN TERMINI DI </w:t>
      </w:r>
      <w:r w:rsidR="008F14D0" w:rsidRPr="005B2844">
        <w:rPr>
          <w:b/>
          <w:szCs w:val="22"/>
        </w:rPr>
        <w:t>PRINCIPIO(I) ATTIVO(I)</w:t>
      </w:r>
    </w:p>
    <w:p w:rsidR="00A70FCB" w:rsidRPr="005B2844" w:rsidRDefault="00A70FCB" w:rsidP="0072602F">
      <w:pPr>
        <w:tabs>
          <w:tab w:val="left" w:pos="567"/>
        </w:tabs>
        <w:rPr>
          <w:szCs w:val="22"/>
        </w:rPr>
      </w:pPr>
    </w:p>
    <w:p w:rsidR="00A70FCB" w:rsidRPr="005B2844" w:rsidRDefault="00A70FCB" w:rsidP="0072602F">
      <w:pPr>
        <w:rPr>
          <w:szCs w:val="22"/>
        </w:rPr>
      </w:pPr>
      <w:r w:rsidRPr="005B2844">
        <w:rPr>
          <w:szCs w:val="22"/>
        </w:rPr>
        <w:t xml:space="preserve">Ogni compressa contiene 40 mg </w:t>
      </w:r>
      <w:proofErr w:type="spellStart"/>
      <w:r w:rsidRPr="005B2844">
        <w:rPr>
          <w:szCs w:val="22"/>
        </w:rPr>
        <w:t>telmisartan</w:t>
      </w:r>
      <w:proofErr w:type="spellEnd"/>
      <w:r w:rsidRPr="005B2844">
        <w:rPr>
          <w:szCs w:val="22"/>
        </w:rPr>
        <w:t xml:space="preserve"> e 12,5 mg </w:t>
      </w:r>
      <w:proofErr w:type="spellStart"/>
      <w:r w:rsidRPr="005B2844">
        <w:rPr>
          <w:szCs w:val="22"/>
        </w:rPr>
        <w:t>idroclorotiazide</w:t>
      </w:r>
      <w:proofErr w:type="spellEnd"/>
      <w:r w:rsidR="00A06DB6" w:rsidRPr="005B2844">
        <w:rPr>
          <w:szCs w:val="22"/>
        </w:rPr>
        <w:t>.</w:t>
      </w:r>
    </w:p>
    <w:p w:rsidR="00A70FCB" w:rsidRPr="005B2844" w:rsidRDefault="00A70FCB" w:rsidP="0072602F">
      <w:pPr>
        <w:tabs>
          <w:tab w:val="left" w:pos="567"/>
        </w:tabs>
        <w:rPr>
          <w:szCs w:val="22"/>
        </w:rPr>
      </w:pPr>
    </w:p>
    <w:p w:rsidR="00A70FCB" w:rsidRPr="005B2844" w:rsidRDefault="00A70FCB" w:rsidP="0072602F">
      <w:pPr>
        <w:tabs>
          <w:tab w:val="left" w:pos="567"/>
        </w:tabs>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3.</w:t>
      </w:r>
      <w:r w:rsidRPr="005B2844">
        <w:rPr>
          <w:b/>
          <w:szCs w:val="22"/>
        </w:rPr>
        <w:tab/>
        <w:t>ELENCO DEGLI ECCIPIENTI</w:t>
      </w:r>
    </w:p>
    <w:p w:rsidR="00261D8D" w:rsidRPr="005B2844" w:rsidRDefault="00261D8D" w:rsidP="0072602F">
      <w:pPr>
        <w:rPr>
          <w:szCs w:val="22"/>
        </w:rPr>
      </w:pPr>
    </w:p>
    <w:p w:rsidR="00A70FCB" w:rsidRPr="005B2844" w:rsidRDefault="00111A24" w:rsidP="0072602F">
      <w:pPr>
        <w:rPr>
          <w:szCs w:val="22"/>
        </w:rPr>
      </w:pPr>
      <w:r w:rsidRPr="005B2844">
        <w:rPr>
          <w:szCs w:val="22"/>
        </w:rPr>
        <w:t xml:space="preserve">Contiene </w:t>
      </w:r>
      <w:r w:rsidR="005F5D66" w:rsidRPr="005B2844">
        <w:rPr>
          <w:szCs w:val="22"/>
        </w:rPr>
        <w:t xml:space="preserve">lattosio monoidrato e </w:t>
      </w:r>
      <w:r w:rsidRPr="005B2844">
        <w:rPr>
          <w:szCs w:val="22"/>
        </w:rPr>
        <w:t>sorbitolo</w:t>
      </w:r>
      <w:r w:rsidR="00601296" w:rsidRPr="005B2844">
        <w:rPr>
          <w:szCs w:val="22"/>
        </w:rPr>
        <w:t xml:space="preserve"> (E420)</w:t>
      </w:r>
      <w:r w:rsidR="005F5D66" w:rsidRPr="005B2844">
        <w:rPr>
          <w:szCs w:val="22"/>
        </w:rPr>
        <w:t>.</w:t>
      </w:r>
    </w:p>
    <w:p w:rsidR="00601296" w:rsidRPr="005B2844" w:rsidRDefault="00601296" w:rsidP="0072602F">
      <w:pPr>
        <w:rPr>
          <w:szCs w:val="22"/>
        </w:rPr>
      </w:pPr>
      <w:r w:rsidRPr="005B2844">
        <w:rPr>
          <w:szCs w:val="22"/>
        </w:rPr>
        <w:t>Leggere il foglio illustrativo per ulteriori informazioni.</w:t>
      </w:r>
    </w:p>
    <w:p w:rsidR="00111A24" w:rsidRPr="005B2844" w:rsidRDefault="00111A24" w:rsidP="0072602F">
      <w:pPr>
        <w:rPr>
          <w:szCs w:val="22"/>
        </w:rPr>
      </w:pPr>
    </w:p>
    <w:p w:rsidR="00111A24" w:rsidRPr="005B2844" w:rsidRDefault="00111A24"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4.</w:t>
      </w:r>
      <w:r w:rsidRPr="005B2844">
        <w:rPr>
          <w:b/>
          <w:szCs w:val="22"/>
        </w:rPr>
        <w:tab/>
        <w:t>FORMA FARMACEUTICA E CONTENUTO</w:t>
      </w:r>
    </w:p>
    <w:p w:rsidR="00A70FCB" w:rsidRPr="005B2844" w:rsidRDefault="00A70FCB" w:rsidP="0072602F">
      <w:pPr>
        <w:rPr>
          <w:szCs w:val="22"/>
        </w:rPr>
      </w:pPr>
    </w:p>
    <w:p w:rsidR="00227CF9" w:rsidRPr="005B2844" w:rsidRDefault="00227CF9" w:rsidP="00227CF9">
      <w:pPr>
        <w:pStyle w:val="BodyText20"/>
        <w:spacing w:line="240" w:lineRule="auto"/>
        <w:jc w:val="left"/>
        <w:rPr>
          <w:szCs w:val="22"/>
        </w:rPr>
      </w:pPr>
      <w:r w:rsidRPr="005B2844">
        <w:rPr>
          <w:szCs w:val="22"/>
        </w:rPr>
        <w:t>14 compresse</w:t>
      </w:r>
    </w:p>
    <w:p w:rsidR="00227CF9" w:rsidRPr="005B2844" w:rsidRDefault="00227CF9" w:rsidP="00227CF9">
      <w:pPr>
        <w:rPr>
          <w:szCs w:val="22"/>
          <w:shd w:val="clear" w:color="auto" w:fill="B3B3B3"/>
        </w:rPr>
      </w:pPr>
      <w:r w:rsidRPr="005B2844">
        <w:rPr>
          <w:szCs w:val="22"/>
          <w:shd w:val="clear" w:color="auto" w:fill="B3B3B3"/>
        </w:rPr>
        <w:t>28 compresse</w:t>
      </w:r>
    </w:p>
    <w:p w:rsidR="00227CF9" w:rsidRPr="005B2844" w:rsidRDefault="00227CF9" w:rsidP="00227CF9">
      <w:pPr>
        <w:rPr>
          <w:szCs w:val="22"/>
          <w:shd w:val="clear" w:color="auto" w:fill="B3B3B3"/>
        </w:rPr>
      </w:pPr>
      <w:r w:rsidRPr="005B2844">
        <w:rPr>
          <w:szCs w:val="22"/>
          <w:shd w:val="clear" w:color="auto" w:fill="B3B3B3"/>
        </w:rPr>
        <w:t xml:space="preserve">30 </w:t>
      </w:r>
      <w:r w:rsidR="00AA0919" w:rsidRPr="005B2844">
        <w:rPr>
          <w:szCs w:val="22"/>
          <w:shd w:val="clear" w:color="auto" w:fill="B3B3B3"/>
        </w:rPr>
        <w:t xml:space="preserve">x 1 </w:t>
      </w:r>
      <w:r w:rsidRPr="005B2844">
        <w:rPr>
          <w:szCs w:val="22"/>
          <w:shd w:val="clear" w:color="auto" w:fill="B3B3B3"/>
        </w:rPr>
        <w:t>compresse</w:t>
      </w:r>
    </w:p>
    <w:p w:rsidR="00227CF9" w:rsidRPr="005B2844" w:rsidRDefault="00227CF9" w:rsidP="00227CF9">
      <w:pPr>
        <w:rPr>
          <w:szCs w:val="22"/>
          <w:shd w:val="clear" w:color="auto" w:fill="B3B3B3"/>
        </w:rPr>
      </w:pPr>
      <w:r w:rsidRPr="005B2844">
        <w:rPr>
          <w:szCs w:val="22"/>
          <w:shd w:val="clear" w:color="auto" w:fill="B3B3B3"/>
        </w:rPr>
        <w:t>56 compresse</w:t>
      </w:r>
    </w:p>
    <w:p w:rsidR="00227CF9" w:rsidRPr="005B2844" w:rsidRDefault="00227CF9" w:rsidP="00227CF9">
      <w:pPr>
        <w:rPr>
          <w:szCs w:val="22"/>
          <w:shd w:val="clear" w:color="auto" w:fill="B3B3B3"/>
        </w:rPr>
      </w:pPr>
      <w:r w:rsidRPr="005B2844">
        <w:rPr>
          <w:szCs w:val="22"/>
          <w:shd w:val="clear" w:color="auto" w:fill="B3B3B3"/>
        </w:rPr>
        <w:t>84 compresse</w:t>
      </w:r>
    </w:p>
    <w:p w:rsidR="00227CF9" w:rsidRPr="005B2844" w:rsidRDefault="00227CF9" w:rsidP="00227CF9">
      <w:pPr>
        <w:rPr>
          <w:szCs w:val="22"/>
          <w:shd w:val="clear" w:color="auto" w:fill="B3B3B3"/>
        </w:rPr>
      </w:pPr>
      <w:r w:rsidRPr="005B2844">
        <w:rPr>
          <w:szCs w:val="22"/>
          <w:shd w:val="clear" w:color="auto" w:fill="B3B3B3"/>
        </w:rPr>
        <w:t xml:space="preserve">90 </w:t>
      </w:r>
      <w:r w:rsidR="00AA0919" w:rsidRPr="005B2844">
        <w:rPr>
          <w:szCs w:val="22"/>
          <w:shd w:val="clear" w:color="auto" w:fill="B3B3B3"/>
        </w:rPr>
        <w:t xml:space="preserve">x 1 </w:t>
      </w:r>
      <w:r w:rsidRPr="005B2844">
        <w:rPr>
          <w:szCs w:val="22"/>
          <w:shd w:val="clear" w:color="auto" w:fill="B3B3B3"/>
        </w:rPr>
        <w:t>compresse</w:t>
      </w:r>
    </w:p>
    <w:p w:rsidR="00227CF9" w:rsidRPr="005B2844" w:rsidRDefault="00227CF9" w:rsidP="00227CF9">
      <w:pPr>
        <w:rPr>
          <w:szCs w:val="22"/>
          <w:shd w:val="clear" w:color="auto" w:fill="B3B3B3"/>
        </w:rPr>
      </w:pPr>
      <w:r w:rsidRPr="005B2844">
        <w:rPr>
          <w:szCs w:val="22"/>
          <w:shd w:val="clear" w:color="auto" w:fill="B3B3B3"/>
        </w:rPr>
        <w:t>98 compresse</w:t>
      </w:r>
    </w:p>
    <w:p w:rsidR="00227CF9" w:rsidRPr="005B2844" w:rsidRDefault="00227CF9" w:rsidP="00227CF9">
      <w:pPr>
        <w:rPr>
          <w:szCs w:val="22"/>
        </w:rPr>
      </w:pPr>
      <w:r w:rsidRPr="005B2844">
        <w:rPr>
          <w:szCs w:val="22"/>
          <w:shd w:val="clear" w:color="auto" w:fill="B3B3B3"/>
        </w:rPr>
        <w:t>28 x 1 compresse</w:t>
      </w:r>
    </w:p>
    <w:p w:rsidR="00227CF9" w:rsidRPr="005B2844" w:rsidRDefault="00227CF9" w:rsidP="0072602F">
      <w:pPr>
        <w:rPr>
          <w:szCs w:val="22"/>
        </w:rPr>
      </w:pPr>
    </w:p>
    <w:p w:rsidR="00A50259" w:rsidRPr="005B2844" w:rsidRDefault="00A50259"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5.</w:t>
      </w:r>
      <w:r w:rsidRPr="005B2844">
        <w:rPr>
          <w:b/>
          <w:szCs w:val="22"/>
        </w:rPr>
        <w:tab/>
        <w:t>MODO E VIA(E) DI SOMMINISTRAZIONE</w:t>
      </w:r>
    </w:p>
    <w:p w:rsidR="00A70FCB" w:rsidRPr="005B2844" w:rsidRDefault="00A70FCB" w:rsidP="0072602F">
      <w:pPr>
        <w:rPr>
          <w:szCs w:val="22"/>
        </w:rPr>
      </w:pPr>
    </w:p>
    <w:p w:rsidR="00A70FCB" w:rsidRPr="005B2844" w:rsidRDefault="00A70FCB" w:rsidP="0072602F">
      <w:pPr>
        <w:tabs>
          <w:tab w:val="left" w:pos="567"/>
        </w:tabs>
        <w:rPr>
          <w:szCs w:val="22"/>
        </w:rPr>
      </w:pPr>
      <w:r w:rsidRPr="005B2844">
        <w:rPr>
          <w:szCs w:val="22"/>
        </w:rPr>
        <w:t>Uso orale</w:t>
      </w:r>
    </w:p>
    <w:p w:rsidR="00A70FCB" w:rsidRPr="005B2844" w:rsidRDefault="005F5D66" w:rsidP="0072602F">
      <w:pPr>
        <w:tabs>
          <w:tab w:val="left" w:pos="567"/>
        </w:tabs>
        <w:rPr>
          <w:szCs w:val="22"/>
        </w:rPr>
      </w:pPr>
      <w:r w:rsidRPr="005B2844">
        <w:rPr>
          <w:noProof/>
          <w:szCs w:val="22"/>
        </w:rPr>
        <w:t>Leggere il foglio illustrativo prima dell’uso.</w:t>
      </w:r>
    </w:p>
    <w:p w:rsidR="00A70FCB" w:rsidRPr="005B2844" w:rsidRDefault="00A70FCB" w:rsidP="0072602F">
      <w:pPr>
        <w:tabs>
          <w:tab w:val="left" w:pos="567"/>
        </w:tabs>
        <w:rPr>
          <w:szCs w:val="22"/>
        </w:rPr>
      </w:pPr>
    </w:p>
    <w:p w:rsidR="007D1914" w:rsidRPr="005B2844" w:rsidRDefault="007D1914" w:rsidP="0072602F">
      <w:pPr>
        <w:tabs>
          <w:tab w:val="left" w:pos="567"/>
        </w:tabs>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ind w:left="567" w:hanging="567"/>
        <w:rPr>
          <w:b/>
          <w:szCs w:val="22"/>
        </w:rPr>
      </w:pPr>
      <w:r w:rsidRPr="005B2844">
        <w:rPr>
          <w:b/>
          <w:szCs w:val="22"/>
        </w:rPr>
        <w:t>6.</w:t>
      </w:r>
      <w:r w:rsidRPr="005B2844">
        <w:rPr>
          <w:b/>
          <w:szCs w:val="22"/>
        </w:rPr>
        <w:tab/>
        <w:t xml:space="preserve">AVVERTENZA </w:t>
      </w:r>
      <w:r w:rsidR="005A1653" w:rsidRPr="005B2844">
        <w:rPr>
          <w:b/>
          <w:szCs w:val="22"/>
        </w:rPr>
        <w:t>PARTICOLARE</w:t>
      </w:r>
      <w:r w:rsidRPr="005B2844">
        <w:rPr>
          <w:b/>
          <w:szCs w:val="22"/>
        </w:rPr>
        <w:t xml:space="preserve"> CHE PRESCRIVA DI TENERE IL MEDICINALE FUORI </w:t>
      </w:r>
      <w:r w:rsidR="00E62921" w:rsidRPr="005B2844">
        <w:rPr>
          <w:b/>
          <w:szCs w:val="22"/>
        </w:rPr>
        <w:t>DALLA</w:t>
      </w:r>
      <w:r w:rsidRPr="005B2844">
        <w:rPr>
          <w:b/>
          <w:szCs w:val="22"/>
        </w:rPr>
        <w:t xml:space="preserve"> </w:t>
      </w:r>
      <w:r w:rsidR="00513DDD" w:rsidRPr="005B2844">
        <w:rPr>
          <w:b/>
          <w:szCs w:val="22"/>
        </w:rPr>
        <w:t>VISTA</w:t>
      </w:r>
      <w:r w:rsidRPr="005B2844">
        <w:rPr>
          <w:b/>
          <w:szCs w:val="22"/>
        </w:rPr>
        <w:t xml:space="preserve"> E </w:t>
      </w:r>
      <w:r w:rsidR="00E62921" w:rsidRPr="005B2844">
        <w:rPr>
          <w:b/>
          <w:szCs w:val="22"/>
        </w:rPr>
        <w:t>DALLA</w:t>
      </w:r>
      <w:r w:rsidRPr="005B2844">
        <w:rPr>
          <w:b/>
          <w:szCs w:val="22"/>
        </w:rPr>
        <w:t xml:space="preserve"> </w:t>
      </w:r>
      <w:r w:rsidR="00513DDD" w:rsidRPr="005B2844">
        <w:rPr>
          <w:b/>
          <w:szCs w:val="22"/>
        </w:rPr>
        <w:t>PORTATA</w:t>
      </w:r>
      <w:r w:rsidRPr="005B2844">
        <w:rPr>
          <w:b/>
          <w:szCs w:val="22"/>
        </w:rPr>
        <w:t xml:space="preserve"> DEI BAMBINI</w:t>
      </w:r>
    </w:p>
    <w:p w:rsidR="00261D8D" w:rsidRPr="005B2844" w:rsidRDefault="00261D8D" w:rsidP="0072602F">
      <w:pPr>
        <w:pStyle w:val="BodyText20"/>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 xml:space="preserve">Tenere fuori </w:t>
      </w:r>
      <w:r w:rsidR="00E62921" w:rsidRPr="005B2844">
        <w:rPr>
          <w:szCs w:val="22"/>
        </w:rPr>
        <w:t>dalla</w:t>
      </w:r>
      <w:r w:rsidRPr="005B2844">
        <w:rPr>
          <w:szCs w:val="22"/>
        </w:rPr>
        <w:t xml:space="preserve"> </w:t>
      </w:r>
      <w:r w:rsidR="00513DDD" w:rsidRPr="005B2844">
        <w:rPr>
          <w:szCs w:val="22"/>
        </w:rPr>
        <w:t>vista</w:t>
      </w:r>
      <w:r w:rsidRPr="005B2844">
        <w:rPr>
          <w:szCs w:val="22"/>
        </w:rPr>
        <w:t xml:space="preserve"> e </w:t>
      </w:r>
      <w:r w:rsidR="00E62921" w:rsidRPr="005B2844">
        <w:rPr>
          <w:szCs w:val="22"/>
        </w:rPr>
        <w:t>dalla</w:t>
      </w:r>
      <w:r w:rsidRPr="005B2844">
        <w:rPr>
          <w:szCs w:val="22"/>
        </w:rPr>
        <w:t xml:space="preserve"> </w:t>
      </w:r>
      <w:r w:rsidR="00513DDD" w:rsidRPr="005B2844">
        <w:rPr>
          <w:szCs w:val="22"/>
        </w:rPr>
        <w:t>portata</w:t>
      </w:r>
      <w:r w:rsidRPr="005B2844">
        <w:rPr>
          <w:szCs w:val="22"/>
        </w:rPr>
        <w:t xml:space="preserve"> dei bambini.</w:t>
      </w:r>
    </w:p>
    <w:p w:rsidR="00A70FCB" w:rsidRPr="005B2844" w:rsidRDefault="00A70FCB" w:rsidP="0072602F">
      <w:pPr>
        <w:rPr>
          <w:szCs w:val="22"/>
        </w:rPr>
      </w:pPr>
    </w:p>
    <w:p w:rsidR="00261D8D" w:rsidRPr="005B2844" w:rsidRDefault="00261D8D"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7.</w:t>
      </w:r>
      <w:r w:rsidRPr="005B2844">
        <w:rPr>
          <w:b/>
          <w:szCs w:val="22"/>
        </w:rPr>
        <w:tab/>
        <w:t xml:space="preserve">ALTRA(E) AVVERTENZA(E) </w:t>
      </w:r>
      <w:r w:rsidR="005A1653" w:rsidRPr="005B2844">
        <w:rPr>
          <w:b/>
          <w:szCs w:val="22"/>
        </w:rPr>
        <w:t>PARTICOLARE</w:t>
      </w:r>
      <w:r w:rsidRPr="005B2844">
        <w:rPr>
          <w:b/>
          <w:szCs w:val="22"/>
        </w:rPr>
        <w:t xml:space="preserve">(I), </w:t>
      </w:r>
      <w:r w:rsidR="005A1653" w:rsidRPr="005B2844">
        <w:rPr>
          <w:b/>
          <w:szCs w:val="22"/>
        </w:rPr>
        <w:t>SE</w:t>
      </w:r>
      <w:r w:rsidRPr="005B2844">
        <w:rPr>
          <w:b/>
          <w:szCs w:val="22"/>
        </w:rPr>
        <w:t xml:space="preserve"> NECESSARIO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0709BC">
      <w:pPr>
        <w:keepNext/>
        <w:pBdr>
          <w:top w:val="single" w:sz="4" w:space="1" w:color="auto"/>
          <w:left w:val="single" w:sz="4" w:space="4" w:color="auto"/>
          <w:bottom w:val="single" w:sz="4" w:space="1" w:color="auto"/>
          <w:right w:val="single" w:sz="4" w:space="4" w:color="auto"/>
        </w:pBdr>
        <w:rPr>
          <w:b/>
          <w:szCs w:val="22"/>
        </w:rPr>
      </w:pPr>
      <w:r w:rsidRPr="005B2844">
        <w:rPr>
          <w:b/>
          <w:szCs w:val="22"/>
        </w:rPr>
        <w:t>8.</w:t>
      </w:r>
      <w:r w:rsidRPr="005B2844">
        <w:rPr>
          <w:b/>
          <w:szCs w:val="22"/>
        </w:rPr>
        <w:tab/>
        <w:t>DATA DI SCADENZA</w:t>
      </w:r>
    </w:p>
    <w:p w:rsidR="00A70FCB" w:rsidRPr="005B2844" w:rsidRDefault="00A70FCB" w:rsidP="000709BC">
      <w:pPr>
        <w:keepNext/>
        <w:rPr>
          <w:szCs w:val="22"/>
        </w:rPr>
      </w:pPr>
    </w:p>
    <w:p w:rsidR="00A70FCB" w:rsidRPr="005B2844" w:rsidRDefault="00A70FCB" w:rsidP="0072602F">
      <w:pPr>
        <w:rPr>
          <w:szCs w:val="22"/>
        </w:rPr>
      </w:pPr>
      <w:r w:rsidRPr="005B2844">
        <w:rPr>
          <w:szCs w:val="22"/>
        </w:rPr>
        <w:t>Scad.</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0709BC">
      <w:pPr>
        <w:keepNext/>
        <w:pBdr>
          <w:top w:val="single" w:sz="4" w:space="1" w:color="auto"/>
          <w:left w:val="single" w:sz="4" w:space="4" w:color="auto"/>
          <w:bottom w:val="single" w:sz="4" w:space="1" w:color="auto"/>
          <w:right w:val="single" w:sz="4" w:space="4" w:color="auto"/>
        </w:pBdr>
        <w:rPr>
          <w:b/>
          <w:szCs w:val="22"/>
        </w:rPr>
      </w:pPr>
      <w:r w:rsidRPr="005B2844">
        <w:rPr>
          <w:b/>
          <w:szCs w:val="22"/>
        </w:rPr>
        <w:t>9.</w:t>
      </w:r>
      <w:r w:rsidRPr="005B2844">
        <w:rPr>
          <w:b/>
          <w:szCs w:val="22"/>
        </w:rPr>
        <w:tab/>
        <w:t>PRECAUZIONI PARTICOLARI PER LA CONSERVAZIONE</w:t>
      </w:r>
    </w:p>
    <w:p w:rsidR="00A70FCB" w:rsidRPr="005B2844" w:rsidRDefault="00A70FCB" w:rsidP="000709BC">
      <w:pPr>
        <w:keepNext/>
        <w:rPr>
          <w:szCs w:val="22"/>
        </w:rPr>
      </w:pPr>
    </w:p>
    <w:p w:rsidR="00922B56" w:rsidRPr="005B2844" w:rsidRDefault="00922B56" w:rsidP="00922B56">
      <w:pPr>
        <w:rPr>
          <w:b/>
          <w:szCs w:val="22"/>
        </w:rPr>
      </w:pPr>
      <w:r w:rsidRPr="005B2844">
        <w:rPr>
          <w:b/>
          <w:szCs w:val="22"/>
        </w:rPr>
        <w:t xml:space="preserve">Questo medicinale non richiede alcuna </w:t>
      </w:r>
      <w:r w:rsidR="00513DDD" w:rsidRPr="005B2844">
        <w:rPr>
          <w:b/>
          <w:szCs w:val="22"/>
        </w:rPr>
        <w:t>temperatura</w:t>
      </w:r>
      <w:r w:rsidRPr="005B2844">
        <w:rPr>
          <w:b/>
          <w:szCs w:val="22"/>
        </w:rPr>
        <w:t xml:space="preserve"> particolare </w:t>
      </w:r>
      <w:r w:rsidR="001B3E4B" w:rsidRPr="005B2844">
        <w:rPr>
          <w:b/>
          <w:szCs w:val="22"/>
        </w:rPr>
        <w:t>di</w:t>
      </w:r>
      <w:r w:rsidRPr="005B2844">
        <w:rPr>
          <w:b/>
          <w:szCs w:val="22"/>
        </w:rPr>
        <w:t xml:space="preserve"> conservazione.</w:t>
      </w:r>
    </w:p>
    <w:p w:rsidR="00A70FCB" w:rsidRPr="005B2844" w:rsidRDefault="00A70FCB" w:rsidP="0072602F">
      <w:pPr>
        <w:rPr>
          <w:b/>
          <w:szCs w:val="22"/>
        </w:rPr>
      </w:pPr>
      <w:r w:rsidRPr="005B2844">
        <w:rPr>
          <w:b/>
          <w:szCs w:val="22"/>
        </w:rPr>
        <w:t xml:space="preserve">Conservare nella confezione originale per </w:t>
      </w:r>
      <w:r w:rsidR="00922B56" w:rsidRPr="005B2844">
        <w:rPr>
          <w:b/>
          <w:szCs w:val="22"/>
        </w:rPr>
        <w:t>proteggere il medicinale</w:t>
      </w:r>
      <w:r w:rsidRPr="005B2844">
        <w:rPr>
          <w:b/>
          <w:szCs w:val="22"/>
        </w:rPr>
        <w:t xml:space="preserve"> dall’umidità</w:t>
      </w:r>
      <w:r w:rsidR="00111A24" w:rsidRPr="005B2844">
        <w:rPr>
          <w:b/>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ind w:left="567" w:hanging="567"/>
        <w:rPr>
          <w:szCs w:val="22"/>
        </w:rPr>
      </w:pPr>
      <w:r w:rsidRPr="005B2844">
        <w:rPr>
          <w:b/>
          <w:szCs w:val="22"/>
        </w:rPr>
        <w:t>10.</w:t>
      </w:r>
      <w:r w:rsidRPr="005B2844">
        <w:rPr>
          <w:b/>
          <w:szCs w:val="22"/>
        </w:rPr>
        <w:tab/>
        <w:t>PRECAUZIONI PARTICOLARI PER LO SMALTIMENTO DEL MEDICINALE NON UTILIZZATO O DEI RIFIUTI DERIVATI DA TALE MEDICINALE</w:t>
      </w:r>
      <w:r w:rsidR="005A1653" w:rsidRPr="005B2844">
        <w:rPr>
          <w:b/>
          <w:szCs w:val="22"/>
        </w:rPr>
        <w:t>, SE NECESSARIO</w:t>
      </w:r>
    </w:p>
    <w:p w:rsidR="00A70FCB" w:rsidRPr="005B2844" w:rsidRDefault="00A70FCB" w:rsidP="0072602F">
      <w:pPr>
        <w:rPr>
          <w:szCs w:val="22"/>
        </w:rPr>
      </w:pPr>
    </w:p>
    <w:p w:rsidR="00657DE1" w:rsidRPr="005B2844" w:rsidRDefault="00657DE1"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ind w:left="567" w:hanging="567"/>
        <w:rPr>
          <w:b/>
          <w:szCs w:val="22"/>
        </w:rPr>
      </w:pPr>
      <w:r w:rsidRPr="005B2844">
        <w:rPr>
          <w:b/>
          <w:szCs w:val="22"/>
        </w:rPr>
        <w:t>11.</w:t>
      </w:r>
      <w:r w:rsidRPr="005B2844">
        <w:rPr>
          <w:b/>
          <w:szCs w:val="22"/>
        </w:rPr>
        <w:tab/>
        <w:t>NOME E INDIRIZZO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International GmbH</w:t>
      </w:r>
    </w:p>
    <w:p w:rsidR="00A70FCB" w:rsidRPr="005B2844" w:rsidRDefault="00A70FCB" w:rsidP="0072602F">
      <w:pPr>
        <w:rPr>
          <w:szCs w:val="22"/>
        </w:rPr>
      </w:pPr>
      <w:proofErr w:type="spellStart"/>
      <w:r w:rsidRPr="005B2844">
        <w:rPr>
          <w:szCs w:val="22"/>
        </w:rPr>
        <w:t>Binger</w:t>
      </w:r>
      <w:proofErr w:type="spellEnd"/>
      <w:r w:rsidRPr="005B2844">
        <w:rPr>
          <w:szCs w:val="22"/>
        </w:rPr>
        <w:t xml:space="preserve"> </w:t>
      </w:r>
      <w:proofErr w:type="spellStart"/>
      <w:r w:rsidRPr="005B2844">
        <w:rPr>
          <w:szCs w:val="22"/>
        </w:rPr>
        <w:t>Str</w:t>
      </w:r>
      <w:proofErr w:type="spellEnd"/>
      <w:r w:rsidRPr="005B2844">
        <w:rPr>
          <w:szCs w:val="22"/>
        </w:rPr>
        <w:t>. 173</w:t>
      </w:r>
    </w:p>
    <w:p w:rsidR="00A70FCB" w:rsidRPr="005B2844" w:rsidRDefault="00A70FCB" w:rsidP="0072602F">
      <w:pPr>
        <w:rPr>
          <w:szCs w:val="22"/>
        </w:rPr>
      </w:pPr>
      <w:r w:rsidRPr="005B2844">
        <w:rPr>
          <w:szCs w:val="22"/>
        </w:rPr>
        <w:t>D</w:t>
      </w:r>
      <w:r w:rsidR="00D458E8" w:rsidRPr="005B2844">
        <w:rPr>
          <w:szCs w:val="22"/>
        </w:rPr>
        <w:t>-</w:t>
      </w:r>
      <w:r w:rsidRPr="005B2844">
        <w:rPr>
          <w:szCs w:val="22"/>
        </w:rPr>
        <w:t xml:space="preserve">55216 </w:t>
      </w:r>
      <w:proofErr w:type="spellStart"/>
      <w:r w:rsidRPr="005B2844">
        <w:rPr>
          <w:szCs w:val="22"/>
        </w:rPr>
        <w:t>Ingelheim</w:t>
      </w:r>
      <w:proofErr w:type="spellEnd"/>
      <w:r w:rsidRPr="005B2844">
        <w:rPr>
          <w:szCs w:val="22"/>
        </w:rPr>
        <w:t xml:space="preserve"> </w:t>
      </w:r>
      <w:proofErr w:type="spellStart"/>
      <w:r w:rsidRPr="005B2844">
        <w:rPr>
          <w:szCs w:val="22"/>
        </w:rPr>
        <w:t>am</w:t>
      </w:r>
      <w:proofErr w:type="spellEnd"/>
      <w:r w:rsidRPr="005B2844">
        <w:rPr>
          <w:szCs w:val="22"/>
        </w:rPr>
        <w:t xml:space="preserve"> </w:t>
      </w:r>
      <w:proofErr w:type="spellStart"/>
      <w:r w:rsidRPr="005B2844">
        <w:rPr>
          <w:szCs w:val="22"/>
        </w:rPr>
        <w:t>Rhein</w:t>
      </w:r>
      <w:proofErr w:type="spellEnd"/>
    </w:p>
    <w:p w:rsidR="00A70FCB" w:rsidRPr="005B2844" w:rsidRDefault="00A70FCB" w:rsidP="0072602F">
      <w:pPr>
        <w:rPr>
          <w:szCs w:val="22"/>
        </w:rPr>
      </w:pPr>
      <w:r w:rsidRPr="005B2844">
        <w:rPr>
          <w:szCs w:val="22"/>
        </w:rPr>
        <w:t>Germania</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ind w:left="567" w:hanging="567"/>
        <w:rPr>
          <w:b/>
          <w:szCs w:val="22"/>
        </w:rPr>
      </w:pPr>
      <w:r w:rsidRPr="005B2844">
        <w:rPr>
          <w:b/>
          <w:szCs w:val="22"/>
        </w:rPr>
        <w:t>12.</w:t>
      </w:r>
      <w:r w:rsidRPr="005B2844">
        <w:rPr>
          <w:b/>
          <w:szCs w:val="22"/>
        </w:rPr>
        <w:tab/>
        <w:t>NUMERO(I) DELL’AUTORIZZAZIONE ALL’IMMISSIONE IN COMMERCIO</w:t>
      </w:r>
    </w:p>
    <w:p w:rsidR="00A70FCB" w:rsidRPr="005B2844" w:rsidRDefault="00A70FCB" w:rsidP="0072602F">
      <w:pPr>
        <w:rPr>
          <w:szCs w:val="22"/>
        </w:rPr>
      </w:pPr>
    </w:p>
    <w:p w:rsidR="00227CF9" w:rsidRPr="005B2844" w:rsidRDefault="00227CF9" w:rsidP="00227CF9">
      <w:pPr>
        <w:rPr>
          <w:szCs w:val="22"/>
        </w:rPr>
      </w:pPr>
      <w:r w:rsidRPr="005B2844">
        <w:rPr>
          <w:szCs w:val="22"/>
        </w:rPr>
        <w:t>EU/1/02/213/001</w:t>
      </w:r>
      <w:r w:rsidRPr="005B2844">
        <w:rPr>
          <w:szCs w:val="22"/>
        </w:rPr>
        <w:tab/>
      </w:r>
      <w:r w:rsidRPr="005B2844">
        <w:rPr>
          <w:szCs w:val="22"/>
        </w:rPr>
        <w:tab/>
        <w:t>14 compresse</w:t>
      </w:r>
    </w:p>
    <w:p w:rsidR="00227CF9" w:rsidRPr="005B2844" w:rsidRDefault="00227CF9" w:rsidP="00227CF9">
      <w:pPr>
        <w:rPr>
          <w:szCs w:val="22"/>
          <w:shd w:val="clear" w:color="auto" w:fill="B3B3B3"/>
        </w:rPr>
      </w:pPr>
      <w:r w:rsidRPr="005B2844">
        <w:rPr>
          <w:szCs w:val="22"/>
          <w:shd w:val="clear" w:color="auto" w:fill="B3B3B3"/>
        </w:rPr>
        <w:t>EU/1/02/213/002</w:t>
      </w:r>
      <w:r w:rsidRPr="005B2844">
        <w:rPr>
          <w:szCs w:val="22"/>
          <w:shd w:val="clear" w:color="auto" w:fill="B3B3B3"/>
        </w:rPr>
        <w:tab/>
      </w:r>
      <w:r w:rsidRPr="005B2844">
        <w:rPr>
          <w:szCs w:val="22"/>
          <w:shd w:val="clear" w:color="auto" w:fill="B3B3B3"/>
        </w:rPr>
        <w:tab/>
        <w:t>28 compresse</w:t>
      </w:r>
    </w:p>
    <w:p w:rsidR="00227CF9" w:rsidRPr="005B2844" w:rsidRDefault="00227CF9" w:rsidP="00227CF9">
      <w:pPr>
        <w:rPr>
          <w:szCs w:val="22"/>
          <w:shd w:val="clear" w:color="auto" w:fill="B3B3B3"/>
        </w:rPr>
      </w:pPr>
      <w:r w:rsidRPr="005B2844">
        <w:rPr>
          <w:szCs w:val="22"/>
          <w:shd w:val="clear" w:color="auto" w:fill="B3B3B3"/>
        </w:rPr>
        <w:t>EU/1/02/213/003</w:t>
      </w:r>
      <w:r w:rsidRPr="005B2844">
        <w:rPr>
          <w:szCs w:val="22"/>
          <w:shd w:val="clear" w:color="auto" w:fill="B3B3B3"/>
        </w:rPr>
        <w:tab/>
      </w:r>
      <w:r w:rsidRPr="005B2844">
        <w:rPr>
          <w:szCs w:val="22"/>
          <w:shd w:val="clear" w:color="auto" w:fill="B3B3B3"/>
        </w:rPr>
        <w:tab/>
        <w:t>28 x 1 compress</w:t>
      </w:r>
      <w:r w:rsidR="001C49A5" w:rsidRPr="005B2844">
        <w:rPr>
          <w:szCs w:val="22"/>
          <w:shd w:val="clear" w:color="auto" w:fill="B3B3B3"/>
        </w:rPr>
        <w:t>e</w:t>
      </w:r>
    </w:p>
    <w:p w:rsidR="00227CF9" w:rsidRPr="005B2844" w:rsidRDefault="00227CF9" w:rsidP="00227CF9">
      <w:pPr>
        <w:rPr>
          <w:szCs w:val="22"/>
          <w:shd w:val="clear" w:color="auto" w:fill="B3B3B3"/>
        </w:rPr>
      </w:pPr>
      <w:r w:rsidRPr="005B2844">
        <w:rPr>
          <w:szCs w:val="22"/>
          <w:shd w:val="clear" w:color="auto" w:fill="B3B3B3"/>
        </w:rPr>
        <w:t>EU/1/02/213/013</w:t>
      </w:r>
      <w:r w:rsidRPr="005B2844">
        <w:rPr>
          <w:szCs w:val="22"/>
          <w:shd w:val="clear" w:color="auto" w:fill="B3B3B3"/>
        </w:rPr>
        <w:tab/>
      </w:r>
      <w:r w:rsidRPr="005B2844">
        <w:rPr>
          <w:szCs w:val="22"/>
          <w:shd w:val="clear" w:color="auto" w:fill="B3B3B3"/>
        </w:rPr>
        <w:tab/>
        <w:t xml:space="preserve">30 </w:t>
      </w:r>
      <w:r w:rsidR="00AA0919" w:rsidRPr="005B2844">
        <w:rPr>
          <w:szCs w:val="22"/>
          <w:shd w:val="clear" w:color="auto" w:fill="B3B3B3"/>
        </w:rPr>
        <w:t xml:space="preserve">x 1 </w:t>
      </w:r>
      <w:r w:rsidRPr="005B2844">
        <w:rPr>
          <w:szCs w:val="22"/>
          <w:shd w:val="clear" w:color="auto" w:fill="B3B3B3"/>
        </w:rPr>
        <w:t>compresse</w:t>
      </w:r>
    </w:p>
    <w:p w:rsidR="00227CF9" w:rsidRPr="005B2844" w:rsidRDefault="00227CF9" w:rsidP="00227CF9">
      <w:pPr>
        <w:rPr>
          <w:szCs w:val="22"/>
          <w:shd w:val="clear" w:color="auto" w:fill="B3B3B3"/>
        </w:rPr>
      </w:pPr>
      <w:r w:rsidRPr="005B2844">
        <w:rPr>
          <w:szCs w:val="22"/>
          <w:shd w:val="clear" w:color="auto" w:fill="B3B3B3"/>
        </w:rPr>
        <w:t>EU/1/02/213/004</w:t>
      </w:r>
      <w:r w:rsidRPr="005B2844">
        <w:rPr>
          <w:szCs w:val="22"/>
          <w:shd w:val="clear" w:color="auto" w:fill="B3B3B3"/>
        </w:rPr>
        <w:tab/>
      </w:r>
      <w:r w:rsidRPr="005B2844">
        <w:rPr>
          <w:szCs w:val="22"/>
          <w:shd w:val="clear" w:color="auto" w:fill="B3B3B3"/>
        </w:rPr>
        <w:tab/>
        <w:t>56 compresse</w:t>
      </w:r>
    </w:p>
    <w:p w:rsidR="00227CF9" w:rsidRPr="005B2844" w:rsidRDefault="00227CF9" w:rsidP="00227CF9">
      <w:pPr>
        <w:rPr>
          <w:szCs w:val="22"/>
          <w:shd w:val="clear" w:color="auto" w:fill="B3B3B3"/>
        </w:rPr>
      </w:pPr>
      <w:r w:rsidRPr="005B2844">
        <w:rPr>
          <w:szCs w:val="22"/>
          <w:shd w:val="clear" w:color="auto" w:fill="B3B3B3"/>
        </w:rPr>
        <w:t>EU/1/02/213/011</w:t>
      </w:r>
      <w:r w:rsidRPr="005B2844">
        <w:rPr>
          <w:szCs w:val="22"/>
          <w:shd w:val="clear" w:color="auto" w:fill="B3B3B3"/>
        </w:rPr>
        <w:tab/>
      </w:r>
      <w:r w:rsidRPr="005B2844">
        <w:rPr>
          <w:szCs w:val="22"/>
          <w:shd w:val="clear" w:color="auto" w:fill="B3B3B3"/>
        </w:rPr>
        <w:tab/>
        <w:t>84 compresse</w:t>
      </w:r>
    </w:p>
    <w:p w:rsidR="00227CF9" w:rsidRPr="005B2844" w:rsidRDefault="00227CF9" w:rsidP="00227CF9">
      <w:pPr>
        <w:rPr>
          <w:szCs w:val="22"/>
          <w:shd w:val="clear" w:color="auto" w:fill="B3B3B3"/>
        </w:rPr>
      </w:pPr>
      <w:r w:rsidRPr="005B2844">
        <w:rPr>
          <w:szCs w:val="22"/>
          <w:shd w:val="clear" w:color="auto" w:fill="B3B3B3"/>
        </w:rPr>
        <w:t>EU/1/02/213/014</w:t>
      </w:r>
      <w:r w:rsidRPr="005B2844">
        <w:rPr>
          <w:szCs w:val="22"/>
          <w:shd w:val="clear" w:color="auto" w:fill="B3B3B3"/>
        </w:rPr>
        <w:tab/>
      </w:r>
      <w:r w:rsidRPr="005B2844">
        <w:rPr>
          <w:szCs w:val="22"/>
          <w:shd w:val="clear" w:color="auto" w:fill="B3B3B3"/>
        </w:rPr>
        <w:tab/>
        <w:t xml:space="preserve">90 </w:t>
      </w:r>
      <w:r w:rsidR="00AA0919" w:rsidRPr="005B2844">
        <w:rPr>
          <w:szCs w:val="22"/>
          <w:shd w:val="clear" w:color="auto" w:fill="B3B3B3"/>
        </w:rPr>
        <w:t xml:space="preserve">x 1 </w:t>
      </w:r>
      <w:r w:rsidRPr="005B2844">
        <w:rPr>
          <w:szCs w:val="22"/>
          <w:shd w:val="clear" w:color="auto" w:fill="B3B3B3"/>
        </w:rPr>
        <w:t>compresse</w:t>
      </w:r>
    </w:p>
    <w:p w:rsidR="00227CF9" w:rsidRPr="005B2844" w:rsidRDefault="00227CF9" w:rsidP="00227CF9">
      <w:pPr>
        <w:rPr>
          <w:szCs w:val="22"/>
          <w:shd w:val="clear" w:color="auto" w:fill="B3B3B3"/>
        </w:rPr>
      </w:pPr>
      <w:r w:rsidRPr="005B2844">
        <w:rPr>
          <w:szCs w:val="22"/>
          <w:shd w:val="clear" w:color="auto" w:fill="B3B3B3"/>
        </w:rPr>
        <w:t>EU/1/02/213/005</w:t>
      </w:r>
      <w:r w:rsidRPr="005B2844">
        <w:rPr>
          <w:szCs w:val="22"/>
          <w:shd w:val="clear" w:color="auto" w:fill="B3B3B3"/>
        </w:rPr>
        <w:tab/>
      </w:r>
      <w:r w:rsidRPr="005B2844">
        <w:rPr>
          <w:szCs w:val="22"/>
          <w:shd w:val="clear" w:color="auto" w:fill="B3B3B3"/>
        </w:rPr>
        <w:tab/>
        <w:t>98 compresse</w:t>
      </w:r>
    </w:p>
    <w:p w:rsidR="00227CF9" w:rsidRPr="005B2844" w:rsidRDefault="00227CF9"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13.</w:t>
      </w:r>
      <w:r w:rsidRPr="005B2844">
        <w:rPr>
          <w:b/>
          <w:szCs w:val="22"/>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14.</w:t>
      </w:r>
      <w:r w:rsidRPr="005B2844">
        <w:rPr>
          <w:b/>
          <w:szCs w:val="22"/>
        </w:rPr>
        <w:tab/>
        <w:t>CONDIZIONE GENERALE DI FORNITURA</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15.</w:t>
      </w:r>
      <w:r w:rsidRPr="005B2844">
        <w:rPr>
          <w:b/>
          <w:szCs w:val="22"/>
        </w:rPr>
        <w:tab/>
        <w:t>ISTRUZIONI PER L’USO</w:t>
      </w:r>
    </w:p>
    <w:p w:rsidR="00A70FCB" w:rsidRPr="005B2844" w:rsidRDefault="00A70FCB" w:rsidP="0072602F">
      <w:pPr>
        <w:rPr>
          <w:szCs w:val="22"/>
        </w:rPr>
      </w:pPr>
    </w:p>
    <w:p w:rsidR="00111A24" w:rsidRPr="005B2844" w:rsidRDefault="00111A24" w:rsidP="0072602F">
      <w:pPr>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11A24" w:rsidRPr="005B2844">
        <w:tblPrEx>
          <w:tblCellMar>
            <w:top w:w="0" w:type="dxa"/>
            <w:bottom w:w="0" w:type="dxa"/>
          </w:tblCellMar>
        </w:tblPrEx>
        <w:tc>
          <w:tcPr>
            <w:tcW w:w="9298" w:type="dxa"/>
          </w:tcPr>
          <w:p w:rsidR="00111A24" w:rsidRPr="005B2844" w:rsidRDefault="00111A24" w:rsidP="0072602F">
            <w:pPr>
              <w:suppressAutoHyphens/>
              <w:ind w:left="567" w:hanging="567"/>
              <w:rPr>
                <w:b/>
                <w:noProof/>
                <w:szCs w:val="22"/>
              </w:rPr>
            </w:pPr>
            <w:r w:rsidRPr="005B2844">
              <w:rPr>
                <w:b/>
                <w:noProof/>
                <w:szCs w:val="22"/>
              </w:rPr>
              <w:t>16.</w:t>
            </w:r>
            <w:r w:rsidRPr="005B2844">
              <w:rPr>
                <w:b/>
                <w:noProof/>
                <w:szCs w:val="22"/>
              </w:rPr>
              <w:tab/>
              <w:t>INFORMAZIONI IN BRAILLE</w:t>
            </w:r>
          </w:p>
        </w:tc>
      </w:tr>
    </w:tbl>
    <w:p w:rsidR="00111A24" w:rsidRPr="005B2844" w:rsidRDefault="00111A24" w:rsidP="0072602F">
      <w:pPr>
        <w:suppressAutoHyphens/>
        <w:rPr>
          <w:noProof/>
          <w:szCs w:val="22"/>
        </w:rPr>
      </w:pPr>
    </w:p>
    <w:p w:rsidR="00111A24" w:rsidRPr="005B2844" w:rsidRDefault="00111A24" w:rsidP="0072602F">
      <w:pPr>
        <w:suppressAutoHyphens/>
        <w:rPr>
          <w:szCs w:val="22"/>
        </w:rPr>
      </w:pPr>
      <w:proofErr w:type="spellStart"/>
      <w:r w:rsidRPr="005B2844">
        <w:rPr>
          <w:szCs w:val="22"/>
        </w:rPr>
        <w:t>MicardisPlus</w:t>
      </w:r>
      <w:proofErr w:type="spellEnd"/>
      <w:r w:rsidRPr="005B2844">
        <w:rPr>
          <w:szCs w:val="22"/>
        </w:rPr>
        <w:t xml:space="preserve"> 40 mg/12,5 mg</w:t>
      </w:r>
    </w:p>
    <w:p w:rsidR="00A70FCB" w:rsidRPr="005B2844" w:rsidRDefault="00A70FCB" w:rsidP="0072602F">
      <w:pPr>
        <w:pStyle w:val="BodyText"/>
        <w:pBdr>
          <w:top w:val="none" w:sz="0" w:space="0" w:color="auto"/>
          <w:left w:val="none" w:sz="0" w:space="0" w:color="auto"/>
          <w:bottom w:val="none" w:sz="0" w:space="0" w:color="auto"/>
          <w:right w:val="none" w:sz="0" w:space="0" w:color="auto"/>
        </w:pBdr>
        <w:rPr>
          <w:szCs w:val="22"/>
          <w:lang w:val="it-IT"/>
        </w:rPr>
      </w:pPr>
    </w:p>
    <w:p w:rsidR="002F49F2" w:rsidRPr="005B2844" w:rsidRDefault="002F49F2" w:rsidP="0072602F">
      <w:pPr>
        <w:pStyle w:val="BodyText"/>
        <w:pBdr>
          <w:top w:val="none" w:sz="0" w:space="0" w:color="auto"/>
          <w:left w:val="none" w:sz="0" w:space="0" w:color="auto"/>
          <w:bottom w:val="none" w:sz="0" w:space="0" w:color="auto"/>
          <w:right w:val="none" w:sz="0" w:space="0" w:color="auto"/>
        </w:pBdr>
        <w:rPr>
          <w:szCs w:val="22"/>
          <w:lang w:val="it-IT"/>
        </w:rPr>
      </w:pPr>
    </w:p>
    <w:p w:rsidR="00A133EA" w:rsidRPr="005B2844" w:rsidRDefault="00A133EA" w:rsidP="00F541E7">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17.</w:t>
      </w:r>
      <w:r w:rsidRPr="005B2844">
        <w:rPr>
          <w:b/>
          <w:noProof/>
          <w:szCs w:val="22"/>
        </w:rPr>
        <w:tab/>
        <w:t>IDENTIFICATIVO UNICO – CODICE A BARRE BIDIMENSIONALE</w:t>
      </w:r>
    </w:p>
    <w:p w:rsidR="00A133EA" w:rsidRPr="005B2844" w:rsidRDefault="00A133EA" w:rsidP="00F541E7">
      <w:pPr>
        <w:keepNext/>
        <w:keepLines/>
        <w:rPr>
          <w:noProof/>
          <w:szCs w:val="22"/>
        </w:rPr>
      </w:pPr>
    </w:p>
    <w:p w:rsidR="00A133EA" w:rsidRPr="005B2844" w:rsidRDefault="00A133EA" w:rsidP="00A133EA">
      <w:pPr>
        <w:rPr>
          <w:noProof/>
          <w:szCs w:val="22"/>
          <w:shd w:val="clear" w:color="auto" w:fill="CCCCCC"/>
        </w:rPr>
      </w:pPr>
      <w:r w:rsidRPr="005B2844">
        <w:rPr>
          <w:noProof/>
          <w:szCs w:val="22"/>
          <w:highlight w:val="lightGray"/>
        </w:rPr>
        <w:t>Codice a barre bidimensionale con identificativo unico incluso.</w:t>
      </w:r>
    </w:p>
    <w:p w:rsidR="00A133EA" w:rsidRPr="005B2844" w:rsidRDefault="00A133EA" w:rsidP="00A133EA">
      <w:pPr>
        <w:rPr>
          <w:noProof/>
          <w:vanish/>
          <w:szCs w:val="22"/>
        </w:rPr>
      </w:pPr>
    </w:p>
    <w:p w:rsidR="00A133EA" w:rsidRPr="005B2844" w:rsidRDefault="00A133EA" w:rsidP="00A133EA">
      <w:pPr>
        <w:rPr>
          <w:noProof/>
          <w:vanish/>
          <w:szCs w:val="22"/>
        </w:rPr>
      </w:pPr>
    </w:p>
    <w:p w:rsidR="00A133EA" w:rsidRPr="005B2844" w:rsidRDefault="00A133EA" w:rsidP="00F541E7">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18.</w:t>
      </w:r>
      <w:r w:rsidRPr="005B2844">
        <w:rPr>
          <w:b/>
          <w:noProof/>
          <w:szCs w:val="22"/>
        </w:rPr>
        <w:tab/>
        <w:t>IDENTIFICATIVO UNICO - DATI LEGGIBILI</w:t>
      </w:r>
    </w:p>
    <w:p w:rsidR="00A133EA" w:rsidRPr="005B2844" w:rsidRDefault="00A133EA" w:rsidP="00F541E7">
      <w:pPr>
        <w:keepNext/>
        <w:keepLines/>
        <w:rPr>
          <w:noProof/>
          <w:szCs w:val="22"/>
        </w:rPr>
      </w:pPr>
    </w:p>
    <w:p w:rsidR="00A133EA" w:rsidRPr="005B2844" w:rsidRDefault="00A133EA" w:rsidP="00A133EA">
      <w:pPr>
        <w:rPr>
          <w:szCs w:val="22"/>
        </w:rPr>
      </w:pPr>
      <w:r w:rsidRPr="005B2844">
        <w:rPr>
          <w:szCs w:val="22"/>
        </w:rPr>
        <w:t>PC: {numero} [codice del prodotto]</w:t>
      </w:r>
    </w:p>
    <w:p w:rsidR="00A133EA" w:rsidRPr="005B2844" w:rsidRDefault="00A133EA" w:rsidP="00A133EA">
      <w:pPr>
        <w:rPr>
          <w:szCs w:val="22"/>
        </w:rPr>
      </w:pPr>
      <w:r w:rsidRPr="005B2844">
        <w:rPr>
          <w:szCs w:val="22"/>
        </w:rPr>
        <w:t>SN: {numero} [numero di serie]</w:t>
      </w:r>
    </w:p>
    <w:p w:rsidR="00A133EA" w:rsidRPr="005B2844" w:rsidRDefault="00A133EA" w:rsidP="005E749A">
      <w:pPr>
        <w:rPr>
          <w:szCs w:val="22"/>
        </w:rPr>
      </w:pPr>
      <w:r w:rsidRPr="005B2844">
        <w:rPr>
          <w:szCs w:val="22"/>
        </w:rPr>
        <w:t>NN: {numero} [numero di rimborso nazionale o altro numero nazionale di identificazione del medicinale]</w:t>
      </w: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szCs w:val="22"/>
        </w:rPr>
        <w:br w:type="page"/>
      </w:r>
      <w:r w:rsidRPr="005B2844">
        <w:rPr>
          <w:b/>
          <w:szCs w:val="22"/>
        </w:rPr>
        <w:t>INFORMAZIONI MINIME DA APPORRE SU BLISTER O STRIP</w:t>
      </w:r>
    </w:p>
    <w:p w:rsidR="00674E18" w:rsidRPr="005B2844" w:rsidRDefault="00674E18" w:rsidP="0072602F">
      <w:pPr>
        <w:pBdr>
          <w:top w:val="single" w:sz="4" w:space="1" w:color="auto"/>
          <w:left w:val="single" w:sz="4" w:space="4" w:color="auto"/>
          <w:bottom w:val="single" w:sz="4" w:space="1" w:color="auto"/>
          <w:right w:val="single" w:sz="4" w:space="4" w:color="auto"/>
        </w:pBdr>
        <w:rPr>
          <w:b/>
          <w:szCs w:val="22"/>
        </w:rPr>
      </w:pPr>
    </w:p>
    <w:p w:rsidR="00674E18" w:rsidRPr="005B2844" w:rsidRDefault="00674E18" w:rsidP="0072602F">
      <w:pPr>
        <w:pBdr>
          <w:top w:val="single" w:sz="4" w:space="1" w:color="auto"/>
          <w:left w:val="single" w:sz="4" w:space="4" w:color="auto"/>
          <w:bottom w:val="single" w:sz="4" w:space="1" w:color="auto"/>
          <w:right w:val="single" w:sz="4" w:space="4" w:color="auto"/>
        </w:pBdr>
        <w:rPr>
          <w:b/>
          <w:szCs w:val="22"/>
        </w:rPr>
      </w:pPr>
      <w:r w:rsidRPr="005B2844">
        <w:rPr>
          <w:b/>
          <w:szCs w:val="22"/>
        </w:rPr>
        <w:t>Blister da 7 compresse</w:t>
      </w:r>
    </w:p>
    <w:p w:rsidR="00A70FCB" w:rsidRPr="005B2844" w:rsidRDefault="00A70FCB" w:rsidP="0072602F">
      <w:pPr>
        <w:rPr>
          <w:szCs w:val="22"/>
        </w:rPr>
      </w:pPr>
    </w:p>
    <w:p w:rsidR="00A70FCB" w:rsidRPr="005B2844" w:rsidRDefault="00A70FCB" w:rsidP="0072602F">
      <w:pPr>
        <w:tabs>
          <w:tab w:val="left" w:pos="0"/>
        </w:tabs>
        <w:rPr>
          <w:caps/>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w:t>
      </w:r>
      <w:r w:rsidRPr="005B2844">
        <w:rPr>
          <w:b/>
          <w:szCs w:val="22"/>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40</w:t>
      </w:r>
      <w:r w:rsidR="00674E18" w:rsidRPr="005B2844">
        <w:rPr>
          <w:szCs w:val="22"/>
        </w:rPr>
        <w:t> mg</w:t>
      </w:r>
      <w:r w:rsidRPr="005B2844">
        <w:rPr>
          <w:szCs w:val="22"/>
        </w:rPr>
        <w:t>/12,5 mg compresse</w:t>
      </w:r>
    </w:p>
    <w:p w:rsidR="00A70FCB" w:rsidRPr="005B2844" w:rsidRDefault="00674E18"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A70FCB" w:rsidRPr="005B2844" w:rsidRDefault="00A70FCB" w:rsidP="0072602F">
      <w:pPr>
        <w:rPr>
          <w:szCs w:val="22"/>
        </w:rPr>
      </w:pPr>
    </w:p>
    <w:p w:rsidR="00674E18" w:rsidRPr="005B2844" w:rsidRDefault="00674E18"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ind w:left="567" w:hanging="567"/>
        <w:rPr>
          <w:b/>
          <w:szCs w:val="22"/>
        </w:rPr>
      </w:pPr>
      <w:r w:rsidRPr="005B2844">
        <w:rPr>
          <w:b/>
          <w:szCs w:val="22"/>
        </w:rPr>
        <w:t>2.</w:t>
      </w:r>
      <w:r w:rsidRPr="005B2844">
        <w:rPr>
          <w:b/>
          <w:szCs w:val="22"/>
        </w:rPr>
        <w:tab/>
        <w:t>NOME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szCs w:val="22"/>
        </w:rPr>
      </w:pPr>
      <w:r w:rsidRPr="005B2844">
        <w:rPr>
          <w:b/>
          <w:szCs w:val="22"/>
        </w:rPr>
        <w:t>3.</w:t>
      </w:r>
      <w:r w:rsidRPr="005B2844">
        <w:rPr>
          <w:b/>
          <w:szCs w:val="22"/>
        </w:rPr>
        <w:tab/>
        <w:t>DATA DI SCADENZA</w:t>
      </w:r>
    </w:p>
    <w:p w:rsidR="00A70FCB" w:rsidRPr="005B2844" w:rsidRDefault="00A70FCB" w:rsidP="0072602F">
      <w:pPr>
        <w:rPr>
          <w:szCs w:val="22"/>
        </w:rPr>
      </w:pPr>
    </w:p>
    <w:p w:rsidR="00A70FCB" w:rsidRPr="005B2844" w:rsidRDefault="00A70FCB" w:rsidP="0072602F">
      <w:pPr>
        <w:rPr>
          <w:szCs w:val="22"/>
        </w:rPr>
      </w:pPr>
      <w:r w:rsidRPr="005B2844">
        <w:rPr>
          <w:szCs w:val="22"/>
        </w:rPr>
        <w:t>Scad.</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szCs w:val="22"/>
        </w:rPr>
      </w:pPr>
      <w:r w:rsidRPr="005B2844">
        <w:rPr>
          <w:b/>
          <w:szCs w:val="22"/>
        </w:rPr>
        <w:t>4.</w:t>
      </w:r>
      <w:r w:rsidRPr="005B2844">
        <w:rPr>
          <w:b/>
          <w:szCs w:val="22"/>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674E18" w:rsidRPr="005B2844" w:rsidRDefault="00674E18" w:rsidP="0072602F">
      <w:pPr>
        <w:pBdr>
          <w:top w:val="single" w:sz="4" w:space="1" w:color="auto"/>
          <w:left w:val="single" w:sz="4" w:space="4" w:color="auto"/>
          <w:bottom w:val="single" w:sz="4" w:space="1" w:color="auto"/>
          <w:right w:val="single" w:sz="4" w:space="4" w:color="auto"/>
        </w:pBdr>
        <w:rPr>
          <w:szCs w:val="22"/>
        </w:rPr>
      </w:pPr>
      <w:r w:rsidRPr="005B2844">
        <w:rPr>
          <w:b/>
          <w:szCs w:val="22"/>
        </w:rPr>
        <w:t>5.</w:t>
      </w:r>
      <w:r w:rsidRPr="005B2844">
        <w:rPr>
          <w:b/>
          <w:szCs w:val="22"/>
        </w:rPr>
        <w:tab/>
        <w:t>ALTRO</w:t>
      </w:r>
    </w:p>
    <w:p w:rsidR="00674E18" w:rsidRPr="005B2844" w:rsidRDefault="00674E18" w:rsidP="0072602F">
      <w:pPr>
        <w:rPr>
          <w:szCs w:val="22"/>
        </w:rPr>
      </w:pPr>
    </w:p>
    <w:p w:rsidR="00A70FCB" w:rsidRPr="005B2844" w:rsidRDefault="00E17FCD" w:rsidP="0072602F">
      <w:pPr>
        <w:rPr>
          <w:szCs w:val="22"/>
        </w:rPr>
      </w:pPr>
      <w:r w:rsidRPr="005B2844">
        <w:rPr>
          <w:szCs w:val="22"/>
        </w:rPr>
        <w:t>lun.</w:t>
      </w:r>
    </w:p>
    <w:p w:rsidR="00A70FCB" w:rsidRPr="005B2844" w:rsidRDefault="00E17FCD" w:rsidP="0072602F">
      <w:pPr>
        <w:rPr>
          <w:szCs w:val="22"/>
        </w:rPr>
      </w:pPr>
      <w:r w:rsidRPr="005B2844">
        <w:rPr>
          <w:szCs w:val="22"/>
        </w:rPr>
        <w:t>mar.</w:t>
      </w:r>
    </w:p>
    <w:p w:rsidR="00A70FCB" w:rsidRPr="005B2844" w:rsidRDefault="00E17FCD" w:rsidP="0072602F">
      <w:pPr>
        <w:rPr>
          <w:szCs w:val="22"/>
        </w:rPr>
      </w:pPr>
      <w:r w:rsidRPr="005B2844">
        <w:rPr>
          <w:szCs w:val="22"/>
        </w:rPr>
        <w:t>mer.</w:t>
      </w:r>
    </w:p>
    <w:p w:rsidR="00A70FCB" w:rsidRPr="005B2844" w:rsidRDefault="00E17FCD" w:rsidP="0072602F">
      <w:pPr>
        <w:rPr>
          <w:szCs w:val="22"/>
        </w:rPr>
      </w:pPr>
      <w:r w:rsidRPr="005B2844">
        <w:rPr>
          <w:szCs w:val="22"/>
        </w:rPr>
        <w:t>gio.</w:t>
      </w:r>
    </w:p>
    <w:p w:rsidR="00A70FCB" w:rsidRPr="005B2844" w:rsidRDefault="00E17FCD" w:rsidP="0072602F">
      <w:pPr>
        <w:rPr>
          <w:szCs w:val="22"/>
        </w:rPr>
      </w:pPr>
      <w:r w:rsidRPr="005B2844">
        <w:rPr>
          <w:szCs w:val="22"/>
        </w:rPr>
        <w:t>ven.</w:t>
      </w:r>
    </w:p>
    <w:p w:rsidR="00A70FCB" w:rsidRPr="005B2844" w:rsidRDefault="00E17FCD" w:rsidP="0072602F">
      <w:pPr>
        <w:rPr>
          <w:szCs w:val="22"/>
        </w:rPr>
      </w:pPr>
      <w:r w:rsidRPr="005B2844">
        <w:rPr>
          <w:szCs w:val="22"/>
        </w:rPr>
        <w:t>sab.</w:t>
      </w:r>
    </w:p>
    <w:p w:rsidR="00A70FCB" w:rsidRPr="005B2844" w:rsidRDefault="00E17FCD" w:rsidP="0072602F">
      <w:pPr>
        <w:rPr>
          <w:szCs w:val="22"/>
        </w:rPr>
      </w:pPr>
      <w:r w:rsidRPr="005B2844">
        <w:rPr>
          <w:szCs w:val="22"/>
        </w:rPr>
        <w:t>dom.</w:t>
      </w: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szCs w:val="22"/>
        </w:rPr>
        <w:br w:type="page"/>
      </w:r>
      <w:r w:rsidRPr="005B2844">
        <w:rPr>
          <w:b/>
          <w:szCs w:val="22"/>
        </w:rPr>
        <w:t>INFORMAZIONI MINIME DA APPORRE SU BLISTER O STRIP</w:t>
      </w:r>
    </w:p>
    <w:p w:rsidR="0001447D" w:rsidRPr="005B2844" w:rsidRDefault="0001447D" w:rsidP="0072602F">
      <w:pPr>
        <w:pBdr>
          <w:top w:val="single" w:sz="4" w:space="1" w:color="auto"/>
          <w:left w:val="single" w:sz="4" w:space="4" w:color="auto"/>
          <w:bottom w:val="single" w:sz="4" w:space="1" w:color="auto"/>
          <w:right w:val="single" w:sz="4" w:space="4" w:color="auto"/>
        </w:pBdr>
        <w:rPr>
          <w:szCs w:val="22"/>
        </w:rPr>
      </w:pPr>
    </w:p>
    <w:p w:rsidR="0001447D" w:rsidRPr="005B2844" w:rsidRDefault="0001447D" w:rsidP="0072602F">
      <w:pPr>
        <w:pBdr>
          <w:top w:val="single" w:sz="4" w:space="1" w:color="auto"/>
          <w:left w:val="single" w:sz="4" w:space="4" w:color="auto"/>
          <w:bottom w:val="single" w:sz="4" w:space="1" w:color="auto"/>
          <w:right w:val="single" w:sz="4" w:space="4" w:color="auto"/>
        </w:pBdr>
        <w:rPr>
          <w:b/>
          <w:szCs w:val="22"/>
        </w:rPr>
      </w:pPr>
      <w:r w:rsidRPr="005B2844">
        <w:rPr>
          <w:b/>
          <w:szCs w:val="22"/>
        </w:rPr>
        <w:t xml:space="preserve">Blister divisibile per dose unitaria </w:t>
      </w:r>
      <w:r w:rsidR="00D94D58" w:rsidRPr="005B2844">
        <w:rPr>
          <w:b/>
          <w:szCs w:val="22"/>
        </w:rPr>
        <w:t xml:space="preserve">da </w:t>
      </w:r>
      <w:r w:rsidR="00AA0919" w:rsidRPr="005B2844">
        <w:rPr>
          <w:b/>
          <w:szCs w:val="22"/>
        </w:rPr>
        <w:t xml:space="preserve">7 o 10 </w:t>
      </w:r>
      <w:r w:rsidR="00D94D58" w:rsidRPr="005B2844">
        <w:rPr>
          <w:b/>
          <w:szCs w:val="22"/>
        </w:rPr>
        <w:t xml:space="preserve">compresse </w:t>
      </w:r>
      <w:r w:rsidR="00135A60" w:rsidRPr="005B2844">
        <w:rPr>
          <w:b/>
          <w:szCs w:val="22"/>
        </w:rPr>
        <w:t xml:space="preserve">o </w:t>
      </w:r>
      <w:r w:rsidR="00A2294F" w:rsidRPr="005B2844">
        <w:rPr>
          <w:b/>
          <w:szCs w:val="22"/>
        </w:rPr>
        <w:t>ogni</w:t>
      </w:r>
      <w:r w:rsidR="00C50051" w:rsidRPr="005B2844">
        <w:rPr>
          <w:b/>
          <w:szCs w:val="22"/>
        </w:rPr>
        <w:t xml:space="preserve"> </w:t>
      </w:r>
      <w:r w:rsidR="00187A8E" w:rsidRPr="005B2844">
        <w:rPr>
          <w:b/>
          <w:szCs w:val="22"/>
        </w:rPr>
        <w:t xml:space="preserve">altro </w:t>
      </w:r>
      <w:r w:rsidR="00C50051" w:rsidRPr="005B2844">
        <w:rPr>
          <w:b/>
          <w:szCs w:val="22"/>
        </w:rPr>
        <w:t xml:space="preserve">blister </w:t>
      </w:r>
      <w:r w:rsidR="005E442B" w:rsidRPr="005B2844">
        <w:rPr>
          <w:b/>
          <w:szCs w:val="22"/>
        </w:rPr>
        <w:t>che non contenga</w:t>
      </w:r>
      <w:r w:rsidR="00C50051" w:rsidRPr="005B2844">
        <w:rPr>
          <w:b/>
          <w:szCs w:val="22"/>
        </w:rPr>
        <w:t xml:space="preserve"> 7 compresse</w:t>
      </w:r>
    </w:p>
    <w:p w:rsidR="00A70FCB" w:rsidRPr="005B2844" w:rsidRDefault="00A70FCB" w:rsidP="0072602F">
      <w:pPr>
        <w:rPr>
          <w:szCs w:val="22"/>
        </w:rPr>
      </w:pPr>
    </w:p>
    <w:p w:rsidR="00A70FCB" w:rsidRPr="005B2844" w:rsidRDefault="00A70FCB" w:rsidP="0072602F">
      <w:pPr>
        <w:tabs>
          <w:tab w:val="left" w:pos="0"/>
        </w:tabs>
        <w:rPr>
          <w:caps/>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b/>
          <w:szCs w:val="22"/>
        </w:rPr>
      </w:pPr>
      <w:r w:rsidRPr="005B2844">
        <w:rPr>
          <w:b/>
          <w:szCs w:val="22"/>
        </w:rPr>
        <w:t>1.</w:t>
      </w:r>
      <w:r w:rsidRPr="005B2844">
        <w:rPr>
          <w:b/>
          <w:szCs w:val="22"/>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40</w:t>
      </w:r>
      <w:r w:rsidR="001C49A5" w:rsidRPr="005B2844">
        <w:rPr>
          <w:szCs w:val="22"/>
        </w:rPr>
        <w:t> mg</w:t>
      </w:r>
      <w:r w:rsidRPr="005B2844">
        <w:rPr>
          <w:szCs w:val="22"/>
        </w:rPr>
        <w:t>/12,5 mg compresse</w:t>
      </w:r>
    </w:p>
    <w:p w:rsidR="00FC361D" w:rsidRPr="005B2844" w:rsidRDefault="00FC361D"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F541E7">
      <w:pPr>
        <w:pBdr>
          <w:top w:val="single" w:sz="4" w:space="1" w:color="auto"/>
          <w:left w:val="single" w:sz="4" w:space="4" w:color="auto"/>
          <w:bottom w:val="single" w:sz="4" w:space="1" w:color="auto"/>
          <w:right w:val="single" w:sz="4" w:space="4" w:color="auto"/>
        </w:pBdr>
        <w:ind w:left="567" w:hanging="567"/>
        <w:rPr>
          <w:b/>
          <w:szCs w:val="22"/>
        </w:rPr>
      </w:pPr>
      <w:r w:rsidRPr="005B2844">
        <w:rPr>
          <w:b/>
          <w:szCs w:val="22"/>
        </w:rPr>
        <w:t>2.</w:t>
      </w:r>
      <w:r w:rsidRPr="005B2844">
        <w:rPr>
          <w:b/>
          <w:szCs w:val="22"/>
        </w:rPr>
        <w:tab/>
        <w:t>NOME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szCs w:val="22"/>
        </w:rPr>
      </w:pPr>
      <w:r w:rsidRPr="005B2844">
        <w:rPr>
          <w:b/>
          <w:szCs w:val="22"/>
        </w:rPr>
        <w:t>3.</w:t>
      </w:r>
      <w:r w:rsidRPr="005B2844">
        <w:rPr>
          <w:b/>
          <w:szCs w:val="22"/>
        </w:rPr>
        <w:tab/>
        <w:t>DATA DI SCADENZA</w:t>
      </w:r>
    </w:p>
    <w:p w:rsidR="00A70FCB" w:rsidRPr="005B2844" w:rsidRDefault="00A70FCB" w:rsidP="0072602F">
      <w:pPr>
        <w:rPr>
          <w:szCs w:val="22"/>
        </w:rPr>
      </w:pPr>
    </w:p>
    <w:p w:rsidR="00A70FCB" w:rsidRPr="005B2844" w:rsidRDefault="00A70FCB" w:rsidP="0072602F">
      <w:pPr>
        <w:rPr>
          <w:szCs w:val="22"/>
        </w:rPr>
      </w:pPr>
      <w:r w:rsidRPr="005B2844">
        <w:rPr>
          <w:szCs w:val="22"/>
        </w:rPr>
        <w:t>Scad.</w:t>
      </w:r>
      <w:r w:rsidR="00CB0315" w:rsidRPr="005B2844" w:rsidDel="00CB0315">
        <w:rPr>
          <w:szCs w:val="22"/>
        </w:rPr>
        <w:t xml:space="preserve"> </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Bdr>
          <w:top w:val="single" w:sz="4" w:space="1" w:color="auto"/>
          <w:left w:val="single" w:sz="4" w:space="4" w:color="auto"/>
          <w:bottom w:val="single" w:sz="4" w:space="1" w:color="auto"/>
          <w:right w:val="single" w:sz="4" w:space="4" w:color="auto"/>
        </w:pBdr>
        <w:rPr>
          <w:szCs w:val="22"/>
        </w:rPr>
      </w:pPr>
      <w:r w:rsidRPr="005B2844">
        <w:rPr>
          <w:b/>
          <w:szCs w:val="22"/>
        </w:rPr>
        <w:t>4.</w:t>
      </w:r>
      <w:r w:rsidRPr="005B2844">
        <w:rPr>
          <w:b/>
          <w:szCs w:val="22"/>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CB0315" w:rsidRPr="005B2844" w:rsidRDefault="00CB0315" w:rsidP="0072602F">
      <w:pPr>
        <w:pBdr>
          <w:top w:val="single" w:sz="4" w:space="1" w:color="auto"/>
          <w:left w:val="single" w:sz="4" w:space="4" w:color="auto"/>
          <w:bottom w:val="single" w:sz="4" w:space="1" w:color="auto"/>
          <w:right w:val="single" w:sz="4" w:space="4" w:color="auto"/>
        </w:pBdr>
        <w:rPr>
          <w:szCs w:val="22"/>
        </w:rPr>
      </w:pPr>
      <w:r w:rsidRPr="005B2844">
        <w:rPr>
          <w:b/>
          <w:szCs w:val="22"/>
        </w:rPr>
        <w:t>5.</w:t>
      </w:r>
      <w:r w:rsidRPr="005B2844">
        <w:rPr>
          <w:b/>
          <w:szCs w:val="22"/>
        </w:rPr>
        <w:tab/>
        <w:t>ALTRO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rPr>
          <w:szCs w:val="22"/>
        </w:rPr>
      </w:pPr>
      <w:r w:rsidRPr="005B2844">
        <w:rPr>
          <w:szCs w:val="22"/>
        </w:rPr>
        <w:br w:type="page"/>
      </w:r>
    </w:p>
    <w:p w:rsidR="00A70FCB" w:rsidRPr="005B2844" w:rsidRDefault="00A70FCB" w:rsidP="0072602F">
      <w:pPr>
        <w:pStyle w:val="BodyText"/>
        <w:rPr>
          <w:b/>
          <w:szCs w:val="22"/>
          <w:lang w:val="it-IT"/>
        </w:rPr>
      </w:pPr>
      <w:r w:rsidRPr="005B2844">
        <w:rPr>
          <w:b/>
          <w:caps/>
          <w:szCs w:val="22"/>
          <w:lang w:val="it-IT"/>
        </w:rPr>
        <w:t>Informazioni</w:t>
      </w:r>
      <w:r w:rsidRPr="005B2844">
        <w:rPr>
          <w:b/>
          <w:szCs w:val="22"/>
          <w:lang w:val="it-IT"/>
        </w:rPr>
        <w:t xml:space="preserve"> DA APPORRE SUL </w:t>
      </w:r>
      <w:r w:rsidR="00145491" w:rsidRPr="005B2844">
        <w:rPr>
          <w:b/>
          <w:szCs w:val="22"/>
          <w:lang w:val="it-IT"/>
        </w:rPr>
        <w:t xml:space="preserve">CONFEZIONAMENTO </w:t>
      </w:r>
      <w:r w:rsidR="008E59C4" w:rsidRPr="005B2844">
        <w:rPr>
          <w:b/>
          <w:szCs w:val="22"/>
          <w:lang w:val="it-IT"/>
        </w:rPr>
        <w:t>SECONDARIO</w:t>
      </w:r>
    </w:p>
    <w:p w:rsidR="00A70FCB" w:rsidRPr="005B2844" w:rsidRDefault="00A70FCB" w:rsidP="0072602F">
      <w:pPr>
        <w:pStyle w:val="BodyText"/>
        <w:rPr>
          <w:b/>
          <w:szCs w:val="22"/>
          <w:lang w:val="it-IT"/>
        </w:rPr>
      </w:pPr>
    </w:p>
    <w:p w:rsidR="00A70FCB" w:rsidRPr="005B2844" w:rsidRDefault="00A95A74" w:rsidP="0072602F">
      <w:pPr>
        <w:pStyle w:val="BodyText"/>
        <w:rPr>
          <w:b/>
          <w:szCs w:val="22"/>
          <w:lang w:val="it-IT"/>
        </w:rPr>
      </w:pPr>
      <w:r w:rsidRPr="005B2844">
        <w:rPr>
          <w:b/>
          <w:szCs w:val="22"/>
          <w:lang w:val="it-IT"/>
        </w:rPr>
        <w:t>Astuccio</w:t>
      </w:r>
    </w:p>
    <w:p w:rsidR="00A70FCB" w:rsidRPr="005B2844" w:rsidRDefault="00A70FCB" w:rsidP="0072602F">
      <w:pPr>
        <w:tabs>
          <w:tab w:val="left" w:pos="0"/>
        </w:tabs>
        <w:rPr>
          <w:caps/>
          <w:szCs w:val="22"/>
          <w:u w:val="single"/>
        </w:rPr>
      </w:pPr>
    </w:p>
    <w:p w:rsidR="00A70FCB" w:rsidRPr="005B2844" w:rsidRDefault="00A70FCB" w:rsidP="0072602F">
      <w:pPr>
        <w:tabs>
          <w:tab w:val="left" w:pos="0"/>
        </w:tabs>
        <w:rPr>
          <w:szCs w:val="22"/>
        </w:rPr>
      </w:pPr>
    </w:p>
    <w:p w:rsidR="00A70FCB" w:rsidRPr="005B2844" w:rsidRDefault="00A70FCB" w:rsidP="0072602F">
      <w:pPr>
        <w:pStyle w:val="BodyText"/>
        <w:rPr>
          <w:b/>
          <w:szCs w:val="22"/>
          <w:lang w:val="it-IT"/>
        </w:rPr>
      </w:pPr>
      <w:r w:rsidRPr="005B2844">
        <w:rPr>
          <w:b/>
          <w:caps/>
          <w:szCs w:val="22"/>
          <w:lang w:val="it-IT"/>
        </w:rPr>
        <w:t>1.</w:t>
      </w:r>
      <w:r w:rsidRPr="005B2844">
        <w:rPr>
          <w:b/>
          <w:caps/>
          <w:szCs w:val="22"/>
          <w:lang w:val="it-IT"/>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80</w:t>
      </w:r>
      <w:r w:rsidR="00F04D0C" w:rsidRPr="005B2844">
        <w:rPr>
          <w:szCs w:val="22"/>
        </w:rPr>
        <w:t> mg</w:t>
      </w:r>
      <w:r w:rsidRPr="005B2844">
        <w:rPr>
          <w:szCs w:val="22"/>
        </w:rPr>
        <w:t>/12,5 mg compresse</w:t>
      </w:r>
    </w:p>
    <w:p w:rsidR="00A70FCB" w:rsidRPr="005B2844" w:rsidRDefault="00F04D0C"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F04D0C" w:rsidRPr="005B2844" w:rsidRDefault="00F04D0C" w:rsidP="0072602F">
      <w:pPr>
        <w:tabs>
          <w:tab w:val="left" w:pos="0"/>
        </w:tabs>
        <w:rPr>
          <w:szCs w:val="22"/>
        </w:rPr>
      </w:pPr>
    </w:p>
    <w:p w:rsidR="00A70FCB" w:rsidRPr="005B2844" w:rsidRDefault="00A70FCB" w:rsidP="0072602F">
      <w:pPr>
        <w:rPr>
          <w:szCs w:val="22"/>
        </w:rPr>
      </w:pPr>
    </w:p>
    <w:p w:rsidR="00A70FCB" w:rsidRPr="005B2844" w:rsidRDefault="00A70FCB" w:rsidP="002B6A37">
      <w:pPr>
        <w:pStyle w:val="BodyText"/>
        <w:ind w:left="567" w:hanging="567"/>
        <w:rPr>
          <w:b/>
          <w:caps/>
          <w:szCs w:val="22"/>
          <w:lang w:val="it-IT"/>
        </w:rPr>
      </w:pPr>
      <w:r w:rsidRPr="005B2844">
        <w:rPr>
          <w:b/>
          <w:caps/>
          <w:szCs w:val="22"/>
          <w:lang w:val="it-IT"/>
        </w:rPr>
        <w:t>2.</w:t>
      </w:r>
      <w:r w:rsidRPr="005B2844">
        <w:rPr>
          <w:b/>
          <w:caps/>
          <w:szCs w:val="22"/>
          <w:lang w:val="it-IT"/>
        </w:rPr>
        <w:tab/>
      </w:r>
      <w:r w:rsidR="005A1653" w:rsidRPr="005B2844">
        <w:rPr>
          <w:b/>
          <w:caps/>
          <w:szCs w:val="22"/>
          <w:lang w:val="it-IT"/>
        </w:rPr>
        <w:t>COMPOSIZIONE QUALITATIV</w:t>
      </w:r>
      <w:r w:rsidR="007A4EC3" w:rsidRPr="005B2844">
        <w:rPr>
          <w:b/>
          <w:caps/>
          <w:szCs w:val="22"/>
          <w:lang w:val="it-IT"/>
        </w:rPr>
        <w:t>A</w:t>
      </w:r>
      <w:r w:rsidR="005A1653" w:rsidRPr="005B2844">
        <w:rPr>
          <w:b/>
          <w:caps/>
          <w:szCs w:val="22"/>
          <w:lang w:val="it-IT"/>
        </w:rPr>
        <w:t xml:space="preserve"> E QUANTITATIVA</w:t>
      </w:r>
      <w:r w:rsidR="00A95A74" w:rsidRPr="005B2844">
        <w:rPr>
          <w:b/>
          <w:caps/>
          <w:szCs w:val="22"/>
          <w:lang w:val="it-IT"/>
        </w:rPr>
        <w:t xml:space="preserve"> IN TERMINI DI PRINCIPIO(i) aTTIVO(i)</w:t>
      </w:r>
    </w:p>
    <w:p w:rsidR="00A70FCB" w:rsidRPr="005B2844" w:rsidRDefault="00A70FCB" w:rsidP="0072602F">
      <w:pPr>
        <w:tabs>
          <w:tab w:val="left" w:pos="567"/>
        </w:tabs>
        <w:rPr>
          <w:szCs w:val="22"/>
        </w:rPr>
      </w:pPr>
    </w:p>
    <w:p w:rsidR="00A70FCB" w:rsidRPr="005B2844" w:rsidRDefault="00A70FCB" w:rsidP="0072602F">
      <w:pPr>
        <w:rPr>
          <w:szCs w:val="22"/>
        </w:rPr>
      </w:pPr>
      <w:r w:rsidRPr="005B2844">
        <w:rPr>
          <w:szCs w:val="22"/>
        </w:rPr>
        <w:t>Ogni compressa contiene 80</w:t>
      </w:r>
      <w:r w:rsidR="00C70C1D" w:rsidRPr="005B2844">
        <w:rPr>
          <w:szCs w:val="22"/>
        </w:rPr>
        <w:t> </w:t>
      </w:r>
      <w:r w:rsidRPr="005B2844">
        <w:rPr>
          <w:szCs w:val="22"/>
        </w:rPr>
        <w:t xml:space="preserve">mg </w:t>
      </w:r>
      <w:proofErr w:type="spellStart"/>
      <w:r w:rsidRPr="005B2844">
        <w:rPr>
          <w:szCs w:val="22"/>
        </w:rPr>
        <w:t>telmisartan</w:t>
      </w:r>
      <w:proofErr w:type="spellEnd"/>
      <w:r w:rsidRPr="005B2844">
        <w:rPr>
          <w:szCs w:val="22"/>
        </w:rPr>
        <w:t xml:space="preserve"> e 12,5</w:t>
      </w:r>
      <w:r w:rsidR="00C70C1D" w:rsidRPr="005B2844">
        <w:rPr>
          <w:szCs w:val="22"/>
        </w:rPr>
        <w:t> mg</w:t>
      </w:r>
      <w:r w:rsidRPr="005B2844">
        <w:rPr>
          <w:szCs w:val="22"/>
        </w:rPr>
        <w:t xml:space="preserve"> </w:t>
      </w:r>
      <w:proofErr w:type="spellStart"/>
      <w:r w:rsidRPr="005B2844">
        <w:rPr>
          <w:szCs w:val="22"/>
        </w:rPr>
        <w:t>idroclorotiazide</w:t>
      </w:r>
      <w:proofErr w:type="spellEnd"/>
      <w:r w:rsidR="00F04D0C" w:rsidRPr="005B2844">
        <w:rPr>
          <w:szCs w:val="22"/>
        </w:rPr>
        <w:t>.</w:t>
      </w:r>
    </w:p>
    <w:p w:rsidR="00A70FCB" w:rsidRPr="005B2844" w:rsidRDefault="00A70FCB" w:rsidP="0072602F">
      <w:pPr>
        <w:tabs>
          <w:tab w:val="left" w:pos="567"/>
        </w:tabs>
        <w:rPr>
          <w:szCs w:val="22"/>
        </w:rPr>
      </w:pPr>
    </w:p>
    <w:p w:rsidR="00A70FCB" w:rsidRPr="005B2844" w:rsidRDefault="00A70FCB" w:rsidP="0072602F">
      <w:pPr>
        <w:tabs>
          <w:tab w:val="left" w:pos="567"/>
        </w:tabs>
        <w:rPr>
          <w:szCs w:val="22"/>
        </w:rPr>
      </w:pPr>
    </w:p>
    <w:p w:rsidR="00A70FCB" w:rsidRPr="005B2844" w:rsidRDefault="00A70FCB" w:rsidP="0072602F">
      <w:pPr>
        <w:pStyle w:val="BodyText"/>
        <w:rPr>
          <w:b/>
          <w:szCs w:val="22"/>
          <w:lang w:val="it-IT"/>
        </w:rPr>
      </w:pPr>
      <w:r w:rsidRPr="005B2844">
        <w:rPr>
          <w:b/>
          <w:caps/>
          <w:szCs w:val="22"/>
          <w:lang w:val="it-IT"/>
        </w:rPr>
        <w:t>3.</w:t>
      </w:r>
      <w:r w:rsidRPr="005B2844">
        <w:rPr>
          <w:b/>
          <w:caps/>
          <w:szCs w:val="22"/>
          <w:lang w:val="it-IT"/>
        </w:rPr>
        <w:tab/>
        <w:t>ELENCO DEGLI ECCIPIENTI</w:t>
      </w:r>
    </w:p>
    <w:p w:rsidR="0043456D" w:rsidRPr="005B2844" w:rsidRDefault="0043456D" w:rsidP="0072602F">
      <w:pPr>
        <w:rPr>
          <w:szCs w:val="22"/>
        </w:rPr>
      </w:pPr>
    </w:p>
    <w:p w:rsidR="00A70FCB" w:rsidRPr="005B2844" w:rsidRDefault="00F04D0C" w:rsidP="0072602F">
      <w:pPr>
        <w:rPr>
          <w:szCs w:val="22"/>
        </w:rPr>
      </w:pPr>
      <w:r w:rsidRPr="005B2844">
        <w:rPr>
          <w:szCs w:val="22"/>
        </w:rPr>
        <w:t xml:space="preserve">Contiene </w:t>
      </w:r>
      <w:r w:rsidR="005F5D66" w:rsidRPr="005B2844">
        <w:rPr>
          <w:szCs w:val="22"/>
        </w:rPr>
        <w:t>lattosio monoidrato e sorbitolo</w:t>
      </w:r>
      <w:r w:rsidR="00FD6612" w:rsidRPr="005B2844">
        <w:rPr>
          <w:szCs w:val="22"/>
        </w:rPr>
        <w:t xml:space="preserve"> (E420)</w:t>
      </w:r>
      <w:r w:rsidRPr="005B2844">
        <w:rPr>
          <w:szCs w:val="22"/>
        </w:rPr>
        <w:t>.</w:t>
      </w:r>
    </w:p>
    <w:p w:rsidR="00FD6612" w:rsidRPr="005B2844" w:rsidRDefault="00FD6612" w:rsidP="0072602F">
      <w:pPr>
        <w:rPr>
          <w:szCs w:val="22"/>
        </w:rPr>
      </w:pPr>
      <w:r w:rsidRPr="005B2844">
        <w:rPr>
          <w:szCs w:val="22"/>
        </w:rPr>
        <w:t>Leggere il foglio illustrativo per ulteriori informazioni.</w:t>
      </w:r>
    </w:p>
    <w:p w:rsidR="00F04D0C" w:rsidRPr="005B2844" w:rsidRDefault="00F04D0C" w:rsidP="0072602F">
      <w:pPr>
        <w:rPr>
          <w:szCs w:val="22"/>
        </w:rPr>
      </w:pPr>
    </w:p>
    <w:p w:rsidR="00F04D0C" w:rsidRPr="005B2844" w:rsidRDefault="00F04D0C" w:rsidP="0072602F">
      <w:pPr>
        <w:rPr>
          <w:szCs w:val="22"/>
        </w:rPr>
      </w:pPr>
    </w:p>
    <w:p w:rsidR="00A70FCB" w:rsidRPr="005B2844" w:rsidRDefault="00A70FCB" w:rsidP="0072602F">
      <w:pPr>
        <w:pStyle w:val="BodyText"/>
        <w:rPr>
          <w:i/>
          <w:szCs w:val="22"/>
          <w:lang w:val="it-IT"/>
        </w:rPr>
      </w:pPr>
      <w:r w:rsidRPr="005B2844">
        <w:rPr>
          <w:b/>
          <w:caps/>
          <w:szCs w:val="22"/>
          <w:lang w:val="it-IT"/>
        </w:rPr>
        <w:t>4.</w:t>
      </w:r>
      <w:r w:rsidRPr="005B2844">
        <w:rPr>
          <w:b/>
          <w:caps/>
          <w:szCs w:val="22"/>
          <w:lang w:val="it-IT"/>
        </w:rPr>
        <w:tab/>
        <w:t>FORMA FARMACEUTICA E CONTENUTO</w:t>
      </w:r>
    </w:p>
    <w:p w:rsidR="00A70FCB" w:rsidRPr="005B2844" w:rsidRDefault="00A70FCB" w:rsidP="0072602F">
      <w:pPr>
        <w:rPr>
          <w:szCs w:val="22"/>
        </w:rPr>
      </w:pPr>
    </w:p>
    <w:p w:rsidR="00A70FCB" w:rsidRPr="005B2844" w:rsidRDefault="00A70FCB" w:rsidP="0072602F">
      <w:pPr>
        <w:pStyle w:val="BodyText20"/>
        <w:spacing w:line="240" w:lineRule="auto"/>
        <w:jc w:val="left"/>
        <w:rPr>
          <w:szCs w:val="22"/>
        </w:rPr>
      </w:pPr>
      <w:r w:rsidRPr="005B2844">
        <w:rPr>
          <w:szCs w:val="22"/>
        </w:rPr>
        <w:t>14 compresse</w:t>
      </w:r>
    </w:p>
    <w:p w:rsidR="00A95A74" w:rsidRPr="005B2844" w:rsidRDefault="00A95A74" w:rsidP="0072602F">
      <w:pPr>
        <w:rPr>
          <w:szCs w:val="22"/>
          <w:shd w:val="clear" w:color="auto" w:fill="B3B3B3"/>
        </w:rPr>
      </w:pPr>
      <w:r w:rsidRPr="005B2844">
        <w:rPr>
          <w:szCs w:val="22"/>
          <w:shd w:val="clear" w:color="auto" w:fill="B3B3B3"/>
        </w:rPr>
        <w:t>28 compresse</w:t>
      </w:r>
    </w:p>
    <w:p w:rsidR="00A95A74" w:rsidRPr="005B2844" w:rsidRDefault="00A95A74" w:rsidP="0072602F">
      <w:pPr>
        <w:rPr>
          <w:szCs w:val="22"/>
          <w:shd w:val="clear" w:color="auto" w:fill="B3B3B3"/>
        </w:rPr>
      </w:pPr>
      <w:r w:rsidRPr="005B2844">
        <w:rPr>
          <w:szCs w:val="22"/>
          <w:shd w:val="clear" w:color="auto" w:fill="B3B3B3"/>
        </w:rPr>
        <w:t xml:space="preserve">30 </w:t>
      </w:r>
      <w:r w:rsidR="00AA0919" w:rsidRPr="005B2844">
        <w:rPr>
          <w:szCs w:val="22"/>
          <w:shd w:val="clear" w:color="auto" w:fill="B3B3B3"/>
        </w:rPr>
        <w:t xml:space="preserve">x 1 </w:t>
      </w:r>
      <w:r w:rsidRPr="005B2844">
        <w:rPr>
          <w:szCs w:val="22"/>
          <w:shd w:val="clear" w:color="auto" w:fill="B3B3B3"/>
        </w:rPr>
        <w:t>compresse</w:t>
      </w:r>
    </w:p>
    <w:p w:rsidR="00A95A74" w:rsidRPr="005B2844" w:rsidRDefault="00A95A74" w:rsidP="0072602F">
      <w:pPr>
        <w:rPr>
          <w:szCs w:val="22"/>
          <w:shd w:val="clear" w:color="auto" w:fill="B3B3B3"/>
        </w:rPr>
      </w:pPr>
      <w:r w:rsidRPr="005B2844">
        <w:rPr>
          <w:szCs w:val="22"/>
          <w:shd w:val="clear" w:color="auto" w:fill="B3B3B3"/>
        </w:rPr>
        <w:t>56 compresse</w:t>
      </w:r>
    </w:p>
    <w:p w:rsidR="00A95A74" w:rsidRPr="005B2844" w:rsidRDefault="00A95A74" w:rsidP="0072602F">
      <w:pPr>
        <w:rPr>
          <w:szCs w:val="22"/>
          <w:shd w:val="clear" w:color="auto" w:fill="B3B3B3"/>
        </w:rPr>
      </w:pPr>
      <w:r w:rsidRPr="005B2844">
        <w:rPr>
          <w:szCs w:val="22"/>
          <w:shd w:val="clear" w:color="auto" w:fill="B3B3B3"/>
        </w:rPr>
        <w:t>84 compresse</w:t>
      </w:r>
    </w:p>
    <w:p w:rsidR="00A95A74" w:rsidRPr="005B2844" w:rsidRDefault="00A95A74" w:rsidP="0072602F">
      <w:pPr>
        <w:rPr>
          <w:szCs w:val="22"/>
          <w:shd w:val="clear" w:color="auto" w:fill="B3B3B3"/>
        </w:rPr>
      </w:pPr>
      <w:r w:rsidRPr="005B2844">
        <w:rPr>
          <w:szCs w:val="22"/>
          <w:shd w:val="clear" w:color="auto" w:fill="B3B3B3"/>
        </w:rPr>
        <w:t xml:space="preserve">90 </w:t>
      </w:r>
      <w:r w:rsidR="00AA0919" w:rsidRPr="005B2844">
        <w:rPr>
          <w:szCs w:val="22"/>
          <w:shd w:val="clear" w:color="auto" w:fill="B3B3B3"/>
        </w:rPr>
        <w:t xml:space="preserve">x 1 </w:t>
      </w:r>
      <w:r w:rsidRPr="005B2844">
        <w:rPr>
          <w:szCs w:val="22"/>
          <w:shd w:val="clear" w:color="auto" w:fill="B3B3B3"/>
        </w:rPr>
        <w:t>compresse</w:t>
      </w:r>
    </w:p>
    <w:p w:rsidR="00A95A74" w:rsidRPr="005B2844" w:rsidRDefault="00A95A74" w:rsidP="0072602F">
      <w:pPr>
        <w:rPr>
          <w:szCs w:val="22"/>
          <w:shd w:val="clear" w:color="auto" w:fill="B3B3B3"/>
        </w:rPr>
      </w:pPr>
      <w:r w:rsidRPr="005B2844">
        <w:rPr>
          <w:szCs w:val="22"/>
          <w:shd w:val="clear" w:color="auto" w:fill="B3B3B3"/>
        </w:rPr>
        <w:t>98 compresse</w:t>
      </w:r>
    </w:p>
    <w:p w:rsidR="00A70FCB" w:rsidRPr="005B2844" w:rsidRDefault="00A95A74" w:rsidP="0072602F">
      <w:pPr>
        <w:rPr>
          <w:szCs w:val="22"/>
        </w:rPr>
      </w:pPr>
      <w:r w:rsidRPr="005B2844">
        <w:rPr>
          <w:szCs w:val="22"/>
          <w:shd w:val="clear" w:color="auto" w:fill="B3B3B3"/>
        </w:rPr>
        <w:t>28 x 1 compresse</w:t>
      </w:r>
    </w:p>
    <w:p w:rsidR="003E53B9" w:rsidRPr="005B2844" w:rsidRDefault="003E53B9" w:rsidP="0072602F">
      <w:pPr>
        <w:rPr>
          <w:szCs w:val="22"/>
        </w:rPr>
      </w:pPr>
    </w:p>
    <w:p w:rsidR="00A70FCB" w:rsidRPr="005B2844" w:rsidRDefault="00A70FCB" w:rsidP="0072602F">
      <w:pPr>
        <w:rPr>
          <w:szCs w:val="22"/>
        </w:rPr>
      </w:pPr>
    </w:p>
    <w:p w:rsidR="00A70FCB" w:rsidRPr="005B2844" w:rsidRDefault="00A70FCB" w:rsidP="0072602F">
      <w:pPr>
        <w:pStyle w:val="BodyText"/>
        <w:rPr>
          <w:i/>
          <w:szCs w:val="22"/>
          <w:lang w:val="it-IT"/>
        </w:rPr>
      </w:pPr>
      <w:r w:rsidRPr="005B2844">
        <w:rPr>
          <w:b/>
          <w:caps/>
          <w:szCs w:val="22"/>
          <w:lang w:val="it-IT"/>
        </w:rPr>
        <w:t>5.</w:t>
      </w:r>
      <w:r w:rsidRPr="005B2844">
        <w:rPr>
          <w:b/>
          <w:caps/>
          <w:szCs w:val="22"/>
          <w:lang w:val="it-IT"/>
        </w:rPr>
        <w:tab/>
        <w:t>MODO E VIA(E) DI SOMMINISTRAZIONE</w:t>
      </w:r>
    </w:p>
    <w:p w:rsidR="00A70FCB" w:rsidRPr="005B2844" w:rsidRDefault="00A70FCB" w:rsidP="0072602F">
      <w:pPr>
        <w:rPr>
          <w:szCs w:val="22"/>
        </w:rPr>
      </w:pPr>
    </w:p>
    <w:p w:rsidR="00A70FCB" w:rsidRPr="005B2844" w:rsidRDefault="00A70FCB" w:rsidP="0072602F">
      <w:pPr>
        <w:tabs>
          <w:tab w:val="left" w:pos="567"/>
        </w:tabs>
        <w:rPr>
          <w:szCs w:val="22"/>
        </w:rPr>
      </w:pPr>
      <w:r w:rsidRPr="005B2844">
        <w:rPr>
          <w:szCs w:val="22"/>
        </w:rPr>
        <w:t>Uso orale</w:t>
      </w:r>
    </w:p>
    <w:p w:rsidR="00A70FCB" w:rsidRPr="005B2844" w:rsidRDefault="005F5D66" w:rsidP="0072602F">
      <w:pPr>
        <w:tabs>
          <w:tab w:val="left" w:pos="567"/>
        </w:tabs>
        <w:rPr>
          <w:noProof/>
          <w:szCs w:val="22"/>
        </w:rPr>
      </w:pPr>
      <w:r w:rsidRPr="005B2844">
        <w:rPr>
          <w:noProof/>
          <w:szCs w:val="22"/>
        </w:rPr>
        <w:t>Leggere il foglio illustrativo prima dell’uso.</w:t>
      </w:r>
    </w:p>
    <w:p w:rsidR="005F5D66" w:rsidRPr="005B2844" w:rsidRDefault="005F5D66" w:rsidP="0072602F">
      <w:pPr>
        <w:tabs>
          <w:tab w:val="left" w:pos="567"/>
        </w:tabs>
        <w:rPr>
          <w:szCs w:val="22"/>
        </w:rPr>
      </w:pPr>
    </w:p>
    <w:p w:rsidR="00A70FCB" w:rsidRPr="005B2844" w:rsidRDefault="00A70FCB" w:rsidP="0072602F">
      <w:pPr>
        <w:tabs>
          <w:tab w:val="left" w:pos="567"/>
        </w:tabs>
        <w:rPr>
          <w:szCs w:val="22"/>
        </w:rPr>
      </w:pPr>
    </w:p>
    <w:p w:rsidR="00A70FCB" w:rsidRPr="005B2844" w:rsidRDefault="00A70FCB" w:rsidP="0072602F">
      <w:pPr>
        <w:pStyle w:val="BodyText"/>
        <w:ind w:left="567" w:hanging="567"/>
        <w:rPr>
          <w:i/>
          <w:szCs w:val="22"/>
          <w:lang w:val="it-IT"/>
        </w:rPr>
      </w:pPr>
      <w:r w:rsidRPr="005B2844">
        <w:rPr>
          <w:b/>
          <w:caps/>
          <w:szCs w:val="22"/>
          <w:lang w:val="it-IT"/>
        </w:rPr>
        <w:t>6.</w:t>
      </w:r>
      <w:r w:rsidRPr="005B2844">
        <w:rPr>
          <w:b/>
          <w:caps/>
          <w:szCs w:val="22"/>
          <w:lang w:val="it-IT"/>
        </w:rPr>
        <w:tab/>
        <w:t xml:space="preserve">AVVERTENZA </w:t>
      </w:r>
      <w:r w:rsidR="005A1653" w:rsidRPr="005B2844">
        <w:rPr>
          <w:b/>
          <w:caps/>
          <w:szCs w:val="22"/>
          <w:lang w:val="it-IT"/>
        </w:rPr>
        <w:t>PARTICOLARE</w:t>
      </w:r>
      <w:r w:rsidRPr="005B2844">
        <w:rPr>
          <w:b/>
          <w:caps/>
          <w:szCs w:val="22"/>
          <w:lang w:val="it-IT"/>
        </w:rPr>
        <w:t xml:space="preserve"> CHE PRESCRIVA DI TENERE IL MEDICINALE FUORI </w:t>
      </w:r>
      <w:r w:rsidR="00E62921" w:rsidRPr="005B2844">
        <w:rPr>
          <w:b/>
          <w:caps/>
          <w:szCs w:val="22"/>
          <w:lang w:val="it-IT"/>
        </w:rPr>
        <w:t>DALLA</w:t>
      </w:r>
      <w:r w:rsidRPr="005B2844">
        <w:rPr>
          <w:b/>
          <w:caps/>
          <w:szCs w:val="22"/>
          <w:lang w:val="it-IT"/>
        </w:rPr>
        <w:t xml:space="preserve"> </w:t>
      </w:r>
      <w:r w:rsidR="00513DDD" w:rsidRPr="005B2844">
        <w:rPr>
          <w:b/>
          <w:caps/>
          <w:szCs w:val="22"/>
          <w:lang w:val="it-IT"/>
        </w:rPr>
        <w:t>VISTA</w:t>
      </w:r>
      <w:r w:rsidRPr="005B2844">
        <w:rPr>
          <w:b/>
          <w:caps/>
          <w:szCs w:val="22"/>
          <w:lang w:val="it-IT"/>
        </w:rPr>
        <w:t xml:space="preserve"> E </w:t>
      </w:r>
      <w:r w:rsidR="00E62921" w:rsidRPr="005B2844">
        <w:rPr>
          <w:b/>
          <w:caps/>
          <w:szCs w:val="22"/>
          <w:lang w:val="it-IT"/>
        </w:rPr>
        <w:t>DALLA</w:t>
      </w:r>
      <w:r w:rsidRPr="005B2844">
        <w:rPr>
          <w:b/>
          <w:caps/>
          <w:szCs w:val="22"/>
          <w:lang w:val="it-IT"/>
        </w:rPr>
        <w:t xml:space="preserve"> </w:t>
      </w:r>
      <w:r w:rsidR="00513DDD" w:rsidRPr="005B2844">
        <w:rPr>
          <w:b/>
          <w:caps/>
          <w:szCs w:val="22"/>
          <w:lang w:val="it-IT"/>
        </w:rPr>
        <w:t>PORTATA</w:t>
      </w:r>
      <w:r w:rsidRPr="005B2844">
        <w:rPr>
          <w:b/>
          <w:caps/>
          <w:szCs w:val="22"/>
          <w:lang w:val="it-IT"/>
        </w:rPr>
        <w:t xml:space="preserve"> DEI BAMBINI</w:t>
      </w:r>
    </w:p>
    <w:p w:rsidR="0043456D" w:rsidRPr="005B2844" w:rsidRDefault="0043456D" w:rsidP="0072602F">
      <w:pPr>
        <w:pStyle w:val="BodyText20"/>
        <w:spacing w:line="240" w:lineRule="auto"/>
        <w:jc w:val="left"/>
        <w:rPr>
          <w:szCs w:val="22"/>
        </w:rPr>
      </w:pPr>
    </w:p>
    <w:p w:rsidR="00A70FCB" w:rsidRPr="005B2844" w:rsidRDefault="00A70FCB" w:rsidP="0072602F">
      <w:pPr>
        <w:pStyle w:val="BodyText20"/>
        <w:spacing w:line="240" w:lineRule="auto"/>
        <w:jc w:val="left"/>
        <w:rPr>
          <w:szCs w:val="22"/>
        </w:rPr>
      </w:pPr>
      <w:r w:rsidRPr="005B2844">
        <w:rPr>
          <w:szCs w:val="22"/>
        </w:rPr>
        <w:t xml:space="preserve">Tenere fuori </w:t>
      </w:r>
      <w:r w:rsidR="00E62921" w:rsidRPr="005B2844">
        <w:rPr>
          <w:szCs w:val="22"/>
        </w:rPr>
        <w:t>dalla</w:t>
      </w:r>
      <w:r w:rsidRPr="005B2844">
        <w:rPr>
          <w:szCs w:val="22"/>
        </w:rPr>
        <w:t xml:space="preserve"> </w:t>
      </w:r>
      <w:r w:rsidR="00513DDD" w:rsidRPr="005B2844">
        <w:rPr>
          <w:szCs w:val="22"/>
        </w:rPr>
        <w:t>vista</w:t>
      </w:r>
      <w:r w:rsidRPr="005B2844">
        <w:rPr>
          <w:szCs w:val="22"/>
        </w:rPr>
        <w:t xml:space="preserve"> e </w:t>
      </w:r>
      <w:r w:rsidR="00E62921" w:rsidRPr="005B2844">
        <w:rPr>
          <w:szCs w:val="22"/>
        </w:rPr>
        <w:t>dalla</w:t>
      </w:r>
      <w:r w:rsidRPr="005B2844">
        <w:rPr>
          <w:szCs w:val="22"/>
        </w:rPr>
        <w:t xml:space="preserve"> </w:t>
      </w:r>
      <w:r w:rsidR="00513DDD" w:rsidRPr="005B2844">
        <w:rPr>
          <w:szCs w:val="22"/>
        </w:rPr>
        <w:t>portata</w:t>
      </w:r>
      <w:r w:rsidRPr="005B2844">
        <w:rPr>
          <w:szCs w:val="22"/>
        </w:rPr>
        <w:t xml:space="preserve"> dei bambini.</w:t>
      </w:r>
    </w:p>
    <w:p w:rsidR="00A70FCB" w:rsidRPr="005B2844" w:rsidRDefault="00A70FCB" w:rsidP="0072602F">
      <w:pPr>
        <w:rPr>
          <w:szCs w:val="22"/>
        </w:rPr>
      </w:pPr>
    </w:p>
    <w:p w:rsidR="002D3EFF" w:rsidRPr="005B2844" w:rsidRDefault="002D3EFF" w:rsidP="0072602F">
      <w:pPr>
        <w:rPr>
          <w:szCs w:val="22"/>
        </w:rPr>
      </w:pPr>
    </w:p>
    <w:p w:rsidR="00A70FCB" w:rsidRPr="005B2844" w:rsidRDefault="00A70FCB" w:rsidP="0072602F">
      <w:pPr>
        <w:pStyle w:val="BodyText"/>
        <w:rPr>
          <w:i/>
          <w:szCs w:val="22"/>
          <w:lang w:val="it-IT"/>
        </w:rPr>
      </w:pPr>
      <w:r w:rsidRPr="005B2844">
        <w:rPr>
          <w:b/>
          <w:caps/>
          <w:szCs w:val="22"/>
          <w:lang w:val="it-IT"/>
        </w:rPr>
        <w:t>7.</w:t>
      </w:r>
      <w:r w:rsidRPr="005B2844">
        <w:rPr>
          <w:b/>
          <w:caps/>
          <w:szCs w:val="22"/>
          <w:lang w:val="it-IT"/>
        </w:rPr>
        <w:tab/>
        <w:t xml:space="preserve">ALTRA(E) AVVERTENZA(E) </w:t>
      </w:r>
      <w:r w:rsidR="005A1653" w:rsidRPr="005B2844">
        <w:rPr>
          <w:b/>
          <w:caps/>
          <w:szCs w:val="22"/>
          <w:lang w:val="it-IT"/>
        </w:rPr>
        <w:t>PARTICOLARE</w:t>
      </w:r>
      <w:r w:rsidRPr="005B2844">
        <w:rPr>
          <w:b/>
          <w:caps/>
          <w:szCs w:val="22"/>
          <w:lang w:val="it-IT"/>
        </w:rPr>
        <w:t xml:space="preserve">(I), </w:t>
      </w:r>
      <w:r w:rsidR="005A1653" w:rsidRPr="005B2844">
        <w:rPr>
          <w:b/>
          <w:caps/>
          <w:szCs w:val="22"/>
          <w:lang w:val="it-IT"/>
        </w:rPr>
        <w:t>SE</w:t>
      </w:r>
      <w:r w:rsidRPr="005B2844">
        <w:rPr>
          <w:b/>
          <w:caps/>
          <w:szCs w:val="22"/>
          <w:lang w:val="it-IT"/>
        </w:rPr>
        <w:t xml:space="preserve"> NECESSARIO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0709BC">
      <w:pPr>
        <w:pStyle w:val="BodyText"/>
        <w:keepNext/>
        <w:rPr>
          <w:szCs w:val="22"/>
          <w:lang w:val="it-IT"/>
        </w:rPr>
      </w:pPr>
      <w:r w:rsidRPr="005B2844">
        <w:rPr>
          <w:b/>
          <w:caps/>
          <w:szCs w:val="22"/>
          <w:lang w:val="it-IT"/>
        </w:rPr>
        <w:t>8.</w:t>
      </w:r>
      <w:r w:rsidRPr="005B2844">
        <w:rPr>
          <w:b/>
          <w:caps/>
          <w:szCs w:val="22"/>
          <w:lang w:val="it-IT"/>
        </w:rPr>
        <w:tab/>
        <w:t>DATA DI SCADENZA</w:t>
      </w:r>
    </w:p>
    <w:p w:rsidR="00A70FCB" w:rsidRPr="005B2844" w:rsidRDefault="00A70FCB" w:rsidP="000709BC">
      <w:pPr>
        <w:keepNext/>
        <w:rPr>
          <w:szCs w:val="22"/>
        </w:rPr>
      </w:pPr>
    </w:p>
    <w:p w:rsidR="00A70FCB" w:rsidRPr="005B2844" w:rsidRDefault="00A70FCB" w:rsidP="0072602F">
      <w:pPr>
        <w:rPr>
          <w:szCs w:val="22"/>
        </w:rPr>
      </w:pPr>
      <w:r w:rsidRPr="005B2844">
        <w:rPr>
          <w:szCs w:val="22"/>
        </w:rPr>
        <w:t>Scad.</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0709BC">
      <w:pPr>
        <w:pStyle w:val="BodyText"/>
        <w:keepNext/>
        <w:rPr>
          <w:szCs w:val="22"/>
          <w:lang w:val="it-IT"/>
        </w:rPr>
      </w:pPr>
      <w:r w:rsidRPr="005B2844">
        <w:rPr>
          <w:b/>
          <w:caps/>
          <w:szCs w:val="22"/>
          <w:lang w:val="it-IT"/>
        </w:rPr>
        <w:t>9.</w:t>
      </w:r>
      <w:r w:rsidRPr="005B2844">
        <w:rPr>
          <w:b/>
          <w:caps/>
          <w:szCs w:val="22"/>
          <w:lang w:val="it-IT"/>
        </w:rPr>
        <w:tab/>
        <w:t>PRECAUZIONI PARTICOLARI PER LA CONSERVAZIONE</w:t>
      </w:r>
    </w:p>
    <w:p w:rsidR="00A70FCB" w:rsidRPr="005B2844" w:rsidRDefault="00A70FCB" w:rsidP="000709BC">
      <w:pPr>
        <w:keepNext/>
        <w:rPr>
          <w:szCs w:val="22"/>
        </w:rPr>
      </w:pPr>
    </w:p>
    <w:p w:rsidR="00FD6612" w:rsidRPr="005B2844" w:rsidRDefault="00FD6612" w:rsidP="0072602F">
      <w:pPr>
        <w:rPr>
          <w:b/>
          <w:szCs w:val="22"/>
        </w:rPr>
      </w:pPr>
      <w:r w:rsidRPr="005B2844">
        <w:rPr>
          <w:b/>
          <w:szCs w:val="22"/>
        </w:rPr>
        <w:t xml:space="preserve">Questo medicinale non richiede alcuna </w:t>
      </w:r>
      <w:r w:rsidR="00513DDD" w:rsidRPr="005B2844">
        <w:rPr>
          <w:b/>
          <w:szCs w:val="22"/>
        </w:rPr>
        <w:t>temperatura</w:t>
      </w:r>
      <w:r w:rsidRPr="005B2844">
        <w:rPr>
          <w:b/>
          <w:szCs w:val="22"/>
        </w:rPr>
        <w:t xml:space="preserve"> particolare </w:t>
      </w:r>
      <w:r w:rsidR="001B3E4B" w:rsidRPr="005B2844">
        <w:rPr>
          <w:b/>
          <w:szCs w:val="22"/>
        </w:rPr>
        <w:t>di</w:t>
      </w:r>
      <w:r w:rsidRPr="005B2844">
        <w:rPr>
          <w:b/>
          <w:szCs w:val="22"/>
        </w:rPr>
        <w:t xml:space="preserve"> conservazione.</w:t>
      </w:r>
    </w:p>
    <w:p w:rsidR="00A70FCB" w:rsidRPr="005B2844" w:rsidRDefault="00A70FCB" w:rsidP="0072602F">
      <w:pPr>
        <w:rPr>
          <w:b/>
          <w:szCs w:val="22"/>
        </w:rPr>
      </w:pPr>
      <w:r w:rsidRPr="005B2844">
        <w:rPr>
          <w:b/>
          <w:szCs w:val="22"/>
        </w:rPr>
        <w:t xml:space="preserve">Conservare nella confezione originale per </w:t>
      </w:r>
      <w:r w:rsidR="00FD6612" w:rsidRPr="005B2844">
        <w:rPr>
          <w:b/>
          <w:szCs w:val="22"/>
        </w:rPr>
        <w:t>proteggere il medicinale</w:t>
      </w:r>
      <w:r w:rsidRPr="005B2844">
        <w:rPr>
          <w:b/>
          <w:szCs w:val="22"/>
        </w:rPr>
        <w:t xml:space="preserve"> dall’umidità</w:t>
      </w:r>
      <w:r w:rsidR="00F04D0C" w:rsidRPr="005B2844">
        <w:rPr>
          <w:b/>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ind w:left="567" w:hanging="567"/>
        <w:rPr>
          <w:b/>
          <w:caps/>
          <w:szCs w:val="22"/>
          <w:lang w:val="it-IT"/>
        </w:rPr>
      </w:pPr>
      <w:r w:rsidRPr="005B2844">
        <w:rPr>
          <w:b/>
          <w:caps/>
          <w:szCs w:val="22"/>
          <w:lang w:val="it-IT"/>
        </w:rPr>
        <w:t>10.</w:t>
      </w:r>
      <w:r w:rsidRPr="005B2844">
        <w:rPr>
          <w:b/>
          <w:caps/>
          <w:szCs w:val="22"/>
          <w:lang w:val="it-IT"/>
        </w:rPr>
        <w:tab/>
        <w:t>PRECAUZIONI PARTICOLARI PER LO SMALTIMENTO DEL MEDICINALE NON UTILIZZATO O DEI RIFIUTI DERIVATI DA TALE MEDICINALE</w:t>
      </w:r>
      <w:r w:rsidR="00E24981" w:rsidRPr="005B2844">
        <w:rPr>
          <w:b/>
          <w:caps/>
          <w:szCs w:val="22"/>
          <w:lang w:val="it-IT"/>
        </w:rPr>
        <w:t>, SE NECESSARIO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ind w:left="567" w:hanging="567"/>
        <w:rPr>
          <w:b/>
          <w:caps/>
          <w:szCs w:val="22"/>
          <w:lang w:val="it-IT"/>
        </w:rPr>
      </w:pPr>
      <w:r w:rsidRPr="005B2844">
        <w:rPr>
          <w:b/>
          <w:caps/>
          <w:szCs w:val="22"/>
          <w:lang w:val="it-IT"/>
        </w:rPr>
        <w:t>11.</w:t>
      </w:r>
      <w:r w:rsidRPr="005B2844">
        <w:rPr>
          <w:b/>
          <w:caps/>
          <w:szCs w:val="22"/>
          <w:lang w:val="it-IT"/>
        </w:rPr>
        <w:tab/>
        <w:t>NOME E INDIRIZZO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International GmbH</w:t>
      </w:r>
    </w:p>
    <w:p w:rsidR="00A70FCB" w:rsidRPr="005B2844" w:rsidRDefault="00A70FCB" w:rsidP="0072602F">
      <w:pPr>
        <w:rPr>
          <w:szCs w:val="22"/>
        </w:rPr>
      </w:pPr>
      <w:proofErr w:type="spellStart"/>
      <w:r w:rsidRPr="005B2844">
        <w:rPr>
          <w:szCs w:val="22"/>
        </w:rPr>
        <w:t>Binger</w:t>
      </w:r>
      <w:proofErr w:type="spellEnd"/>
      <w:r w:rsidRPr="005B2844">
        <w:rPr>
          <w:szCs w:val="22"/>
        </w:rPr>
        <w:t xml:space="preserve"> </w:t>
      </w:r>
      <w:proofErr w:type="spellStart"/>
      <w:r w:rsidRPr="005B2844">
        <w:rPr>
          <w:szCs w:val="22"/>
        </w:rPr>
        <w:t>Str</w:t>
      </w:r>
      <w:proofErr w:type="spellEnd"/>
      <w:r w:rsidRPr="005B2844">
        <w:rPr>
          <w:szCs w:val="22"/>
        </w:rPr>
        <w:t>. 173</w:t>
      </w:r>
    </w:p>
    <w:p w:rsidR="00A70FCB" w:rsidRPr="005B2844" w:rsidRDefault="00A70FCB" w:rsidP="0072602F">
      <w:pPr>
        <w:rPr>
          <w:szCs w:val="22"/>
        </w:rPr>
      </w:pPr>
      <w:r w:rsidRPr="005B2844">
        <w:rPr>
          <w:szCs w:val="22"/>
        </w:rPr>
        <w:t>D</w:t>
      </w:r>
      <w:r w:rsidR="00C70C1D" w:rsidRPr="005B2844">
        <w:rPr>
          <w:szCs w:val="22"/>
        </w:rPr>
        <w:t>-</w:t>
      </w:r>
      <w:r w:rsidRPr="005B2844">
        <w:rPr>
          <w:szCs w:val="22"/>
        </w:rPr>
        <w:t xml:space="preserve">55216 </w:t>
      </w:r>
      <w:proofErr w:type="spellStart"/>
      <w:r w:rsidRPr="005B2844">
        <w:rPr>
          <w:szCs w:val="22"/>
        </w:rPr>
        <w:t>Ingelheim</w:t>
      </w:r>
      <w:proofErr w:type="spellEnd"/>
      <w:r w:rsidRPr="005B2844">
        <w:rPr>
          <w:szCs w:val="22"/>
        </w:rPr>
        <w:t xml:space="preserve"> </w:t>
      </w:r>
      <w:proofErr w:type="spellStart"/>
      <w:r w:rsidRPr="005B2844">
        <w:rPr>
          <w:szCs w:val="22"/>
        </w:rPr>
        <w:t>am</w:t>
      </w:r>
      <w:proofErr w:type="spellEnd"/>
      <w:r w:rsidRPr="005B2844">
        <w:rPr>
          <w:szCs w:val="22"/>
        </w:rPr>
        <w:t xml:space="preserve"> </w:t>
      </w:r>
      <w:proofErr w:type="spellStart"/>
      <w:r w:rsidRPr="005B2844">
        <w:rPr>
          <w:szCs w:val="22"/>
        </w:rPr>
        <w:t>Rhein</w:t>
      </w:r>
      <w:proofErr w:type="spellEnd"/>
    </w:p>
    <w:p w:rsidR="00A70FCB" w:rsidRPr="005B2844" w:rsidRDefault="00A70FCB" w:rsidP="0072602F">
      <w:pPr>
        <w:rPr>
          <w:szCs w:val="22"/>
        </w:rPr>
      </w:pPr>
      <w:r w:rsidRPr="005B2844">
        <w:rPr>
          <w:szCs w:val="22"/>
        </w:rPr>
        <w:t>Germania</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ind w:left="567" w:hanging="567"/>
        <w:rPr>
          <w:szCs w:val="22"/>
          <w:lang w:val="it-IT"/>
        </w:rPr>
      </w:pPr>
      <w:r w:rsidRPr="005B2844">
        <w:rPr>
          <w:b/>
          <w:caps/>
          <w:szCs w:val="22"/>
          <w:lang w:val="it-IT"/>
        </w:rPr>
        <w:t>12.</w:t>
      </w:r>
      <w:r w:rsidRPr="005B2844">
        <w:rPr>
          <w:b/>
          <w:caps/>
          <w:szCs w:val="22"/>
          <w:lang w:val="it-IT"/>
        </w:rPr>
        <w:tab/>
        <w:t>NUMERO(I)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EU/1/02/213/006</w:t>
      </w:r>
      <w:r w:rsidR="00E4583E" w:rsidRPr="005B2844">
        <w:rPr>
          <w:szCs w:val="22"/>
        </w:rPr>
        <w:tab/>
      </w:r>
      <w:r w:rsidR="00E4583E" w:rsidRPr="005B2844">
        <w:rPr>
          <w:szCs w:val="22"/>
        </w:rPr>
        <w:tab/>
        <w:t>14 compresse</w:t>
      </w:r>
    </w:p>
    <w:p w:rsidR="00284B52" w:rsidRPr="005B2844" w:rsidRDefault="00284B52" w:rsidP="0072602F">
      <w:pPr>
        <w:rPr>
          <w:szCs w:val="22"/>
          <w:shd w:val="clear" w:color="auto" w:fill="B3B3B3"/>
        </w:rPr>
      </w:pPr>
      <w:r w:rsidRPr="005B2844">
        <w:rPr>
          <w:szCs w:val="22"/>
          <w:shd w:val="clear" w:color="auto" w:fill="B3B3B3"/>
        </w:rPr>
        <w:t>EU/1/02/213/007</w:t>
      </w:r>
      <w:r w:rsidRPr="005B2844">
        <w:rPr>
          <w:szCs w:val="22"/>
          <w:shd w:val="clear" w:color="auto" w:fill="B3B3B3"/>
        </w:rPr>
        <w:tab/>
      </w:r>
      <w:r w:rsidRPr="005B2844">
        <w:rPr>
          <w:szCs w:val="22"/>
          <w:shd w:val="clear" w:color="auto" w:fill="B3B3B3"/>
        </w:rPr>
        <w:tab/>
        <w:t>28 compresse</w:t>
      </w:r>
    </w:p>
    <w:p w:rsidR="00284B52" w:rsidRPr="005B2844" w:rsidRDefault="00284B52" w:rsidP="0072602F">
      <w:pPr>
        <w:rPr>
          <w:szCs w:val="22"/>
          <w:shd w:val="clear" w:color="auto" w:fill="B3B3B3"/>
        </w:rPr>
      </w:pPr>
      <w:r w:rsidRPr="005B2844">
        <w:rPr>
          <w:szCs w:val="22"/>
          <w:shd w:val="clear" w:color="auto" w:fill="B3B3B3"/>
        </w:rPr>
        <w:t>EU/1/02/213/008</w:t>
      </w:r>
      <w:r w:rsidRPr="005B2844">
        <w:rPr>
          <w:szCs w:val="22"/>
          <w:shd w:val="clear" w:color="auto" w:fill="B3B3B3"/>
        </w:rPr>
        <w:tab/>
      </w:r>
      <w:r w:rsidRPr="005B2844">
        <w:rPr>
          <w:szCs w:val="22"/>
          <w:shd w:val="clear" w:color="auto" w:fill="B3B3B3"/>
        </w:rPr>
        <w:tab/>
        <w:t>28 x 1 compress</w:t>
      </w:r>
      <w:r w:rsidR="00ED6F7A" w:rsidRPr="005B2844">
        <w:rPr>
          <w:szCs w:val="22"/>
          <w:shd w:val="clear" w:color="auto" w:fill="B3B3B3"/>
        </w:rPr>
        <w:t>e</w:t>
      </w:r>
    </w:p>
    <w:p w:rsidR="00284B52" w:rsidRPr="005B2844" w:rsidRDefault="00284B52" w:rsidP="0072602F">
      <w:pPr>
        <w:rPr>
          <w:szCs w:val="22"/>
          <w:shd w:val="clear" w:color="auto" w:fill="B3B3B3"/>
        </w:rPr>
      </w:pPr>
      <w:r w:rsidRPr="005B2844">
        <w:rPr>
          <w:szCs w:val="22"/>
          <w:shd w:val="clear" w:color="auto" w:fill="B3B3B3"/>
        </w:rPr>
        <w:t>EU/1/02/213/01</w:t>
      </w:r>
      <w:r w:rsidR="00444FE4" w:rsidRPr="005B2844">
        <w:rPr>
          <w:szCs w:val="22"/>
          <w:shd w:val="clear" w:color="auto" w:fill="B3B3B3"/>
        </w:rPr>
        <w:t>5</w:t>
      </w:r>
      <w:r w:rsidRPr="005B2844">
        <w:rPr>
          <w:szCs w:val="22"/>
          <w:shd w:val="clear" w:color="auto" w:fill="B3B3B3"/>
        </w:rPr>
        <w:tab/>
      </w:r>
      <w:r w:rsidRPr="005B2844">
        <w:rPr>
          <w:szCs w:val="22"/>
          <w:shd w:val="clear" w:color="auto" w:fill="B3B3B3"/>
        </w:rPr>
        <w:tab/>
        <w:t xml:space="preserve">30 </w:t>
      </w:r>
      <w:r w:rsidR="00AA0919" w:rsidRPr="005B2844">
        <w:rPr>
          <w:szCs w:val="22"/>
          <w:shd w:val="clear" w:color="auto" w:fill="B3B3B3"/>
        </w:rPr>
        <w:t xml:space="preserve">x 1 </w:t>
      </w:r>
      <w:r w:rsidRPr="005B2844">
        <w:rPr>
          <w:szCs w:val="22"/>
          <w:shd w:val="clear" w:color="auto" w:fill="B3B3B3"/>
        </w:rPr>
        <w:t>compresse</w:t>
      </w:r>
    </w:p>
    <w:p w:rsidR="00284B52" w:rsidRPr="005B2844" w:rsidRDefault="00284B52" w:rsidP="0072602F">
      <w:pPr>
        <w:rPr>
          <w:szCs w:val="22"/>
          <w:shd w:val="clear" w:color="auto" w:fill="B3B3B3"/>
        </w:rPr>
      </w:pPr>
      <w:r w:rsidRPr="005B2844">
        <w:rPr>
          <w:szCs w:val="22"/>
          <w:shd w:val="clear" w:color="auto" w:fill="B3B3B3"/>
        </w:rPr>
        <w:t>EU/1/02/213/0</w:t>
      </w:r>
      <w:r w:rsidR="00444FE4" w:rsidRPr="005B2844">
        <w:rPr>
          <w:szCs w:val="22"/>
          <w:shd w:val="clear" w:color="auto" w:fill="B3B3B3"/>
        </w:rPr>
        <w:t>09</w:t>
      </w:r>
      <w:r w:rsidRPr="005B2844">
        <w:rPr>
          <w:szCs w:val="22"/>
          <w:shd w:val="clear" w:color="auto" w:fill="B3B3B3"/>
        </w:rPr>
        <w:tab/>
      </w:r>
      <w:r w:rsidRPr="005B2844">
        <w:rPr>
          <w:szCs w:val="22"/>
          <w:shd w:val="clear" w:color="auto" w:fill="B3B3B3"/>
        </w:rPr>
        <w:tab/>
        <w:t>56 compresse</w:t>
      </w:r>
    </w:p>
    <w:p w:rsidR="00284B52" w:rsidRPr="005B2844" w:rsidRDefault="00284B52" w:rsidP="0072602F">
      <w:pPr>
        <w:rPr>
          <w:szCs w:val="22"/>
          <w:shd w:val="clear" w:color="auto" w:fill="B3B3B3"/>
        </w:rPr>
      </w:pPr>
      <w:r w:rsidRPr="005B2844">
        <w:rPr>
          <w:szCs w:val="22"/>
          <w:shd w:val="clear" w:color="auto" w:fill="B3B3B3"/>
        </w:rPr>
        <w:t>EU/</w:t>
      </w:r>
      <w:r w:rsidR="00444FE4" w:rsidRPr="005B2844">
        <w:rPr>
          <w:szCs w:val="22"/>
          <w:shd w:val="clear" w:color="auto" w:fill="B3B3B3"/>
        </w:rPr>
        <w:t>1/02/213/012</w:t>
      </w:r>
      <w:r w:rsidRPr="005B2844">
        <w:rPr>
          <w:szCs w:val="22"/>
          <w:shd w:val="clear" w:color="auto" w:fill="B3B3B3"/>
        </w:rPr>
        <w:tab/>
      </w:r>
      <w:r w:rsidRPr="005B2844">
        <w:rPr>
          <w:szCs w:val="22"/>
          <w:shd w:val="clear" w:color="auto" w:fill="B3B3B3"/>
        </w:rPr>
        <w:tab/>
        <w:t>84 compresse</w:t>
      </w:r>
    </w:p>
    <w:p w:rsidR="00284B52" w:rsidRPr="005B2844" w:rsidRDefault="00284B52" w:rsidP="0072602F">
      <w:pPr>
        <w:rPr>
          <w:szCs w:val="22"/>
          <w:shd w:val="clear" w:color="auto" w:fill="B3B3B3"/>
        </w:rPr>
      </w:pPr>
      <w:r w:rsidRPr="005B2844">
        <w:rPr>
          <w:szCs w:val="22"/>
          <w:shd w:val="clear" w:color="auto" w:fill="B3B3B3"/>
        </w:rPr>
        <w:t>EU/</w:t>
      </w:r>
      <w:r w:rsidR="00444FE4" w:rsidRPr="005B2844">
        <w:rPr>
          <w:szCs w:val="22"/>
          <w:shd w:val="clear" w:color="auto" w:fill="B3B3B3"/>
        </w:rPr>
        <w:t>1/02/213/016</w:t>
      </w:r>
      <w:r w:rsidRPr="005B2844">
        <w:rPr>
          <w:szCs w:val="22"/>
          <w:shd w:val="clear" w:color="auto" w:fill="B3B3B3"/>
        </w:rPr>
        <w:tab/>
      </w:r>
      <w:r w:rsidRPr="005B2844">
        <w:rPr>
          <w:szCs w:val="22"/>
          <w:shd w:val="clear" w:color="auto" w:fill="B3B3B3"/>
        </w:rPr>
        <w:tab/>
        <w:t xml:space="preserve">90 </w:t>
      </w:r>
      <w:r w:rsidR="00AA0919" w:rsidRPr="005B2844">
        <w:rPr>
          <w:szCs w:val="22"/>
          <w:shd w:val="clear" w:color="auto" w:fill="B3B3B3"/>
        </w:rPr>
        <w:t xml:space="preserve">x 1 </w:t>
      </w:r>
      <w:r w:rsidRPr="005B2844">
        <w:rPr>
          <w:szCs w:val="22"/>
          <w:shd w:val="clear" w:color="auto" w:fill="B3B3B3"/>
        </w:rPr>
        <w:t>compresse</w:t>
      </w:r>
    </w:p>
    <w:p w:rsidR="00A70FCB" w:rsidRPr="005B2844" w:rsidRDefault="00284B52" w:rsidP="0072602F">
      <w:pPr>
        <w:rPr>
          <w:szCs w:val="22"/>
        </w:rPr>
      </w:pPr>
      <w:r w:rsidRPr="005B2844">
        <w:rPr>
          <w:szCs w:val="22"/>
          <w:shd w:val="clear" w:color="auto" w:fill="B3B3B3"/>
        </w:rPr>
        <w:t>EU/</w:t>
      </w:r>
      <w:r w:rsidR="00444FE4" w:rsidRPr="005B2844">
        <w:rPr>
          <w:szCs w:val="22"/>
          <w:shd w:val="clear" w:color="auto" w:fill="B3B3B3"/>
        </w:rPr>
        <w:t>1/02/213/010</w:t>
      </w:r>
      <w:r w:rsidRPr="005B2844">
        <w:rPr>
          <w:szCs w:val="22"/>
          <w:shd w:val="clear" w:color="auto" w:fill="B3B3B3"/>
        </w:rPr>
        <w:tab/>
      </w:r>
      <w:r w:rsidRPr="005B2844">
        <w:rPr>
          <w:szCs w:val="22"/>
          <w:shd w:val="clear" w:color="auto" w:fill="B3B3B3"/>
        </w:rPr>
        <w:tab/>
        <w:t>98 compresse</w:t>
      </w:r>
    </w:p>
    <w:p w:rsidR="00284B52" w:rsidRPr="005B2844" w:rsidRDefault="00284B52" w:rsidP="0072602F">
      <w:pPr>
        <w:rPr>
          <w:szCs w:val="22"/>
        </w:rPr>
      </w:pPr>
    </w:p>
    <w:p w:rsidR="00A70FCB" w:rsidRPr="005B2844" w:rsidRDefault="00A70FCB" w:rsidP="0072602F">
      <w:pPr>
        <w:rPr>
          <w:szCs w:val="22"/>
        </w:rPr>
      </w:pPr>
    </w:p>
    <w:p w:rsidR="00A70FCB" w:rsidRPr="005B2844" w:rsidRDefault="00A70FCB" w:rsidP="0072602F">
      <w:pPr>
        <w:pStyle w:val="BodyText"/>
        <w:rPr>
          <w:szCs w:val="22"/>
          <w:lang w:val="it-IT"/>
        </w:rPr>
      </w:pPr>
      <w:r w:rsidRPr="005B2844">
        <w:rPr>
          <w:b/>
          <w:caps/>
          <w:szCs w:val="22"/>
          <w:lang w:val="it-IT"/>
        </w:rPr>
        <w:t>13.</w:t>
      </w:r>
      <w:r w:rsidRPr="005B2844">
        <w:rPr>
          <w:b/>
          <w:caps/>
          <w:szCs w:val="22"/>
          <w:lang w:val="it-IT"/>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szCs w:val="22"/>
          <w:lang w:val="it-IT"/>
        </w:rPr>
      </w:pPr>
      <w:r w:rsidRPr="005B2844">
        <w:rPr>
          <w:b/>
          <w:caps/>
          <w:szCs w:val="22"/>
          <w:lang w:val="it-IT"/>
        </w:rPr>
        <w:t>14.</w:t>
      </w:r>
      <w:r w:rsidRPr="005B2844">
        <w:rPr>
          <w:b/>
          <w:caps/>
          <w:szCs w:val="22"/>
          <w:lang w:val="it-IT"/>
        </w:rPr>
        <w:tab/>
        <w:t>CONDIZIONE GENERALE DI FORNITURA</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b/>
          <w:caps/>
          <w:szCs w:val="22"/>
          <w:lang w:val="it-IT"/>
        </w:rPr>
      </w:pPr>
      <w:r w:rsidRPr="005B2844">
        <w:rPr>
          <w:b/>
          <w:caps/>
          <w:szCs w:val="22"/>
          <w:lang w:val="it-IT"/>
        </w:rPr>
        <w:t>15.</w:t>
      </w:r>
      <w:r w:rsidRPr="005B2844">
        <w:rPr>
          <w:b/>
          <w:caps/>
          <w:szCs w:val="22"/>
          <w:lang w:val="it-IT"/>
        </w:rPr>
        <w:tab/>
        <w:t>ISTRUZIONI PER L’USO</w:t>
      </w:r>
    </w:p>
    <w:p w:rsidR="00A70FCB" w:rsidRPr="005B2844" w:rsidRDefault="00A70FCB" w:rsidP="0072602F">
      <w:pPr>
        <w:rPr>
          <w:szCs w:val="22"/>
        </w:rPr>
      </w:pPr>
    </w:p>
    <w:p w:rsidR="00F04D0C" w:rsidRPr="005B2844" w:rsidRDefault="00F04D0C" w:rsidP="0072602F">
      <w:pPr>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04D0C" w:rsidRPr="005B2844">
        <w:tblPrEx>
          <w:tblCellMar>
            <w:top w:w="0" w:type="dxa"/>
            <w:bottom w:w="0" w:type="dxa"/>
          </w:tblCellMar>
        </w:tblPrEx>
        <w:tc>
          <w:tcPr>
            <w:tcW w:w="9298" w:type="dxa"/>
          </w:tcPr>
          <w:p w:rsidR="00F04D0C" w:rsidRPr="005B2844" w:rsidRDefault="00F04D0C" w:rsidP="0072602F">
            <w:pPr>
              <w:suppressAutoHyphens/>
              <w:ind w:left="567" w:hanging="567"/>
              <w:rPr>
                <w:b/>
                <w:noProof/>
                <w:szCs w:val="22"/>
              </w:rPr>
            </w:pPr>
            <w:r w:rsidRPr="005B2844">
              <w:rPr>
                <w:b/>
                <w:noProof/>
                <w:szCs w:val="22"/>
              </w:rPr>
              <w:t>16.</w:t>
            </w:r>
            <w:r w:rsidRPr="005B2844">
              <w:rPr>
                <w:b/>
                <w:noProof/>
                <w:szCs w:val="22"/>
              </w:rPr>
              <w:tab/>
              <w:t>INFORMAZIONI IN BRAILLE</w:t>
            </w:r>
          </w:p>
        </w:tc>
      </w:tr>
    </w:tbl>
    <w:p w:rsidR="00F04D0C" w:rsidRPr="005B2844" w:rsidRDefault="00F04D0C" w:rsidP="0072602F">
      <w:pPr>
        <w:suppressAutoHyphens/>
        <w:rPr>
          <w:b/>
          <w:noProof/>
          <w:szCs w:val="22"/>
        </w:rPr>
      </w:pPr>
    </w:p>
    <w:p w:rsidR="00F04D0C" w:rsidRPr="005B2844" w:rsidRDefault="00F04D0C" w:rsidP="0072602F">
      <w:pPr>
        <w:suppressAutoHyphens/>
        <w:rPr>
          <w:szCs w:val="22"/>
        </w:rPr>
      </w:pPr>
      <w:proofErr w:type="spellStart"/>
      <w:r w:rsidRPr="005B2844">
        <w:rPr>
          <w:szCs w:val="22"/>
        </w:rPr>
        <w:t>MicardisPlus</w:t>
      </w:r>
      <w:proofErr w:type="spellEnd"/>
      <w:r w:rsidRPr="005B2844">
        <w:rPr>
          <w:szCs w:val="22"/>
        </w:rPr>
        <w:t xml:space="preserve"> 80 mg/12,5 mg</w:t>
      </w:r>
    </w:p>
    <w:p w:rsidR="00DD69F3" w:rsidRPr="005B2844" w:rsidRDefault="00DD69F3" w:rsidP="0072602F">
      <w:pPr>
        <w:suppressAutoHyphens/>
        <w:rPr>
          <w:szCs w:val="22"/>
        </w:rPr>
      </w:pPr>
    </w:p>
    <w:p w:rsidR="002F49F2" w:rsidRPr="005B2844" w:rsidRDefault="002F49F2" w:rsidP="002F49F2">
      <w:pPr>
        <w:pStyle w:val="BodyText"/>
        <w:pBdr>
          <w:top w:val="none" w:sz="0" w:space="0" w:color="auto"/>
          <w:left w:val="none" w:sz="0" w:space="0" w:color="auto"/>
          <w:bottom w:val="none" w:sz="0" w:space="0" w:color="auto"/>
          <w:right w:val="none" w:sz="0" w:space="0" w:color="auto"/>
        </w:pBdr>
        <w:rPr>
          <w:szCs w:val="22"/>
          <w:lang w:val="it-IT"/>
        </w:rPr>
      </w:pPr>
    </w:p>
    <w:p w:rsidR="002F49F2" w:rsidRPr="005B2844" w:rsidRDefault="002F49F2" w:rsidP="002F49F2">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17.</w:t>
      </w:r>
      <w:r w:rsidRPr="005B2844">
        <w:rPr>
          <w:b/>
          <w:noProof/>
          <w:szCs w:val="22"/>
        </w:rPr>
        <w:tab/>
        <w:t>IDENTIFICATIVO UNICO – CODICE A BARRE BIDIMENSIONALE</w:t>
      </w:r>
    </w:p>
    <w:p w:rsidR="002F49F2" w:rsidRPr="005B2844" w:rsidRDefault="002F49F2" w:rsidP="002F49F2">
      <w:pPr>
        <w:keepNext/>
        <w:keepLines/>
        <w:rPr>
          <w:noProof/>
          <w:szCs w:val="22"/>
        </w:rPr>
      </w:pPr>
    </w:p>
    <w:p w:rsidR="002F49F2" w:rsidRPr="005B2844" w:rsidRDefault="002F49F2" w:rsidP="002F49F2">
      <w:pPr>
        <w:rPr>
          <w:noProof/>
          <w:szCs w:val="22"/>
          <w:shd w:val="clear" w:color="auto" w:fill="CCCCCC"/>
        </w:rPr>
      </w:pPr>
      <w:r w:rsidRPr="005B2844">
        <w:rPr>
          <w:noProof/>
          <w:szCs w:val="22"/>
          <w:highlight w:val="lightGray"/>
        </w:rPr>
        <w:t>Codice a barre bidimensionale con identificativo unico incluso.</w:t>
      </w:r>
    </w:p>
    <w:p w:rsidR="002F49F2" w:rsidRPr="005B2844" w:rsidRDefault="002F49F2" w:rsidP="002F49F2">
      <w:pPr>
        <w:rPr>
          <w:noProof/>
          <w:vanish/>
          <w:szCs w:val="22"/>
        </w:rPr>
      </w:pPr>
    </w:p>
    <w:p w:rsidR="002F49F2" w:rsidRPr="005B2844" w:rsidRDefault="002F49F2" w:rsidP="002F49F2">
      <w:pPr>
        <w:rPr>
          <w:noProof/>
          <w:vanish/>
          <w:szCs w:val="22"/>
        </w:rPr>
      </w:pPr>
    </w:p>
    <w:p w:rsidR="002F49F2" w:rsidRPr="005B2844" w:rsidRDefault="002F49F2" w:rsidP="002F49F2">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18.</w:t>
      </w:r>
      <w:r w:rsidRPr="005B2844">
        <w:rPr>
          <w:b/>
          <w:noProof/>
          <w:szCs w:val="22"/>
        </w:rPr>
        <w:tab/>
        <w:t>IDENTIFICATIVO UNICO - DATI LEGGIBILI</w:t>
      </w:r>
    </w:p>
    <w:p w:rsidR="002F49F2" w:rsidRPr="005B2844" w:rsidRDefault="002F49F2" w:rsidP="002F49F2">
      <w:pPr>
        <w:keepNext/>
        <w:keepLines/>
        <w:rPr>
          <w:noProof/>
          <w:szCs w:val="22"/>
        </w:rPr>
      </w:pPr>
    </w:p>
    <w:p w:rsidR="002F49F2" w:rsidRPr="005B2844" w:rsidRDefault="002F49F2" w:rsidP="002F49F2">
      <w:pPr>
        <w:rPr>
          <w:szCs w:val="22"/>
        </w:rPr>
      </w:pPr>
      <w:r w:rsidRPr="005B2844">
        <w:rPr>
          <w:szCs w:val="22"/>
        </w:rPr>
        <w:t>PC: {numero} [codice del prodotto]</w:t>
      </w:r>
    </w:p>
    <w:p w:rsidR="002F49F2" w:rsidRPr="005B2844" w:rsidRDefault="002F49F2" w:rsidP="002F49F2">
      <w:pPr>
        <w:rPr>
          <w:szCs w:val="22"/>
        </w:rPr>
      </w:pPr>
      <w:r w:rsidRPr="005B2844">
        <w:rPr>
          <w:szCs w:val="22"/>
        </w:rPr>
        <w:t>SN: {numero} [numero di serie]</w:t>
      </w:r>
    </w:p>
    <w:p w:rsidR="002F49F2" w:rsidRPr="005B2844" w:rsidRDefault="002F49F2" w:rsidP="002F49F2">
      <w:pPr>
        <w:rPr>
          <w:szCs w:val="22"/>
        </w:rPr>
      </w:pPr>
      <w:r w:rsidRPr="005B2844">
        <w:rPr>
          <w:szCs w:val="22"/>
        </w:rPr>
        <w:t>NN: {numero} [numero di rimborso nazionale o altro numero nazionale di identificazione del medicinale]</w:t>
      </w:r>
    </w:p>
    <w:p w:rsidR="00A70FCB" w:rsidRPr="005B2844" w:rsidRDefault="00A70FCB" w:rsidP="0072602F">
      <w:pPr>
        <w:rPr>
          <w:szCs w:val="22"/>
        </w:rPr>
      </w:pPr>
    </w:p>
    <w:p w:rsidR="00A70FCB" w:rsidRPr="005B2844" w:rsidRDefault="00A70FCB" w:rsidP="0072602F">
      <w:pPr>
        <w:pStyle w:val="BodyText"/>
        <w:pBdr>
          <w:top w:val="single" w:sz="4" w:space="0" w:color="auto"/>
          <w:left w:val="single" w:sz="4" w:space="3" w:color="auto"/>
        </w:pBdr>
        <w:rPr>
          <w:b/>
          <w:caps/>
          <w:szCs w:val="22"/>
          <w:lang w:val="it-IT"/>
        </w:rPr>
      </w:pPr>
      <w:r w:rsidRPr="005B2844">
        <w:rPr>
          <w:szCs w:val="22"/>
          <w:lang w:val="it-IT"/>
        </w:rPr>
        <w:br w:type="page"/>
      </w:r>
      <w:r w:rsidRPr="005B2844">
        <w:rPr>
          <w:b/>
          <w:caps/>
          <w:szCs w:val="22"/>
          <w:lang w:val="it-IT"/>
        </w:rPr>
        <w:t>INFORMAZIONI MINIME DA APPORRE SU BLISTER O STRIP</w:t>
      </w:r>
    </w:p>
    <w:p w:rsidR="000076BA" w:rsidRPr="005B2844" w:rsidRDefault="000076BA" w:rsidP="0072602F">
      <w:pPr>
        <w:pStyle w:val="BodyText"/>
        <w:pBdr>
          <w:top w:val="single" w:sz="4" w:space="0" w:color="auto"/>
          <w:left w:val="single" w:sz="4" w:space="3" w:color="auto"/>
        </w:pBdr>
        <w:rPr>
          <w:b/>
          <w:caps/>
          <w:szCs w:val="22"/>
          <w:lang w:val="it-IT"/>
        </w:rPr>
      </w:pPr>
    </w:p>
    <w:p w:rsidR="000076BA" w:rsidRPr="005B2844" w:rsidRDefault="000076BA" w:rsidP="0072602F">
      <w:pPr>
        <w:pStyle w:val="BodyText"/>
        <w:pBdr>
          <w:top w:val="single" w:sz="4" w:space="0" w:color="auto"/>
          <w:left w:val="single" w:sz="4" w:space="3" w:color="auto"/>
        </w:pBdr>
        <w:rPr>
          <w:b/>
          <w:szCs w:val="22"/>
          <w:lang w:val="it-IT"/>
        </w:rPr>
      </w:pPr>
      <w:r w:rsidRPr="005B2844">
        <w:rPr>
          <w:b/>
          <w:szCs w:val="22"/>
          <w:lang w:val="it-IT"/>
        </w:rPr>
        <w:t>Blister da 7 compresse</w:t>
      </w:r>
    </w:p>
    <w:p w:rsidR="00A70FCB" w:rsidRPr="005B2844" w:rsidRDefault="00A70FCB" w:rsidP="0072602F">
      <w:pPr>
        <w:rPr>
          <w:szCs w:val="22"/>
        </w:rPr>
      </w:pPr>
    </w:p>
    <w:p w:rsidR="00A70FCB" w:rsidRPr="005B2844" w:rsidRDefault="00A70FCB" w:rsidP="0072602F">
      <w:pPr>
        <w:tabs>
          <w:tab w:val="left" w:pos="0"/>
        </w:tabs>
        <w:rPr>
          <w:caps/>
          <w:szCs w:val="22"/>
        </w:rPr>
      </w:pPr>
    </w:p>
    <w:p w:rsidR="00A70FCB" w:rsidRPr="005B2844" w:rsidRDefault="00A70FCB" w:rsidP="0072602F">
      <w:pPr>
        <w:pStyle w:val="BodyText"/>
        <w:pBdr>
          <w:top w:val="single" w:sz="4" w:space="0" w:color="auto"/>
        </w:pBdr>
        <w:rPr>
          <w:b/>
          <w:szCs w:val="22"/>
          <w:lang w:val="it-IT"/>
        </w:rPr>
      </w:pPr>
      <w:r w:rsidRPr="005B2844">
        <w:rPr>
          <w:b/>
          <w:caps/>
          <w:szCs w:val="22"/>
          <w:lang w:val="it-IT"/>
        </w:rPr>
        <w:t>1.</w:t>
      </w:r>
      <w:r w:rsidRPr="005B2844">
        <w:rPr>
          <w:b/>
          <w:caps/>
          <w:szCs w:val="22"/>
          <w:lang w:val="it-IT"/>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80</w:t>
      </w:r>
      <w:r w:rsidR="000076BA" w:rsidRPr="005B2844">
        <w:rPr>
          <w:szCs w:val="22"/>
        </w:rPr>
        <w:t> mg</w:t>
      </w:r>
      <w:r w:rsidRPr="005B2844">
        <w:rPr>
          <w:szCs w:val="22"/>
        </w:rPr>
        <w:t>/12,5 mg compresse</w:t>
      </w:r>
    </w:p>
    <w:p w:rsidR="00A70FCB" w:rsidRPr="005B2844" w:rsidRDefault="000076BA"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0076BA" w:rsidRPr="005B2844" w:rsidRDefault="000076BA" w:rsidP="0072602F">
      <w:pPr>
        <w:tabs>
          <w:tab w:val="left" w:pos="0"/>
        </w:tabs>
        <w:rPr>
          <w:szCs w:val="22"/>
        </w:rPr>
      </w:pPr>
    </w:p>
    <w:p w:rsidR="00A70FCB" w:rsidRPr="005B2844" w:rsidRDefault="00A70FCB" w:rsidP="0072602F">
      <w:pPr>
        <w:rPr>
          <w:szCs w:val="22"/>
        </w:rPr>
      </w:pPr>
    </w:p>
    <w:p w:rsidR="00A70FCB" w:rsidRPr="005B2844" w:rsidRDefault="00A70FCB" w:rsidP="00F541E7">
      <w:pPr>
        <w:pStyle w:val="BodyText"/>
        <w:pBdr>
          <w:top w:val="single" w:sz="4" w:space="0" w:color="auto"/>
        </w:pBdr>
        <w:ind w:left="567" w:hanging="567"/>
        <w:rPr>
          <w:szCs w:val="22"/>
          <w:lang w:val="it-IT"/>
        </w:rPr>
      </w:pPr>
      <w:r w:rsidRPr="005B2844">
        <w:rPr>
          <w:b/>
          <w:caps/>
          <w:szCs w:val="22"/>
          <w:lang w:val="it-IT"/>
        </w:rPr>
        <w:t>2.</w:t>
      </w:r>
      <w:r w:rsidRPr="005B2844">
        <w:rPr>
          <w:b/>
          <w:caps/>
          <w:szCs w:val="22"/>
          <w:lang w:val="it-IT"/>
        </w:rPr>
        <w:tab/>
        <w:t>NOME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b/>
          <w:caps/>
          <w:szCs w:val="22"/>
          <w:lang w:val="it-IT"/>
        </w:rPr>
      </w:pPr>
      <w:r w:rsidRPr="005B2844">
        <w:rPr>
          <w:b/>
          <w:caps/>
          <w:szCs w:val="22"/>
          <w:lang w:val="it-IT"/>
        </w:rPr>
        <w:t>3.</w:t>
      </w:r>
      <w:r w:rsidRPr="005B2844">
        <w:rPr>
          <w:b/>
          <w:caps/>
          <w:szCs w:val="22"/>
          <w:lang w:val="it-IT"/>
        </w:rPr>
        <w:tab/>
        <w:t>DATA DI SCADENZA</w:t>
      </w:r>
    </w:p>
    <w:p w:rsidR="00A70FCB" w:rsidRPr="005B2844" w:rsidRDefault="00A70FCB" w:rsidP="0072602F">
      <w:pPr>
        <w:rPr>
          <w:szCs w:val="22"/>
        </w:rPr>
      </w:pPr>
    </w:p>
    <w:p w:rsidR="00A70FCB" w:rsidRPr="005B2844" w:rsidRDefault="00A70FCB" w:rsidP="0072602F">
      <w:pPr>
        <w:rPr>
          <w:szCs w:val="22"/>
        </w:rPr>
      </w:pPr>
      <w:r w:rsidRPr="005B2844">
        <w:rPr>
          <w:szCs w:val="22"/>
        </w:rPr>
        <w:t>Scad.</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b/>
          <w:caps/>
          <w:szCs w:val="22"/>
          <w:lang w:val="it-IT"/>
        </w:rPr>
      </w:pPr>
      <w:r w:rsidRPr="005B2844">
        <w:rPr>
          <w:b/>
          <w:caps/>
          <w:szCs w:val="22"/>
          <w:lang w:val="it-IT"/>
        </w:rPr>
        <w:t>4.</w:t>
      </w:r>
      <w:r w:rsidRPr="005B2844">
        <w:rPr>
          <w:b/>
          <w:caps/>
          <w:szCs w:val="22"/>
          <w:lang w:val="it-IT"/>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0076BA" w:rsidRPr="005B2844" w:rsidRDefault="000076BA" w:rsidP="0072602F">
      <w:pPr>
        <w:pStyle w:val="BodyText"/>
        <w:pBdr>
          <w:top w:val="single" w:sz="4" w:space="0" w:color="auto"/>
        </w:pBdr>
        <w:rPr>
          <w:b/>
          <w:caps/>
          <w:szCs w:val="22"/>
          <w:lang w:val="it-IT"/>
        </w:rPr>
      </w:pPr>
      <w:r w:rsidRPr="005B2844">
        <w:rPr>
          <w:b/>
          <w:caps/>
          <w:szCs w:val="22"/>
          <w:lang w:val="it-IT"/>
        </w:rPr>
        <w:t>5.</w:t>
      </w:r>
      <w:r w:rsidRPr="005B2844">
        <w:rPr>
          <w:b/>
          <w:caps/>
          <w:szCs w:val="22"/>
          <w:lang w:val="it-IT"/>
        </w:rPr>
        <w:tab/>
        <w:t>ALTRO</w:t>
      </w:r>
    </w:p>
    <w:p w:rsidR="000076BA" w:rsidRPr="005B2844" w:rsidRDefault="000076BA" w:rsidP="0072602F">
      <w:pPr>
        <w:rPr>
          <w:szCs w:val="22"/>
        </w:rPr>
      </w:pPr>
    </w:p>
    <w:p w:rsidR="00A70FCB" w:rsidRPr="005B2844" w:rsidRDefault="00E17FCD" w:rsidP="0072602F">
      <w:pPr>
        <w:rPr>
          <w:szCs w:val="22"/>
        </w:rPr>
      </w:pPr>
      <w:r w:rsidRPr="005B2844">
        <w:rPr>
          <w:szCs w:val="22"/>
        </w:rPr>
        <w:t>lun.</w:t>
      </w:r>
    </w:p>
    <w:p w:rsidR="00A70FCB" w:rsidRPr="005B2844" w:rsidRDefault="00E17FCD" w:rsidP="0072602F">
      <w:pPr>
        <w:rPr>
          <w:szCs w:val="22"/>
        </w:rPr>
      </w:pPr>
      <w:r w:rsidRPr="005B2844">
        <w:rPr>
          <w:szCs w:val="22"/>
        </w:rPr>
        <w:t>mar.</w:t>
      </w:r>
    </w:p>
    <w:p w:rsidR="00A70FCB" w:rsidRPr="005B2844" w:rsidRDefault="00E17FCD" w:rsidP="0072602F">
      <w:pPr>
        <w:rPr>
          <w:szCs w:val="22"/>
        </w:rPr>
      </w:pPr>
      <w:r w:rsidRPr="005B2844">
        <w:rPr>
          <w:szCs w:val="22"/>
        </w:rPr>
        <w:t>mer.</w:t>
      </w:r>
    </w:p>
    <w:p w:rsidR="00A70FCB" w:rsidRPr="005B2844" w:rsidRDefault="00E17FCD" w:rsidP="0072602F">
      <w:pPr>
        <w:rPr>
          <w:szCs w:val="22"/>
        </w:rPr>
      </w:pPr>
      <w:r w:rsidRPr="005B2844">
        <w:rPr>
          <w:szCs w:val="22"/>
        </w:rPr>
        <w:t>gio.</w:t>
      </w:r>
    </w:p>
    <w:p w:rsidR="00A70FCB" w:rsidRPr="005B2844" w:rsidRDefault="00E17FCD" w:rsidP="0072602F">
      <w:pPr>
        <w:rPr>
          <w:szCs w:val="22"/>
        </w:rPr>
      </w:pPr>
      <w:r w:rsidRPr="005B2844">
        <w:rPr>
          <w:szCs w:val="22"/>
        </w:rPr>
        <w:t>ven.</w:t>
      </w:r>
    </w:p>
    <w:p w:rsidR="00A70FCB" w:rsidRPr="005B2844" w:rsidRDefault="00E17FCD" w:rsidP="0072602F">
      <w:pPr>
        <w:rPr>
          <w:szCs w:val="22"/>
        </w:rPr>
      </w:pPr>
      <w:r w:rsidRPr="005B2844">
        <w:rPr>
          <w:szCs w:val="22"/>
        </w:rPr>
        <w:t>sab.</w:t>
      </w:r>
    </w:p>
    <w:p w:rsidR="00A70FCB" w:rsidRPr="005B2844" w:rsidRDefault="00E17FCD" w:rsidP="0072602F">
      <w:pPr>
        <w:rPr>
          <w:szCs w:val="22"/>
        </w:rPr>
      </w:pPr>
      <w:r w:rsidRPr="005B2844">
        <w:rPr>
          <w:szCs w:val="22"/>
        </w:rPr>
        <w:t>dom.</w:t>
      </w:r>
    </w:p>
    <w:p w:rsidR="00A70FCB" w:rsidRPr="005B2844" w:rsidRDefault="00A70FCB" w:rsidP="0072602F">
      <w:pPr>
        <w:rPr>
          <w:szCs w:val="22"/>
        </w:rPr>
      </w:pPr>
      <w:r w:rsidRPr="005B2844">
        <w:rPr>
          <w:szCs w:val="22"/>
        </w:rPr>
        <w:br w:type="page"/>
      </w:r>
    </w:p>
    <w:p w:rsidR="00A70FCB" w:rsidRPr="005B2844" w:rsidRDefault="00A70FCB" w:rsidP="0072602F">
      <w:pPr>
        <w:pStyle w:val="BodyText"/>
        <w:pBdr>
          <w:top w:val="single" w:sz="4" w:space="0" w:color="auto"/>
          <w:left w:val="single" w:sz="4" w:space="3" w:color="auto"/>
        </w:pBdr>
        <w:rPr>
          <w:b/>
          <w:caps/>
          <w:szCs w:val="22"/>
          <w:lang w:val="it-IT"/>
        </w:rPr>
      </w:pPr>
      <w:r w:rsidRPr="005B2844">
        <w:rPr>
          <w:b/>
          <w:caps/>
          <w:szCs w:val="22"/>
          <w:lang w:val="it-IT"/>
        </w:rPr>
        <w:t>INFORMAZIONI MINIME DA APPORRE SU BLISTER O STRIP</w:t>
      </w:r>
    </w:p>
    <w:p w:rsidR="000076BA" w:rsidRPr="005B2844" w:rsidRDefault="000076BA" w:rsidP="0072602F">
      <w:pPr>
        <w:pStyle w:val="BodyText"/>
        <w:pBdr>
          <w:top w:val="single" w:sz="4" w:space="0" w:color="auto"/>
          <w:left w:val="single" w:sz="4" w:space="3" w:color="auto"/>
        </w:pBdr>
        <w:rPr>
          <w:b/>
          <w:caps/>
          <w:szCs w:val="22"/>
          <w:lang w:val="it-IT"/>
        </w:rPr>
      </w:pPr>
    </w:p>
    <w:p w:rsidR="000076BA" w:rsidRPr="005B2844" w:rsidRDefault="000076BA" w:rsidP="0072602F">
      <w:pPr>
        <w:pStyle w:val="BodyText"/>
        <w:pBdr>
          <w:top w:val="single" w:sz="4" w:space="0" w:color="auto"/>
          <w:left w:val="single" w:sz="4" w:space="3" w:color="auto"/>
        </w:pBdr>
        <w:rPr>
          <w:b/>
          <w:szCs w:val="22"/>
          <w:lang w:val="it-IT"/>
        </w:rPr>
      </w:pPr>
      <w:r w:rsidRPr="005B2844">
        <w:rPr>
          <w:b/>
          <w:caps/>
          <w:szCs w:val="22"/>
          <w:lang w:val="it-IT"/>
        </w:rPr>
        <w:t>B</w:t>
      </w:r>
      <w:r w:rsidRPr="005B2844">
        <w:rPr>
          <w:b/>
          <w:szCs w:val="22"/>
          <w:lang w:val="it-IT"/>
        </w:rPr>
        <w:t xml:space="preserve">lister divisibile per dose unitaria </w:t>
      </w:r>
      <w:r w:rsidR="00D94D58" w:rsidRPr="005B2844">
        <w:rPr>
          <w:b/>
          <w:szCs w:val="22"/>
          <w:lang w:val="it-IT"/>
        </w:rPr>
        <w:t xml:space="preserve">da </w:t>
      </w:r>
      <w:r w:rsidR="00AA0919" w:rsidRPr="005B2844">
        <w:rPr>
          <w:b/>
          <w:szCs w:val="22"/>
          <w:lang w:val="it-IT"/>
        </w:rPr>
        <w:t>7 o 10</w:t>
      </w:r>
      <w:r w:rsidRPr="005B2844">
        <w:rPr>
          <w:b/>
          <w:szCs w:val="22"/>
          <w:lang w:val="it-IT"/>
        </w:rPr>
        <w:t xml:space="preserve"> </w:t>
      </w:r>
      <w:r w:rsidR="008E535D" w:rsidRPr="005B2844">
        <w:rPr>
          <w:b/>
          <w:szCs w:val="22"/>
          <w:lang w:val="it-IT"/>
        </w:rPr>
        <w:t xml:space="preserve">compresse </w:t>
      </w:r>
      <w:r w:rsidRPr="005B2844">
        <w:rPr>
          <w:b/>
          <w:szCs w:val="22"/>
          <w:lang w:val="it-IT"/>
        </w:rPr>
        <w:t xml:space="preserve">o </w:t>
      </w:r>
      <w:r w:rsidR="0080648D" w:rsidRPr="005B2844">
        <w:rPr>
          <w:b/>
          <w:szCs w:val="22"/>
          <w:lang w:val="it-IT"/>
        </w:rPr>
        <w:t>ogni</w:t>
      </w:r>
      <w:r w:rsidR="002F6EEB" w:rsidRPr="005B2844">
        <w:rPr>
          <w:b/>
          <w:szCs w:val="22"/>
          <w:lang w:val="it-IT"/>
        </w:rPr>
        <w:t xml:space="preserve"> </w:t>
      </w:r>
      <w:r w:rsidR="00187A8E" w:rsidRPr="005B2844">
        <w:rPr>
          <w:b/>
          <w:szCs w:val="22"/>
          <w:lang w:val="it-IT"/>
        </w:rPr>
        <w:t xml:space="preserve">altro </w:t>
      </w:r>
      <w:r w:rsidR="002F6EEB" w:rsidRPr="005B2844">
        <w:rPr>
          <w:b/>
          <w:szCs w:val="22"/>
          <w:lang w:val="it-IT"/>
        </w:rPr>
        <w:t xml:space="preserve">blister </w:t>
      </w:r>
      <w:r w:rsidR="0080648D" w:rsidRPr="005B2844">
        <w:rPr>
          <w:b/>
          <w:szCs w:val="22"/>
          <w:lang w:val="it-IT"/>
        </w:rPr>
        <w:t>che non contenga</w:t>
      </w:r>
      <w:r w:rsidRPr="005B2844">
        <w:rPr>
          <w:b/>
          <w:szCs w:val="22"/>
          <w:lang w:val="it-IT"/>
        </w:rPr>
        <w:t xml:space="preserve"> 7 compresse</w:t>
      </w:r>
    </w:p>
    <w:p w:rsidR="00A70FCB" w:rsidRPr="005B2844" w:rsidRDefault="00A70FCB" w:rsidP="0072602F">
      <w:pPr>
        <w:rPr>
          <w:szCs w:val="22"/>
        </w:rPr>
      </w:pPr>
    </w:p>
    <w:p w:rsidR="00A70FCB" w:rsidRPr="005B2844" w:rsidRDefault="00A70FCB" w:rsidP="0072602F">
      <w:pPr>
        <w:tabs>
          <w:tab w:val="left" w:pos="0"/>
        </w:tabs>
        <w:rPr>
          <w:caps/>
          <w:szCs w:val="22"/>
        </w:rPr>
      </w:pPr>
    </w:p>
    <w:p w:rsidR="00A70FCB" w:rsidRPr="005B2844" w:rsidRDefault="00A70FCB" w:rsidP="0072602F">
      <w:pPr>
        <w:pStyle w:val="BodyText"/>
        <w:pBdr>
          <w:top w:val="single" w:sz="4" w:space="0" w:color="auto"/>
        </w:pBdr>
        <w:rPr>
          <w:b/>
          <w:szCs w:val="22"/>
          <w:lang w:val="it-IT"/>
        </w:rPr>
      </w:pPr>
      <w:r w:rsidRPr="005B2844">
        <w:rPr>
          <w:b/>
          <w:caps/>
          <w:szCs w:val="22"/>
          <w:lang w:val="it-IT"/>
        </w:rPr>
        <w:t>1.</w:t>
      </w:r>
      <w:r w:rsidRPr="005B2844">
        <w:rPr>
          <w:b/>
          <w:caps/>
          <w:szCs w:val="22"/>
          <w:lang w:val="it-IT"/>
        </w:rPr>
        <w:tab/>
        <w:t>DENOMINAZIONE DEL MEDICINALE</w:t>
      </w:r>
    </w:p>
    <w:p w:rsidR="00A70FCB" w:rsidRPr="005B2844" w:rsidRDefault="00A70FCB" w:rsidP="0072602F">
      <w:pPr>
        <w:rPr>
          <w:szCs w:val="22"/>
        </w:rPr>
      </w:pPr>
    </w:p>
    <w:p w:rsidR="00A70FCB" w:rsidRPr="005B2844" w:rsidRDefault="00A70FCB" w:rsidP="0072602F">
      <w:pPr>
        <w:rPr>
          <w:szCs w:val="22"/>
        </w:rPr>
      </w:pPr>
      <w:proofErr w:type="spellStart"/>
      <w:r w:rsidRPr="005B2844">
        <w:rPr>
          <w:szCs w:val="22"/>
        </w:rPr>
        <w:t>MicardisPlus</w:t>
      </w:r>
      <w:proofErr w:type="spellEnd"/>
      <w:r w:rsidRPr="005B2844">
        <w:rPr>
          <w:szCs w:val="22"/>
        </w:rPr>
        <w:t xml:space="preserve"> 80</w:t>
      </w:r>
      <w:r w:rsidR="00ED6F7A" w:rsidRPr="005B2844">
        <w:rPr>
          <w:szCs w:val="22"/>
        </w:rPr>
        <w:t> mg</w:t>
      </w:r>
      <w:r w:rsidRPr="005B2844">
        <w:rPr>
          <w:szCs w:val="22"/>
        </w:rPr>
        <w:t>/12,5 mg compresse</w:t>
      </w:r>
    </w:p>
    <w:p w:rsidR="00A70FCB" w:rsidRPr="005B2844" w:rsidRDefault="002F2101" w:rsidP="0072602F">
      <w:pPr>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2F2101" w:rsidRPr="005B2844" w:rsidRDefault="002F2101" w:rsidP="0072602F">
      <w:pPr>
        <w:rPr>
          <w:szCs w:val="22"/>
        </w:rPr>
      </w:pPr>
    </w:p>
    <w:p w:rsidR="00A70FCB" w:rsidRPr="005B2844" w:rsidRDefault="00A70FCB" w:rsidP="0072602F">
      <w:pPr>
        <w:rPr>
          <w:szCs w:val="22"/>
        </w:rPr>
      </w:pPr>
    </w:p>
    <w:p w:rsidR="00A70FCB" w:rsidRPr="005B2844" w:rsidRDefault="00A70FCB" w:rsidP="00A06DB6">
      <w:pPr>
        <w:pStyle w:val="BodyText"/>
        <w:pBdr>
          <w:top w:val="single" w:sz="4" w:space="0" w:color="auto"/>
        </w:pBdr>
        <w:ind w:left="567" w:hanging="567"/>
        <w:rPr>
          <w:szCs w:val="22"/>
          <w:lang w:val="it-IT"/>
        </w:rPr>
      </w:pPr>
      <w:r w:rsidRPr="005B2844">
        <w:rPr>
          <w:b/>
          <w:caps/>
          <w:szCs w:val="22"/>
          <w:lang w:val="it-IT"/>
        </w:rPr>
        <w:t>2.</w:t>
      </w:r>
      <w:r w:rsidRPr="005B2844">
        <w:rPr>
          <w:b/>
          <w:caps/>
          <w:szCs w:val="22"/>
          <w:lang w:val="it-IT"/>
        </w:rPr>
        <w:tab/>
        <w:t>NOME DEL TITOLARE DELL’AUTORIZZAZIONE ALL’IMMISSIONE IN COMMERCIO</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b/>
          <w:caps/>
          <w:szCs w:val="22"/>
          <w:lang w:val="it-IT"/>
        </w:rPr>
      </w:pPr>
      <w:r w:rsidRPr="005B2844">
        <w:rPr>
          <w:b/>
          <w:caps/>
          <w:szCs w:val="22"/>
          <w:lang w:val="it-IT"/>
        </w:rPr>
        <w:t>3.</w:t>
      </w:r>
      <w:r w:rsidRPr="005B2844">
        <w:rPr>
          <w:b/>
          <w:caps/>
          <w:szCs w:val="22"/>
          <w:lang w:val="it-IT"/>
        </w:rPr>
        <w:tab/>
        <w:t>DATA DI SCADENZA</w:t>
      </w:r>
    </w:p>
    <w:p w:rsidR="00A70FCB" w:rsidRPr="005B2844" w:rsidRDefault="00A70FCB" w:rsidP="0072602F">
      <w:pPr>
        <w:rPr>
          <w:szCs w:val="22"/>
        </w:rPr>
      </w:pPr>
    </w:p>
    <w:p w:rsidR="00A70FCB" w:rsidRPr="005B2844" w:rsidRDefault="00A70FCB" w:rsidP="0072602F">
      <w:pPr>
        <w:rPr>
          <w:szCs w:val="22"/>
        </w:rPr>
      </w:pPr>
      <w:r w:rsidRPr="005B2844">
        <w:rPr>
          <w:szCs w:val="22"/>
        </w:rPr>
        <w:t>Scad.</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pStyle w:val="BodyText"/>
        <w:pBdr>
          <w:top w:val="single" w:sz="4" w:space="0" w:color="auto"/>
        </w:pBdr>
        <w:rPr>
          <w:b/>
          <w:caps/>
          <w:szCs w:val="22"/>
          <w:lang w:val="it-IT"/>
        </w:rPr>
      </w:pPr>
      <w:r w:rsidRPr="005B2844">
        <w:rPr>
          <w:b/>
          <w:caps/>
          <w:szCs w:val="22"/>
          <w:lang w:val="it-IT"/>
        </w:rPr>
        <w:t>4.</w:t>
      </w:r>
      <w:r w:rsidRPr="005B2844">
        <w:rPr>
          <w:b/>
          <w:caps/>
          <w:szCs w:val="22"/>
          <w:lang w:val="it-IT"/>
        </w:rPr>
        <w:tab/>
        <w:t>NUMERO DI LOTTO</w:t>
      </w:r>
    </w:p>
    <w:p w:rsidR="00A70FCB" w:rsidRPr="005B2844" w:rsidRDefault="00A70FCB" w:rsidP="0072602F">
      <w:pPr>
        <w:rPr>
          <w:szCs w:val="22"/>
        </w:rPr>
      </w:pPr>
    </w:p>
    <w:p w:rsidR="00A70FCB" w:rsidRPr="005B2844" w:rsidRDefault="00A70FCB" w:rsidP="0072602F">
      <w:pPr>
        <w:rPr>
          <w:szCs w:val="22"/>
        </w:rPr>
      </w:pPr>
      <w:r w:rsidRPr="005B2844">
        <w:rPr>
          <w:szCs w:val="22"/>
        </w:rPr>
        <w:t>Lotto</w:t>
      </w:r>
    </w:p>
    <w:p w:rsidR="00A70FCB" w:rsidRPr="005B2844" w:rsidRDefault="00A70FCB" w:rsidP="0072602F">
      <w:pPr>
        <w:rPr>
          <w:szCs w:val="22"/>
        </w:rPr>
      </w:pPr>
    </w:p>
    <w:p w:rsidR="00A70FCB" w:rsidRPr="005B2844" w:rsidRDefault="00A70FCB" w:rsidP="0072602F">
      <w:pPr>
        <w:rPr>
          <w:szCs w:val="22"/>
        </w:rPr>
      </w:pPr>
    </w:p>
    <w:p w:rsidR="002F2101" w:rsidRPr="005B2844" w:rsidRDefault="002F2101" w:rsidP="0072602F">
      <w:pPr>
        <w:pStyle w:val="BodyText"/>
        <w:pBdr>
          <w:top w:val="single" w:sz="4" w:space="0" w:color="auto"/>
        </w:pBdr>
        <w:rPr>
          <w:b/>
          <w:caps/>
          <w:szCs w:val="22"/>
          <w:lang w:val="it-IT"/>
        </w:rPr>
      </w:pPr>
      <w:r w:rsidRPr="005B2844">
        <w:rPr>
          <w:b/>
          <w:caps/>
          <w:szCs w:val="22"/>
          <w:lang w:val="it-IT"/>
        </w:rPr>
        <w:t>5.</w:t>
      </w:r>
      <w:r w:rsidRPr="005B2844">
        <w:rPr>
          <w:b/>
          <w:caps/>
          <w:szCs w:val="22"/>
          <w:lang w:val="it-IT"/>
        </w:rPr>
        <w:tab/>
        <w:t>ALTRO</w:t>
      </w:r>
    </w:p>
    <w:p w:rsidR="00D709D7" w:rsidRPr="005B2844" w:rsidRDefault="00D709D7" w:rsidP="0072602F">
      <w:pPr>
        <w:rPr>
          <w:szCs w:val="22"/>
        </w:rPr>
      </w:pPr>
      <w:r w:rsidRPr="005B2844">
        <w:rPr>
          <w:szCs w:val="22"/>
        </w:rPr>
        <w:br w:type="page"/>
      </w:r>
    </w:p>
    <w:p w:rsidR="00D709D7" w:rsidRPr="005B2844" w:rsidRDefault="00D709D7" w:rsidP="0072602F">
      <w:pPr>
        <w:pStyle w:val="BodyText"/>
        <w:rPr>
          <w:b/>
          <w:szCs w:val="22"/>
          <w:lang w:val="it-IT"/>
        </w:rPr>
      </w:pPr>
      <w:r w:rsidRPr="005B2844">
        <w:rPr>
          <w:b/>
          <w:caps/>
          <w:szCs w:val="22"/>
          <w:lang w:val="it-IT"/>
        </w:rPr>
        <w:t>Informazioni</w:t>
      </w:r>
      <w:r w:rsidRPr="005B2844">
        <w:rPr>
          <w:b/>
          <w:szCs w:val="22"/>
          <w:lang w:val="it-IT"/>
        </w:rPr>
        <w:t xml:space="preserve"> DA APPORRE SUL CONFEZIONAMENTO </w:t>
      </w:r>
      <w:r w:rsidR="008E59C4" w:rsidRPr="005B2844">
        <w:rPr>
          <w:b/>
          <w:szCs w:val="22"/>
          <w:lang w:val="it-IT"/>
        </w:rPr>
        <w:t>SECONDARIO</w:t>
      </w:r>
    </w:p>
    <w:p w:rsidR="00D709D7" w:rsidRPr="005B2844" w:rsidRDefault="00D709D7" w:rsidP="0072602F">
      <w:pPr>
        <w:pStyle w:val="BodyText"/>
        <w:rPr>
          <w:b/>
          <w:szCs w:val="22"/>
          <w:lang w:val="it-IT"/>
        </w:rPr>
      </w:pPr>
    </w:p>
    <w:p w:rsidR="00D709D7" w:rsidRPr="005B2844" w:rsidRDefault="00D709D7" w:rsidP="0072602F">
      <w:pPr>
        <w:pStyle w:val="BodyText"/>
        <w:rPr>
          <w:b/>
          <w:szCs w:val="22"/>
          <w:lang w:val="it-IT"/>
        </w:rPr>
      </w:pPr>
      <w:r w:rsidRPr="005B2844">
        <w:rPr>
          <w:b/>
          <w:szCs w:val="22"/>
          <w:lang w:val="it-IT"/>
        </w:rPr>
        <w:t>Astuccio</w:t>
      </w:r>
    </w:p>
    <w:p w:rsidR="00D709D7" w:rsidRPr="005B2844" w:rsidRDefault="00D709D7" w:rsidP="0072602F">
      <w:pPr>
        <w:tabs>
          <w:tab w:val="left" w:pos="0"/>
        </w:tabs>
        <w:rPr>
          <w:b/>
          <w:caps/>
          <w:szCs w:val="22"/>
          <w:u w:val="single"/>
        </w:rPr>
      </w:pPr>
    </w:p>
    <w:p w:rsidR="00D709D7" w:rsidRPr="005B2844" w:rsidRDefault="00D709D7" w:rsidP="0072602F">
      <w:pPr>
        <w:tabs>
          <w:tab w:val="left" w:pos="0"/>
        </w:tabs>
        <w:rPr>
          <w:szCs w:val="22"/>
        </w:rPr>
      </w:pPr>
    </w:p>
    <w:p w:rsidR="00D709D7" w:rsidRPr="005B2844" w:rsidRDefault="00D709D7" w:rsidP="0072602F">
      <w:pPr>
        <w:pStyle w:val="BodyText"/>
        <w:rPr>
          <w:b/>
          <w:szCs w:val="22"/>
          <w:lang w:val="it-IT"/>
        </w:rPr>
      </w:pPr>
      <w:r w:rsidRPr="005B2844">
        <w:rPr>
          <w:b/>
          <w:caps/>
          <w:szCs w:val="22"/>
          <w:lang w:val="it-IT"/>
        </w:rPr>
        <w:t>1.</w:t>
      </w:r>
      <w:r w:rsidRPr="005B2844">
        <w:rPr>
          <w:b/>
          <w:caps/>
          <w:szCs w:val="22"/>
          <w:lang w:val="it-IT"/>
        </w:rPr>
        <w:tab/>
        <w:t>DENOMINAZIONE DEL MEDICINALE</w:t>
      </w:r>
    </w:p>
    <w:p w:rsidR="00D709D7" w:rsidRPr="005B2844" w:rsidRDefault="00D709D7" w:rsidP="0072602F">
      <w:pPr>
        <w:rPr>
          <w:szCs w:val="22"/>
        </w:rPr>
      </w:pPr>
    </w:p>
    <w:p w:rsidR="00D709D7" w:rsidRPr="005B2844" w:rsidRDefault="00D709D7" w:rsidP="0072602F">
      <w:pPr>
        <w:rPr>
          <w:szCs w:val="22"/>
        </w:rPr>
      </w:pPr>
      <w:proofErr w:type="spellStart"/>
      <w:r w:rsidRPr="005B2844">
        <w:rPr>
          <w:szCs w:val="22"/>
        </w:rPr>
        <w:t>MicardisPlus</w:t>
      </w:r>
      <w:proofErr w:type="spellEnd"/>
      <w:r w:rsidRPr="005B2844">
        <w:rPr>
          <w:szCs w:val="22"/>
        </w:rPr>
        <w:t xml:space="preserve"> 80 mg/25 mg compresse</w:t>
      </w:r>
    </w:p>
    <w:p w:rsidR="00D709D7" w:rsidRPr="005B2844" w:rsidRDefault="00D709D7"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D709D7" w:rsidRPr="005B2844" w:rsidRDefault="00D709D7" w:rsidP="0072602F">
      <w:pPr>
        <w:tabs>
          <w:tab w:val="left" w:pos="0"/>
        </w:tabs>
        <w:rPr>
          <w:szCs w:val="22"/>
        </w:rPr>
      </w:pPr>
    </w:p>
    <w:p w:rsidR="00D709D7" w:rsidRPr="005B2844" w:rsidRDefault="00D709D7" w:rsidP="0072602F">
      <w:pPr>
        <w:rPr>
          <w:szCs w:val="22"/>
        </w:rPr>
      </w:pPr>
    </w:p>
    <w:p w:rsidR="00D709D7" w:rsidRPr="005B2844" w:rsidRDefault="00D709D7" w:rsidP="00E17B1E">
      <w:pPr>
        <w:pStyle w:val="BodyText"/>
        <w:ind w:left="567" w:hanging="567"/>
        <w:rPr>
          <w:b/>
          <w:caps/>
          <w:szCs w:val="22"/>
          <w:lang w:val="it-IT"/>
        </w:rPr>
      </w:pPr>
      <w:r w:rsidRPr="005B2844">
        <w:rPr>
          <w:b/>
          <w:caps/>
          <w:szCs w:val="22"/>
          <w:lang w:val="it-IT"/>
        </w:rPr>
        <w:t>2.</w:t>
      </w:r>
      <w:r w:rsidRPr="005B2844">
        <w:rPr>
          <w:b/>
          <w:caps/>
          <w:szCs w:val="22"/>
          <w:lang w:val="it-IT"/>
        </w:rPr>
        <w:tab/>
        <w:t>COMPOSIZIONE QUALITATIV</w:t>
      </w:r>
      <w:r w:rsidR="006F2693" w:rsidRPr="005B2844">
        <w:rPr>
          <w:b/>
          <w:caps/>
          <w:szCs w:val="22"/>
          <w:lang w:val="it-IT"/>
        </w:rPr>
        <w:t>A</w:t>
      </w:r>
      <w:r w:rsidRPr="005B2844">
        <w:rPr>
          <w:b/>
          <w:caps/>
          <w:szCs w:val="22"/>
          <w:lang w:val="it-IT"/>
        </w:rPr>
        <w:t xml:space="preserve"> E QUANTITATIVA IN TERMINI DI PRINCIPIO(i)</w:t>
      </w:r>
      <w:r w:rsidR="00E17B1E" w:rsidRPr="005B2844">
        <w:rPr>
          <w:b/>
          <w:caps/>
          <w:szCs w:val="22"/>
          <w:lang w:val="it-IT"/>
        </w:rPr>
        <w:t xml:space="preserve"> </w:t>
      </w:r>
      <w:r w:rsidRPr="005B2844">
        <w:rPr>
          <w:b/>
          <w:caps/>
          <w:szCs w:val="22"/>
          <w:lang w:val="it-IT"/>
        </w:rPr>
        <w:t>aTTIVO(i)</w:t>
      </w:r>
    </w:p>
    <w:p w:rsidR="00D709D7" w:rsidRPr="005B2844" w:rsidRDefault="00D709D7" w:rsidP="0072602F">
      <w:pPr>
        <w:tabs>
          <w:tab w:val="left" w:pos="567"/>
        </w:tabs>
        <w:rPr>
          <w:szCs w:val="22"/>
        </w:rPr>
      </w:pPr>
    </w:p>
    <w:p w:rsidR="00D709D7" w:rsidRPr="005B2844" w:rsidRDefault="00D709D7" w:rsidP="0072602F">
      <w:pPr>
        <w:rPr>
          <w:szCs w:val="22"/>
        </w:rPr>
      </w:pPr>
      <w:r w:rsidRPr="005B2844">
        <w:rPr>
          <w:szCs w:val="22"/>
        </w:rPr>
        <w:t xml:space="preserve">Ogni compressa contiene 80 mg </w:t>
      </w:r>
      <w:proofErr w:type="spellStart"/>
      <w:r w:rsidRPr="005B2844">
        <w:rPr>
          <w:szCs w:val="22"/>
        </w:rPr>
        <w:t>telmisartan</w:t>
      </w:r>
      <w:proofErr w:type="spellEnd"/>
      <w:r w:rsidRPr="005B2844">
        <w:rPr>
          <w:szCs w:val="22"/>
        </w:rPr>
        <w:t xml:space="preserve"> e 25 mg </w:t>
      </w:r>
      <w:proofErr w:type="spellStart"/>
      <w:r w:rsidRPr="005B2844">
        <w:rPr>
          <w:szCs w:val="22"/>
        </w:rPr>
        <w:t>idroclorotiazide</w:t>
      </w:r>
      <w:proofErr w:type="spellEnd"/>
      <w:r w:rsidRPr="005B2844">
        <w:rPr>
          <w:szCs w:val="22"/>
        </w:rPr>
        <w:t>.</w:t>
      </w:r>
    </w:p>
    <w:p w:rsidR="00D709D7" w:rsidRPr="005B2844" w:rsidRDefault="00D709D7" w:rsidP="0072602F">
      <w:pPr>
        <w:tabs>
          <w:tab w:val="left" w:pos="567"/>
        </w:tabs>
        <w:rPr>
          <w:szCs w:val="22"/>
        </w:rPr>
      </w:pPr>
    </w:p>
    <w:p w:rsidR="00D709D7" w:rsidRPr="005B2844" w:rsidRDefault="00D709D7" w:rsidP="0072602F">
      <w:pPr>
        <w:tabs>
          <w:tab w:val="left" w:pos="567"/>
        </w:tabs>
        <w:rPr>
          <w:szCs w:val="22"/>
        </w:rPr>
      </w:pPr>
    </w:p>
    <w:p w:rsidR="00D709D7" w:rsidRPr="005B2844" w:rsidRDefault="00D709D7" w:rsidP="0072602F">
      <w:pPr>
        <w:pStyle w:val="BodyText"/>
        <w:rPr>
          <w:b/>
          <w:szCs w:val="22"/>
          <w:lang w:val="it-IT"/>
        </w:rPr>
      </w:pPr>
      <w:r w:rsidRPr="005B2844">
        <w:rPr>
          <w:b/>
          <w:caps/>
          <w:szCs w:val="22"/>
          <w:lang w:val="it-IT"/>
        </w:rPr>
        <w:t>3.</w:t>
      </w:r>
      <w:r w:rsidRPr="005B2844">
        <w:rPr>
          <w:b/>
          <w:caps/>
          <w:szCs w:val="22"/>
          <w:lang w:val="it-IT"/>
        </w:rPr>
        <w:tab/>
        <w:t>ELENCO DEGLI ECCIPIENTI</w:t>
      </w:r>
    </w:p>
    <w:p w:rsidR="002D3EFF" w:rsidRPr="005B2844" w:rsidRDefault="002D3EFF" w:rsidP="0072602F">
      <w:pPr>
        <w:rPr>
          <w:szCs w:val="22"/>
        </w:rPr>
      </w:pPr>
    </w:p>
    <w:p w:rsidR="00D709D7" w:rsidRPr="005B2844" w:rsidRDefault="00D709D7" w:rsidP="0072602F">
      <w:pPr>
        <w:rPr>
          <w:szCs w:val="22"/>
        </w:rPr>
      </w:pPr>
      <w:r w:rsidRPr="005B2844">
        <w:rPr>
          <w:szCs w:val="22"/>
        </w:rPr>
        <w:t>Contiene lattosio monoidrato e sorbitolo</w:t>
      </w:r>
      <w:r w:rsidR="00757546" w:rsidRPr="005B2844">
        <w:rPr>
          <w:szCs w:val="22"/>
        </w:rPr>
        <w:t xml:space="preserve"> (E420)</w:t>
      </w:r>
      <w:r w:rsidRPr="005B2844">
        <w:rPr>
          <w:szCs w:val="22"/>
        </w:rPr>
        <w:t>.</w:t>
      </w:r>
    </w:p>
    <w:p w:rsidR="00757546" w:rsidRPr="005B2844" w:rsidRDefault="00757546" w:rsidP="0072602F">
      <w:pPr>
        <w:rPr>
          <w:szCs w:val="22"/>
        </w:rPr>
      </w:pPr>
      <w:r w:rsidRPr="005B2844">
        <w:rPr>
          <w:szCs w:val="22"/>
        </w:rPr>
        <w:t>Leggere il foglio illustrativo per ulteriori informazioni.</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rPr>
          <w:i/>
          <w:szCs w:val="22"/>
          <w:lang w:val="it-IT"/>
        </w:rPr>
      </w:pPr>
      <w:r w:rsidRPr="005B2844">
        <w:rPr>
          <w:b/>
          <w:caps/>
          <w:szCs w:val="22"/>
          <w:lang w:val="it-IT"/>
        </w:rPr>
        <w:t>4.</w:t>
      </w:r>
      <w:r w:rsidRPr="005B2844">
        <w:rPr>
          <w:b/>
          <w:caps/>
          <w:szCs w:val="22"/>
          <w:lang w:val="it-IT"/>
        </w:rPr>
        <w:tab/>
        <w:t>FORMA FARMACEUTICA E CONTENUTO</w:t>
      </w:r>
    </w:p>
    <w:p w:rsidR="00D709D7" w:rsidRPr="005B2844" w:rsidRDefault="00D709D7" w:rsidP="0072602F">
      <w:pPr>
        <w:rPr>
          <w:szCs w:val="22"/>
        </w:rPr>
      </w:pPr>
    </w:p>
    <w:p w:rsidR="00D709D7" w:rsidRPr="005B2844" w:rsidRDefault="00D709D7" w:rsidP="0072602F">
      <w:pPr>
        <w:pStyle w:val="BodyText20"/>
        <w:spacing w:line="240" w:lineRule="auto"/>
        <w:jc w:val="left"/>
        <w:rPr>
          <w:szCs w:val="22"/>
        </w:rPr>
      </w:pPr>
      <w:r w:rsidRPr="005B2844">
        <w:rPr>
          <w:szCs w:val="22"/>
        </w:rPr>
        <w:t>14 compresse</w:t>
      </w:r>
    </w:p>
    <w:p w:rsidR="00D709D7" w:rsidRPr="005B2844" w:rsidRDefault="00D709D7" w:rsidP="0072602F">
      <w:pPr>
        <w:rPr>
          <w:szCs w:val="22"/>
          <w:shd w:val="clear" w:color="auto" w:fill="B3B3B3"/>
        </w:rPr>
      </w:pPr>
      <w:r w:rsidRPr="005B2844">
        <w:rPr>
          <w:szCs w:val="22"/>
          <w:shd w:val="clear" w:color="auto" w:fill="B3B3B3"/>
        </w:rPr>
        <w:t>28 compresse</w:t>
      </w:r>
    </w:p>
    <w:p w:rsidR="00D709D7" w:rsidRPr="005B2844" w:rsidRDefault="00D709D7" w:rsidP="0072602F">
      <w:pPr>
        <w:rPr>
          <w:szCs w:val="22"/>
          <w:shd w:val="clear" w:color="auto" w:fill="B3B3B3"/>
        </w:rPr>
      </w:pPr>
      <w:r w:rsidRPr="005B2844">
        <w:rPr>
          <w:szCs w:val="22"/>
          <w:shd w:val="clear" w:color="auto" w:fill="B3B3B3"/>
        </w:rPr>
        <w:t xml:space="preserve">30 </w:t>
      </w:r>
      <w:r w:rsidR="00AA0919" w:rsidRPr="005B2844">
        <w:rPr>
          <w:szCs w:val="22"/>
          <w:shd w:val="clear" w:color="auto" w:fill="B3B3B3"/>
        </w:rPr>
        <w:t xml:space="preserve">x 1 </w:t>
      </w:r>
      <w:r w:rsidRPr="005B2844">
        <w:rPr>
          <w:szCs w:val="22"/>
          <w:shd w:val="clear" w:color="auto" w:fill="B3B3B3"/>
        </w:rPr>
        <w:t>compresse</w:t>
      </w:r>
    </w:p>
    <w:p w:rsidR="00D709D7" w:rsidRPr="005B2844" w:rsidRDefault="00D709D7" w:rsidP="0072602F">
      <w:pPr>
        <w:rPr>
          <w:szCs w:val="22"/>
          <w:shd w:val="clear" w:color="auto" w:fill="B3B3B3"/>
        </w:rPr>
      </w:pPr>
      <w:r w:rsidRPr="005B2844">
        <w:rPr>
          <w:szCs w:val="22"/>
          <w:shd w:val="clear" w:color="auto" w:fill="B3B3B3"/>
        </w:rPr>
        <w:t>56 compresse</w:t>
      </w:r>
    </w:p>
    <w:p w:rsidR="00D709D7" w:rsidRPr="005B2844" w:rsidRDefault="00D709D7" w:rsidP="0072602F">
      <w:pPr>
        <w:rPr>
          <w:szCs w:val="22"/>
          <w:shd w:val="clear" w:color="auto" w:fill="B3B3B3"/>
        </w:rPr>
      </w:pPr>
      <w:r w:rsidRPr="005B2844">
        <w:rPr>
          <w:szCs w:val="22"/>
          <w:shd w:val="clear" w:color="auto" w:fill="B3B3B3"/>
        </w:rPr>
        <w:t xml:space="preserve">90 </w:t>
      </w:r>
      <w:r w:rsidR="00AA0919" w:rsidRPr="005B2844">
        <w:rPr>
          <w:szCs w:val="22"/>
          <w:shd w:val="clear" w:color="auto" w:fill="B3B3B3"/>
        </w:rPr>
        <w:t xml:space="preserve">x 1 </w:t>
      </w:r>
      <w:r w:rsidRPr="005B2844">
        <w:rPr>
          <w:szCs w:val="22"/>
          <w:shd w:val="clear" w:color="auto" w:fill="B3B3B3"/>
        </w:rPr>
        <w:t>compresse</w:t>
      </w:r>
    </w:p>
    <w:p w:rsidR="00D709D7" w:rsidRPr="005B2844" w:rsidRDefault="00D709D7" w:rsidP="0072602F">
      <w:pPr>
        <w:rPr>
          <w:szCs w:val="22"/>
          <w:shd w:val="clear" w:color="auto" w:fill="B3B3B3"/>
        </w:rPr>
      </w:pPr>
      <w:r w:rsidRPr="005B2844">
        <w:rPr>
          <w:szCs w:val="22"/>
          <w:shd w:val="clear" w:color="auto" w:fill="B3B3B3"/>
        </w:rPr>
        <w:t>98 compresse</w:t>
      </w:r>
    </w:p>
    <w:p w:rsidR="00D709D7" w:rsidRPr="005B2844" w:rsidRDefault="00D709D7" w:rsidP="0072602F">
      <w:pPr>
        <w:rPr>
          <w:szCs w:val="22"/>
        </w:rPr>
      </w:pPr>
      <w:r w:rsidRPr="005B2844">
        <w:rPr>
          <w:szCs w:val="22"/>
          <w:shd w:val="clear" w:color="auto" w:fill="B3B3B3"/>
        </w:rPr>
        <w:t>28 x 1 compresse</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rPr>
          <w:i/>
          <w:szCs w:val="22"/>
          <w:lang w:val="it-IT"/>
        </w:rPr>
      </w:pPr>
      <w:r w:rsidRPr="005B2844">
        <w:rPr>
          <w:b/>
          <w:caps/>
          <w:szCs w:val="22"/>
          <w:lang w:val="it-IT"/>
        </w:rPr>
        <w:t>5.</w:t>
      </w:r>
      <w:r w:rsidRPr="005B2844">
        <w:rPr>
          <w:b/>
          <w:caps/>
          <w:szCs w:val="22"/>
          <w:lang w:val="it-IT"/>
        </w:rPr>
        <w:tab/>
        <w:t>MODO E VIA(E) DI SOMMINISTRAZIONE</w:t>
      </w:r>
    </w:p>
    <w:p w:rsidR="00D709D7" w:rsidRPr="005B2844" w:rsidRDefault="00D709D7" w:rsidP="0072602F">
      <w:pPr>
        <w:rPr>
          <w:szCs w:val="22"/>
        </w:rPr>
      </w:pPr>
    </w:p>
    <w:p w:rsidR="00D709D7" w:rsidRPr="005B2844" w:rsidRDefault="00984BE8" w:rsidP="0072602F">
      <w:pPr>
        <w:tabs>
          <w:tab w:val="left" w:pos="567"/>
        </w:tabs>
        <w:rPr>
          <w:szCs w:val="22"/>
        </w:rPr>
      </w:pPr>
      <w:r w:rsidRPr="005B2844">
        <w:rPr>
          <w:szCs w:val="22"/>
        </w:rPr>
        <w:t>Uso orale</w:t>
      </w:r>
    </w:p>
    <w:p w:rsidR="00D709D7" w:rsidRPr="005B2844" w:rsidRDefault="00D709D7" w:rsidP="0072602F">
      <w:pPr>
        <w:tabs>
          <w:tab w:val="left" w:pos="567"/>
        </w:tabs>
        <w:rPr>
          <w:noProof/>
          <w:szCs w:val="22"/>
        </w:rPr>
      </w:pPr>
      <w:r w:rsidRPr="005B2844">
        <w:rPr>
          <w:noProof/>
          <w:szCs w:val="22"/>
        </w:rPr>
        <w:t>Leggere il foglio illustrativo prima dell’uso.</w:t>
      </w:r>
    </w:p>
    <w:p w:rsidR="00D709D7" w:rsidRPr="005B2844" w:rsidRDefault="00D709D7" w:rsidP="0072602F">
      <w:pPr>
        <w:tabs>
          <w:tab w:val="left" w:pos="567"/>
        </w:tabs>
        <w:rPr>
          <w:szCs w:val="22"/>
        </w:rPr>
      </w:pPr>
    </w:p>
    <w:p w:rsidR="00D709D7" w:rsidRPr="005B2844" w:rsidRDefault="00D709D7" w:rsidP="0072602F">
      <w:pPr>
        <w:tabs>
          <w:tab w:val="left" w:pos="567"/>
        </w:tabs>
        <w:rPr>
          <w:szCs w:val="22"/>
        </w:rPr>
      </w:pPr>
    </w:p>
    <w:p w:rsidR="00D709D7" w:rsidRPr="005B2844" w:rsidRDefault="00D709D7" w:rsidP="0072602F">
      <w:pPr>
        <w:pStyle w:val="BodyText"/>
        <w:ind w:left="567" w:hanging="567"/>
        <w:rPr>
          <w:i/>
          <w:szCs w:val="22"/>
          <w:lang w:val="it-IT"/>
        </w:rPr>
      </w:pPr>
      <w:r w:rsidRPr="005B2844">
        <w:rPr>
          <w:b/>
          <w:caps/>
          <w:szCs w:val="22"/>
          <w:lang w:val="it-IT"/>
        </w:rPr>
        <w:t>6.</w:t>
      </w:r>
      <w:r w:rsidRPr="005B2844">
        <w:rPr>
          <w:b/>
          <w:caps/>
          <w:szCs w:val="22"/>
          <w:lang w:val="it-IT"/>
        </w:rPr>
        <w:tab/>
        <w:t xml:space="preserve">AVVERTENZA PARTICOLARE CHE PRESCRIVA DI TENERE IL MEDICINALE FUORI DALLA </w:t>
      </w:r>
      <w:r w:rsidR="00E009AC" w:rsidRPr="005B2844">
        <w:rPr>
          <w:b/>
          <w:caps/>
          <w:szCs w:val="22"/>
          <w:lang w:val="it-IT"/>
        </w:rPr>
        <w:t>VISTA</w:t>
      </w:r>
      <w:r w:rsidRPr="005B2844">
        <w:rPr>
          <w:b/>
          <w:caps/>
          <w:szCs w:val="22"/>
          <w:lang w:val="it-IT"/>
        </w:rPr>
        <w:t xml:space="preserve"> E DALLA </w:t>
      </w:r>
      <w:r w:rsidR="00E009AC" w:rsidRPr="005B2844">
        <w:rPr>
          <w:b/>
          <w:caps/>
          <w:szCs w:val="22"/>
          <w:lang w:val="it-IT"/>
        </w:rPr>
        <w:t>PORTATA</w:t>
      </w:r>
      <w:r w:rsidRPr="005B2844">
        <w:rPr>
          <w:b/>
          <w:caps/>
          <w:szCs w:val="22"/>
          <w:lang w:val="it-IT"/>
        </w:rPr>
        <w:t xml:space="preserve"> DEI BAMBINI</w:t>
      </w:r>
    </w:p>
    <w:p w:rsidR="002D3EFF" w:rsidRPr="005B2844" w:rsidRDefault="002D3EFF" w:rsidP="0072602F">
      <w:pPr>
        <w:pStyle w:val="BodyText20"/>
        <w:spacing w:line="240" w:lineRule="auto"/>
        <w:jc w:val="left"/>
        <w:rPr>
          <w:szCs w:val="22"/>
        </w:rPr>
      </w:pPr>
    </w:p>
    <w:p w:rsidR="00D709D7" w:rsidRPr="005B2844" w:rsidRDefault="00D709D7" w:rsidP="0072602F">
      <w:pPr>
        <w:pStyle w:val="BodyText20"/>
        <w:spacing w:line="240" w:lineRule="auto"/>
        <w:jc w:val="left"/>
        <w:rPr>
          <w:szCs w:val="22"/>
        </w:rPr>
      </w:pPr>
      <w:r w:rsidRPr="005B2844">
        <w:rPr>
          <w:szCs w:val="22"/>
        </w:rPr>
        <w:t xml:space="preserve">Tenere fuori dalla </w:t>
      </w:r>
      <w:r w:rsidR="00E009AC" w:rsidRPr="005B2844">
        <w:rPr>
          <w:szCs w:val="22"/>
        </w:rPr>
        <w:t>vista</w:t>
      </w:r>
      <w:r w:rsidRPr="005B2844">
        <w:rPr>
          <w:szCs w:val="22"/>
        </w:rPr>
        <w:t xml:space="preserve"> e dalla </w:t>
      </w:r>
      <w:r w:rsidR="00E009AC" w:rsidRPr="005B2844">
        <w:rPr>
          <w:szCs w:val="22"/>
        </w:rPr>
        <w:t>portata</w:t>
      </w:r>
      <w:r w:rsidRPr="005B2844">
        <w:rPr>
          <w:szCs w:val="22"/>
        </w:rPr>
        <w:t xml:space="preserve"> dei bambini.</w:t>
      </w:r>
    </w:p>
    <w:p w:rsidR="00D709D7" w:rsidRPr="005B2844" w:rsidRDefault="00D709D7" w:rsidP="0072602F">
      <w:pPr>
        <w:rPr>
          <w:szCs w:val="22"/>
        </w:rPr>
      </w:pPr>
    </w:p>
    <w:p w:rsidR="002D3EFF" w:rsidRPr="005B2844" w:rsidRDefault="002D3EFF" w:rsidP="0072602F">
      <w:pPr>
        <w:rPr>
          <w:szCs w:val="22"/>
        </w:rPr>
      </w:pPr>
    </w:p>
    <w:p w:rsidR="00D709D7" w:rsidRPr="005B2844" w:rsidRDefault="00D709D7" w:rsidP="0072602F">
      <w:pPr>
        <w:pStyle w:val="BodyText"/>
        <w:rPr>
          <w:i/>
          <w:szCs w:val="22"/>
          <w:lang w:val="it-IT"/>
        </w:rPr>
      </w:pPr>
      <w:r w:rsidRPr="005B2844">
        <w:rPr>
          <w:b/>
          <w:caps/>
          <w:szCs w:val="22"/>
          <w:lang w:val="it-IT"/>
        </w:rPr>
        <w:t>7.</w:t>
      </w:r>
      <w:r w:rsidRPr="005B2844">
        <w:rPr>
          <w:b/>
          <w:caps/>
          <w:szCs w:val="22"/>
          <w:lang w:val="it-IT"/>
        </w:rPr>
        <w:tab/>
        <w:t>ALTRA(E) AVVERTENZA(E) PARTICOLARE(I), SE NECESSARIO</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0709BC">
      <w:pPr>
        <w:pStyle w:val="BodyText"/>
        <w:keepNext/>
        <w:rPr>
          <w:szCs w:val="22"/>
          <w:lang w:val="it-IT"/>
        </w:rPr>
      </w:pPr>
      <w:r w:rsidRPr="005B2844">
        <w:rPr>
          <w:b/>
          <w:caps/>
          <w:szCs w:val="22"/>
          <w:lang w:val="it-IT"/>
        </w:rPr>
        <w:t>8.</w:t>
      </w:r>
      <w:r w:rsidRPr="005B2844">
        <w:rPr>
          <w:b/>
          <w:caps/>
          <w:szCs w:val="22"/>
          <w:lang w:val="it-IT"/>
        </w:rPr>
        <w:tab/>
        <w:t>DATA DI SCADENZA</w:t>
      </w:r>
    </w:p>
    <w:p w:rsidR="00D709D7" w:rsidRPr="005B2844" w:rsidRDefault="00D709D7" w:rsidP="000709BC">
      <w:pPr>
        <w:keepNext/>
        <w:rPr>
          <w:szCs w:val="22"/>
        </w:rPr>
      </w:pPr>
    </w:p>
    <w:p w:rsidR="00D709D7" w:rsidRPr="005B2844" w:rsidRDefault="00D709D7" w:rsidP="0072602F">
      <w:pPr>
        <w:rPr>
          <w:szCs w:val="22"/>
        </w:rPr>
      </w:pPr>
      <w:r w:rsidRPr="005B2844">
        <w:rPr>
          <w:szCs w:val="22"/>
        </w:rPr>
        <w:t>Scad.</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0709BC">
      <w:pPr>
        <w:pStyle w:val="BodyText"/>
        <w:keepNext/>
        <w:rPr>
          <w:szCs w:val="22"/>
          <w:lang w:val="it-IT"/>
        </w:rPr>
      </w:pPr>
      <w:r w:rsidRPr="005B2844">
        <w:rPr>
          <w:b/>
          <w:caps/>
          <w:szCs w:val="22"/>
          <w:lang w:val="it-IT"/>
        </w:rPr>
        <w:t>9.</w:t>
      </w:r>
      <w:r w:rsidRPr="005B2844">
        <w:rPr>
          <w:b/>
          <w:caps/>
          <w:szCs w:val="22"/>
          <w:lang w:val="it-IT"/>
        </w:rPr>
        <w:tab/>
        <w:t>PRECAUZIONI PARTICOLARI PER LA CONSERVAZIONE</w:t>
      </w:r>
    </w:p>
    <w:p w:rsidR="00D709D7" w:rsidRPr="005B2844" w:rsidRDefault="00D709D7" w:rsidP="000709BC">
      <w:pPr>
        <w:keepNext/>
        <w:rPr>
          <w:szCs w:val="22"/>
        </w:rPr>
      </w:pPr>
    </w:p>
    <w:p w:rsidR="00757546" w:rsidRPr="005B2844" w:rsidRDefault="00757546" w:rsidP="0072602F">
      <w:pPr>
        <w:rPr>
          <w:b/>
          <w:szCs w:val="22"/>
        </w:rPr>
      </w:pPr>
      <w:r w:rsidRPr="005B2844">
        <w:rPr>
          <w:b/>
          <w:szCs w:val="22"/>
        </w:rPr>
        <w:t xml:space="preserve">Questo medicinale non richiede alcuna </w:t>
      </w:r>
      <w:r w:rsidR="00E009AC" w:rsidRPr="005B2844">
        <w:rPr>
          <w:b/>
          <w:szCs w:val="22"/>
        </w:rPr>
        <w:t>temperatura</w:t>
      </w:r>
      <w:r w:rsidRPr="005B2844">
        <w:rPr>
          <w:b/>
          <w:szCs w:val="22"/>
        </w:rPr>
        <w:t xml:space="preserve"> particolare </w:t>
      </w:r>
      <w:r w:rsidR="001B3E4B" w:rsidRPr="005B2844">
        <w:rPr>
          <w:b/>
          <w:szCs w:val="22"/>
        </w:rPr>
        <w:t>di</w:t>
      </w:r>
      <w:r w:rsidRPr="005B2844">
        <w:rPr>
          <w:b/>
          <w:szCs w:val="22"/>
        </w:rPr>
        <w:t xml:space="preserve"> conservazione.</w:t>
      </w:r>
    </w:p>
    <w:p w:rsidR="00D709D7" w:rsidRPr="005B2844" w:rsidRDefault="00D709D7" w:rsidP="0072602F">
      <w:pPr>
        <w:rPr>
          <w:b/>
          <w:szCs w:val="22"/>
        </w:rPr>
      </w:pPr>
      <w:r w:rsidRPr="005B2844">
        <w:rPr>
          <w:b/>
          <w:szCs w:val="22"/>
        </w:rPr>
        <w:t xml:space="preserve">Conservare nella confezione originale per </w:t>
      </w:r>
      <w:r w:rsidR="00757546" w:rsidRPr="005B2844">
        <w:rPr>
          <w:b/>
          <w:szCs w:val="22"/>
        </w:rPr>
        <w:t>proteggere il medicinale</w:t>
      </w:r>
      <w:r w:rsidRPr="005B2844">
        <w:rPr>
          <w:b/>
          <w:szCs w:val="22"/>
        </w:rPr>
        <w:t xml:space="preserve"> dall’umidità.</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ind w:left="567" w:hanging="567"/>
        <w:rPr>
          <w:b/>
          <w:caps/>
          <w:szCs w:val="22"/>
          <w:lang w:val="it-IT"/>
        </w:rPr>
      </w:pPr>
      <w:r w:rsidRPr="005B2844">
        <w:rPr>
          <w:b/>
          <w:caps/>
          <w:szCs w:val="22"/>
          <w:lang w:val="it-IT"/>
        </w:rPr>
        <w:t>10.</w:t>
      </w:r>
      <w:r w:rsidRPr="005B2844">
        <w:rPr>
          <w:b/>
          <w:caps/>
          <w:szCs w:val="22"/>
          <w:lang w:val="it-IT"/>
        </w:rPr>
        <w:tab/>
        <w:t>PRECAUZIONI PARTICOLARI PER LO SMALTIMENTO DEL MEDICINALE NON UTILIZZATO O DEI RIFIUTI DERIVATI DA TALE MEDICINALE, SE NECESSARIO</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ind w:left="567" w:hanging="567"/>
        <w:rPr>
          <w:b/>
          <w:caps/>
          <w:szCs w:val="22"/>
          <w:lang w:val="it-IT"/>
        </w:rPr>
      </w:pPr>
      <w:r w:rsidRPr="005B2844">
        <w:rPr>
          <w:b/>
          <w:caps/>
          <w:szCs w:val="22"/>
          <w:lang w:val="it-IT"/>
        </w:rPr>
        <w:t>11.</w:t>
      </w:r>
      <w:r w:rsidRPr="005B2844">
        <w:rPr>
          <w:b/>
          <w:caps/>
          <w:szCs w:val="22"/>
          <w:lang w:val="it-IT"/>
        </w:rPr>
        <w:tab/>
        <w:t>NOME E INDIRIZZO DEL TITOLARE DELL’AUTORIZZAZIONE ALL’IMMISSIONE IN COMMERCIO</w:t>
      </w:r>
    </w:p>
    <w:p w:rsidR="00D709D7" w:rsidRPr="005B2844" w:rsidRDefault="00D709D7" w:rsidP="0072602F">
      <w:pPr>
        <w:rPr>
          <w:szCs w:val="22"/>
        </w:rPr>
      </w:pPr>
    </w:p>
    <w:p w:rsidR="00D709D7" w:rsidRPr="005B2844" w:rsidRDefault="00D709D7"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International GmbH</w:t>
      </w:r>
    </w:p>
    <w:p w:rsidR="00D709D7" w:rsidRPr="005B2844" w:rsidRDefault="00D709D7" w:rsidP="0072602F">
      <w:pPr>
        <w:rPr>
          <w:szCs w:val="22"/>
        </w:rPr>
      </w:pPr>
      <w:proofErr w:type="spellStart"/>
      <w:r w:rsidRPr="005B2844">
        <w:rPr>
          <w:szCs w:val="22"/>
        </w:rPr>
        <w:t>Binger</w:t>
      </w:r>
      <w:proofErr w:type="spellEnd"/>
      <w:r w:rsidRPr="005B2844">
        <w:rPr>
          <w:szCs w:val="22"/>
        </w:rPr>
        <w:t xml:space="preserve"> </w:t>
      </w:r>
      <w:proofErr w:type="spellStart"/>
      <w:r w:rsidRPr="005B2844">
        <w:rPr>
          <w:szCs w:val="22"/>
        </w:rPr>
        <w:t>Str</w:t>
      </w:r>
      <w:proofErr w:type="spellEnd"/>
      <w:r w:rsidRPr="005B2844">
        <w:rPr>
          <w:szCs w:val="22"/>
        </w:rPr>
        <w:t>. 173</w:t>
      </w:r>
    </w:p>
    <w:p w:rsidR="00D709D7" w:rsidRPr="005B2844" w:rsidRDefault="00D709D7" w:rsidP="0072602F">
      <w:pPr>
        <w:rPr>
          <w:szCs w:val="22"/>
        </w:rPr>
      </w:pPr>
      <w:r w:rsidRPr="005B2844">
        <w:rPr>
          <w:szCs w:val="22"/>
        </w:rPr>
        <w:t xml:space="preserve">D-55216 </w:t>
      </w:r>
      <w:proofErr w:type="spellStart"/>
      <w:r w:rsidRPr="005B2844">
        <w:rPr>
          <w:szCs w:val="22"/>
        </w:rPr>
        <w:t>Ingelheim</w:t>
      </w:r>
      <w:proofErr w:type="spellEnd"/>
      <w:r w:rsidRPr="005B2844">
        <w:rPr>
          <w:szCs w:val="22"/>
        </w:rPr>
        <w:t xml:space="preserve"> </w:t>
      </w:r>
      <w:proofErr w:type="spellStart"/>
      <w:r w:rsidRPr="005B2844">
        <w:rPr>
          <w:szCs w:val="22"/>
        </w:rPr>
        <w:t>am</w:t>
      </w:r>
      <w:proofErr w:type="spellEnd"/>
      <w:r w:rsidRPr="005B2844">
        <w:rPr>
          <w:szCs w:val="22"/>
        </w:rPr>
        <w:t xml:space="preserve"> </w:t>
      </w:r>
      <w:proofErr w:type="spellStart"/>
      <w:r w:rsidRPr="005B2844">
        <w:rPr>
          <w:szCs w:val="22"/>
        </w:rPr>
        <w:t>Rhein</w:t>
      </w:r>
      <w:proofErr w:type="spellEnd"/>
    </w:p>
    <w:p w:rsidR="00D709D7" w:rsidRPr="005B2844" w:rsidRDefault="00D709D7" w:rsidP="0072602F">
      <w:pPr>
        <w:rPr>
          <w:szCs w:val="22"/>
        </w:rPr>
      </w:pPr>
      <w:r w:rsidRPr="005B2844">
        <w:rPr>
          <w:szCs w:val="22"/>
        </w:rPr>
        <w:t>Germania</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ind w:left="567" w:hanging="567"/>
        <w:rPr>
          <w:szCs w:val="22"/>
          <w:lang w:val="it-IT"/>
        </w:rPr>
      </w:pPr>
      <w:r w:rsidRPr="005B2844">
        <w:rPr>
          <w:b/>
          <w:caps/>
          <w:szCs w:val="22"/>
          <w:lang w:val="it-IT"/>
        </w:rPr>
        <w:t>12.</w:t>
      </w:r>
      <w:r w:rsidRPr="005B2844">
        <w:rPr>
          <w:b/>
          <w:caps/>
          <w:szCs w:val="22"/>
          <w:lang w:val="it-IT"/>
        </w:rPr>
        <w:tab/>
        <w:t>NUMERO(I) DELL’AUTORIZZAZIONE ALL’IMMISSIONE IN COMMERCIO</w:t>
      </w:r>
    </w:p>
    <w:p w:rsidR="00D709D7" w:rsidRPr="005B2844" w:rsidRDefault="00D709D7" w:rsidP="0072602F">
      <w:pPr>
        <w:rPr>
          <w:szCs w:val="22"/>
        </w:rPr>
      </w:pPr>
    </w:p>
    <w:p w:rsidR="00415ED7" w:rsidRPr="005B2844" w:rsidRDefault="00415ED7" w:rsidP="0072602F">
      <w:pPr>
        <w:rPr>
          <w:szCs w:val="22"/>
        </w:rPr>
      </w:pPr>
      <w:r w:rsidRPr="005B2844">
        <w:rPr>
          <w:szCs w:val="22"/>
        </w:rPr>
        <w:t>EU/1/02/213/017</w:t>
      </w:r>
      <w:r w:rsidRPr="005B2844">
        <w:rPr>
          <w:szCs w:val="22"/>
        </w:rPr>
        <w:tab/>
      </w:r>
      <w:r w:rsidRPr="005B2844">
        <w:rPr>
          <w:szCs w:val="22"/>
        </w:rPr>
        <w:tab/>
        <w:t>14 compresse</w:t>
      </w:r>
    </w:p>
    <w:p w:rsidR="00415ED7" w:rsidRPr="005B2844" w:rsidRDefault="00415ED7" w:rsidP="0072602F">
      <w:pPr>
        <w:rPr>
          <w:szCs w:val="22"/>
          <w:shd w:val="clear" w:color="auto" w:fill="B3B3B3"/>
        </w:rPr>
      </w:pPr>
      <w:r w:rsidRPr="005B2844">
        <w:rPr>
          <w:szCs w:val="22"/>
          <w:shd w:val="clear" w:color="auto" w:fill="B3B3B3"/>
        </w:rPr>
        <w:t>EU/1/02/213/018</w:t>
      </w:r>
      <w:r w:rsidRPr="005B2844">
        <w:rPr>
          <w:szCs w:val="22"/>
          <w:shd w:val="clear" w:color="auto" w:fill="B3B3B3"/>
        </w:rPr>
        <w:tab/>
      </w:r>
      <w:r w:rsidRPr="005B2844">
        <w:rPr>
          <w:szCs w:val="22"/>
          <w:shd w:val="clear" w:color="auto" w:fill="B3B3B3"/>
        </w:rPr>
        <w:tab/>
        <w:t>28 compresse</w:t>
      </w:r>
    </w:p>
    <w:p w:rsidR="00415ED7" w:rsidRPr="005B2844" w:rsidRDefault="00415ED7" w:rsidP="0072602F">
      <w:pPr>
        <w:rPr>
          <w:szCs w:val="22"/>
          <w:shd w:val="clear" w:color="auto" w:fill="B3B3B3"/>
        </w:rPr>
      </w:pPr>
      <w:r w:rsidRPr="005B2844">
        <w:rPr>
          <w:szCs w:val="22"/>
          <w:shd w:val="clear" w:color="auto" w:fill="B3B3B3"/>
        </w:rPr>
        <w:t>EU/1/02/213/019</w:t>
      </w:r>
      <w:r w:rsidRPr="005B2844">
        <w:rPr>
          <w:szCs w:val="22"/>
          <w:shd w:val="clear" w:color="auto" w:fill="B3B3B3"/>
        </w:rPr>
        <w:tab/>
      </w:r>
      <w:r w:rsidRPr="005B2844">
        <w:rPr>
          <w:szCs w:val="22"/>
          <w:shd w:val="clear" w:color="auto" w:fill="B3B3B3"/>
        </w:rPr>
        <w:tab/>
        <w:t>28 x 1 compress</w:t>
      </w:r>
      <w:r w:rsidR="00FF2D9F" w:rsidRPr="005B2844">
        <w:rPr>
          <w:szCs w:val="22"/>
          <w:shd w:val="clear" w:color="auto" w:fill="B3B3B3"/>
        </w:rPr>
        <w:t>e</w:t>
      </w:r>
    </w:p>
    <w:p w:rsidR="00415ED7" w:rsidRPr="005B2844" w:rsidRDefault="00415ED7" w:rsidP="0072602F">
      <w:pPr>
        <w:rPr>
          <w:szCs w:val="22"/>
          <w:shd w:val="clear" w:color="auto" w:fill="B3B3B3"/>
        </w:rPr>
      </w:pPr>
      <w:r w:rsidRPr="005B2844">
        <w:rPr>
          <w:szCs w:val="22"/>
          <w:shd w:val="clear" w:color="auto" w:fill="B3B3B3"/>
        </w:rPr>
        <w:t>EU/1/02/213/020</w:t>
      </w:r>
      <w:r w:rsidRPr="005B2844">
        <w:rPr>
          <w:szCs w:val="22"/>
          <w:shd w:val="clear" w:color="auto" w:fill="B3B3B3"/>
        </w:rPr>
        <w:tab/>
      </w:r>
      <w:r w:rsidRPr="005B2844">
        <w:rPr>
          <w:szCs w:val="22"/>
          <w:shd w:val="clear" w:color="auto" w:fill="B3B3B3"/>
        </w:rPr>
        <w:tab/>
        <w:t xml:space="preserve">30 </w:t>
      </w:r>
      <w:r w:rsidR="00AA0919" w:rsidRPr="005B2844">
        <w:rPr>
          <w:szCs w:val="22"/>
          <w:shd w:val="clear" w:color="auto" w:fill="B3B3B3"/>
        </w:rPr>
        <w:t xml:space="preserve">x 1 </w:t>
      </w:r>
      <w:r w:rsidRPr="005B2844">
        <w:rPr>
          <w:szCs w:val="22"/>
          <w:shd w:val="clear" w:color="auto" w:fill="B3B3B3"/>
        </w:rPr>
        <w:t>compresse</w:t>
      </w:r>
    </w:p>
    <w:p w:rsidR="00415ED7" w:rsidRPr="005B2844" w:rsidRDefault="00415ED7" w:rsidP="0072602F">
      <w:pPr>
        <w:rPr>
          <w:szCs w:val="22"/>
          <w:shd w:val="clear" w:color="auto" w:fill="B3B3B3"/>
        </w:rPr>
      </w:pPr>
      <w:r w:rsidRPr="005B2844">
        <w:rPr>
          <w:szCs w:val="22"/>
          <w:shd w:val="clear" w:color="auto" w:fill="B3B3B3"/>
        </w:rPr>
        <w:t>EU/1/02/213/021</w:t>
      </w:r>
      <w:r w:rsidRPr="005B2844">
        <w:rPr>
          <w:szCs w:val="22"/>
          <w:shd w:val="clear" w:color="auto" w:fill="B3B3B3"/>
        </w:rPr>
        <w:tab/>
      </w:r>
      <w:r w:rsidRPr="005B2844">
        <w:rPr>
          <w:szCs w:val="22"/>
          <w:shd w:val="clear" w:color="auto" w:fill="B3B3B3"/>
        </w:rPr>
        <w:tab/>
        <w:t>56 compresse</w:t>
      </w:r>
    </w:p>
    <w:p w:rsidR="00415ED7" w:rsidRPr="005B2844" w:rsidRDefault="00415ED7" w:rsidP="0072602F">
      <w:pPr>
        <w:rPr>
          <w:szCs w:val="22"/>
          <w:shd w:val="clear" w:color="auto" w:fill="B3B3B3"/>
        </w:rPr>
      </w:pPr>
      <w:r w:rsidRPr="005B2844">
        <w:rPr>
          <w:szCs w:val="22"/>
          <w:shd w:val="clear" w:color="auto" w:fill="B3B3B3"/>
        </w:rPr>
        <w:t>EU/1/02/213/022</w:t>
      </w:r>
      <w:r w:rsidRPr="005B2844">
        <w:rPr>
          <w:szCs w:val="22"/>
          <w:shd w:val="clear" w:color="auto" w:fill="B3B3B3"/>
        </w:rPr>
        <w:tab/>
      </w:r>
      <w:r w:rsidRPr="005B2844">
        <w:rPr>
          <w:szCs w:val="22"/>
          <w:shd w:val="clear" w:color="auto" w:fill="B3B3B3"/>
        </w:rPr>
        <w:tab/>
        <w:t xml:space="preserve">90 </w:t>
      </w:r>
      <w:r w:rsidR="00AA0919" w:rsidRPr="005B2844">
        <w:rPr>
          <w:szCs w:val="22"/>
          <w:shd w:val="clear" w:color="auto" w:fill="B3B3B3"/>
        </w:rPr>
        <w:t xml:space="preserve">x 1 </w:t>
      </w:r>
      <w:r w:rsidRPr="005B2844">
        <w:rPr>
          <w:szCs w:val="22"/>
          <w:shd w:val="clear" w:color="auto" w:fill="B3B3B3"/>
        </w:rPr>
        <w:t>compresse</w:t>
      </w:r>
    </w:p>
    <w:p w:rsidR="00415ED7" w:rsidRPr="005B2844" w:rsidRDefault="00415ED7" w:rsidP="0072602F">
      <w:pPr>
        <w:rPr>
          <w:szCs w:val="22"/>
        </w:rPr>
      </w:pPr>
      <w:r w:rsidRPr="005B2844">
        <w:rPr>
          <w:szCs w:val="22"/>
          <w:shd w:val="clear" w:color="auto" w:fill="B3B3B3"/>
        </w:rPr>
        <w:t>EU/1/02/213/023</w:t>
      </w:r>
      <w:r w:rsidRPr="005B2844">
        <w:rPr>
          <w:szCs w:val="22"/>
          <w:shd w:val="clear" w:color="auto" w:fill="B3B3B3"/>
        </w:rPr>
        <w:tab/>
      </w:r>
      <w:r w:rsidRPr="005B2844">
        <w:rPr>
          <w:szCs w:val="22"/>
          <w:shd w:val="clear" w:color="auto" w:fill="B3B3B3"/>
        </w:rPr>
        <w:tab/>
        <w:t>98 compresse</w:t>
      </w:r>
    </w:p>
    <w:p w:rsidR="00415ED7" w:rsidRPr="005B2844" w:rsidRDefault="00415ED7" w:rsidP="0072602F">
      <w:pPr>
        <w:rPr>
          <w:szCs w:val="22"/>
        </w:rPr>
      </w:pPr>
    </w:p>
    <w:p w:rsidR="00D709D7" w:rsidRPr="005B2844" w:rsidRDefault="00D709D7" w:rsidP="0072602F">
      <w:pPr>
        <w:rPr>
          <w:szCs w:val="22"/>
        </w:rPr>
      </w:pPr>
    </w:p>
    <w:p w:rsidR="00D709D7" w:rsidRPr="005B2844" w:rsidRDefault="00D709D7" w:rsidP="0072602F">
      <w:pPr>
        <w:pStyle w:val="BodyText"/>
        <w:rPr>
          <w:szCs w:val="22"/>
          <w:lang w:val="it-IT"/>
        </w:rPr>
      </w:pPr>
      <w:r w:rsidRPr="005B2844">
        <w:rPr>
          <w:b/>
          <w:caps/>
          <w:szCs w:val="22"/>
          <w:lang w:val="it-IT"/>
        </w:rPr>
        <w:t>13.</w:t>
      </w:r>
      <w:r w:rsidRPr="005B2844">
        <w:rPr>
          <w:b/>
          <w:caps/>
          <w:szCs w:val="22"/>
          <w:lang w:val="it-IT"/>
        </w:rPr>
        <w:tab/>
        <w:t>NUMERO DI LOTTO</w:t>
      </w:r>
    </w:p>
    <w:p w:rsidR="00D709D7" w:rsidRPr="005B2844" w:rsidRDefault="00D709D7" w:rsidP="0072602F">
      <w:pPr>
        <w:rPr>
          <w:szCs w:val="22"/>
        </w:rPr>
      </w:pPr>
    </w:p>
    <w:p w:rsidR="00D709D7" w:rsidRPr="005B2844" w:rsidRDefault="00D709D7" w:rsidP="0072602F">
      <w:pPr>
        <w:rPr>
          <w:szCs w:val="22"/>
        </w:rPr>
      </w:pPr>
      <w:r w:rsidRPr="005B2844">
        <w:rPr>
          <w:szCs w:val="22"/>
        </w:rPr>
        <w:t>Lotto</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pBdr>
          <w:top w:val="single" w:sz="4" w:space="0" w:color="auto"/>
        </w:pBdr>
        <w:rPr>
          <w:szCs w:val="22"/>
          <w:lang w:val="it-IT"/>
        </w:rPr>
      </w:pPr>
      <w:r w:rsidRPr="005B2844">
        <w:rPr>
          <w:b/>
          <w:caps/>
          <w:szCs w:val="22"/>
          <w:lang w:val="it-IT"/>
        </w:rPr>
        <w:t>14.</w:t>
      </w:r>
      <w:r w:rsidRPr="005B2844">
        <w:rPr>
          <w:b/>
          <w:caps/>
          <w:szCs w:val="22"/>
          <w:lang w:val="it-IT"/>
        </w:rPr>
        <w:tab/>
        <w:t>CONDIZIONE GENERALE DI FORNITURA</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pBdr>
          <w:top w:val="single" w:sz="4" w:space="0" w:color="auto"/>
        </w:pBdr>
        <w:rPr>
          <w:b/>
          <w:caps/>
          <w:szCs w:val="22"/>
          <w:lang w:val="it-IT"/>
        </w:rPr>
      </w:pPr>
      <w:r w:rsidRPr="005B2844">
        <w:rPr>
          <w:b/>
          <w:caps/>
          <w:szCs w:val="22"/>
          <w:lang w:val="it-IT"/>
        </w:rPr>
        <w:t>15.</w:t>
      </w:r>
      <w:r w:rsidRPr="005B2844">
        <w:rPr>
          <w:b/>
          <w:caps/>
          <w:szCs w:val="22"/>
          <w:lang w:val="it-IT"/>
        </w:rPr>
        <w:tab/>
        <w:t>ISTRUZIONI PER L’USO</w:t>
      </w:r>
    </w:p>
    <w:p w:rsidR="00D709D7" w:rsidRPr="005B2844" w:rsidRDefault="00D709D7" w:rsidP="0072602F">
      <w:pPr>
        <w:rPr>
          <w:szCs w:val="22"/>
        </w:rPr>
      </w:pPr>
    </w:p>
    <w:p w:rsidR="00D709D7" w:rsidRPr="005B2844" w:rsidRDefault="00D709D7" w:rsidP="0072602F">
      <w:pPr>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709D7" w:rsidRPr="005B2844">
        <w:tblPrEx>
          <w:tblCellMar>
            <w:top w:w="0" w:type="dxa"/>
            <w:bottom w:w="0" w:type="dxa"/>
          </w:tblCellMar>
        </w:tblPrEx>
        <w:tc>
          <w:tcPr>
            <w:tcW w:w="9298" w:type="dxa"/>
          </w:tcPr>
          <w:p w:rsidR="00D709D7" w:rsidRPr="005B2844" w:rsidRDefault="00D709D7" w:rsidP="0072602F">
            <w:pPr>
              <w:suppressAutoHyphens/>
              <w:ind w:left="567" w:hanging="567"/>
              <w:rPr>
                <w:b/>
                <w:noProof/>
                <w:szCs w:val="22"/>
              </w:rPr>
            </w:pPr>
            <w:r w:rsidRPr="005B2844">
              <w:rPr>
                <w:b/>
                <w:noProof/>
                <w:szCs w:val="22"/>
              </w:rPr>
              <w:t>16.</w:t>
            </w:r>
            <w:r w:rsidRPr="005B2844">
              <w:rPr>
                <w:b/>
                <w:noProof/>
                <w:szCs w:val="22"/>
              </w:rPr>
              <w:tab/>
              <w:t>INFORMAZIONI IN BRAILLE</w:t>
            </w:r>
          </w:p>
        </w:tc>
      </w:tr>
    </w:tbl>
    <w:p w:rsidR="00D709D7" w:rsidRPr="005B2844" w:rsidRDefault="00D709D7" w:rsidP="0072602F">
      <w:pPr>
        <w:suppressAutoHyphens/>
        <w:rPr>
          <w:b/>
          <w:noProof/>
          <w:szCs w:val="22"/>
        </w:rPr>
      </w:pPr>
    </w:p>
    <w:p w:rsidR="00D709D7" w:rsidRPr="005B2844" w:rsidRDefault="00D709D7" w:rsidP="0072602F">
      <w:pPr>
        <w:suppressAutoHyphens/>
        <w:rPr>
          <w:szCs w:val="22"/>
        </w:rPr>
      </w:pPr>
      <w:proofErr w:type="spellStart"/>
      <w:r w:rsidRPr="005B2844">
        <w:rPr>
          <w:szCs w:val="22"/>
        </w:rPr>
        <w:t>MicardisPlus</w:t>
      </w:r>
      <w:proofErr w:type="spellEnd"/>
      <w:r w:rsidRPr="005B2844">
        <w:rPr>
          <w:szCs w:val="22"/>
        </w:rPr>
        <w:t xml:space="preserve"> 80 mg/25 mg</w:t>
      </w:r>
    </w:p>
    <w:p w:rsidR="00D709D7" w:rsidRPr="005B2844" w:rsidRDefault="00D709D7" w:rsidP="0072602F">
      <w:pPr>
        <w:rPr>
          <w:szCs w:val="22"/>
        </w:rPr>
      </w:pPr>
    </w:p>
    <w:p w:rsidR="00ED7B96" w:rsidRPr="005B2844" w:rsidRDefault="00ED7B96" w:rsidP="00ED7B96">
      <w:pPr>
        <w:pStyle w:val="BodyText"/>
        <w:pBdr>
          <w:top w:val="none" w:sz="0" w:space="0" w:color="auto"/>
          <w:left w:val="none" w:sz="0" w:space="0" w:color="auto"/>
          <w:bottom w:val="none" w:sz="0" w:space="0" w:color="auto"/>
          <w:right w:val="none" w:sz="0" w:space="0" w:color="auto"/>
        </w:pBdr>
        <w:rPr>
          <w:szCs w:val="22"/>
          <w:lang w:val="it-IT"/>
        </w:rPr>
      </w:pPr>
    </w:p>
    <w:p w:rsidR="00ED7B96" w:rsidRPr="005B2844" w:rsidRDefault="00ED7B96" w:rsidP="00ED7B96">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17.</w:t>
      </w:r>
      <w:r w:rsidRPr="005B2844">
        <w:rPr>
          <w:b/>
          <w:noProof/>
          <w:szCs w:val="22"/>
        </w:rPr>
        <w:tab/>
        <w:t>IDENTIFICATIVO UNICO – CODICE A BARRE BIDIMENSIONALE</w:t>
      </w:r>
    </w:p>
    <w:p w:rsidR="00ED7B96" w:rsidRPr="005B2844" w:rsidRDefault="00ED7B96" w:rsidP="00ED7B96">
      <w:pPr>
        <w:keepNext/>
        <w:keepLines/>
        <w:rPr>
          <w:noProof/>
          <w:szCs w:val="22"/>
        </w:rPr>
      </w:pPr>
    </w:p>
    <w:p w:rsidR="00ED7B96" w:rsidRPr="005B2844" w:rsidRDefault="00ED7B96" w:rsidP="00ED7B96">
      <w:pPr>
        <w:rPr>
          <w:noProof/>
          <w:szCs w:val="22"/>
          <w:shd w:val="clear" w:color="auto" w:fill="CCCCCC"/>
        </w:rPr>
      </w:pPr>
      <w:r w:rsidRPr="005B2844">
        <w:rPr>
          <w:noProof/>
          <w:szCs w:val="22"/>
          <w:highlight w:val="lightGray"/>
        </w:rPr>
        <w:t>Codice a barre bidimensionale con identificativo unico incluso.</w:t>
      </w:r>
    </w:p>
    <w:p w:rsidR="00ED7B96" w:rsidRPr="005B2844" w:rsidRDefault="00ED7B96" w:rsidP="00ED7B96">
      <w:pPr>
        <w:rPr>
          <w:noProof/>
          <w:vanish/>
          <w:szCs w:val="22"/>
        </w:rPr>
      </w:pPr>
    </w:p>
    <w:p w:rsidR="00ED7B96" w:rsidRPr="005B2844" w:rsidRDefault="00ED7B96" w:rsidP="00ED7B96">
      <w:pPr>
        <w:rPr>
          <w:noProof/>
          <w:vanish/>
          <w:szCs w:val="22"/>
        </w:rPr>
      </w:pPr>
    </w:p>
    <w:p w:rsidR="00ED7B96" w:rsidRPr="005B2844" w:rsidRDefault="00ED7B96" w:rsidP="00ED7B96">
      <w:pPr>
        <w:keepNext/>
        <w:keepLines/>
        <w:pBdr>
          <w:top w:val="single" w:sz="4" w:space="1" w:color="auto"/>
          <w:left w:val="single" w:sz="4" w:space="4" w:color="auto"/>
          <w:bottom w:val="single" w:sz="4" w:space="1" w:color="auto"/>
          <w:right w:val="single" w:sz="4" w:space="4" w:color="auto"/>
        </w:pBdr>
        <w:ind w:left="567" w:hanging="567"/>
        <w:rPr>
          <w:b/>
          <w:i/>
          <w:noProof/>
          <w:szCs w:val="22"/>
        </w:rPr>
      </w:pPr>
      <w:r w:rsidRPr="005B2844">
        <w:rPr>
          <w:b/>
          <w:noProof/>
          <w:szCs w:val="22"/>
        </w:rPr>
        <w:t>18.</w:t>
      </w:r>
      <w:r w:rsidRPr="005B2844">
        <w:rPr>
          <w:b/>
          <w:noProof/>
          <w:szCs w:val="22"/>
        </w:rPr>
        <w:tab/>
        <w:t>IDENTIFICATIVO UNICO - DATI LEGGIBILI</w:t>
      </w:r>
    </w:p>
    <w:p w:rsidR="00ED7B96" w:rsidRPr="005B2844" w:rsidRDefault="00ED7B96" w:rsidP="00ED7B96">
      <w:pPr>
        <w:keepNext/>
        <w:keepLines/>
        <w:rPr>
          <w:noProof/>
          <w:szCs w:val="22"/>
        </w:rPr>
      </w:pPr>
    </w:p>
    <w:p w:rsidR="00ED7B96" w:rsidRPr="005B2844" w:rsidRDefault="00ED7B96" w:rsidP="000709BC">
      <w:pPr>
        <w:keepNext/>
        <w:rPr>
          <w:szCs w:val="22"/>
        </w:rPr>
      </w:pPr>
      <w:r w:rsidRPr="005B2844">
        <w:rPr>
          <w:szCs w:val="22"/>
        </w:rPr>
        <w:t>PC: {numero} [codice del prodotto]</w:t>
      </w:r>
    </w:p>
    <w:p w:rsidR="00ED7B96" w:rsidRPr="005B2844" w:rsidRDefault="00ED7B96" w:rsidP="000709BC">
      <w:pPr>
        <w:keepNext/>
        <w:rPr>
          <w:szCs w:val="22"/>
        </w:rPr>
      </w:pPr>
      <w:r w:rsidRPr="005B2844">
        <w:rPr>
          <w:szCs w:val="22"/>
        </w:rPr>
        <w:t>SN: {numero} [numero di serie]</w:t>
      </w:r>
    </w:p>
    <w:p w:rsidR="00ED7B96" w:rsidRPr="005B2844" w:rsidRDefault="00ED7B96" w:rsidP="00ED7B96">
      <w:pPr>
        <w:rPr>
          <w:szCs w:val="22"/>
        </w:rPr>
      </w:pPr>
      <w:r w:rsidRPr="005B2844">
        <w:rPr>
          <w:szCs w:val="22"/>
        </w:rPr>
        <w:t>NN: {numero} [numero di rimborso nazionale o altro numero nazionale di identificazione del medicinale]</w:t>
      </w:r>
    </w:p>
    <w:p w:rsidR="00D709D7" w:rsidRPr="005B2844" w:rsidRDefault="00D709D7" w:rsidP="0072602F">
      <w:pPr>
        <w:pStyle w:val="BodyText"/>
        <w:pBdr>
          <w:top w:val="single" w:sz="4" w:space="0" w:color="auto"/>
          <w:left w:val="single" w:sz="4" w:space="3" w:color="auto"/>
        </w:pBdr>
        <w:rPr>
          <w:b/>
          <w:caps/>
          <w:szCs w:val="22"/>
          <w:lang w:val="it-IT"/>
        </w:rPr>
      </w:pPr>
      <w:r w:rsidRPr="005B2844">
        <w:rPr>
          <w:szCs w:val="22"/>
          <w:lang w:val="it-IT"/>
        </w:rPr>
        <w:br w:type="page"/>
      </w:r>
      <w:r w:rsidRPr="005B2844">
        <w:rPr>
          <w:b/>
          <w:caps/>
          <w:szCs w:val="22"/>
          <w:lang w:val="it-IT"/>
        </w:rPr>
        <w:t>INFORMAZIONI MINIME DA APPORRE SU BLISTER O STRIP</w:t>
      </w:r>
    </w:p>
    <w:p w:rsidR="00D709D7" w:rsidRPr="005B2844" w:rsidRDefault="00D709D7" w:rsidP="0072602F">
      <w:pPr>
        <w:pStyle w:val="BodyText"/>
        <w:pBdr>
          <w:top w:val="single" w:sz="4" w:space="0" w:color="auto"/>
          <w:left w:val="single" w:sz="4" w:space="3" w:color="auto"/>
        </w:pBdr>
        <w:rPr>
          <w:b/>
          <w:caps/>
          <w:szCs w:val="22"/>
          <w:lang w:val="it-IT"/>
        </w:rPr>
      </w:pPr>
    </w:p>
    <w:p w:rsidR="00D709D7" w:rsidRPr="005B2844" w:rsidRDefault="00D709D7" w:rsidP="0072602F">
      <w:pPr>
        <w:pStyle w:val="BodyText"/>
        <w:pBdr>
          <w:top w:val="single" w:sz="4" w:space="0" w:color="auto"/>
          <w:left w:val="single" w:sz="4" w:space="3" w:color="auto"/>
        </w:pBdr>
        <w:rPr>
          <w:b/>
          <w:szCs w:val="22"/>
          <w:lang w:val="it-IT"/>
        </w:rPr>
      </w:pPr>
      <w:r w:rsidRPr="005B2844">
        <w:rPr>
          <w:b/>
          <w:szCs w:val="22"/>
          <w:lang w:val="it-IT"/>
        </w:rPr>
        <w:t>Blister da 7 compresse</w:t>
      </w:r>
    </w:p>
    <w:p w:rsidR="00D709D7" w:rsidRPr="005B2844" w:rsidRDefault="00D709D7" w:rsidP="0072602F">
      <w:pPr>
        <w:rPr>
          <w:szCs w:val="22"/>
        </w:rPr>
      </w:pPr>
    </w:p>
    <w:p w:rsidR="00D709D7" w:rsidRPr="005B2844" w:rsidRDefault="00D709D7" w:rsidP="0072602F">
      <w:pPr>
        <w:tabs>
          <w:tab w:val="left" w:pos="0"/>
        </w:tabs>
        <w:rPr>
          <w:caps/>
          <w:szCs w:val="22"/>
        </w:rPr>
      </w:pPr>
    </w:p>
    <w:p w:rsidR="00D709D7" w:rsidRPr="005B2844" w:rsidRDefault="00D709D7" w:rsidP="0072602F">
      <w:pPr>
        <w:pStyle w:val="BodyText"/>
        <w:pBdr>
          <w:top w:val="single" w:sz="4" w:space="0" w:color="auto"/>
        </w:pBdr>
        <w:rPr>
          <w:b/>
          <w:szCs w:val="22"/>
          <w:lang w:val="it-IT"/>
        </w:rPr>
      </w:pPr>
      <w:r w:rsidRPr="005B2844">
        <w:rPr>
          <w:b/>
          <w:caps/>
          <w:szCs w:val="22"/>
          <w:lang w:val="it-IT"/>
        </w:rPr>
        <w:t>1.</w:t>
      </w:r>
      <w:r w:rsidRPr="005B2844">
        <w:rPr>
          <w:b/>
          <w:caps/>
          <w:szCs w:val="22"/>
          <w:lang w:val="it-IT"/>
        </w:rPr>
        <w:tab/>
        <w:t>DENOMINAZIONE DEL MEDICINALE</w:t>
      </w:r>
    </w:p>
    <w:p w:rsidR="00D709D7" w:rsidRPr="005B2844" w:rsidRDefault="00D709D7" w:rsidP="0072602F">
      <w:pPr>
        <w:rPr>
          <w:szCs w:val="22"/>
        </w:rPr>
      </w:pPr>
    </w:p>
    <w:p w:rsidR="00D709D7" w:rsidRPr="005B2844" w:rsidRDefault="008D48DD" w:rsidP="0072602F">
      <w:pPr>
        <w:rPr>
          <w:szCs w:val="22"/>
        </w:rPr>
      </w:pPr>
      <w:proofErr w:type="spellStart"/>
      <w:r w:rsidRPr="005B2844">
        <w:rPr>
          <w:szCs w:val="22"/>
        </w:rPr>
        <w:t>MicardisPlus</w:t>
      </w:r>
      <w:proofErr w:type="spellEnd"/>
      <w:r w:rsidRPr="005B2844">
        <w:rPr>
          <w:szCs w:val="22"/>
        </w:rPr>
        <w:t xml:space="preserve"> 80 mg/</w:t>
      </w:r>
      <w:r w:rsidR="00D709D7" w:rsidRPr="005B2844">
        <w:rPr>
          <w:szCs w:val="22"/>
        </w:rPr>
        <w:t>25 mg compresse</w:t>
      </w:r>
    </w:p>
    <w:p w:rsidR="00D709D7" w:rsidRPr="005B2844" w:rsidRDefault="00D709D7" w:rsidP="0072602F">
      <w:pPr>
        <w:tabs>
          <w:tab w:val="left" w:pos="0"/>
        </w:tabs>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D709D7" w:rsidRPr="005B2844" w:rsidRDefault="00D709D7" w:rsidP="0072602F">
      <w:pPr>
        <w:tabs>
          <w:tab w:val="left" w:pos="0"/>
        </w:tabs>
        <w:rPr>
          <w:szCs w:val="22"/>
        </w:rPr>
      </w:pPr>
    </w:p>
    <w:p w:rsidR="00D709D7" w:rsidRPr="005B2844" w:rsidRDefault="00D709D7" w:rsidP="0072602F">
      <w:pPr>
        <w:rPr>
          <w:szCs w:val="22"/>
        </w:rPr>
      </w:pPr>
    </w:p>
    <w:p w:rsidR="00D709D7" w:rsidRPr="005B2844" w:rsidRDefault="00D709D7" w:rsidP="00F541E7">
      <w:pPr>
        <w:pStyle w:val="BodyText"/>
        <w:pBdr>
          <w:top w:val="single" w:sz="4" w:space="0" w:color="auto"/>
        </w:pBdr>
        <w:ind w:left="567" w:hanging="567"/>
        <w:rPr>
          <w:szCs w:val="22"/>
          <w:lang w:val="it-IT"/>
        </w:rPr>
      </w:pPr>
      <w:r w:rsidRPr="005B2844">
        <w:rPr>
          <w:b/>
          <w:caps/>
          <w:szCs w:val="22"/>
          <w:lang w:val="it-IT"/>
        </w:rPr>
        <w:t>2.</w:t>
      </w:r>
      <w:r w:rsidRPr="005B2844">
        <w:rPr>
          <w:b/>
          <w:caps/>
          <w:szCs w:val="22"/>
          <w:lang w:val="it-IT"/>
        </w:rPr>
        <w:tab/>
        <w:t>NOME DEL TITOLARE DELL’AUTORIZZAZIONE ALL’IMMISSIONE IN COMMERCIO</w:t>
      </w:r>
    </w:p>
    <w:p w:rsidR="00D709D7" w:rsidRPr="005B2844" w:rsidRDefault="00D709D7" w:rsidP="0072602F">
      <w:pPr>
        <w:rPr>
          <w:szCs w:val="22"/>
        </w:rPr>
      </w:pPr>
    </w:p>
    <w:p w:rsidR="00D709D7" w:rsidRPr="005B2844" w:rsidRDefault="00D709D7"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pBdr>
          <w:top w:val="single" w:sz="4" w:space="0" w:color="auto"/>
        </w:pBdr>
        <w:rPr>
          <w:b/>
          <w:caps/>
          <w:szCs w:val="22"/>
          <w:lang w:val="it-IT"/>
        </w:rPr>
      </w:pPr>
      <w:r w:rsidRPr="005B2844">
        <w:rPr>
          <w:b/>
          <w:caps/>
          <w:szCs w:val="22"/>
          <w:lang w:val="it-IT"/>
        </w:rPr>
        <w:t>3.</w:t>
      </w:r>
      <w:r w:rsidRPr="005B2844">
        <w:rPr>
          <w:b/>
          <w:caps/>
          <w:szCs w:val="22"/>
          <w:lang w:val="it-IT"/>
        </w:rPr>
        <w:tab/>
        <w:t>DATA DI SCADENZA</w:t>
      </w:r>
    </w:p>
    <w:p w:rsidR="00D709D7" w:rsidRPr="005B2844" w:rsidRDefault="00D709D7" w:rsidP="0072602F">
      <w:pPr>
        <w:rPr>
          <w:szCs w:val="22"/>
        </w:rPr>
      </w:pPr>
    </w:p>
    <w:p w:rsidR="00D709D7" w:rsidRPr="005B2844" w:rsidRDefault="00D709D7" w:rsidP="0072602F">
      <w:pPr>
        <w:rPr>
          <w:szCs w:val="22"/>
        </w:rPr>
      </w:pPr>
      <w:r w:rsidRPr="005B2844">
        <w:rPr>
          <w:szCs w:val="22"/>
        </w:rPr>
        <w:t>Scad.</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pBdr>
          <w:top w:val="single" w:sz="4" w:space="0" w:color="auto"/>
        </w:pBdr>
        <w:rPr>
          <w:b/>
          <w:caps/>
          <w:szCs w:val="22"/>
          <w:lang w:val="it-IT"/>
        </w:rPr>
      </w:pPr>
      <w:r w:rsidRPr="005B2844">
        <w:rPr>
          <w:b/>
          <w:caps/>
          <w:szCs w:val="22"/>
          <w:lang w:val="it-IT"/>
        </w:rPr>
        <w:t>4.</w:t>
      </w:r>
      <w:r w:rsidRPr="005B2844">
        <w:rPr>
          <w:b/>
          <w:caps/>
          <w:szCs w:val="22"/>
          <w:lang w:val="it-IT"/>
        </w:rPr>
        <w:tab/>
        <w:t>NUMERO DI LOTTO</w:t>
      </w:r>
    </w:p>
    <w:p w:rsidR="00D709D7" w:rsidRPr="005B2844" w:rsidRDefault="00D709D7" w:rsidP="0072602F">
      <w:pPr>
        <w:rPr>
          <w:szCs w:val="22"/>
        </w:rPr>
      </w:pPr>
    </w:p>
    <w:p w:rsidR="00D709D7" w:rsidRPr="005B2844" w:rsidRDefault="00D709D7" w:rsidP="0072602F">
      <w:pPr>
        <w:rPr>
          <w:szCs w:val="22"/>
        </w:rPr>
      </w:pPr>
      <w:r w:rsidRPr="005B2844">
        <w:rPr>
          <w:szCs w:val="22"/>
        </w:rPr>
        <w:t>Lotto</w:t>
      </w:r>
    </w:p>
    <w:p w:rsidR="00D709D7" w:rsidRPr="005B2844" w:rsidRDefault="00D709D7" w:rsidP="0072602F">
      <w:pPr>
        <w:rPr>
          <w:szCs w:val="22"/>
        </w:rPr>
      </w:pPr>
    </w:p>
    <w:p w:rsidR="00D709D7" w:rsidRPr="005B2844" w:rsidRDefault="00D709D7" w:rsidP="0072602F">
      <w:pPr>
        <w:rPr>
          <w:szCs w:val="22"/>
        </w:rPr>
      </w:pPr>
    </w:p>
    <w:p w:rsidR="00D709D7" w:rsidRPr="005B2844" w:rsidRDefault="00D709D7" w:rsidP="0072602F">
      <w:pPr>
        <w:pStyle w:val="BodyText"/>
        <w:pBdr>
          <w:top w:val="single" w:sz="4" w:space="0" w:color="auto"/>
        </w:pBdr>
        <w:rPr>
          <w:b/>
          <w:caps/>
          <w:szCs w:val="22"/>
          <w:lang w:val="it-IT"/>
        </w:rPr>
      </w:pPr>
      <w:r w:rsidRPr="005B2844">
        <w:rPr>
          <w:b/>
          <w:caps/>
          <w:szCs w:val="22"/>
          <w:lang w:val="it-IT"/>
        </w:rPr>
        <w:t>5.</w:t>
      </w:r>
      <w:r w:rsidRPr="005B2844">
        <w:rPr>
          <w:b/>
          <w:caps/>
          <w:szCs w:val="22"/>
          <w:lang w:val="it-IT"/>
        </w:rPr>
        <w:tab/>
        <w:t>ALTRO</w:t>
      </w:r>
    </w:p>
    <w:p w:rsidR="00D709D7" w:rsidRPr="005B2844" w:rsidRDefault="00D709D7" w:rsidP="0072602F">
      <w:pPr>
        <w:rPr>
          <w:szCs w:val="22"/>
        </w:rPr>
      </w:pPr>
    </w:p>
    <w:p w:rsidR="00D709D7" w:rsidRPr="005B2844" w:rsidRDefault="00E17FCD" w:rsidP="0072602F">
      <w:pPr>
        <w:rPr>
          <w:szCs w:val="22"/>
        </w:rPr>
      </w:pPr>
      <w:r w:rsidRPr="005B2844">
        <w:rPr>
          <w:szCs w:val="22"/>
        </w:rPr>
        <w:t>lun.</w:t>
      </w:r>
    </w:p>
    <w:p w:rsidR="00D709D7" w:rsidRPr="005B2844" w:rsidRDefault="00E17FCD" w:rsidP="0072602F">
      <w:pPr>
        <w:rPr>
          <w:szCs w:val="22"/>
        </w:rPr>
      </w:pPr>
      <w:r w:rsidRPr="005B2844">
        <w:rPr>
          <w:szCs w:val="22"/>
        </w:rPr>
        <w:t>mar.</w:t>
      </w:r>
    </w:p>
    <w:p w:rsidR="00D709D7" w:rsidRPr="005B2844" w:rsidRDefault="00E17FCD" w:rsidP="0072602F">
      <w:pPr>
        <w:rPr>
          <w:szCs w:val="22"/>
        </w:rPr>
      </w:pPr>
      <w:r w:rsidRPr="005B2844">
        <w:rPr>
          <w:szCs w:val="22"/>
        </w:rPr>
        <w:t>mer.</w:t>
      </w:r>
    </w:p>
    <w:p w:rsidR="00D709D7" w:rsidRPr="005B2844" w:rsidRDefault="00E17FCD" w:rsidP="0072602F">
      <w:pPr>
        <w:rPr>
          <w:szCs w:val="22"/>
        </w:rPr>
      </w:pPr>
      <w:r w:rsidRPr="005B2844">
        <w:rPr>
          <w:szCs w:val="22"/>
        </w:rPr>
        <w:t>gio.</w:t>
      </w:r>
    </w:p>
    <w:p w:rsidR="00D709D7" w:rsidRPr="005B2844" w:rsidRDefault="00E17FCD" w:rsidP="0072602F">
      <w:pPr>
        <w:rPr>
          <w:szCs w:val="22"/>
        </w:rPr>
      </w:pPr>
      <w:r w:rsidRPr="005B2844">
        <w:rPr>
          <w:szCs w:val="22"/>
        </w:rPr>
        <w:t>ven.</w:t>
      </w:r>
    </w:p>
    <w:p w:rsidR="00D709D7" w:rsidRPr="005B2844" w:rsidRDefault="00E17FCD" w:rsidP="0072602F">
      <w:pPr>
        <w:rPr>
          <w:szCs w:val="22"/>
        </w:rPr>
      </w:pPr>
      <w:r w:rsidRPr="005B2844">
        <w:rPr>
          <w:szCs w:val="22"/>
        </w:rPr>
        <w:t>sab.</w:t>
      </w:r>
    </w:p>
    <w:p w:rsidR="00D709D7" w:rsidRPr="005B2844" w:rsidRDefault="00E17FCD" w:rsidP="0072602F">
      <w:pPr>
        <w:rPr>
          <w:szCs w:val="22"/>
        </w:rPr>
      </w:pPr>
      <w:r w:rsidRPr="005B2844">
        <w:rPr>
          <w:szCs w:val="22"/>
        </w:rPr>
        <w:t>dom.</w:t>
      </w:r>
    </w:p>
    <w:p w:rsidR="008D48DD" w:rsidRPr="005B2844" w:rsidRDefault="008D48DD" w:rsidP="0072602F">
      <w:pPr>
        <w:rPr>
          <w:szCs w:val="22"/>
        </w:rPr>
      </w:pPr>
      <w:r w:rsidRPr="005B2844">
        <w:rPr>
          <w:szCs w:val="22"/>
        </w:rPr>
        <w:br w:type="page"/>
      </w:r>
    </w:p>
    <w:p w:rsidR="008D48DD" w:rsidRPr="005B2844" w:rsidRDefault="008D48DD" w:rsidP="0072602F">
      <w:pPr>
        <w:pStyle w:val="BodyText"/>
        <w:pBdr>
          <w:top w:val="single" w:sz="4" w:space="0" w:color="auto"/>
          <w:left w:val="single" w:sz="4" w:space="3" w:color="auto"/>
        </w:pBdr>
        <w:rPr>
          <w:b/>
          <w:caps/>
          <w:szCs w:val="22"/>
          <w:lang w:val="it-IT"/>
        </w:rPr>
      </w:pPr>
      <w:r w:rsidRPr="005B2844">
        <w:rPr>
          <w:b/>
          <w:caps/>
          <w:szCs w:val="22"/>
          <w:lang w:val="it-IT"/>
        </w:rPr>
        <w:t>INFORMAZIONI MINIME DA APPORRE SU BLISTER O STRIP</w:t>
      </w:r>
    </w:p>
    <w:p w:rsidR="008D48DD" w:rsidRPr="005B2844" w:rsidRDefault="008D48DD" w:rsidP="0072602F">
      <w:pPr>
        <w:pStyle w:val="BodyText"/>
        <w:pBdr>
          <w:top w:val="single" w:sz="4" w:space="0" w:color="auto"/>
          <w:left w:val="single" w:sz="4" w:space="3" w:color="auto"/>
        </w:pBdr>
        <w:rPr>
          <w:b/>
          <w:caps/>
          <w:szCs w:val="22"/>
          <w:lang w:val="it-IT"/>
        </w:rPr>
      </w:pPr>
    </w:p>
    <w:p w:rsidR="008D48DD" w:rsidRPr="005B2844" w:rsidRDefault="008D48DD" w:rsidP="0072602F">
      <w:pPr>
        <w:pStyle w:val="BodyText"/>
        <w:pBdr>
          <w:top w:val="single" w:sz="4" w:space="0" w:color="auto"/>
          <w:left w:val="single" w:sz="4" w:space="3" w:color="auto"/>
        </w:pBdr>
        <w:rPr>
          <w:b/>
          <w:szCs w:val="22"/>
          <w:lang w:val="it-IT"/>
        </w:rPr>
      </w:pPr>
      <w:r w:rsidRPr="005B2844">
        <w:rPr>
          <w:b/>
          <w:caps/>
          <w:szCs w:val="22"/>
          <w:lang w:val="it-IT"/>
        </w:rPr>
        <w:t>B</w:t>
      </w:r>
      <w:r w:rsidRPr="005B2844">
        <w:rPr>
          <w:b/>
          <w:szCs w:val="22"/>
          <w:lang w:val="it-IT"/>
        </w:rPr>
        <w:t>lister divisibile per dose unitaria</w:t>
      </w:r>
      <w:r w:rsidR="00AA0919" w:rsidRPr="005B2844">
        <w:rPr>
          <w:b/>
          <w:szCs w:val="22"/>
          <w:lang w:val="it-IT"/>
        </w:rPr>
        <w:t xml:space="preserve"> </w:t>
      </w:r>
      <w:r w:rsidR="00854CEA" w:rsidRPr="005B2844">
        <w:rPr>
          <w:b/>
          <w:szCs w:val="22"/>
          <w:lang w:val="it-IT"/>
        </w:rPr>
        <w:t xml:space="preserve">da </w:t>
      </w:r>
      <w:r w:rsidR="00AA0919" w:rsidRPr="005B2844">
        <w:rPr>
          <w:b/>
          <w:szCs w:val="22"/>
          <w:lang w:val="it-IT"/>
        </w:rPr>
        <w:t>7 o 10</w:t>
      </w:r>
      <w:r w:rsidR="008E535D" w:rsidRPr="005B2844">
        <w:rPr>
          <w:b/>
          <w:szCs w:val="22"/>
          <w:lang w:val="it-IT"/>
        </w:rPr>
        <w:t xml:space="preserve"> </w:t>
      </w:r>
      <w:r w:rsidR="00854CEA" w:rsidRPr="005B2844">
        <w:rPr>
          <w:b/>
          <w:szCs w:val="22"/>
          <w:lang w:val="it-IT"/>
        </w:rPr>
        <w:t>compresse</w:t>
      </w:r>
      <w:r w:rsidRPr="005B2844">
        <w:rPr>
          <w:b/>
          <w:szCs w:val="22"/>
          <w:lang w:val="it-IT"/>
        </w:rPr>
        <w:t xml:space="preserve"> o </w:t>
      </w:r>
      <w:r w:rsidR="003D49E4" w:rsidRPr="005B2844">
        <w:rPr>
          <w:b/>
          <w:szCs w:val="22"/>
          <w:lang w:val="it-IT"/>
        </w:rPr>
        <w:t>ogni</w:t>
      </w:r>
      <w:r w:rsidRPr="005B2844">
        <w:rPr>
          <w:b/>
          <w:szCs w:val="22"/>
          <w:lang w:val="it-IT"/>
        </w:rPr>
        <w:t xml:space="preserve"> </w:t>
      </w:r>
      <w:r w:rsidR="00BB45A4" w:rsidRPr="005B2844">
        <w:rPr>
          <w:b/>
          <w:szCs w:val="22"/>
          <w:lang w:val="it-IT"/>
        </w:rPr>
        <w:t xml:space="preserve">altro </w:t>
      </w:r>
      <w:r w:rsidRPr="005B2844">
        <w:rPr>
          <w:b/>
          <w:szCs w:val="22"/>
          <w:lang w:val="it-IT"/>
        </w:rPr>
        <w:t xml:space="preserve">blister </w:t>
      </w:r>
      <w:r w:rsidR="003D49E4" w:rsidRPr="005B2844">
        <w:rPr>
          <w:b/>
          <w:szCs w:val="22"/>
          <w:lang w:val="it-IT"/>
        </w:rPr>
        <w:t>che non contenga</w:t>
      </w:r>
      <w:r w:rsidRPr="005B2844">
        <w:rPr>
          <w:b/>
          <w:szCs w:val="22"/>
          <w:lang w:val="it-IT"/>
        </w:rPr>
        <w:t xml:space="preserve"> 7 compresse</w:t>
      </w:r>
    </w:p>
    <w:p w:rsidR="008D48DD" w:rsidRPr="005B2844" w:rsidRDefault="008D48DD" w:rsidP="0072602F">
      <w:pPr>
        <w:rPr>
          <w:szCs w:val="22"/>
        </w:rPr>
      </w:pPr>
    </w:p>
    <w:p w:rsidR="008D48DD" w:rsidRPr="005B2844" w:rsidRDefault="008D48DD" w:rsidP="0072602F">
      <w:pPr>
        <w:tabs>
          <w:tab w:val="left" w:pos="0"/>
        </w:tabs>
        <w:rPr>
          <w:caps/>
          <w:szCs w:val="22"/>
        </w:rPr>
      </w:pPr>
    </w:p>
    <w:p w:rsidR="008D48DD" w:rsidRPr="005B2844" w:rsidRDefault="008D48DD" w:rsidP="0072602F">
      <w:pPr>
        <w:pStyle w:val="BodyText"/>
        <w:pBdr>
          <w:top w:val="single" w:sz="4" w:space="0" w:color="auto"/>
        </w:pBdr>
        <w:rPr>
          <w:b/>
          <w:szCs w:val="22"/>
          <w:lang w:val="it-IT"/>
        </w:rPr>
      </w:pPr>
      <w:r w:rsidRPr="005B2844">
        <w:rPr>
          <w:b/>
          <w:caps/>
          <w:szCs w:val="22"/>
          <w:lang w:val="it-IT"/>
        </w:rPr>
        <w:t>1.</w:t>
      </w:r>
      <w:r w:rsidRPr="005B2844">
        <w:rPr>
          <w:b/>
          <w:caps/>
          <w:szCs w:val="22"/>
          <w:lang w:val="it-IT"/>
        </w:rPr>
        <w:tab/>
        <w:t>DENOMINAZIONE DEL MEDICINALE</w:t>
      </w:r>
    </w:p>
    <w:p w:rsidR="008D48DD" w:rsidRPr="005B2844" w:rsidRDefault="008D48DD" w:rsidP="0072602F">
      <w:pPr>
        <w:rPr>
          <w:szCs w:val="22"/>
        </w:rPr>
      </w:pPr>
    </w:p>
    <w:p w:rsidR="008D48DD" w:rsidRPr="005B2844" w:rsidRDefault="008D48DD" w:rsidP="0072602F">
      <w:pPr>
        <w:rPr>
          <w:szCs w:val="22"/>
        </w:rPr>
      </w:pPr>
      <w:proofErr w:type="spellStart"/>
      <w:r w:rsidRPr="005B2844">
        <w:rPr>
          <w:szCs w:val="22"/>
        </w:rPr>
        <w:t>MicardisPlus</w:t>
      </w:r>
      <w:proofErr w:type="spellEnd"/>
      <w:r w:rsidRPr="005B2844">
        <w:rPr>
          <w:szCs w:val="22"/>
        </w:rPr>
        <w:t xml:space="preserve"> 80</w:t>
      </w:r>
      <w:r w:rsidR="00FF2D9F" w:rsidRPr="005B2844">
        <w:rPr>
          <w:szCs w:val="22"/>
        </w:rPr>
        <w:t> mg</w:t>
      </w:r>
      <w:r w:rsidRPr="005B2844">
        <w:rPr>
          <w:szCs w:val="22"/>
        </w:rPr>
        <w:t>/25 mg compresse</w:t>
      </w:r>
    </w:p>
    <w:p w:rsidR="008D48DD" w:rsidRPr="005B2844" w:rsidRDefault="008D48DD" w:rsidP="0072602F">
      <w:pPr>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8D48DD" w:rsidRPr="005B2844" w:rsidRDefault="008D48DD" w:rsidP="0072602F">
      <w:pPr>
        <w:rPr>
          <w:szCs w:val="22"/>
        </w:rPr>
      </w:pPr>
    </w:p>
    <w:p w:rsidR="008D48DD" w:rsidRPr="005B2844" w:rsidRDefault="008D48DD" w:rsidP="0072602F">
      <w:pPr>
        <w:rPr>
          <w:szCs w:val="22"/>
        </w:rPr>
      </w:pPr>
    </w:p>
    <w:p w:rsidR="008D48DD" w:rsidRPr="005B2844" w:rsidRDefault="008D48DD" w:rsidP="003740DC">
      <w:pPr>
        <w:pStyle w:val="BodyText"/>
        <w:pBdr>
          <w:top w:val="single" w:sz="4" w:space="0" w:color="auto"/>
        </w:pBdr>
        <w:ind w:left="567" w:hanging="567"/>
        <w:rPr>
          <w:szCs w:val="22"/>
          <w:lang w:val="it-IT"/>
        </w:rPr>
      </w:pPr>
      <w:r w:rsidRPr="005B2844">
        <w:rPr>
          <w:b/>
          <w:caps/>
          <w:szCs w:val="22"/>
          <w:lang w:val="it-IT"/>
        </w:rPr>
        <w:t>2.</w:t>
      </w:r>
      <w:r w:rsidRPr="005B2844">
        <w:rPr>
          <w:b/>
          <w:caps/>
          <w:szCs w:val="22"/>
          <w:lang w:val="it-IT"/>
        </w:rPr>
        <w:tab/>
        <w:t>NOME DEL TITOLARE DELL’AUTORIZZAZIONE ALL’IMMISSIONE IN COMMERCIO</w:t>
      </w:r>
    </w:p>
    <w:p w:rsidR="008D48DD" w:rsidRPr="005B2844" w:rsidRDefault="008D48DD" w:rsidP="0072602F">
      <w:pPr>
        <w:rPr>
          <w:szCs w:val="22"/>
        </w:rPr>
      </w:pPr>
    </w:p>
    <w:p w:rsidR="008D48DD" w:rsidRPr="005B2844" w:rsidRDefault="008D48DD" w:rsidP="0072602F">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shd w:val="clear" w:color="auto" w:fill="B3B3B3"/>
        </w:rPr>
        <w:t>Logo</w:t>
      </w:r>
      <w:r w:rsidRPr="005B2844">
        <w:rPr>
          <w:szCs w:val="22"/>
        </w:rPr>
        <w:t>)</w:t>
      </w:r>
    </w:p>
    <w:p w:rsidR="008D48DD" w:rsidRPr="005B2844" w:rsidRDefault="008D48DD" w:rsidP="0072602F">
      <w:pPr>
        <w:rPr>
          <w:szCs w:val="22"/>
        </w:rPr>
      </w:pPr>
    </w:p>
    <w:p w:rsidR="008D48DD" w:rsidRPr="005B2844" w:rsidRDefault="008D48DD" w:rsidP="0072602F">
      <w:pPr>
        <w:rPr>
          <w:szCs w:val="22"/>
        </w:rPr>
      </w:pPr>
    </w:p>
    <w:p w:rsidR="008D48DD" w:rsidRPr="005B2844" w:rsidRDefault="008D48DD" w:rsidP="0072602F">
      <w:pPr>
        <w:pStyle w:val="BodyText"/>
        <w:pBdr>
          <w:top w:val="single" w:sz="4" w:space="0" w:color="auto"/>
        </w:pBdr>
        <w:rPr>
          <w:b/>
          <w:caps/>
          <w:szCs w:val="22"/>
          <w:lang w:val="it-IT"/>
        </w:rPr>
      </w:pPr>
      <w:r w:rsidRPr="005B2844">
        <w:rPr>
          <w:b/>
          <w:caps/>
          <w:szCs w:val="22"/>
          <w:lang w:val="it-IT"/>
        </w:rPr>
        <w:t>3.</w:t>
      </w:r>
      <w:r w:rsidRPr="005B2844">
        <w:rPr>
          <w:b/>
          <w:caps/>
          <w:szCs w:val="22"/>
          <w:lang w:val="it-IT"/>
        </w:rPr>
        <w:tab/>
        <w:t>DATA DI SCADENZA</w:t>
      </w:r>
    </w:p>
    <w:p w:rsidR="008D48DD" w:rsidRPr="005B2844" w:rsidRDefault="008D48DD" w:rsidP="0072602F">
      <w:pPr>
        <w:rPr>
          <w:szCs w:val="22"/>
        </w:rPr>
      </w:pPr>
    </w:p>
    <w:p w:rsidR="008D48DD" w:rsidRPr="005B2844" w:rsidRDefault="008D48DD" w:rsidP="0072602F">
      <w:pPr>
        <w:rPr>
          <w:szCs w:val="22"/>
        </w:rPr>
      </w:pPr>
      <w:r w:rsidRPr="005B2844">
        <w:rPr>
          <w:szCs w:val="22"/>
        </w:rPr>
        <w:t>Scad.</w:t>
      </w:r>
    </w:p>
    <w:p w:rsidR="008D48DD" w:rsidRPr="005B2844" w:rsidRDefault="008D48DD" w:rsidP="0072602F">
      <w:pPr>
        <w:rPr>
          <w:szCs w:val="22"/>
        </w:rPr>
      </w:pPr>
    </w:p>
    <w:p w:rsidR="008D48DD" w:rsidRPr="005B2844" w:rsidRDefault="008D48DD" w:rsidP="0072602F">
      <w:pPr>
        <w:rPr>
          <w:szCs w:val="22"/>
        </w:rPr>
      </w:pPr>
    </w:p>
    <w:p w:rsidR="008D48DD" w:rsidRPr="005B2844" w:rsidRDefault="008D48DD" w:rsidP="0072602F">
      <w:pPr>
        <w:pStyle w:val="BodyText"/>
        <w:pBdr>
          <w:top w:val="single" w:sz="4" w:space="0" w:color="auto"/>
        </w:pBdr>
        <w:rPr>
          <w:b/>
          <w:caps/>
          <w:szCs w:val="22"/>
          <w:lang w:val="it-IT"/>
        </w:rPr>
      </w:pPr>
      <w:r w:rsidRPr="005B2844">
        <w:rPr>
          <w:b/>
          <w:caps/>
          <w:szCs w:val="22"/>
          <w:lang w:val="it-IT"/>
        </w:rPr>
        <w:t>4.</w:t>
      </w:r>
      <w:r w:rsidRPr="005B2844">
        <w:rPr>
          <w:b/>
          <w:caps/>
          <w:szCs w:val="22"/>
          <w:lang w:val="it-IT"/>
        </w:rPr>
        <w:tab/>
        <w:t>NUMERO DI LOTTO</w:t>
      </w:r>
    </w:p>
    <w:p w:rsidR="008D48DD" w:rsidRPr="005B2844" w:rsidRDefault="008D48DD" w:rsidP="0072602F">
      <w:pPr>
        <w:rPr>
          <w:szCs w:val="22"/>
        </w:rPr>
      </w:pPr>
    </w:p>
    <w:p w:rsidR="008D48DD" w:rsidRPr="005B2844" w:rsidRDefault="008D48DD" w:rsidP="0072602F">
      <w:pPr>
        <w:rPr>
          <w:szCs w:val="22"/>
        </w:rPr>
      </w:pPr>
      <w:r w:rsidRPr="005B2844">
        <w:rPr>
          <w:szCs w:val="22"/>
        </w:rPr>
        <w:t>Lotto</w:t>
      </w:r>
    </w:p>
    <w:p w:rsidR="008D48DD" w:rsidRPr="005B2844" w:rsidRDefault="008D48DD" w:rsidP="0072602F">
      <w:pPr>
        <w:rPr>
          <w:szCs w:val="22"/>
        </w:rPr>
      </w:pPr>
    </w:p>
    <w:p w:rsidR="008D48DD" w:rsidRPr="005B2844" w:rsidRDefault="008D48DD" w:rsidP="0072602F">
      <w:pPr>
        <w:rPr>
          <w:szCs w:val="22"/>
        </w:rPr>
      </w:pPr>
    </w:p>
    <w:p w:rsidR="008D48DD" w:rsidRPr="005B2844" w:rsidRDefault="008D48DD" w:rsidP="0072602F">
      <w:pPr>
        <w:pStyle w:val="BodyText"/>
        <w:pBdr>
          <w:top w:val="single" w:sz="4" w:space="0" w:color="auto"/>
        </w:pBdr>
        <w:rPr>
          <w:b/>
          <w:caps/>
          <w:szCs w:val="22"/>
          <w:lang w:val="it-IT"/>
        </w:rPr>
      </w:pPr>
      <w:r w:rsidRPr="005B2844">
        <w:rPr>
          <w:b/>
          <w:caps/>
          <w:szCs w:val="22"/>
          <w:lang w:val="it-IT"/>
        </w:rPr>
        <w:t>5.</w:t>
      </w:r>
      <w:r w:rsidRPr="005B2844">
        <w:rPr>
          <w:b/>
          <w:caps/>
          <w:szCs w:val="22"/>
          <w:lang w:val="it-IT"/>
        </w:rPr>
        <w:tab/>
        <w:t>ALTRO</w:t>
      </w:r>
    </w:p>
    <w:p w:rsidR="00A70FCB" w:rsidRPr="005B2844" w:rsidRDefault="00D709D7" w:rsidP="00873DC1">
      <w:pPr>
        <w:jc w:val="center"/>
        <w:rPr>
          <w:szCs w:val="22"/>
        </w:rPr>
      </w:pPr>
      <w:r w:rsidRPr="005B2844">
        <w:rPr>
          <w:szCs w:val="22"/>
        </w:rPr>
        <w:br w:type="page"/>
      </w: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873DC1">
      <w:pPr>
        <w:suppressAutoHyphens/>
        <w:jc w:val="center"/>
        <w:rPr>
          <w:szCs w:val="22"/>
        </w:rPr>
      </w:pPr>
    </w:p>
    <w:p w:rsidR="00A70FCB" w:rsidRPr="005B2844" w:rsidRDefault="00A70FCB" w:rsidP="009C7EDD">
      <w:pPr>
        <w:pStyle w:val="QRD1"/>
      </w:pPr>
      <w:r w:rsidRPr="005B2844">
        <w:t>B. FOGLIO ILLUSTRATIVO</w:t>
      </w:r>
    </w:p>
    <w:p w:rsidR="00324EBD" w:rsidRPr="005B2844" w:rsidRDefault="00A70FCB" w:rsidP="0072602F">
      <w:pPr>
        <w:suppressAutoHyphens/>
        <w:jc w:val="center"/>
        <w:rPr>
          <w:b/>
          <w:szCs w:val="22"/>
        </w:rPr>
      </w:pPr>
      <w:r w:rsidRPr="005B2844">
        <w:rPr>
          <w:szCs w:val="22"/>
        </w:rPr>
        <w:br w:type="page"/>
      </w:r>
      <w:r w:rsidR="00563AA9" w:rsidRPr="005B2844">
        <w:rPr>
          <w:b/>
          <w:szCs w:val="22"/>
        </w:rPr>
        <w:t>Foglio illustrativo: informazioni per l’utilizzatore</w:t>
      </w:r>
    </w:p>
    <w:p w:rsidR="00324EBD" w:rsidRPr="005B2844" w:rsidRDefault="00324EBD" w:rsidP="0072602F">
      <w:pPr>
        <w:suppressAutoHyphens/>
        <w:jc w:val="center"/>
        <w:rPr>
          <w:b/>
          <w:szCs w:val="22"/>
        </w:rPr>
      </w:pPr>
    </w:p>
    <w:p w:rsidR="00324EBD" w:rsidRPr="005B2844" w:rsidRDefault="00324EBD" w:rsidP="0072602F">
      <w:pPr>
        <w:suppressAutoHyphens/>
        <w:jc w:val="center"/>
        <w:rPr>
          <w:szCs w:val="22"/>
        </w:rPr>
      </w:pPr>
      <w:proofErr w:type="spellStart"/>
      <w:r w:rsidRPr="005B2844">
        <w:rPr>
          <w:b/>
          <w:szCs w:val="22"/>
        </w:rPr>
        <w:t>MicardisPlus</w:t>
      </w:r>
      <w:proofErr w:type="spellEnd"/>
      <w:r w:rsidRPr="005B2844">
        <w:rPr>
          <w:b/>
          <w:szCs w:val="22"/>
        </w:rPr>
        <w:t xml:space="preserve"> 40 mg/12,5</w:t>
      </w:r>
      <w:r w:rsidR="00737FB7" w:rsidRPr="005B2844">
        <w:rPr>
          <w:b/>
          <w:szCs w:val="22"/>
        </w:rPr>
        <w:t> </w:t>
      </w:r>
      <w:r w:rsidRPr="005B2844">
        <w:rPr>
          <w:b/>
          <w:szCs w:val="22"/>
        </w:rPr>
        <w:t>mg compresse</w:t>
      </w:r>
    </w:p>
    <w:p w:rsidR="00A70FCB" w:rsidRPr="005B2844" w:rsidRDefault="00324EBD" w:rsidP="0072602F">
      <w:pPr>
        <w:pStyle w:val="BodyText20"/>
        <w:spacing w:line="240" w:lineRule="auto"/>
        <w:jc w:val="center"/>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A70FCB" w:rsidRPr="005B2844" w:rsidRDefault="00A70FCB" w:rsidP="0072602F">
      <w:pPr>
        <w:jc w:val="center"/>
        <w:rPr>
          <w:szCs w:val="22"/>
        </w:rPr>
      </w:pPr>
    </w:p>
    <w:p w:rsidR="001111C5" w:rsidRPr="005B2844" w:rsidRDefault="00A70FCB" w:rsidP="0072602F">
      <w:pPr>
        <w:rPr>
          <w:b/>
          <w:szCs w:val="22"/>
        </w:rPr>
      </w:pPr>
      <w:r w:rsidRPr="005B2844">
        <w:rPr>
          <w:b/>
          <w:szCs w:val="22"/>
        </w:rPr>
        <w:t xml:space="preserve">Legga attentamente questo foglio prima di prendere </w:t>
      </w:r>
      <w:r w:rsidR="00324EBD" w:rsidRPr="005B2844">
        <w:rPr>
          <w:b/>
          <w:szCs w:val="22"/>
        </w:rPr>
        <w:t xml:space="preserve">questo </w:t>
      </w:r>
      <w:r w:rsidRPr="005B2844">
        <w:rPr>
          <w:b/>
          <w:szCs w:val="22"/>
        </w:rPr>
        <w:t>medicinale</w:t>
      </w:r>
      <w:r w:rsidR="00DA7EE4" w:rsidRPr="005B2844">
        <w:rPr>
          <w:rFonts w:eastAsia="SimSun"/>
          <w:b/>
          <w:noProof/>
          <w:snapToGrid w:val="0"/>
          <w:szCs w:val="22"/>
          <w:lang w:eastAsia="zh-CN"/>
        </w:rPr>
        <w:t xml:space="preserve"> </w:t>
      </w:r>
      <w:r w:rsidR="00DA7EE4" w:rsidRPr="005B2844">
        <w:rPr>
          <w:b/>
          <w:szCs w:val="22"/>
        </w:rPr>
        <w:t>perché contiene importanti informazioni per lei</w:t>
      </w:r>
      <w:r w:rsidRPr="005B2844">
        <w:rPr>
          <w:b/>
          <w:szCs w:val="22"/>
        </w:rPr>
        <w:t>.</w:t>
      </w:r>
    </w:p>
    <w:p w:rsidR="00A70FCB" w:rsidRPr="005B2844" w:rsidRDefault="00A70FCB" w:rsidP="0072602F">
      <w:pPr>
        <w:tabs>
          <w:tab w:val="left" w:pos="567"/>
        </w:tabs>
        <w:rPr>
          <w:szCs w:val="22"/>
        </w:rPr>
      </w:pPr>
      <w:r w:rsidRPr="005B2844">
        <w:rPr>
          <w:szCs w:val="22"/>
        </w:rPr>
        <w:t>-</w:t>
      </w:r>
      <w:r w:rsidRPr="005B2844">
        <w:rPr>
          <w:szCs w:val="22"/>
        </w:rPr>
        <w:tab/>
        <w:t>Conservi questo foglio. Potrebbe aver bisogno di leggerlo di nuovo.</w:t>
      </w:r>
    </w:p>
    <w:p w:rsidR="00A70FCB" w:rsidRPr="005B2844" w:rsidRDefault="00A70FCB" w:rsidP="0072602F">
      <w:pPr>
        <w:tabs>
          <w:tab w:val="left" w:pos="567"/>
        </w:tabs>
        <w:rPr>
          <w:szCs w:val="22"/>
        </w:rPr>
      </w:pPr>
      <w:r w:rsidRPr="005B2844">
        <w:rPr>
          <w:szCs w:val="22"/>
        </w:rPr>
        <w:t>-</w:t>
      </w:r>
      <w:r w:rsidRPr="005B2844">
        <w:rPr>
          <w:szCs w:val="22"/>
        </w:rPr>
        <w:tab/>
        <w:t xml:space="preserve">Se ha </w:t>
      </w:r>
      <w:r w:rsidR="00324EBD" w:rsidRPr="005B2844">
        <w:rPr>
          <w:szCs w:val="22"/>
        </w:rPr>
        <w:t xml:space="preserve">qualsiasi </w:t>
      </w:r>
      <w:r w:rsidRPr="005B2844">
        <w:rPr>
          <w:szCs w:val="22"/>
        </w:rPr>
        <w:t>dubbi</w:t>
      </w:r>
      <w:r w:rsidR="00324EBD" w:rsidRPr="005B2844">
        <w:rPr>
          <w:szCs w:val="22"/>
        </w:rPr>
        <w:t>o</w:t>
      </w:r>
      <w:r w:rsidRPr="005B2844">
        <w:rPr>
          <w:szCs w:val="22"/>
        </w:rPr>
        <w:t>, si rivolga al medico o al farmacista.</w:t>
      </w:r>
    </w:p>
    <w:p w:rsidR="00A70FCB" w:rsidRPr="005B2844" w:rsidRDefault="00A70FCB" w:rsidP="0072602F">
      <w:pPr>
        <w:tabs>
          <w:tab w:val="left" w:pos="567"/>
        </w:tabs>
        <w:ind w:left="567" w:hanging="567"/>
        <w:rPr>
          <w:szCs w:val="22"/>
        </w:rPr>
      </w:pPr>
      <w:r w:rsidRPr="005B2844">
        <w:rPr>
          <w:szCs w:val="22"/>
        </w:rPr>
        <w:t>-</w:t>
      </w:r>
      <w:r w:rsidRPr="005B2844">
        <w:rPr>
          <w:szCs w:val="22"/>
        </w:rPr>
        <w:tab/>
        <w:t xml:space="preserve">Questo medicinale è stato prescritto </w:t>
      </w:r>
      <w:r w:rsidR="00DA7EE4" w:rsidRPr="005B2844">
        <w:rPr>
          <w:szCs w:val="22"/>
        </w:rPr>
        <w:t xml:space="preserve">soltanto </w:t>
      </w:r>
      <w:r w:rsidRPr="005B2844">
        <w:rPr>
          <w:szCs w:val="22"/>
        </w:rPr>
        <w:t xml:space="preserve">per lei. Non lo dia ad </w:t>
      </w:r>
      <w:r w:rsidR="00B46C6B" w:rsidRPr="005B2844">
        <w:rPr>
          <w:szCs w:val="22"/>
        </w:rPr>
        <w:t>altre persone</w:t>
      </w:r>
      <w:r w:rsidRPr="005B2844">
        <w:rPr>
          <w:szCs w:val="22"/>
        </w:rPr>
        <w:t xml:space="preserve">, anche se i sintomi </w:t>
      </w:r>
      <w:r w:rsidR="00DA7EE4" w:rsidRPr="005B2844">
        <w:rPr>
          <w:szCs w:val="22"/>
        </w:rPr>
        <w:t xml:space="preserve">della malattia </w:t>
      </w:r>
      <w:r w:rsidRPr="005B2844">
        <w:rPr>
          <w:szCs w:val="22"/>
        </w:rPr>
        <w:t>sono uguali ai suoi</w:t>
      </w:r>
      <w:r w:rsidR="00B46C6B" w:rsidRPr="005B2844">
        <w:rPr>
          <w:szCs w:val="22"/>
        </w:rPr>
        <w:t>, perché potrebbe essere pericoloso</w:t>
      </w:r>
      <w:r w:rsidRPr="005B2844">
        <w:rPr>
          <w:szCs w:val="22"/>
        </w:rPr>
        <w:t>.</w:t>
      </w:r>
    </w:p>
    <w:p w:rsidR="00324EBD" w:rsidRPr="005B2844" w:rsidRDefault="00324EBD" w:rsidP="0072602F">
      <w:pPr>
        <w:tabs>
          <w:tab w:val="left" w:pos="567"/>
        </w:tabs>
        <w:ind w:left="567" w:hanging="567"/>
        <w:rPr>
          <w:szCs w:val="22"/>
        </w:rPr>
      </w:pPr>
      <w:r w:rsidRPr="005B2844">
        <w:rPr>
          <w:noProof/>
          <w:szCs w:val="22"/>
        </w:rPr>
        <w:t>-</w:t>
      </w:r>
      <w:r w:rsidRPr="005B2844">
        <w:rPr>
          <w:noProof/>
          <w:szCs w:val="22"/>
        </w:rPr>
        <w:tab/>
        <w:t xml:space="preserve">Se </w:t>
      </w:r>
      <w:r w:rsidR="00DA7EE4" w:rsidRPr="005B2844">
        <w:rPr>
          <w:noProof/>
          <w:szCs w:val="22"/>
        </w:rPr>
        <w:t>si manifesta</w:t>
      </w:r>
      <w:r w:rsidRPr="005B2844">
        <w:rPr>
          <w:noProof/>
          <w:szCs w:val="22"/>
        </w:rPr>
        <w:t xml:space="preserve"> un qualsiasi effetto indesiderato</w:t>
      </w:r>
      <w:r w:rsidR="00DA7EE4" w:rsidRPr="005B2844">
        <w:rPr>
          <w:noProof/>
          <w:szCs w:val="22"/>
        </w:rPr>
        <w:t>,</w:t>
      </w:r>
      <w:r w:rsidRPr="005B2844">
        <w:rPr>
          <w:noProof/>
          <w:szCs w:val="22"/>
        </w:rPr>
        <w:t xml:space="preserve"> </w:t>
      </w:r>
      <w:r w:rsidR="00DA7EE4" w:rsidRPr="005B2844">
        <w:rPr>
          <w:noProof/>
          <w:szCs w:val="22"/>
        </w:rPr>
        <w:t xml:space="preserve">compresi quelli </w:t>
      </w:r>
      <w:r w:rsidRPr="005B2844">
        <w:rPr>
          <w:noProof/>
          <w:szCs w:val="22"/>
        </w:rPr>
        <w:t xml:space="preserve">non </w:t>
      </w:r>
      <w:r w:rsidR="00DA7EE4" w:rsidRPr="005B2844">
        <w:rPr>
          <w:noProof/>
          <w:szCs w:val="22"/>
        </w:rPr>
        <w:t>elencati</w:t>
      </w:r>
      <w:r w:rsidRPr="005B2844">
        <w:rPr>
          <w:noProof/>
          <w:szCs w:val="22"/>
        </w:rPr>
        <w:t xml:space="preserve"> in questo foglio, </w:t>
      </w:r>
      <w:r w:rsidR="00DA7EE4" w:rsidRPr="005B2844">
        <w:rPr>
          <w:noProof/>
          <w:szCs w:val="22"/>
        </w:rPr>
        <w:t>si rivolga al</w:t>
      </w:r>
      <w:r w:rsidRPr="005B2844">
        <w:rPr>
          <w:noProof/>
          <w:szCs w:val="22"/>
        </w:rPr>
        <w:t xml:space="preserve"> medico o </w:t>
      </w:r>
      <w:r w:rsidR="00DA7EE4" w:rsidRPr="005B2844">
        <w:rPr>
          <w:noProof/>
          <w:szCs w:val="22"/>
        </w:rPr>
        <w:t>al</w:t>
      </w:r>
      <w:r w:rsidRPr="005B2844">
        <w:rPr>
          <w:noProof/>
          <w:szCs w:val="22"/>
        </w:rPr>
        <w:t xml:space="preserve"> farmacista.</w:t>
      </w:r>
      <w:r w:rsidR="00F84023" w:rsidRPr="005B2844">
        <w:rPr>
          <w:noProof/>
          <w:szCs w:val="22"/>
        </w:rPr>
        <w:t xml:space="preserve"> Vedere paragrafo 4.</w:t>
      </w:r>
    </w:p>
    <w:p w:rsidR="00A70FCB" w:rsidRPr="005B2844" w:rsidRDefault="00A70FCB" w:rsidP="0072602F">
      <w:pPr>
        <w:rPr>
          <w:szCs w:val="22"/>
        </w:rPr>
      </w:pPr>
    </w:p>
    <w:p w:rsidR="00A70FCB" w:rsidRPr="005B2844" w:rsidRDefault="00A70FCB" w:rsidP="0072602F">
      <w:pPr>
        <w:rPr>
          <w:b/>
          <w:szCs w:val="22"/>
        </w:rPr>
      </w:pPr>
      <w:r w:rsidRPr="005B2844">
        <w:rPr>
          <w:b/>
          <w:szCs w:val="22"/>
        </w:rPr>
        <w:t>Contenuto di questo foglio</w:t>
      </w:r>
    </w:p>
    <w:p w:rsidR="000D4540" w:rsidRPr="005B2844" w:rsidRDefault="000D4540" w:rsidP="0072602F">
      <w:pPr>
        <w:rPr>
          <w:b/>
          <w:szCs w:val="22"/>
        </w:rPr>
      </w:pPr>
    </w:p>
    <w:p w:rsidR="00A70FCB" w:rsidRPr="005B2844" w:rsidRDefault="00A70FCB" w:rsidP="009536AB">
      <w:pPr>
        <w:numPr>
          <w:ilvl w:val="0"/>
          <w:numId w:val="6"/>
        </w:numPr>
        <w:rPr>
          <w:szCs w:val="22"/>
        </w:rPr>
      </w:pPr>
      <w:r w:rsidRPr="005B2844">
        <w:rPr>
          <w:szCs w:val="22"/>
        </w:rPr>
        <w:t>Cos</w:t>
      </w:r>
      <w:r w:rsidR="00DD6652" w:rsidRPr="005B2844">
        <w:rPr>
          <w:szCs w:val="22"/>
        </w:rPr>
        <w:t>’</w:t>
      </w:r>
      <w:r w:rsidRPr="005B2844">
        <w:rPr>
          <w:szCs w:val="22"/>
        </w:rPr>
        <w:t xml:space="preserve">è </w:t>
      </w:r>
      <w:proofErr w:type="spellStart"/>
      <w:r w:rsidRPr="005B2844">
        <w:rPr>
          <w:szCs w:val="22"/>
        </w:rPr>
        <w:t>MicardisPlus</w:t>
      </w:r>
      <w:proofErr w:type="spellEnd"/>
      <w:r w:rsidRPr="005B2844">
        <w:rPr>
          <w:szCs w:val="22"/>
        </w:rPr>
        <w:t xml:space="preserve"> e a cosa serve</w:t>
      </w:r>
    </w:p>
    <w:p w:rsidR="00A70FCB" w:rsidRPr="005B2844" w:rsidRDefault="00D45615" w:rsidP="009536AB">
      <w:pPr>
        <w:numPr>
          <w:ilvl w:val="0"/>
          <w:numId w:val="6"/>
        </w:numPr>
        <w:rPr>
          <w:szCs w:val="22"/>
        </w:rPr>
      </w:pPr>
      <w:r w:rsidRPr="005B2844">
        <w:rPr>
          <w:szCs w:val="22"/>
        </w:rPr>
        <w:t>Cosa deve sapere p</w:t>
      </w:r>
      <w:r w:rsidR="00A70FCB" w:rsidRPr="005B2844">
        <w:rPr>
          <w:szCs w:val="22"/>
        </w:rPr>
        <w:t xml:space="preserve">rima di prendere </w:t>
      </w:r>
      <w:proofErr w:type="spellStart"/>
      <w:r w:rsidR="00A70FCB" w:rsidRPr="005B2844">
        <w:rPr>
          <w:szCs w:val="22"/>
        </w:rPr>
        <w:t>MicardisPlus</w:t>
      </w:r>
      <w:proofErr w:type="spellEnd"/>
    </w:p>
    <w:p w:rsidR="00A70FCB" w:rsidRPr="005B2844" w:rsidRDefault="00A70FCB" w:rsidP="009536AB">
      <w:pPr>
        <w:numPr>
          <w:ilvl w:val="0"/>
          <w:numId w:val="6"/>
        </w:numPr>
        <w:rPr>
          <w:szCs w:val="22"/>
        </w:rPr>
      </w:pPr>
      <w:r w:rsidRPr="005B2844">
        <w:rPr>
          <w:szCs w:val="22"/>
        </w:rPr>
        <w:t xml:space="preserve">Come prendere </w:t>
      </w:r>
      <w:proofErr w:type="spellStart"/>
      <w:r w:rsidRPr="005B2844">
        <w:rPr>
          <w:szCs w:val="22"/>
        </w:rPr>
        <w:t>MicardisPlus</w:t>
      </w:r>
      <w:proofErr w:type="spellEnd"/>
    </w:p>
    <w:p w:rsidR="00A70FCB" w:rsidRPr="005B2844" w:rsidRDefault="00A70FCB" w:rsidP="009536AB">
      <w:pPr>
        <w:numPr>
          <w:ilvl w:val="0"/>
          <w:numId w:val="6"/>
        </w:numPr>
        <w:rPr>
          <w:szCs w:val="22"/>
        </w:rPr>
      </w:pPr>
      <w:r w:rsidRPr="005B2844">
        <w:rPr>
          <w:szCs w:val="22"/>
        </w:rPr>
        <w:t>Possibili effetti indesiderati</w:t>
      </w:r>
    </w:p>
    <w:p w:rsidR="00A70FCB" w:rsidRPr="005B2844" w:rsidRDefault="00A70FCB" w:rsidP="009536AB">
      <w:pPr>
        <w:numPr>
          <w:ilvl w:val="0"/>
          <w:numId w:val="6"/>
        </w:numPr>
        <w:rPr>
          <w:szCs w:val="22"/>
        </w:rPr>
      </w:pPr>
      <w:r w:rsidRPr="005B2844">
        <w:rPr>
          <w:szCs w:val="22"/>
        </w:rPr>
        <w:t xml:space="preserve">Come conservare </w:t>
      </w:r>
      <w:proofErr w:type="spellStart"/>
      <w:r w:rsidRPr="005B2844">
        <w:rPr>
          <w:szCs w:val="22"/>
        </w:rPr>
        <w:t>MicardisPlus</w:t>
      </w:r>
      <w:proofErr w:type="spellEnd"/>
    </w:p>
    <w:p w:rsidR="00A70FCB" w:rsidRPr="005B2844" w:rsidRDefault="00D45615" w:rsidP="009536AB">
      <w:pPr>
        <w:numPr>
          <w:ilvl w:val="0"/>
          <w:numId w:val="6"/>
        </w:numPr>
        <w:suppressAutoHyphens/>
        <w:rPr>
          <w:szCs w:val="22"/>
        </w:rPr>
      </w:pPr>
      <w:r w:rsidRPr="005B2844">
        <w:rPr>
          <w:szCs w:val="22"/>
        </w:rPr>
        <w:t>Contenuto della confezione e a</w:t>
      </w:r>
      <w:r w:rsidR="00A70FCB" w:rsidRPr="005B2844">
        <w:rPr>
          <w:szCs w:val="22"/>
        </w:rPr>
        <w:t>ltre informazioni</w:t>
      </w:r>
    </w:p>
    <w:p w:rsidR="00A70FCB" w:rsidRPr="005B2844" w:rsidRDefault="00A70FCB" w:rsidP="0072602F">
      <w:pPr>
        <w:rPr>
          <w:szCs w:val="22"/>
        </w:rPr>
      </w:pPr>
    </w:p>
    <w:p w:rsidR="00A70FCB" w:rsidRPr="005B2844" w:rsidRDefault="00A70FCB" w:rsidP="0072602F">
      <w:pPr>
        <w:rPr>
          <w:szCs w:val="22"/>
        </w:rPr>
      </w:pPr>
    </w:p>
    <w:p w:rsidR="00A70FCB" w:rsidRPr="005B2844" w:rsidRDefault="00A70FCB" w:rsidP="0072602F">
      <w:pPr>
        <w:tabs>
          <w:tab w:val="left" w:pos="567"/>
        </w:tabs>
        <w:ind w:left="567" w:hanging="567"/>
        <w:rPr>
          <w:b/>
          <w:szCs w:val="22"/>
        </w:rPr>
      </w:pPr>
      <w:r w:rsidRPr="005B2844">
        <w:rPr>
          <w:b/>
          <w:szCs w:val="22"/>
        </w:rPr>
        <w:t>1.</w:t>
      </w:r>
      <w:r w:rsidRPr="005B2844">
        <w:rPr>
          <w:b/>
          <w:szCs w:val="22"/>
        </w:rPr>
        <w:tab/>
      </w:r>
      <w:r w:rsidR="00D45615" w:rsidRPr="005B2844">
        <w:rPr>
          <w:b/>
          <w:szCs w:val="22"/>
        </w:rPr>
        <w:t xml:space="preserve">Cos’è </w:t>
      </w:r>
      <w:proofErr w:type="spellStart"/>
      <w:r w:rsidR="00D45615" w:rsidRPr="005B2844">
        <w:rPr>
          <w:b/>
          <w:szCs w:val="22"/>
        </w:rPr>
        <w:t>MicardisPlus</w:t>
      </w:r>
      <w:proofErr w:type="spellEnd"/>
      <w:r w:rsidR="00D45615" w:rsidRPr="005B2844">
        <w:rPr>
          <w:b/>
          <w:szCs w:val="22"/>
        </w:rPr>
        <w:t xml:space="preserve"> e a cosa serve</w:t>
      </w:r>
    </w:p>
    <w:p w:rsidR="00A70FCB" w:rsidRPr="005B2844" w:rsidRDefault="00A70FCB" w:rsidP="0072602F">
      <w:pPr>
        <w:rPr>
          <w:szCs w:val="22"/>
        </w:rPr>
      </w:pPr>
    </w:p>
    <w:p w:rsidR="00783EA1" w:rsidRPr="005B2844" w:rsidRDefault="00783EA1" w:rsidP="0072602F">
      <w:pPr>
        <w:rPr>
          <w:szCs w:val="22"/>
        </w:rPr>
      </w:pPr>
      <w:proofErr w:type="spellStart"/>
      <w:r w:rsidRPr="005B2844">
        <w:rPr>
          <w:szCs w:val="22"/>
        </w:rPr>
        <w:t>MicardisPlus</w:t>
      </w:r>
      <w:proofErr w:type="spellEnd"/>
      <w:r w:rsidRPr="005B2844">
        <w:rPr>
          <w:szCs w:val="22"/>
        </w:rPr>
        <w:t xml:space="preserve"> è un’associazione dei due principi attivi,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001930C9" w:rsidRPr="005B2844">
        <w:rPr>
          <w:szCs w:val="22"/>
        </w:rPr>
        <w:t xml:space="preserve"> in un’unica compressa</w:t>
      </w:r>
      <w:r w:rsidRPr="005B2844">
        <w:rPr>
          <w:szCs w:val="22"/>
        </w:rPr>
        <w:t>.</w:t>
      </w:r>
      <w:r w:rsidR="001930C9" w:rsidRPr="005B2844">
        <w:rPr>
          <w:szCs w:val="22"/>
        </w:rPr>
        <w:t xml:space="preserve"> Ognuna di queste sostanze facilita il controllo d</w:t>
      </w:r>
      <w:r w:rsidR="00AC0603" w:rsidRPr="005B2844">
        <w:rPr>
          <w:szCs w:val="22"/>
        </w:rPr>
        <w:t>i un</w:t>
      </w:r>
      <w:r w:rsidR="001930C9" w:rsidRPr="005B2844">
        <w:rPr>
          <w:szCs w:val="22"/>
        </w:rPr>
        <w:t xml:space="preserve">a </w:t>
      </w:r>
      <w:r w:rsidR="00AC0603" w:rsidRPr="005B2844">
        <w:rPr>
          <w:szCs w:val="22"/>
        </w:rPr>
        <w:t xml:space="preserve">elevata </w:t>
      </w:r>
      <w:r w:rsidR="001930C9" w:rsidRPr="005B2844">
        <w:rPr>
          <w:szCs w:val="22"/>
        </w:rPr>
        <w:t>pressione del sangue.</w:t>
      </w:r>
    </w:p>
    <w:p w:rsidR="00783EA1" w:rsidRPr="005B2844" w:rsidRDefault="00783EA1" w:rsidP="0072602F">
      <w:pPr>
        <w:rPr>
          <w:szCs w:val="22"/>
        </w:rPr>
      </w:pPr>
    </w:p>
    <w:p w:rsidR="00783EA1" w:rsidRPr="005B2844" w:rsidRDefault="001930C9" w:rsidP="0072602F">
      <w:pPr>
        <w:ind w:left="567" w:hanging="567"/>
        <w:rPr>
          <w:szCs w:val="22"/>
        </w:rPr>
      </w:pPr>
      <w:r w:rsidRPr="005B2844">
        <w:rPr>
          <w:szCs w:val="22"/>
        </w:rPr>
        <w:t>-</w:t>
      </w:r>
      <w:r w:rsidRPr="005B2844">
        <w:rPr>
          <w:szCs w:val="22"/>
        </w:rPr>
        <w:tab/>
      </w:r>
      <w:proofErr w:type="spellStart"/>
      <w:r w:rsidR="00783EA1" w:rsidRPr="005B2844">
        <w:rPr>
          <w:szCs w:val="22"/>
        </w:rPr>
        <w:t>telmisartan</w:t>
      </w:r>
      <w:proofErr w:type="spellEnd"/>
      <w:r w:rsidR="00783EA1" w:rsidRPr="005B2844">
        <w:rPr>
          <w:szCs w:val="22"/>
        </w:rPr>
        <w:t xml:space="preserve"> appartiene ad un gruppo di </w:t>
      </w:r>
      <w:r w:rsidR="00735A7B" w:rsidRPr="005B2844">
        <w:rPr>
          <w:szCs w:val="22"/>
        </w:rPr>
        <w:t>medicinali</w:t>
      </w:r>
      <w:r w:rsidR="00783EA1" w:rsidRPr="005B2844">
        <w:rPr>
          <w:szCs w:val="22"/>
        </w:rPr>
        <w:t xml:space="preserve"> conosciuti come antagonisti del recettore dell'angiotensina II. L'angiotensina II è una sostanza presente nel corpo che </w:t>
      </w:r>
      <w:r w:rsidR="006038AD" w:rsidRPr="005B2844">
        <w:rPr>
          <w:szCs w:val="22"/>
        </w:rPr>
        <w:t xml:space="preserve">provoca </w:t>
      </w:r>
      <w:r w:rsidR="00783EA1" w:rsidRPr="005B2844">
        <w:rPr>
          <w:szCs w:val="22"/>
        </w:rPr>
        <w:t>la costrizione dei vasi sanguigni</w:t>
      </w:r>
      <w:r w:rsidR="002F39D9" w:rsidRPr="005B2844">
        <w:rPr>
          <w:szCs w:val="22"/>
        </w:rPr>
        <w:t>,</w:t>
      </w:r>
      <w:r w:rsidRPr="005B2844">
        <w:rPr>
          <w:szCs w:val="22"/>
        </w:rPr>
        <w:t xml:space="preserve"> aumentando così la pressione del sangue</w:t>
      </w:r>
      <w:r w:rsidR="00783EA1" w:rsidRPr="005B2844">
        <w:rPr>
          <w:szCs w:val="22"/>
        </w:rPr>
        <w:t xml:space="preserve">. </w:t>
      </w:r>
      <w:proofErr w:type="spellStart"/>
      <w:r w:rsidR="006038AD" w:rsidRPr="005B2844">
        <w:rPr>
          <w:szCs w:val="22"/>
        </w:rPr>
        <w:t>T</w:t>
      </w:r>
      <w:r w:rsidR="00783EA1" w:rsidRPr="005B2844">
        <w:rPr>
          <w:szCs w:val="22"/>
        </w:rPr>
        <w:t>elmisartan</w:t>
      </w:r>
      <w:proofErr w:type="spellEnd"/>
      <w:r w:rsidR="00783EA1" w:rsidRPr="005B2844">
        <w:rPr>
          <w:szCs w:val="22"/>
        </w:rPr>
        <w:t xml:space="preserve"> blocca questo effetto dell'angiotensina II, causando </w:t>
      </w:r>
      <w:r w:rsidR="006038AD" w:rsidRPr="005B2844">
        <w:rPr>
          <w:szCs w:val="22"/>
        </w:rPr>
        <w:t xml:space="preserve">il </w:t>
      </w:r>
      <w:r w:rsidR="00783EA1" w:rsidRPr="005B2844">
        <w:rPr>
          <w:szCs w:val="22"/>
        </w:rPr>
        <w:t>rilasciamento dei vasi sanguigni e riducendo così la pressione sanguigna.</w:t>
      </w:r>
    </w:p>
    <w:p w:rsidR="00783EA1" w:rsidRPr="005B2844" w:rsidRDefault="00783EA1" w:rsidP="0072602F">
      <w:pPr>
        <w:rPr>
          <w:szCs w:val="22"/>
        </w:rPr>
      </w:pPr>
    </w:p>
    <w:p w:rsidR="00783EA1" w:rsidRPr="005B2844" w:rsidRDefault="00A84976" w:rsidP="0072602F">
      <w:pPr>
        <w:ind w:left="567" w:hanging="567"/>
        <w:rPr>
          <w:szCs w:val="22"/>
        </w:rPr>
      </w:pPr>
      <w:r w:rsidRPr="005B2844">
        <w:rPr>
          <w:szCs w:val="22"/>
        </w:rPr>
        <w:t>-</w:t>
      </w:r>
      <w:r w:rsidRPr="005B2844">
        <w:rPr>
          <w:szCs w:val="22"/>
        </w:rPr>
        <w:tab/>
      </w:r>
      <w:proofErr w:type="spellStart"/>
      <w:r w:rsidR="00783EA1" w:rsidRPr="005B2844">
        <w:rPr>
          <w:szCs w:val="22"/>
        </w:rPr>
        <w:t>idroclorotiazide</w:t>
      </w:r>
      <w:proofErr w:type="spellEnd"/>
      <w:r w:rsidR="00783EA1" w:rsidRPr="005B2844">
        <w:rPr>
          <w:szCs w:val="22"/>
        </w:rPr>
        <w:t xml:space="preserve"> appartiene ad un gruppo di </w:t>
      </w:r>
      <w:r w:rsidR="00735A7B" w:rsidRPr="005B2844">
        <w:rPr>
          <w:szCs w:val="22"/>
        </w:rPr>
        <w:t>medicinali</w:t>
      </w:r>
      <w:r w:rsidR="00783EA1" w:rsidRPr="005B2844">
        <w:rPr>
          <w:szCs w:val="22"/>
        </w:rPr>
        <w:t xml:space="preserve"> conosciuti come diuretici tiazidici</w:t>
      </w:r>
      <w:r w:rsidRPr="005B2844">
        <w:rPr>
          <w:szCs w:val="22"/>
        </w:rPr>
        <w:t xml:space="preserve"> che </w:t>
      </w:r>
      <w:r w:rsidR="00150B5C" w:rsidRPr="005B2844">
        <w:rPr>
          <w:szCs w:val="22"/>
        </w:rPr>
        <w:t>provoca</w:t>
      </w:r>
      <w:r w:rsidRPr="005B2844">
        <w:rPr>
          <w:szCs w:val="22"/>
        </w:rPr>
        <w:t>no</w:t>
      </w:r>
      <w:r w:rsidR="00783EA1" w:rsidRPr="005B2844">
        <w:rPr>
          <w:szCs w:val="22"/>
        </w:rPr>
        <w:t xml:space="preserve"> un aumento del flusso di urina, contribu</w:t>
      </w:r>
      <w:r w:rsidRPr="005B2844">
        <w:rPr>
          <w:szCs w:val="22"/>
        </w:rPr>
        <w:t>endo così</w:t>
      </w:r>
      <w:r w:rsidR="00783EA1" w:rsidRPr="005B2844">
        <w:rPr>
          <w:szCs w:val="22"/>
        </w:rPr>
        <w:t xml:space="preserve"> a</w:t>
      </w:r>
      <w:r w:rsidRPr="005B2844">
        <w:rPr>
          <w:szCs w:val="22"/>
        </w:rPr>
        <w:t>lla</w:t>
      </w:r>
      <w:r w:rsidR="00783EA1" w:rsidRPr="005B2844">
        <w:rPr>
          <w:szCs w:val="22"/>
        </w:rPr>
        <w:t xml:space="preserve"> ridu</w:t>
      </w:r>
      <w:r w:rsidRPr="005B2844">
        <w:rPr>
          <w:szCs w:val="22"/>
        </w:rPr>
        <w:t>zione</w:t>
      </w:r>
      <w:r w:rsidR="00783EA1" w:rsidRPr="005B2844">
        <w:rPr>
          <w:szCs w:val="22"/>
        </w:rPr>
        <w:t xml:space="preserve"> </w:t>
      </w:r>
      <w:r w:rsidRPr="005B2844">
        <w:rPr>
          <w:szCs w:val="22"/>
        </w:rPr>
        <w:t>del</w:t>
      </w:r>
      <w:r w:rsidR="00783EA1" w:rsidRPr="005B2844">
        <w:rPr>
          <w:szCs w:val="22"/>
        </w:rPr>
        <w:t>la pressione sanguigna.</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L'ipertensione, se non curata, può danneggiare i vasi sanguigni in molti organi ciò può </w:t>
      </w:r>
      <w:r w:rsidR="00D560CA" w:rsidRPr="005B2844">
        <w:rPr>
          <w:szCs w:val="22"/>
        </w:rPr>
        <w:t xml:space="preserve">talvolta </w:t>
      </w:r>
      <w:r w:rsidRPr="005B2844">
        <w:rPr>
          <w:szCs w:val="22"/>
        </w:rPr>
        <w:t xml:space="preserve">causare infarto, insufficienza </w:t>
      </w:r>
      <w:r w:rsidR="00D560CA" w:rsidRPr="005B2844">
        <w:rPr>
          <w:szCs w:val="22"/>
        </w:rPr>
        <w:t xml:space="preserve">cardiaca o </w:t>
      </w:r>
      <w:r w:rsidRPr="005B2844">
        <w:rPr>
          <w:szCs w:val="22"/>
        </w:rPr>
        <w:t xml:space="preserve">renale, ictus o cecità. </w:t>
      </w:r>
      <w:r w:rsidR="00D560CA" w:rsidRPr="005B2844">
        <w:rPr>
          <w:szCs w:val="22"/>
        </w:rPr>
        <w:t>N</w:t>
      </w:r>
      <w:r w:rsidRPr="005B2844">
        <w:rPr>
          <w:szCs w:val="22"/>
        </w:rPr>
        <w:t>ormalmente l'ipertensione non dà sintomi prima che si verifichino tali danni</w:t>
      </w:r>
      <w:r w:rsidR="00D560CA" w:rsidRPr="005B2844">
        <w:rPr>
          <w:szCs w:val="22"/>
        </w:rPr>
        <w:t>.</w:t>
      </w:r>
      <w:r w:rsidRPr="005B2844">
        <w:rPr>
          <w:szCs w:val="22"/>
        </w:rPr>
        <w:t xml:space="preserve"> </w:t>
      </w:r>
      <w:r w:rsidR="00D560CA" w:rsidRPr="005B2844">
        <w:rPr>
          <w:szCs w:val="22"/>
        </w:rPr>
        <w:t xml:space="preserve">Perciò </w:t>
      </w:r>
      <w:r w:rsidRPr="005B2844">
        <w:rPr>
          <w:szCs w:val="22"/>
        </w:rPr>
        <w:t xml:space="preserve">è </w:t>
      </w:r>
      <w:r w:rsidR="00D560CA" w:rsidRPr="005B2844">
        <w:rPr>
          <w:szCs w:val="22"/>
        </w:rPr>
        <w:t>importante</w:t>
      </w:r>
      <w:r w:rsidRPr="005B2844">
        <w:rPr>
          <w:szCs w:val="22"/>
        </w:rPr>
        <w:t xml:space="preserve"> provvedere </w:t>
      </w:r>
      <w:r w:rsidR="00D560CA" w:rsidRPr="005B2844">
        <w:rPr>
          <w:szCs w:val="22"/>
        </w:rPr>
        <w:t xml:space="preserve">regolarmente </w:t>
      </w:r>
      <w:r w:rsidRPr="005B2844">
        <w:rPr>
          <w:szCs w:val="22"/>
        </w:rPr>
        <w:t>alla misurazione della pressione sanguigna, per verificare se è nella media.</w:t>
      </w:r>
    </w:p>
    <w:p w:rsidR="00A70FCB" w:rsidRPr="005B2844" w:rsidRDefault="00A70FCB" w:rsidP="0072602F">
      <w:pPr>
        <w:rPr>
          <w:szCs w:val="22"/>
        </w:rPr>
      </w:pPr>
    </w:p>
    <w:p w:rsidR="009E715D" w:rsidRPr="005B2844" w:rsidRDefault="009E715D" w:rsidP="0072602F">
      <w:pPr>
        <w:rPr>
          <w:szCs w:val="22"/>
        </w:rPr>
      </w:pPr>
      <w:proofErr w:type="spellStart"/>
      <w:r w:rsidRPr="005B2844">
        <w:rPr>
          <w:b/>
          <w:szCs w:val="22"/>
        </w:rPr>
        <w:t>MicardisPlus</w:t>
      </w:r>
      <w:proofErr w:type="spellEnd"/>
      <w:r w:rsidRPr="005B2844">
        <w:rPr>
          <w:b/>
          <w:szCs w:val="22"/>
        </w:rPr>
        <w:t xml:space="preserve"> è utilizzato per </w:t>
      </w:r>
      <w:r w:rsidRPr="005B2844">
        <w:rPr>
          <w:szCs w:val="22"/>
        </w:rPr>
        <w:t xml:space="preserve">trattare la pressione sanguigna </w:t>
      </w:r>
      <w:r w:rsidR="006D4B1A" w:rsidRPr="005B2844">
        <w:rPr>
          <w:szCs w:val="22"/>
        </w:rPr>
        <w:t>elevata</w:t>
      </w:r>
      <w:r w:rsidRPr="005B2844">
        <w:rPr>
          <w:szCs w:val="22"/>
        </w:rPr>
        <w:t xml:space="preserve"> (ipertensione essenziale) in </w:t>
      </w:r>
      <w:r w:rsidR="00D45615" w:rsidRPr="005B2844">
        <w:rPr>
          <w:szCs w:val="22"/>
        </w:rPr>
        <w:t>adulti</w:t>
      </w:r>
      <w:r w:rsidRPr="005B2844">
        <w:rPr>
          <w:szCs w:val="22"/>
        </w:rPr>
        <w:t xml:space="preserve"> in cui </w:t>
      </w:r>
      <w:r w:rsidR="006D4B1A" w:rsidRPr="005B2844">
        <w:rPr>
          <w:szCs w:val="22"/>
        </w:rPr>
        <w:t xml:space="preserve">la </w:t>
      </w:r>
      <w:r w:rsidRPr="005B2844">
        <w:rPr>
          <w:szCs w:val="22"/>
        </w:rPr>
        <w:t xml:space="preserve">pressione del sangue non </w:t>
      </w:r>
      <w:r w:rsidR="00C50FB1" w:rsidRPr="005B2844">
        <w:rPr>
          <w:szCs w:val="22"/>
        </w:rPr>
        <w:t>è</w:t>
      </w:r>
      <w:r w:rsidRPr="005B2844">
        <w:rPr>
          <w:szCs w:val="22"/>
        </w:rPr>
        <w:t xml:space="preserve"> sufficientemente controllata da </w:t>
      </w:r>
      <w:proofErr w:type="spellStart"/>
      <w:r w:rsidRPr="005B2844">
        <w:rPr>
          <w:szCs w:val="22"/>
        </w:rPr>
        <w:t>telmisartan</w:t>
      </w:r>
      <w:proofErr w:type="spellEnd"/>
      <w:r w:rsidRPr="005B2844">
        <w:rPr>
          <w:szCs w:val="22"/>
        </w:rPr>
        <w:t xml:space="preserve"> utilizzat</w:t>
      </w:r>
      <w:r w:rsidR="00D45615" w:rsidRPr="005B2844">
        <w:rPr>
          <w:szCs w:val="22"/>
        </w:rPr>
        <w:t>o</w:t>
      </w:r>
      <w:r w:rsidRPr="005B2844">
        <w:rPr>
          <w:szCs w:val="22"/>
        </w:rPr>
        <w:t xml:space="preserve"> singolarmente.</w:t>
      </w:r>
    </w:p>
    <w:p w:rsidR="003D2FCD" w:rsidRPr="005B2844" w:rsidRDefault="003D2FCD" w:rsidP="0072602F">
      <w:pPr>
        <w:rPr>
          <w:szCs w:val="22"/>
        </w:rPr>
      </w:pPr>
    </w:p>
    <w:p w:rsidR="00A70FCB" w:rsidRPr="005B2844" w:rsidRDefault="00A70FCB" w:rsidP="0072602F">
      <w:pPr>
        <w:rPr>
          <w:szCs w:val="22"/>
        </w:rPr>
      </w:pPr>
    </w:p>
    <w:p w:rsidR="00A70FCB" w:rsidRPr="005B2844" w:rsidRDefault="00A80B4F" w:rsidP="00BD43A7">
      <w:pPr>
        <w:keepNext/>
        <w:tabs>
          <w:tab w:val="left" w:pos="567"/>
        </w:tabs>
        <w:rPr>
          <w:b/>
          <w:szCs w:val="22"/>
        </w:rPr>
      </w:pPr>
      <w:r w:rsidRPr="005B2844">
        <w:rPr>
          <w:b/>
          <w:szCs w:val="22"/>
        </w:rPr>
        <w:t>2.</w:t>
      </w:r>
      <w:r w:rsidRPr="005B2844">
        <w:rPr>
          <w:b/>
          <w:szCs w:val="22"/>
        </w:rPr>
        <w:tab/>
      </w:r>
      <w:r w:rsidR="006E66E5" w:rsidRPr="005B2844">
        <w:rPr>
          <w:b/>
          <w:szCs w:val="22"/>
        </w:rPr>
        <w:t xml:space="preserve">Cosa deve sapere prima di prendere </w:t>
      </w:r>
      <w:proofErr w:type="spellStart"/>
      <w:r w:rsidR="006E66E5" w:rsidRPr="005B2844">
        <w:rPr>
          <w:b/>
          <w:szCs w:val="22"/>
        </w:rPr>
        <w:t>MicardisPlus</w:t>
      </w:r>
      <w:proofErr w:type="spellEnd"/>
    </w:p>
    <w:p w:rsidR="00A70FCB" w:rsidRPr="005B2844" w:rsidRDefault="00A70FCB" w:rsidP="00BD43A7">
      <w:pPr>
        <w:keepNext/>
        <w:rPr>
          <w:szCs w:val="22"/>
        </w:rPr>
      </w:pPr>
    </w:p>
    <w:p w:rsidR="00A70FCB" w:rsidRPr="005B2844" w:rsidRDefault="00A70FCB" w:rsidP="00BD43A7">
      <w:pPr>
        <w:keepNext/>
        <w:rPr>
          <w:b/>
          <w:szCs w:val="22"/>
        </w:rPr>
      </w:pPr>
      <w:r w:rsidRPr="005B2844">
        <w:rPr>
          <w:b/>
          <w:szCs w:val="22"/>
        </w:rPr>
        <w:t xml:space="preserve">Non prenda </w:t>
      </w:r>
      <w:proofErr w:type="spellStart"/>
      <w:r w:rsidRPr="005B2844">
        <w:rPr>
          <w:b/>
          <w:szCs w:val="22"/>
        </w:rPr>
        <w:t>MicardisPlus</w:t>
      </w:r>
      <w:proofErr w:type="spellEnd"/>
    </w:p>
    <w:p w:rsidR="00CD33A5" w:rsidRPr="005B2844" w:rsidRDefault="00CD33A5" w:rsidP="00BD43A7">
      <w:pPr>
        <w:keepNext/>
        <w:rPr>
          <w:b/>
          <w:szCs w:val="22"/>
        </w:rPr>
      </w:pPr>
    </w:p>
    <w:p w:rsidR="00A70FCB" w:rsidRPr="005B2844" w:rsidRDefault="001E6F90" w:rsidP="009536AB">
      <w:pPr>
        <w:numPr>
          <w:ilvl w:val="0"/>
          <w:numId w:val="4"/>
        </w:numPr>
        <w:rPr>
          <w:szCs w:val="22"/>
        </w:rPr>
      </w:pPr>
      <w:r w:rsidRPr="005B2844">
        <w:rPr>
          <w:szCs w:val="22"/>
        </w:rPr>
        <w:t xml:space="preserve">se è allergico </w:t>
      </w:r>
      <w:r w:rsidR="00A70FCB" w:rsidRPr="005B2844">
        <w:rPr>
          <w:szCs w:val="22"/>
        </w:rPr>
        <w:t xml:space="preserve">a </w:t>
      </w:r>
      <w:proofErr w:type="spellStart"/>
      <w:r w:rsidR="00A70FCB" w:rsidRPr="005B2844">
        <w:rPr>
          <w:szCs w:val="22"/>
        </w:rPr>
        <w:t>telmisartan</w:t>
      </w:r>
      <w:proofErr w:type="spellEnd"/>
      <w:r w:rsidR="00A70FCB" w:rsidRPr="005B2844">
        <w:rPr>
          <w:szCs w:val="22"/>
        </w:rPr>
        <w:t xml:space="preserve"> o ad uno </w:t>
      </w:r>
      <w:r w:rsidRPr="005B2844">
        <w:rPr>
          <w:szCs w:val="22"/>
        </w:rPr>
        <w:t xml:space="preserve">qualsiasi </w:t>
      </w:r>
      <w:r w:rsidR="00A70FCB" w:rsidRPr="005B2844">
        <w:rPr>
          <w:szCs w:val="22"/>
        </w:rPr>
        <w:t xml:space="preserve">degli </w:t>
      </w:r>
      <w:r w:rsidR="002D22EB" w:rsidRPr="005B2844">
        <w:rPr>
          <w:szCs w:val="22"/>
        </w:rPr>
        <w:t>altri componenti di questo medicinale (elencati al paragrafo 6).</w:t>
      </w:r>
    </w:p>
    <w:p w:rsidR="0039082C" w:rsidRPr="005B2844" w:rsidRDefault="0039082C" w:rsidP="009536AB">
      <w:pPr>
        <w:numPr>
          <w:ilvl w:val="0"/>
          <w:numId w:val="4"/>
        </w:numPr>
        <w:rPr>
          <w:szCs w:val="22"/>
        </w:rPr>
      </w:pPr>
      <w:r w:rsidRPr="005B2844">
        <w:rPr>
          <w:szCs w:val="22"/>
        </w:rPr>
        <w:t>se è allergico a</w:t>
      </w:r>
      <w:r w:rsidR="006038AD" w:rsidRPr="005B2844">
        <w:rPr>
          <w:szCs w:val="22"/>
        </w:rPr>
        <w:t xml:space="preserve"> </w:t>
      </w:r>
      <w:proofErr w:type="spellStart"/>
      <w:r w:rsidRPr="005B2844">
        <w:rPr>
          <w:szCs w:val="22"/>
        </w:rPr>
        <w:t>idroclorotiazide</w:t>
      </w:r>
      <w:proofErr w:type="spellEnd"/>
      <w:r w:rsidRPr="005B2844">
        <w:rPr>
          <w:szCs w:val="22"/>
        </w:rPr>
        <w:t xml:space="preserve"> o ad ogni altro medicinale derivato dalla sulfonamide</w:t>
      </w:r>
      <w:r w:rsidR="00FF163B" w:rsidRPr="005B2844">
        <w:rPr>
          <w:szCs w:val="22"/>
        </w:rPr>
        <w:t>.</w:t>
      </w:r>
    </w:p>
    <w:p w:rsidR="00A70FCB" w:rsidRPr="005B2844" w:rsidRDefault="00FC3252" w:rsidP="009536AB">
      <w:pPr>
        <w:numPr>
          <w:ilvl w:val="0"/>
          <w:numId w:val="4"/>
        </w:numPr>
        <w:rPr>
          <w:szCs w:val="22"/>
        </w:rPr>
      </w:pPr>
      <w:r w:rsidRPr="005B2844">
        <w:rPr>
          <w:szCs w:val="22"/>
        </w:rPr>
        <w:t>se è in gravidanza da più di 3 mesi (</w:t>
      </w:r>
      <w:r w:rsidR="00807936" w:rsidRPr="005B2844">
        <w:rPr>
          <w:szCs w:val="22"/>
        </w:rPr>
        <w:t>è</w:t>
      </w:r>
      <w:r w:rsidRPr="005B2844">
        <w:rPr>
          <w:szCs w:val="22"/>
        </w:rPr>
        <w:t xml:space="preserve"> meglio evitare </w:t>
      </w:r>
      <w:r w:rsidR="00807936" w:rsidRPr="005B2844">
        <w:rPr>
          <w:szCs w:val="22"/>
        </w:rPr>
        <w:t xml:space="preserve">di prendere </w:t>
      </w:r>
      <w:proofErr w:type="spellStart"/>
      <w:r w:rsidRPr="005B2844">
        <w:rPr>
          <w:szCs w:val="22"/>
        </w:rPr>
        <w:t>MicardisPlus</w:t>
      </w:r>
      <w:proofErr w:type="spellEnd"/>
      <w:r w:rsidRPr="005B2844">
        <w:rPr>
          <w:szCs w:val="22"/>
        </w:rPr>
        <w:t xml:space="preserve"> anche nella fase iniziale della gravidanza </w:t>
      </w:r>
      <w:r w:rsidR="00807936" w:rsidRPr="005B2844">
        <w:rPr>
          <w:szCs w:val="22"/>
        </w:rPr>
        <w:t xml:space="preserve">- </w:t>
      </w:r>
      <w:r w:rsidR="00797E94" w:rsidRPr="005B2844">
        <w:rPr>
          <w:szCs w:val="22"/>
        </w:rPr>
        <w:t xml:space="preserve">vedere </w:t>
      </w:r>
      <w:r w:rsidRPr="005B2844">
        <w:rPr>
          <w:szCs w:val="22"/>
        </w:rPr>
        <w:t xml:space="preserve">il paragrafo </w:t>
      </w:r>
      <w:r w:rsidR="00FF163B" w:rsidRPr="005B2844">
        <w:rPr>
          <w:szCs w:val="22"/>
        </w:rPr>
        <w:t>g</w:t>
      </w:r>
      <w:r w:rsidR="00797E94" w:rsidRPr="005B2844">
        <w:rPr>
          <w:szCs w:val="22"/>
        </w:rPr>
        <w:t>ravidanza)</w:t>
      </w:r>
      <w:r w:rsidR="00FF163B" w:rsidRPr="005B2844">
        <w:rPr>
          <w:szCs w:val="22"/>
        </w:rPr>
        <w:t>.</w:t>
      </w:r>
    </w:p>
    <w:p w:rsidR="00A70FCB" w:rsidRPr="005B2844" w:rsidRDefault="00A70FCB" w:rsidP="009536AB">
      <w:pPr>
        <w:numPr>
          <w:ilvl w:val="0"/>
          <w:numId w:val="4"/>
        </w:numPr>
        <w:rPr>
          <w:szCs w:val="22"/>
        </w:rPr>
      </w:pPr>
      <w:r w:rsidRPr="005B2844">
        <w:rPr>
          <w:szCs w:val="22"/>
        </w:rPr>
        <w:t xml:space="preserve">se </w:t>
      </w:r>
      <w:r w:rsidR="00950551" w:rsidRPr="005B2844">
        <w:rPr>
          <w:szCs w:val="22"/>
        </w:rPr>
        <w:t xml:space="preserve">soffre di gravi problemi al fegato quali </w:t>
      </w:r>
      <w:r w:rsidRPr="005B2844">
        <w:rPr>
          <w:szCs w:val="22"/>
        </w:rPr>
        <w:t xml:space="preserve">colestasi o un'ostruzione biliare (problemi nel drenaggio della bile </w:t>
      </w:r>
      <w:r w:rsidR="004A700A" w:rsidRPr="005B2844">
        <w:rPr>
          <w:szCs w:val="22"/>
        </w:rPr>
        <w:t xml:space="preserve">dal fegato e </w:t>
      </w:r>
      <w:r w:rsidRPr="005B2844">
        <w:rPr>
          <w:szCs w:val="22"/>
        </w:rPr>
        <w:t>dalla cistifellea)</w:t>
      </w:r>
      <w:r w:rsidR="00950551" w:rsidRPr="005B2844">
        <w:rPr>
          <w:szCs w:val="22"/>
        </w:rPr>
        <w:t xml:space="preserve"> </w:t>
      </w:r>
      <w:r w:rsidR="006219B5" w:rsidRPr="005B2844">
        <w:rPr>
          <w:szCs w:val="22"/>
        </w:rPr>
        <w:t xml:space="preserve">o qualsiasi altra malattia </w:t>
      </w:r>
      <w:r w:rsidR="006038AD" w:rsidRPr="005B2844">
        <w:rPr>
          <w:szCs w:val="22"/>
        </w:rPr>
        <w:t xml:space="preserve">del fegato </w:t>
      </w:r>
      <w:r w:rsidR="006219B5" w:rsidRPr="005B2844">
        <w:rPr>
          <w:szCs w:val="22"/>
        </w:rPr>
        <w:t>grave</w:t>
      </w:r>
      <w:r w:rsidR="00FF163B" w:rsidRPr="005B2844">
        <w:rPr>
          <w:szCs w:val="22"/>
        </w:rPr>
        <w:t>.</w:t>
      </w:r>
    </w:p>
    <w:p w:rsidR="00A70FCB" w:rsidRPr="005B2844" w:rsidRDefault="00A70FCB" w:rsidP="009536AB">
      <w:pPr>
        <w:numPr>
          <w:ilvl w:val="0"/>
          <w:numId w:val="4"/>
        </w:numPr>
        <w:rPr>
          <w:szCs w:val="22"/>
        </w:rPr>
      </w:pPr>
      <w:r w:rsidRPr="005B2844">
        <w:rPr>
          <w:szCs w:val="22"/>
        </w:rPr>
        <w:t xml:space="preserve">se </w:t>
      </w:r>
      <w:r w:rsidR="00B57FE0" w:rsidRPr="005B2844">
        <w:rPr>
          <w:szCs w:val="22"/>
        </w:rPr>
        <w:t>ha</w:t>
      </w:r>
      <w:r w:rsidRPr="005B2844">
        <w:rPr>
          <w:szCs w:val="22"/>
        </w:rPr>
        <w:t xml:space="preserve"> malattie renali gravi</w:t>
      </w:r>
      <w:r w:rsidR="00FF163B" w:rsidRPr="005B2844">
        <w:rPr>
          <w:szCs w:val="22"/>
        </w:rPr>
        <w:t>.</w:t>
      </w:r>
    </w:p>
    <w:p w:rsidR="00B33E98" w:rsidRPr="005B2844" w:rsidRDefault="00B33E98" w:rsidP="009536AB">
      <w:pPr>
        <w:numPr>
          <w:ilvl w:val="0"/>
          <w:numId w:val="4"/>
        </w:numPr>
        <w:rPr>
          <w:szCs w:val="22"/>
        </w:rPr>
      </w:pPr>
      <w:r w:rsidRPr="005B2844">
        <w:rPr>
          <w:szCs w:val="22"/>
        </w:rPr>
        <w:t>se il medico determina che nel suo sangue i livelli di potassio sono bassi o i livelli di calcio sono alti e non migliorano a seguito di un trattamento.</w:t>
      </w:r>
    </w:p>
    <w:p w:rsidR="00B52636" w:rsidRPr="005B2844" w:rsidRDefault="00B52636" w:rsidP="009536AB">
      <w:pPr>
        <w:numPr>
          <w:ilvl w:val="0"/>
          <w:numId w:val="4"/>
        </w:numPr>
        <w:rPr>
          <w:szCs w:val="22"/>
        </w:rPr>
      </w:pPr>
      <w:r w:rsidRPr="005B2844">
        <w:rPr>
          <w:szCs w:val="22"/>
        </w:rPr>
        <w:t xml:space="preserve">se soffre di diabete o </w:t>
      </w:r>
      <w:r w:rsidR="008576F0" w:rsidRPr="005B2844">
        <w:rPr>
          <w:szCs w:val="22"/>
        </w:rPr>
        <w:t>la sua funzione</w:t>
      </w:r>
      <w:r w:rsidRPr="005B2844">
        <w:rPr>
          <w:szCs w:val="22"/>
        </w:rPr>
        <w:t xml:space="preserve"> renale </w:t>
      </w:r>
      <w:r w:rsidR="008576F0" w:rsidRPr="005B2844">
        <w:rPr>
          <w:szCs w:val="22"/>
        </w:rPr>
        <w:t xml:space="preserve">è </w:t>
      </w:r>
      <w:r w:rsidRPr="005B2844">
        <w:rPr>
          <w:szCs w:val="22"/>
        </w:rPr>
        <w:t xml:space="preserve">compromessa ed è in trattamento con </w:t>
      </w:r>
      <w:r w:rsidR="008576F0" w:rsidRPr="005B2844">
        <w:rPr>
          <w:szCs w:val="22"/>
        </w:rPr>
        <w:t xml:space="preserve">un medicinale che abbassa la pressione del sangue, contenente </w:t>
      </w:r>
      <w:proofErr w:type="spellStart"/>
      <w:r w:rsidR="008576F0" w:rsidRPr="005B2844">
        <w:rPr>
          <w:szCs w:val="22"/>
        </w:rPr>
        <w:t>aliskiren</w:t>
      </w:r>
      <w:proofErr w:type="spellEnd"/>
      <w:r w:rsidRPr="005B2844">
        <w:rPr>
          <w:szCs w:val="22"/>
        </w:rPr>
        <w:t>.</w:t>
      </w:r>
    </w:p>
    <w:p w:rsidR="00A70FCB" w:rsidRPr="005B2844" w:rsidRDefault="00A70FCB" w:rsidP="0072602F">
      <w:pPr>
        <w:rPr>
          <w:szCs w:val="22"/>
        </w:rPr>
      </w:pPr>
    </w:p>
    <w:p w:rsidR="00A70FCB" w:rsidRPr="005B2844" w:rsidRDefault="00A70FCB" w:rsidP="0072602F">
      <w:pPr>
        <w:rPr>
          <w:szCs w:val="22"/>
        </w:rPr>
      </w:pPr>
      <w:r w:rsidRPr="005B2844">
        <w:rPr>
          <w:szCs w:val="22"/>
        </w:rPr>
        <w:t>Se lei è in una di queste condizioni, informi il medico o il farmacista</w:t>
      </w:r>
      <w:r w:rsidR="00B33E98" w:rsidRPr="005B2844">
        <w:rPr>
          <w:szCs w:val="22"/>
        </w:rPr>
        <w:t xml:space="preserve"> prima di assumere </w:t>
      </w:r>
      <w:proofErr w:type="spellStart"/>
      <w:r w:rsidR="00B33E98" w:rsidRPr="005B2844">
        <w:rPr>
          <w:szCs w:val="22"/>
        </w:rPr>
        <w:t>MicardisPlus</w:t>
      </w:r>
      <w:proofErr w:type="spellEnd"/>
      <w:r w:rsidRPr="005B2844">
        <w:rPr>
          <w:szCs w:val="22"/>
        </w:rPr>
        <w:t>.</w:t>
      </w:r>
    </w:p>
    <w:p w:rsidR="00A70FCB" w:rsidRPr="005B2844" w:rsidRDefault="00A70FCB" w:rsidP="0072602F">
      <w:pPr>
        <w:rPr>
          <w:szCs w:val="22"/>
        </w:rPr>
      </w:pPr>
    </w:p>
    <w:p w:rsidR="00A70FCB" w:rsidRPr="005B2844" w:rsidRDefault="0019200C" w:rsidP="00BD43A7">
      <w:pPr>
        <w:keepNext/>
        <w:rPr>
          <w:b/>
          <w:szCs w:val="22"/>
        </w:rPr>
      </w:pPr>
      <w:bookmarkStart w:id="14" w:name="OLE_LINK5"/>
      <w:bookmarkStart w:id="15" w:name="OLE_LINK10"/>
      <w:r w:rsidRPr="005B2844">
        <w:rPr>
          <w:b/>
          <w:szCs w:val="22"/>
        </w:rPr>
        <w:t>Avvertenze e precauzioni</w:t>
      </w:r>
      <w:bookmarkEnd w:id="14"/>
      <w:bookmarkEnd w:id="15"/>
    </w:p>
    <w:p w:rsidR="009916F9" w:rsidRPr="005B2844" w:rsidRDefault="0019200C" w:rsidP="0072602F">
      <w:pPr>
        <w:rPr>
          <w:szCs w:val="22"/>
        </w:rPr>
      </w:pPr>
      <w:r w:rsidRPr="005B2844">
        <w:rPr>
          <w:szCs w:val="22"/>
        </w:rPr>
        <w:t>Si rivolga al</w:t>
      </w:r>
      <w:r w:rsidR="009916F9" w:rsidRPr="005B2844">
        <w:rPr>
          <w:szCs w:val="22"/>
        </w:rPr>
        <w:t xml:space="preserve"> medico</w:t>
      </w:r>
      <w:r w:rsidR="00F84023" w:rsidRPr="005B2844">
        <w:rPr>
          <w:szCs w:val="22"/>
        </w:rPr>
        <w:t xml:space="preserve"> prima di prendere </w:t>
      </w:r>
      <w:proofErr w:type="spellStart"/>
      <w:r w:rsidR="00F84023" w:rsidRPr="005B2844">
        <w:rPr>
          <w:szCs w:val="22"/>
        </w:rPr>
        <w:t>MicardisPlus</w:t>
      </w:r>
      <w:proofErr w:type="spellEnd"/>
      <w:r w:rsidR="009916F9" w:rsidRPr="005B2844">
        <w:rPr>
          <w:szCs w:val="22"/>
        </w:rPr>
        <w:t xml:space="preserve"> se soffre o ha sofferto di una delle seguenti condizioni o malattie:</w:t>
      </w:r>
    </w:p>
    <w:p w:rsidR="009916F9" w:rsidRPr="005B2844" w:rsidRDefault="009916F9" w:rsidP="0072602F">
      <w:pPr>
        <w:rPr>
          <w:szCs w:val="22"/>
        </w:rPr>
      </w:pPr>
    </w:p>
    <w:p w:rsidR="009916F9" w:rsidRPr="005B2844" w:rsidRDefault="009916F9" w:rsidP="009536AB">
      <w:pPr>
        <w:numPr>
          <w:ilvl w:val="0"/>
          <w:numId w:val="12"/>
        </w:numPr>
        <w:tabs>
          <w:tab w:val="clear" w:pos="720"/>
        </w:tabs>
        <w:ind w:left="567" w:hanging="567"/>
        <w:rPr>
          <w:szCs w:val="22"/>
        </w:rPr>
      </w:pPr>
      <w:r w:rsidRPr="005B2844">
        <w:rPr>
          <w:szCs w:val="22"/>
        </w:rPr>
        <w:t xml:space="preserve">Bassa pressione del sangue (ipotensione), che si verifica con maggior probabilità se è disidratato (perdita eccessiva di </w:t>
      </w:r>
      <w:r w:rsidR="006038AD" w:rsidRPr="005B2844">
        <w:rPr>
          <w:szCs w:val="22"/>
        </w:rPr>
        <w:t>liquidi</w:t>
      </w:r>
      <w:r w:rsidRPr="005B2844">
        <w:rPr>
          <w:szCs w:val="22"/>
        </w:rPr>
        <w:t xml:space="preserve">) o presenta carenza di sali a causa di terapia diuretica (diuretici), dieta povera di </w:t>
      </w:r>
      <w:r w:rsidR="00AF2445" w:rsidRPr="005B2844">
        <w:rPr>
          <w:szCs w:val="22"/>
        </w:rPr>
        <w:t>s</w:t>
      </w:r>
      <w:r w:rsidRPr="005B2844">
        <w:rPr>
          <w:szCs w:val="22"/>
        </w:rPr>
        <w:t>ali, diarrea, vomito o emodialisi</w:t>
      </w:r>
      <w:r w:rsidR="00FF163B" w:rsidRPr="005B2844">
        <w:rPr>
          <w:szCs w:val="22"/>
        </w:rPr>
        <w:t>.</w:t>
      </w:r>
    </w:p>
    <w:p w:rsidR="009916F9" w:rsidRPr="005B2844" w:rsidRDefault="009916F9" w:rsidP="009536AB">
      <w:pPr>
        <w:numPr>
          <w:ilvl w:val="0"/>
          <w:numId w:val="12"/>
        </w:numPr>
        <w:tabs>
          <w:tab w:val="clear" w:pos="720"/>
        </w:tabs>
        <w:ind w:left="567" w:hanging="567"/>
        <w:rPr>
          <w:szCs w:val="22"/>
        </w:rPr>
      </w:pPr>
      <w:r w:rsidRPr="005B2844">
        <w:rPr>
          <w:szCs w:val="22"/>
        </w:rPr>
        <w:t>Malattia renale o trapianto renale</w:t>
      </w:r>
      <w:r w:rsidR="00FF163B" w:rsidRPr="005B2844">
        <w:rPr>
          <w:szCs w:val="22"/>
        </w:rPr>
        <w:t>.</w:t>
      </w:r>
    </w:p>
    <w:p w:rsidR="009C77AE" w:rsidRPr="005B2844" w:rsidRDefault="009C77AE" w:rsidP="009536AB">
      <w:pPr>
        <w:numPr>
          <w:ilvl w:val="0"/>
          <w:numId w:val="12"/>
        </w:numPr>
        <w:tabs>
          <w:tab w:val="clear" w:pos="720"/>
        </w:tabs>
        <w:ind w:left="567" w:hanging="567"/>
        <w:rPr>
          <w:szCs w:val="22"/>
        </w:rPr>
      </w:pPr>
      <w:r w:rsidRPr="005B2844">
        <w:rPr>
          <w:szCs w:val="22"/>
        </w:rPr>
        <w:t xml:space="preserve">Stenosi della arteria renale (restringimento dei vasi sanguigni </w:t>
      </w:r>
      <w:r w:rsidR="007B5695" w:rsidRPr="005B2844">
        <w:rPr>
          <w:szCs w:val="22"/>
        </w:rPr>
        <w:t>di uno o entrambi i</w:t>
      </w:r>
      <w:r w:rsidR="001031F2" w:rsidRPr="005B2844">
        <w:rPr>
          <w:szCs w:val="22"/>
        </w:rPr>
        <w:t xml:space="preserve"> </w:t>
      </w:r>
      <w:r w:rsidR="007B5695" w:rsidRPr="005B2844">
        <w:rPr>
          <w:szCs w:val="22"/>
        </w:rPr>
        <w:t>reni)</w:t>
      </w:r>
      <w:r w:rsidR="00FF163B" w:rsidRPr="005B2844">
        <w:rPr>
          <w:szCs w:val="22"/>
        </w:rPr>
        <w:t>.</w:t>
      </w:r>
    </w:p>
    <w:p w:rsidR="001031F2" w:rsidRPr="005B2844" w:rsidRDefault="001031F2" w:rsidP="009536AB">
      <w:pPr>
        <w:numPr>
          <w:ilvl w:val="0"/>
          <w:numId w:val="12"/>
        </w:numPr>
        <w:tabs>
          <w:tab w:val="clear" w:pos="720"/>
        </w:tabs>
        <w:ind w:left="567" w:hanging="567"/>
        <w:rPr>
          <w:szCs w:val="22"/>
        </w:rPr>
      </w:pPr>
      <w:r w:rsidRPr="005B2844">
        <w:rPr>
          <w:szCs w:val="22"/>
        </w:rPr>
        <w:t>Malattia del fegato</w:t>
      </w:r>
      <w:r w:rsidR="00FF163B" w:rsidRPr="005B2844">
        <w:rPr>
          <w:szCs w:val="22"/>
        </w:rPr>
        <w:t>.</w:t>
      </w:r>
    </w:p>
    <w:p w:rsidR="002106D6" w:rsidRPr="005B2844" w:rsidRDefault="002106D6" w:rsidP="009536AB">
      <w:pPr>
        <w:numPr>
          <w:ilvl w:val="0"/>
          <w:numId w:val="12"/>
        </w:numPr>
        <w:tabs>
          <w:tab w:val="clear" w:pos="720"/>
        </w:tabs>
        <w:ind w:left="567" w:hanging="567"/>
        <w:rPr>
          <w:szCs w:val="22"/>
        </w:rPr>
      </w:pPr>
      <w:r w:rsidRPr="005B2844">
        <w:rPr>
          <w:szCs w:val="22"/>
        </w:rPr>
        <w:t>Problemi cardiaci</w:t>
      </w:r>
      <w:r w:rsidR="00FF163B" w:rsidRPr="005B2844">
        <w:rPr>
          <w:szCs w:val="22"/>
        </w:rPr>
        <w:t>.</w:t>
      </w:r>
    </w:p>
    <w:p w:rsidR="002106D6" w:rsidRPr="005B2844" w:rsidRDefault="002106D6" w:rsidP="009536AB">
      <w:pPr>
        <w:numPr>
          <w:ilvl w:val="0"/>
          <w:numId w:val="12"/>
        </w:numPr>
        <w:tabs>
          <w:tab w:val="clear" w:pos="720"/>
        </w:tabs>
        <w:ind w:left="567" w:hanging="567"/>
        <w:rPr>
          <w:szCs w:val="22"/>
        </w:rPr>
      </w:pPr>
      <w:r w:rsidRPr="005B2844">
        <w:rPr>
          <w:szCs w:val="22"/>
        </w:rPr>
        <w:t>Diabete</w:t>
      </w:r>
      <w:r w:rsidR="00FF163B" w:rsidRPr="005B2844">
        <w:rPr>
          <w:szCs w:val="22"/>
        </w:rPr>
        <w:t>.</w:t>
      </w:r>
    </w:p>
    <w:p w:rsidR="001261AE" w:rsidRPr="005B2844" w:rsidRDefault="001261AE" w:rsidP="009536AB">
      <w:pPr>
        <w:numPr>
          <w:ilvl w:val="0"/>
          <w:numId w:val="12"/>
        </w:numPr>
        <w:tabs>
          <w:tab w:val="clear" w:pos="720"/>
        </w:tabs>
        <w:ind w:left="567" w:hanging="567"/>
        <w:rPr>
          <w:szCs w:val="22"/>
        </w:rPr>
      </w:pPr>
      <w:r w:rsidRPr="005B2844">
        <w:rPr>
          <w:szCs w:val="22"/>
        </w:rPr>
        <w:t>Gotta</w:t>
      </w:r>
      <w:r w:rsidR="00FF163B" w:rsidRPr="005B2844">
        <w:rPr>
          <w:szCs w:val="22"/>
        </w:rPr>
        <w:t>.</w:t>
      </w:r>
    </w:p>
    <w:p w:rsidR="001261AE" w:rsidRPr="005B2844" w:rsidRDefault="001261AE" w:rsidP="009536AB">
      <w:pPr>
        <w:numPr>
          <w:ilvl w:val="0"/>
          <w:numId w:val="12"/>
        </w:numPr>
        <w:tabs>
          <w:tab w:val="clear" w:pos="720"/>
        </w:tabs>
        <w:ind w:left="567" w:hanging="567"/>
        <w:rPr>
          <w:szCs w:val="22"/>
        </w:rPr>
      </w:pPr>
      <w:r w:rsidRPr="005B2844">
        <w:rPr>
          <w:szCs w:val="22"/>
        </w:rPr>
        <w:t>Aumento dei livelli di aldosterone</w:t>
      </w:r>
      <w:r w:rsidR="00415B78" w:rsidRPr="005B2844">
        <w:rPr>
          <w:szCs w:val="22"/>
        </w:rPr>
        <w:t xml:space="preserve"> (ritenzione di </w:t>
      </w:r>
      <w:r w:rsidR="006038AD" w:rsidRPr="005B2844">
        <w:rPr>
          <w:szCs w:val="22"/>
        </w:rPr>
        <w:t xml:space="preserve">liquidi </w:t>
      </w:r>
      <w:r w:rsidR="00415B78" w:rsidRPr="005B2844">
        <w:rPr>
          <w:szCs w:val="22"/>
        </w:rPr>
        <w:t xml:space="preserve">e </w:t>
      </w:r>
      <w:r w:rsidR="006038AD" w:rsidRPr="005B2844">
        <w:rPr>
          <w:szCs w:val="22"/>
        </w:rPr>
        <w:t xml:space="preserve">di </w:t>
      </w:r>
      <w:r w:rsidR="00415B78" w:rsidRPr="005B2844">
        <w:rPr>
          <w:szCs w:val="22"/>
        </w:rPr>
        <w:t xml:space="preserve">sale nel corpo con squilibrio di diversi </w:t>
      </w:r>
      <w:r w:rsidR="006038AD" w:rsidRPr="005B2844">
        <w:rPr>
          <w:szCs w:val="22"/>
        </w:rPr>
        <w:t>elettroliti</w:t>
      </w:r>
      <w:r w:rsidR="00415B78" w:rsidRPr="005B2844">
        <w:rPr>
          <w:szCs w:val="22"/>
        </w:rPr>
        <w:t xml:space="preserve"> nel sangue)</w:t>
      </w:r>
      <w:r w:rsidR="00FF163B" w:rsidRPr="005B2844">
        <w:rPr>
          <w:szCs w:val="22"/>
        </w:rPr>
        <w:t>.</w:t>
      </w:r>
    </w:p>
    <w:p w:rsidR="001261AE" w:rsidRPr="005B2844" w:rsidRDefault="001261AE" w:rsidP="009536AB">
      <w:pPr>
        <w:numPr>
          <w:ilvl w:val="0"/>
          <w:numId w:val="12"/>
        </w:numPr>
        <w:tabs>
          <w:tab w:val="clear" w:pos="720"/>
        </w:tabs>
        <w:ind w:left="567" w:hanging="567"/>
        <w:rPr>
          <w:szCs w:val="22"/>
        </w:rPr>
      </w:pPr>
      <w:r w:rsidRPr="005B2844">
        <w:rPr>
          <w:szCs w:val="22"/>
        </w:rPr>
        <w:t xml:space="preserve">Lupus eritematoso </w:t>
      </w:r>
      <w:r w:rsidR="009C060D" w:rsidRPr="005B2844">
        <w:rPr>
          <w:szCs w:val="22"/>
        </w:rPr>
        <w:t xml:space="preserve">sistemico </w:t>
      </w:r>
      <w:r w:rsidRPr="005B2844">
        <w:rPr>
          <w:szCs w:val="22"/>
        </w:rPr>
        <w:t>(chiamato anche “lupus” o “LES”) una malattia a causa della quale il sistema immunitario dell’organismo attacca l’organismo stesso.</w:t>
      </w:r>
    </w:p>
    <w:p w:rsidR="001C50F0" w:rsidRPr="005B2844" w:rsidRDefault="001C50F0" w:rsidP="00263CA9">
      <w:pPr>
        <w:numPr>
          <w:ilvl w:val="0"/>
          <w:numId w:val="12"/>
        </w:numPr>
        <w:tabs>
          <w:tab w:val="clear" w:pos="720"/>
        </w:tabs>
        <w:ind w:left="567" w:hanging="567"/>
        <w:rPr>
          <w:szCs w:val="22"/>
        </w:rPr>
      </w:pPr>
      <w:r w:rsidRPr="005B2844">
        <w:rPr>
          <w:szCs w:val="22"/>
        </w:rPr>
        <w:t xml:space="preserve">Il principio attivo </w:t>
      </w:r>
      <w:proofErr w:type="spellStart"/>
      <w:r w:rsidRPr="005B2844">
        <w:rPr>
          <w:szCs w:val="22"/>
        </w:rPr>
        <w:t>idroclorotiazide</w:t>
      </w:r>
      <w:proofErr w:type="spellEnd"/>
      <w:r w:rsidRPr="005B2844">
        <w:rPr>
          <w:szCs w:val="22"/>
        </w:rPr>
        <w:t xml:space="preserve"> può causare una reazione non comune, con conseguenti diminuzione della vista e dolore agli occhi. Questi potrebbero essere sintomi </w:t>
      </w:r>
      <w:r w:rsidR="00263778">
        <w:rPr>
          <w:szCs w:val="22"/>
        </w:rPr>
        <w:t xml:space="preserve">dell’accumulo di liquido nello strato vascolare dell’occhio (effusione </w:t>
      </w:r>
      <w:proofErr w:type="spellStart"/>
      <w:r w:rsidR="00263778">
        <w:rPr>
          <w:szCs w:val="22"/>
        </w:rPr>
        <w:t>coroidale</w:t>
      </w:r>
      <w:proofErr w:type="spellEnd"/>
      <w:r w:rsidR="00AB2D22">
        <w:rPr>
          <w:szCs w:val="22"/>
        </w:rPr>
        <w:t>)</w:t>
      </w:r>
      <w:r w:rsidR="00263778">
        <w:rPr>
          <w:szCs w:val="22"/>
        </w:rPr>
        <w:t xml:space="preserve"> o </w:t>
      </w:r>
      <w:r w:rsidRPr="005B2844">
        <w:rPr>
          <w:szCs w:val="22"/>
        </w:rPr>
        <w:t xml:space="preserve">di un aumento della pressione nel suo occhio e possono verificarsi da ore a settimane dopo aver assunto </w:t>
      </w:r>
      <w:proofErr w:type="spellStart"/>
      <w:r w:rsidRPr="005B2844">
        <w:rPr>
          <w:szCs w:val="22"/>
        </w:rPr>
        <w:t>MicardisPlus</w:t>
      </w:r>
      <w:proofErr w:type="spellEnd"/>
      <w:r w:rsidRPr="005B2844">
        <w:rPr>
          <w:szCs w:val="22"/>
        </w:rPr>
        <w:t xml:space="preserve">. Questa condizione può portare a una </w:t>
      </w:r>
      <w:r w:rsidR="006F4554" w:rsidRPr="005B2844">
        <w:rPr>
          <w:szCs w:val="22"/>
        </w:rPr>
        <w:t>compromissione</w:t>
      </w:r>
      <w:r w:rsidRPr="005B2844">
        <w:rPr>
          <w:szCs w:val="22"/>
        </w:rPr>
        <w:t xml:space="preserve"> permanente della vista, se non </w:t>
      </w:r>
      <w:proofErr w:type="spellStart"/>
      <w:r w:rsidRPr="005B2844">
        <w:rPr>
          <w:szCs w:val="22"/>
        </w:rPr>
        <w:t>trattatta</w:t>
      </w:r>
      <w:proofErr w:type="spellEnd"/>
      <w:r w:rsidRPr="005B2844">
        <w:rPr>
          <w:szCs w:val="22"/>
        </w:rPr>
        <w:t>.</w:t>
      </w:r>
    </w:p>
    <w:p w:rsidR="00263CA9" w:rsidRPr="005B2844" w:rsidRDefault="00263CA9" w:rsidP="00C314F2">
      <w:pPr>
        <w:pStyle w:val="Default"/>
        <w:numPr>
          <w:ilvl w:val="0"/>
          <w:numId w:val="12"/>
        </w:numPr>
        <w:tabs>
          <w:tab w:val="clear" w:pos="720"/>
        </w:tabs>
        <w:ind w:left="567" w:hanging="567"/>
        <w:rPr>
          <w:szCs w:val="22"/>
        </w:rPr>
      </w:pPr>
      <w:r w:rsidRPr="005B2844">
        <w:rPr>
          <w:rFonts w:ascii="Times New Roman" w:hAnsi="Times New Roman" w:cs="Times New Roman"/>
          <w:sz w:val="22"/>
          <w:szCs w:val="22"/>
        </w:rPr>
        <w:t xml:space="preserve">Se ha avuto in passato il cancro della pelle o se sta sviluppando una lesione della pelle imprevista durante il trattamento. Il trattamento con </w:t>
      </w:r>
      <w:proofErr w:type="spellStart"/>
      <w:r w:rsidRPr="005B2844">
        <w:rPr>
          <w:rFonts w:ascii="Times New Roman" w:hAnsi="Times New Roman" w:cs="Times New Roman"/>
          <w:sz w:val="22"/>
          <w:szCs w:val="22"/>
        </w:rPr>
        <w:t>idroclorotiazide</w:t>
      </w:r>
      <w:proofErr w:type="spellEnd"/>
      <w:r w:rsidRPr="005B2844">
        <w:rPr>
          <w:rFonts w:ascii="Times New Roman" w:hAnsi="Times New Roman" w:cs="Times New Roman"/>
          <w:sz w:val="22"/>
          <w:szCs w:val="22"/>
        </w:rPr>
        <w:t xml:space="preserve">, in particolare un utilizzo a lungo termine con dosi elevate, può aumentare il rischio di alcuni tipi di cancro della pelle e delle labbra (cancro della pelle non melanoma). Protegga la sua pelle dall’esposizione al sole e ai raggi UV durante l’assunzione di </w:t>
      </w:r>
      <w:proofErr w:type="spellStart"/>
      <w:r w:rsidRPr="005B2844">
        <w:rPr>
          <w:rFonts w:ascii="Times New Roman" w:hAnsi="Times New Roman" w:cs="Times New Roman"/>
          <w:sz w:val="22"/>
          <w:szCs w:val="22"/>
        </w:rPr>
        <w:t>Micardis</w:t>
      </w:r>
      <w:proofErr w:type="spellEnd"/>
      <w:r w:rsidRPr="005B2844">
        <w:rPr>
          <w:rFonts w:ascii="Times New Roman" w:hAnsi="Times New Roman" w:cs="Times New Roman"/>
          <w:sz w:val="22"/>
          <w:szCs w:val="22"/>
        </w:rPr>
        <w:t xml:space="preserve"> Plus.</w:t>
      </w:r>
    </w:p>
    <w:p w:rsidR="009C77AE" w:rsidRPr="005B2844" w:rsidRDefault="009C77AE" w:rsidP="0072602F">
      <w:pPr>
        <w:rPr>
          <w:szCs w:val="22"/>
        </w:rPr>
      </w:pPr>
    </w:p>
    <w:p w:rsidR="00B52636" w:rsidRPr="005B2844" w:rsidRDefault="00B52636" w:rsidP="00B52636">
      <w:pPr>
        <w:rPr>
          <w:szCs w:val="22"/>
        </w:rPr>
      </w:pPr>
      <w:r w:rsidRPr="005B2844">
        <w:rPr>
          <w:szCs w:val="22"/>
        </w:rPr>
        <w:t xml:space="preserve">Si rivolga al medico prima di prendere </w:t>
      </w:r>
      <w:proofErr w:type="spellStart"/>
      <w:r w:rsidRPr="005B2844">
        <w:rPr>
          <w:szCs w:val="22"/>
        </w:rPr>
        <w:t>MicardisPlus</w:t>
      </w:r>
      <w:proofErr w:type="spellEnd"/>
      <w:r w:rsidRPr="005B2844">
        <w:rPr>
          <w:szCs w:val="22"/>
        </w:rPr>
        <w:t>:</w:t>
      </w:r>
    </w:p>
    <w:p w:rsidR="00B52636" w:rsidRPr="005B2844" w:rsidRDefault="00B52636" w:rsidP="00B52636">
      <w:pPr>
        <w:numPr>
          <w:ilvl w:val="0"/>
          <w:numId w:val="21"/>
        </w:numPr>
        <w:rPr>
          <w:szCs w:val="22"/>
        </w:rPr>
      </w:pPr>
      <w:r w:rsidRPr="005B2844">
        <w:rPr>
          <w:szCs w:val="22"/>
        </w:rPr>
        <w:t xml:space="preserve">se lei sta assumendo </w:t>
      </w:r>
      <w:r w:rsidR="00F30875" w:rsidRPr="005B2844">
        <w:rPr>
          <w:szCs w:val="22"/>
        </w:rPr>
        <w:t>uno dei seguenti medicinali</w:t>
      </w:r>
      <w:r w:rsidRPr="005B2844">
        <w:rPr>
          <w:szCs w:val="22"/>
        </w:rPr>
        <w:t xml:space="preserve"> usat</w:t>
      </w:r>
      <w:r w:rsidR="00F30875" w:rsidRPr="005B2844">
        <w:rPr>
          <w:szCs w:val="22"/>
        </w:rPr>
        <w:t>i</w:t>
      </w:r>
      <w:r w:rsidRPr="005B2844">
        <w:rPr>
          <w:szCs w:val="22"/>
        </w:rPr>
        <w:t xml:space="preserve"> per trattare la pressione </w:t>
      </w:r>
      <w:r w:rsidR="00F30875" w:rsidRPr="005B2844">
        <w:rPr>
          <w:szCs w:val="22"/>
        </w:rPr>
        <w:t xml:space="preserve">alta </w:t>
      </w:r>
      <w:r w:rsidRPr="005B2844">
        <w:rPr>
          <w:szCs w:val="22"/>
        </w:rPr>
        <w:t>del sangue</w:t>
      </w:r>
      <w:r w:rsidR="00F30875" w:rsidRPr="005B2844">
        <w:rPr>
          <w:szCs w:val="22"/>
        </w:rPr>
        <w:t>:</w:t>
      </w:r>
    </w:p>
    <w:p w:rsidR="00F30875" w:rsidRPr="005B2844" w:rsidRDefault="00F30875" w:rsidP="00F30875">
      <w:pPr>
        <w:ind w:left="567"/>
        <w:rPr>
          <w:szCs w:val="22"/>
        </w:rPr>
      </w:pPr>
      <w:r w:rsidRPr="005B2844">
        <w:rPr>
          <w:szCs w:val="22"/>
        </w:rPr>
        <w:t xml:space="preserve">- un ACE inibitore (per esempio enalapril, </w:t>
      </w:r>
      <w:proofErr w:type="spellStart"/>
      <w:r w:rsidRPr="005B2844">
        <w:rPr>
          <w:szCs w:val="22"/>
        </w:rPr>
        <w:t>lisinopril</w:t>
      </w:r>
      <w:proofErr w:type="spellEnd"/>
      <w:r w:rsidRPr="005B2844">
        <w:rPr>
          <w:szCs w:val="22"/>
        </w:rPr>
        <w:t xml:space="preserve">, </w:t>
      </w:r>
      <w:proofErr w:type="spellStart"/>
      <w:r w:rsidRPr="005B2844">
        <w:rPr>
          <w:szCs w:val="22"/>
        </w:rPr>
        <w:t>ramipril</w:t>
      </w:r>
      <w:proofErr w:type="spellEnd"/>
      <w:r w:rsidR="002F7829" w:rsidRPr="005B2844">
        <w:rPr>
          <w:szCs w:val="22"/>
        </w:rPr>
        <w:t xml:space="preserve"> inibitori dell’enzima di conversione dell’angiotensina</w:t>
      </w:r>
      <w:r w:rsidRPr="005B2844">
        <w:rPr>
          <w:szCs w:val="22"/>
        </w:rPr>
        <w:t>), in particolare se soffre di problemi renali correlati al diabete.</w:t>
      </w:r>
    </w:p>
    <w:p w:rsidR="00F30875" w:rsidRPr="005B2844" w:rsidRDefault="00F30875" w:rsidP="00F30875">
      <w:pPr>
        <w:ind w:left="567"/>
        <w:rPr>
          <w:szCs w:val="22"/>
        </w:rPr>
      </w:pPr>
      <w:r w:rsidRPr="005B2844">
        <w:rPr>
          <w:szCs w:val="22"/>
        </w:rPr>
        <w:t xml:space="preserve">- </w:t>
      </w:r>
      <w:proofErr w:type="spellStart"/>
      <w:r w:rsidRPr="005B2844">
        <w:rPr>
          <w:szCs w:val="22"/>
        </w:rPr>
        <w:t>aliskiren</w:t>
      </w:r>
      <w:proofErr w:type="spellEnd"/>
      <w:r w:rsidRPr="005B2844">
        <w:rPr>
          <w:szCs w:val="22"/>
        </w:rPr>
        <w:t>.</w:t>
      </w:r>
    </w:p>
    <w:p w:rsidR="00F30875" w:rsidRPr="005B2844" w:rsidRDefault="00F30875" w:rsidP="00F30875">
      <w:pPr>
        <w:ind w:left="567"/>
        <w:rPr>
          <w:szCs w:val="22"/>
        </w:rPr>
      </w:pPr>
      <w:r w:rsidRPr="005B2844">
        <w:rPr>
          <w:szCs w:val="22"/>
        </w:rPr>
        <w:t xml:space="preserve">Il medico può controllare la sua funzionalità renale, la pressione del sangue, e la quantità di elettroliti (ad esempio il potassio) nel sangue a intervalli regolari. Vedere anche quanto riportato alla voce “Non prenda </w:t>
      </w:r>
      <w:proofErr w:type="spellStart"/>
      <w:r w:rsidRPr="005B2844">
        <w:rPr>
          <w:szCs w:val="22"/>
        </w:rPr>
        <w:t>MicardisPlus</w:t>
      </w:r>
      <w:proofErr w:type="spellEnd"/>
      <w:r w:rsidRPr="005B2844">
        <w:rPr>
          <w:szCs w:val="22"/>
        </w:rPr>
        <w:t>”.</w:t>
      </w:r>
    </w:p>
    <w:p w:rsidR="00B52636" w:rsidRPr="005B2844" w:rsidRDefault="00B52636" w:rsidP="0072602F">
      <w:pPr>
        <w:numPr>
          <w:ilvl w:val="0"/>
          <w:numId w:val="21"/>
        </w:numPr>
        <w:rPr>
          <w:szCs w:val="22"/>
        </w:rPr>
      </w:pPr>
      <w:r w:rsidRPr="005B2844">
        <w:rPr>
          <w:szCs w:val="22"/>
        </w:rPr>
        <w:t>se lei sta assumendo digossina.</w:t>
      </w:r>
    </w:p>
    <w:p w:rsidR="00B52636" w:rsidRPr="005B2844" w:rsidRDefault="00B52636" w:rsidP="0072602F">
      <w:pPr>
        <w:rPr>
          <w:szCs w:val="22"/>
        </w:rPr>
      </w:pPr>
    </w:p>
    <w:p w:rsidR="00A70FCB" w:rsidRPr="005B2844" w:rsidRDefault="00B2588C" w:rsidP="0072602F">
      <w:pPr>
        <w:rPr>
          <w:noProof/>
          <w:color w:val="000000"/>
          <w:szCs w:val="22"/>
        </w:rPr>
      </w:pPr>
      <w:r w:rsidRPr="005B2844">
        <w:rPr>
          <w:noProof/>
          <w:color w:val="000000"/>
          <w:szCs w:val="22"/>
        </w:rPr>
        <w:t>Deve informare il medico se pensa di essere in gravidanza (</w:t>
      </w:r>
      <w:r w:rsidRPr="005B2844">
        <w:rPr>
          <w:noProof/>
          <w:color w:val="000000"/>
          <w:szCs w:val="22"/>
          <w:u w:val="single"/>
        </w:rPr>
        <w:t xml:space="preserve">o </w:t>
      </w:r>
      <w:r w:rsidR="00807936" w:rsidRPr="005B2844">
        <w:rPr>
          <w:noProof/>
          <w:color w:val="000000"/>
          <w:szCs w:val="22"/>
          <w:u w:val="single"/>
        </w:rPr>
        <w:t xml:space="preserve">se vi è la possibilità </w:t>
      </w:r>
      <w:r w:rsidRPr="005B2844">
        <w:rPr>
          <w:noProof/>
          <w:color w:val="000000"/>
          <w:szCs w:val="22"/>
          <w:u w:val="single"/>
        </w:rPr>
        <w:t>di dare inizio ad una gravidanza</w:t>
      </w:r>
      <w:r w:rsidRPr="005B2844">
        <w:rPr>
          <w:noProof/>
          <w:color w:val="000000"/>
          <w:szCs w:val="22"/>
        </w:rPr>
        <w:t xml:space="preserve">). MicardisPlus non è raccomandato all’inizio della gravidanza </w:t>
      </w:r>
      <w:r w:rsidR="00082DDF" w:rsidRPr="005B2844">
        <w:rPr>
          <w:noProof/>
          <w:color w:val="000000"/>
          <w:szCs w:val="22"/>
        </w:rPr>
        <w:t xml:space="preserve">e </w:t>
      </w:r>
      <w:r w:rsidR="00507E76" w:rsidRPr="005B2844">
        <w:rPr>
          <w:noProof/>
          <w:color w:val="000000"/>
          <w:szCs w:val="22"/>
        </w:rPr>
        <w:t xml:space="preserve">non deve essere assunto se </w:t>
      </w:r>
      <w:r w:rsidR="00807936" w:rsidRPr="005B2844">
        <w:rPr>
          <w:noProof/>
          <w:color w:val="000000"/>
          <w:szCs w:val="22"/>
        </w:rPr>
        <w:t xml:space="preserve">lei è in </w:t>
      </w:r>
      <w:r w:rsidR="00507E76" w:rsidRPr="005B2844">
        <w:rPr>
          <w:szCs w:val="22"/>
        </w:rPr>
        <w:t>gravidanza da più di 3 mesi,</w:t>
      </w:r>
      <w:r w:rsidR="00507E76" w:rsidRPr="005B2844">
        <w:rPr>
          <w:noProof/>
          <w:color w:val="000000"/>
          <w:szCs w:val="22"/>
        </w:rPr>
        <w:t xml:space="preserve"> poiché</w:t>
      </w:r>
      <w:r w:rsidRPr="005B2844">
        <w:rPr>
          <w:noProof/>
          <w:color w:val="000000"/>
          <w:szCs w:val="22"/>
        </w:rPr>
        <w:t xml:space="preserve"> può causare gravi danni al bambino se preso </w:t>
      </w:r>
      <w:r w:rsidR="00507E76" w:rsidRPr="005B2844">
        <w:rPr>
          <w:noProof/>
          <w:color w:val="000000"/>
          <w:szCs w:val="22"/>
        </w:rPr>
        <w:t xml:space="preserve">in questo </w:t>
      </w:r>
      <w:r w:rsidR="00807936" w:rsidRPr="005B2844">
        <w:rPr>
          <w:noProof/>
          <w:color w:val="000000"/>
          <w:szCs w:val="22"/>
        </w:rPr>
        <w:t>periodo</w:t>
      </w:r>
      <w:r w:rsidRPr="005B2844">
        <w:rPr>
          <w:noProof/>
          <w:color w:val="000000"/>
          <w:szCs w:val="22"/>
        </w:rPr>
        <w:t xml:space="preserve"> (vedere il paragrafo </w:t>
      </w:r>
      <w:r w:rsidR="00FF163B" w:rsidRPr="005B2844">
        <w:rPr>
          <w:noProof/>
          <w:color w:val="000000"/>
          <w:szCs w:val="22"/>
        </w:rPr>
        <w:t>g</w:t>
      </w:r>
      <w:r w:rsidRPr="005B2844">
        <w:rPr>
          <w:noProof/>
          <w:color w:val="000000"/>
          <w:szCs w:val="22"/>
        </w:rPr>
        <w:t>ravidanza).</w:t>
      </w:r>
    </w:p>
    <w:p w:rsidR="00B2588C" w:rsidRPr="005B2844" w:rsidRDefault="00B2588C" w:rsidP="0072602F">
      <w:pPr>
        <w:rPr>
          <w:szCs w:val="22"/>
        </w:rPr>
      </w:pPr>
    </w:p>
    <w:p w:rsidR="001A46C5" w:rsidRPr="005B2844" w:rsidRDefault="001A46C5" w:rsidP="0072602F">
      <w:pPr>
        <w:rPr>
          <w:szCs w:val="22"/>
        </w:rPr>
      </w:pPr>
      <w:r w:rsidRPr="005B2844">
        <w:rPr>
          <w:szCs w:val="22"/>
        </w:rPr>
        <w:t xml:space="preserve">Il trattamento con </w:t>
      </w:r>
      <w:proofErr w:type="spellStart"/>
      <w:r w:rsidRPr="005B2844">
        <w:rPr>
          <w:szCs w:val="22"/>
        </w:rPr>
        <w:t>idroclorotiazide</w:t>
      </w:r>
      <w:proofErr w:type="spellEnd"/>
      <w:r w:rsidRPr="005B2844">
        <w:rPr>
          <w:szCs w:val="22"/>
        </w:rPr>
        <w:t xml:space="preserve"> può causare uno squilibrio elettrolitico nell’organismo. Sintomi tipici di squilibrio di liquidi o</w:t>
      </w:r>
      <w:r w:rsidR="00A37BC1" w:rsidRPr="005B2844">
        <w:rPr>
          <w:szCs w:val="22"/>
        </w:rPr>
        <w:t xml:space="preserve"> </w:t>
      </w:r>
      <w:r w:rsidRPr="005B2844">
        <w:rPr>
          <w:szCs w:val="22"/>
        </w:rPr>
        <w:t>d</w:t>
      </w:r>
      <w:r w:rsidR="00A37BC1" w:rsidRPr="005B2844">
        <w:rPr>
          <w:szCs w:val="22"/>
        </w:rPr>
        <w:t>i</w:t>
      </w:r>
      <w:r w:rsidRPr="005B2844">
        <w:rPr>
          <w:szCs w:val="22"/>
        </w:rPr>
        <w:t xml:space="preserve"> elettroliti includono secchezza della bocca, debolezza, letargia, sonnolenza, irrequietezza, dolore muscolare o crampi, nausea (sensazione di malessere), vomito, stanchezza muscolare e battito cardiaco anormalmente veloce (maggiore di 100 battiti al minuto). Se manifesta uno qualsiasi di questi sintomi, informi il medico.</w:t>
      </w:r>
    </w:p>
    <w:p w:rsidR="009E07AF" w:rsidRPr="005B2844" w:rsidRDefault="009E07AF" w:rsidP="0072602F">
      <w:pPr>
        <w:rPr>
          <w:szCs w:val="22"/>
        </w:rPr>
      </w:pPr>
    </w:p>
    <w:p w:rsidR="009E07AF" w:rsidRPr="005B2844" w:rsidRDefault="009E07AF" w:rsidP="0072602F">
      <w:pPr>
        <w:rPr>
          <w:szCs w:val="22"/>
        </w:rPr>
      </w:pPr>
      <w:r w:rsidRPr="005B2844">
        <w:rPr>
          <w:szCs w:val="22"/>
        </w:rPr>
        <w:t xml:space="preserve">Deve informare il medico </w:t>
      </w:r>
      <w:r w:rsidR="008D176F" w:rsidRPr="005B2844">
        <w:rPr>
          <w:szCs w:val="22"/>
        </w:rPr>
        <w:t xml:space="preserve">anche </w:t>
      </w:r>
      <w:r w:rsidR="00BB45A4" w:rsidRPr="005B2844">
        <w:rPr>
          <w:szCs w:val="22"/>
        </w:rPr>
        <w:t xml:space="preserve">se </w:t>
      </w:r>
      <w:r w:rsidRPr="005B2844">
        <w:rPr>
          <w:szCs w:val="22"/>
        </w:rPr>
        <w:t>ha riscontrato un’aumentata sensibilità della pelle al sole</w:t>
      </w:r>
      <w:r w:rsidR="007D4D14" w:rsidRPr="005B2844">
        <w:rPr>
          <w:szCs w:val="22"/>
        </w:rPr>
        <w:t>, che si</w:t>
      </w:r>
      <w:r w:rsidRPr="005B2844">
        <w:rPr>
          <w:szCs w:val="22"/>
        </w:rPr>
        <w:t xml:space="preserve"> </w:t>
      </w:r>
      <w:r w:rsidR="007D4D14" w:rsidRPr="005B2844">
        <w:rPr>
          <w:szCs w:val="22"/>
        </w:rPr>
        <w:t xml:space="preserve">manifesta </w:t>
      </w:r>
      <w:r w:rsidRPr="005B2844">
        <w:rPr>
          <w:szCs w:val="22"/>
        </w:rPr>
        <w:t xml:space="preserve">con </w:t>
      </w:r>
      <w:r w:rsidR="007D4D14" w:rsidRPr="005B2844">
        <w:rPr>
          <w:szCs w:val="22"/>
        </w:rPr>
        <w:t xml:space="preserve">l’insorgenza più rapida del normale </w:t>
      </w:r>
      <w:r w:rsidRPr="005B2844">
        <w:rPr>
          <w:szCs w:val="22"/>
        </w:rPr>
        <w:t>de</w:t>
      </w:r>
      <w:r w:rsidR="007D4D14" w:rsidRPr="005B2844">
        <w:rPr>
          <w:szCs w:val="22"/>
        </w:rPr>
        <w:t xml:space="preserve">i sintomi della </w:t>
      </w:r>
      <w:r w:rsidRPr="005B2844">
        <w:rPr>
          <w:szCs w:val="22"/>
        </w:rPr>
        <w:t>scottatur</w:t>
      </w:r>
      <w:r w:rsidR="007D4D14" w:rsidRPr="005B2844">
        <w:rPr>
          <w:szCs w:val="22"/>
        </w:rPr>
        <w:t>a</w:t>
      </w:r>
      <w:r w:rsidRPr="005B2844">
        <w:rPr>
          <w:szCs w:val="22"/>
        </w:rPr>
        <w:t xml:space="preserve"> (</w:t>
      </w:r>
      <w:r w:rsidR="007D4D14" w:rsidRPr="005B2844">
        <w:rPr>
          <w:szCs w:val="22"/>
        </w:rPr>
        <w:t>come</w:t>
      </w:r>
      <w:r w:rsidRPr="005B2844">
        <w:rPr>
          <w:szCs w:val="22"/>
        </w:rPr>
        <w:t xml:space="preserve"> rossore, prurito, gonfiore, </w:t>
      </w:r>
      <w:r w:rsidR="00D62955" w:rsidRPr="005B2844">
        <w:rPr>
          <w:szCs w:val="22"/>
        </w:rPr>
        <w:t>comparsa di vesciche</w:t>
      </w:r>
      <w:r w:rsidRPr="005B2844">
        <w:rPr>
          <w:szCs w:val="22"/>
        </w:rPr>
        <w:t>)</w:t>
      </w:r>
      <w:r w:rsidR="002D343B" w:rsidRPr="005B2844">
        <w:rPr>
          <w:szCs w:val="22"/>
        </w:rPr>
        <w:t>.</w:t>
      </w:r>
    </w:p>
    <w:p w:rsidR="00F773AF" w:rsidRPr="005B2844" w:rsidRDefault="00F773AF" w:rsidP="0072602F">
      <w:pPr>
        <w:rPr>
          <w:szCs w:val="22"/>
        </w:rPr>
      </w:pPr>
    </w:p>
    <w:p w:rsidR="00F773AF" w:rsidRPr="005B2844" w:rsidRDefault="00F773AF" w:rsidP="0072602F">
      <w:pPr>
        <w:rPr>
          <w:szCs w:val="22"/>
        </w:rPr>
      </w:pPr>
      <w:r w:rsidRPr="005B2844">
        <w:rPr>
          <w:szCs w:val="22"/>
        </w:rPr>
        <w:t xml:space="preserve">In caso di intervento chirurgico o di somministrazione di anestetici, deve informare il medico che sta assumendo </w:t>
      </w:r>
      <w:proofErr w:type="spellStart"/>
      <w:r w:rsidRPr="005B2844">
        <w:rPr>
          <w:szCs w:val="22"/>
        </w:rPr>
        <w:t>MicardisPlus</w:t>
      </w:r>
      <w:proofErr w:type="spellEnd"/>
      <w:r w:rsidRPr="005B2844">
        <w:rPr>
          <w:szCs w:val="22"/>
        </w:rPr>
        <w:t>.</w:t>
      </w:r>
    </w:p>
    <w:p w:rsidR="00F773AF" w:rsidRPr="005B2844" w:rsidRDefault="00F773AF" w:rsidP="0072602F">
      <w:pPr>
        <w:rPr>
          <w:szCs w:val="22"/>
        </w:rPr>
      </w:pPr>
    </w:p>
    <w:p w:rsidR="006E0752" w:rsidRPr="005B2844" w:rsidRDefault="006E0752" w:rsidP="0072602F">
      <w:pPr>
        <w:rPr>
          <w:szCs w:val="22"/>
        </w:rPr>
      </w:pPr>
      <w:proofErr w:type="spellStart"/>
      <w:r w:rsidRPr="005B2844">
        <w:rPr>
          <w:szCs w:val="22"/>
        </w:rPr>
        <w:t>MicardisPlus</w:t>
      </w:r>
      <w:proofErr w:type="spellEnd"/>
      <w:r w:rsidRPr="005B2844">
        <w:rPr>
          <w:szCs w:val="22"/>
        </w:rPr>
        <w:t xml:space="preserve"> può essere meno efficace nel ridurre la pressione del sangue nei pazienti </w:t>
      </w:r>
      <w:r w:rsidR="000835D9" w:rsidRPr="005B2844">
        <w:rPr>
          <w:szCs w:val="22"/>
        </w:rPr>
        <w:t>di etnia africana</w:t>
      </w:r>
      <w:r w:rsidRPr="005B2844">
        <w:rPr>
          <w:szCs w:val="22"/>
        </w:rPr>
        <w:t>.</w:t>
      </w:r>
    </w:p>
    <w:p w:rsidR="006E0752" w:rsidRPr="005B2844" w:rsidRDefault="006E0752" w:rsidP="0072602F">
      <w:pPr>
        <w:rPr>
          <w:szCs w:val="22"/>
        </w:rPr>
      </w:pPr>
    </w:p>
    <w:p w:rsidR="006E0752" w:rsidRPr="005B2844" w:rsidRDefault="006E0752" w:rsidP="00BD43A7">
      <w:pPr>
        <w:keepNext/>
        <w:rPr>
          <w:b/>
          <w:szCs w:val="22"/>
        </w:rPr>
      </w:pPr>
      <w:r w:rsidRPr="005B2844">
        <w:rPr>
          <w:b/>
          <w:szCs w:val="22"/>
        </w:rPr>
        <w:t>Bambini e adolescenti</w:t>
      </w:r>
    </w:p>
    <w:p w:rsidR="00F773AF" w:rsidRPr="005B2844" w:rsidRDefault="00F773AF" w:rsidP="0072602F">
      <w:pPr>
        <w:rPr>
          <w:szCs w:val="22"/>
        </w:rPr>
      </w:pPr>
      <w:r w:rsidRPr="005B2844">
        <w:rPr>
          <w:szCs w:val="22"/>
        </w:rPr>
        <w:t xml:space="preserve">L’uso di </w:t>
      </w:r>
      <w:proofErr w:type="spellStart"/>
      <w:r w:rsidRPr="005B2844">
        <w:rPr>
          <w:szCs w:val="22"/>
        </w:rPr>
        <w:t>MicardisPlus</w:t>
      </w:r>
      <w:proofErr w:type="spellEnd"/>
      <w:r w:rsidRPr="005B2844">
        <w:rPr>
          <w:szCs w:val="22"/>
        </w:rPr>
        <w:t xml:space="preserve"> non è raccomandato nei bambini e negli adolescenti fino a 18 anni.</w:t>
      </w:r>
    </w:p>
    <w:p w:rsidR="00F773AF" w:rsidRPr="005B2844" w:rsidRDefault="00F773AF" w:rsidP="0072602F">
      <w:pPr>
        <w:rPr>
          <w:szCs w:val="22"/>
        </w:rPr>
      </w:pPr>
    </w:p>
    <w:p w:rsidR="00783EA1" w:rsidRPr="005B2844" w:rsidRDefault="004D2DFC" w:rsidP="008A1E96">
      <w:pPr>
        <w:keepNext/>
        <w:rPr>
          <w:b/>
          <w:szCs w:val="22"/>
        </w:rPr>
      </w:pPr>
      <w:r w:rsidRPr="005B2844">
        <w:rPr>
          <w:b/>
          <w:szCs w:val="22"/>
        </w:rPr>
        <w:t xml:space="preserve">Altri medicinali e </w:t>
      </w:r>
      <w:proofErr w:type="spellStart"/>
      <w:r w:rsidR="00783EA1" w:rsidRPr="005B2844">
        <w:rPr>
          <w:b/>
          <w:szCs w:val="22"/>
        </w:rPr>
        <w:t>MicardisPlus</w:t>
      </w:r>
      <w:proofErr w:type="spellEnd"/>
    </w:p>
    <w:p w:rsidR="00CD33A5" w:rsidRPr="005B2844" w:rsidRDefault="00CD33A5" w:rsidP="008A1E96">
      <w:pPr>
        <w:keepNext/>
        <w:rPr>
          <w:b/>
          <w:szCs w:val="22"/>
        </w:rPr>
      </w:pPr>
    </w:p>
    <w:p w:rsidR="00E56AC1" w:rsidRPr="005B2844" w:rsidRDefault="00783EA1" w:rsidP="0072602F">
      <w:pPr>
        <w:rPr>
          <w:szCs w:val="22"/>
        </w:rPr>
      </w:pPr>
      <w:r w:rsidRPr="005B2844">
        <w:rPr>
          <w:szCs w:val="22"/>
        </w:rPr>
        <w:t>Informi il medico o il farmacista se sta assumendo</w:t>
      </w:r>
      <w:r w:rsidR="00ED4B33" w:rsidRPr="005B2844">
        <w:rPr>
          <w:szCs w:val="22"/>
        </w:rPr>
        <w:t>,</w:t>
      </w:r>
      <w:r w:rsidRPr="005B2844">
        <w:rPr>
          <w:szCs w:val="22"/>
        </w:rPr>
        <w:t xml:space="preserve"> ha recentemente assunto </w:t>
      </w:r>
      <w:r w:rsidR="00ED4B33" w:rsidRPr="005B2844">
        <w:rPr>
          <w:szCs w:val="22"/>
        </w:rPr>
        <w:t xml:space="preserve">o potrebbe assumere </w:t>
      </w:r>
      <w:r w:rsidRPr="005B2844">
        <w:rPr>
          <w:szCs w:val="22"/>
        </w:rPr>
        <w:t>qualsiasi altro medicinale.</w:t>
      </w:r>
      <w:r w:rsidR="00E56AC1" w:rsidRPr="005B2844">
        <w:rPr>
          <w:szCs w:val="22"/>
        </w:rPr>
        <w:t xml:space="preserve"> Il medico può decidere di cambiare la dose di questi altri medicinali o ricorrere ad altre precauzioni. In alcuni casi può essere necessario sospendere l’assunzione di uno di questi medicinali. Ciò si riferisce soprattutto ai medicinali di seguito elencati, assunti conte</w:t>
      </w:r>
      <w:r w:rsidR="00A37BC1" w:rsidRPr="005B2844">
        <w:rPr>
          <w:szCs w:val="22"/>
        </w:rPr>
        <w:t>mporanea</w:t>
      </w:r>
      <w:r w:rsidR="00E56AC1" w:rsidRPr="005B2844">
        <w:rPr>
          <w:szCs w:val="22"/>
        </w:rPr>
        <w:t xml:space="preserve">mente a </w:t>
      </w:r>
      <w:proofErr w:type="spellStart"/>
      <w:r w:rsidR="00E56AC1" w:rsidRPr="005B2844">
        <w:rPr>
          <w:szCs w:val="22"/>
        </w:rPr>
        <w:t>MicardisPlus</w:t>
      </w:r>
      <w:proofErr w:type="spellEnd"/>
      <w:r w:rsidR="00E56AC1" w:rsidRPr="005B2844">
        <w:rPr>
          <w:szCs w:val="22"/>
        </w:rPr>
        <w:t>:</w:t>
      </w:r>
    </w:p>
    <w:p w:rsidR="00E56AC1" w:rsidRPr="005B2844" w:rsidRDefault="00E56AC1" w:rsidP="0072602F">
      <w:pPr>
        <w:rPr>
          <w:szCs w:val="22"/>
        </w:rPr>
      </w:pPr>
    </w:p>
    <w:p w:rsidR="00343573" w:rsidRPr="005B2844" w:rsidRDefault="00343573" w:rsidP="009536AB">
      <w:pPr>
        <w:numPr>
          <w:ilvl w:val="0"/>
          <w:numId w:val="12"/>
        </w:numPr>
        <w:tabs>
          <w:tab w:val="clear" w:pos="720"/>
        </w:tabs>
        <w:ind w:left="567" w:hanging="567"/>
        <w:rPr>
          <w:szCs w:val="22"/>
        </w:rPr>
      </w:pPr>
      <w:r w:rsidRPr="005B2844">
        <w:rPr>
          <w:szCs w:val="22"/>
        </w:rPr>
        <w:t>Medicinali contenenti litio per trattare alcuni tipi di depressione</w:t>
      </w:r>
      <w:r w:rsidR="00C94C4C" w:rsidRPr="005B2844">
        <w:rPr>
          <w:szCs w:val="22"/>
        </w:rPr>
        <w:t>.</w:t>
      </w:r>
    </w:p>
    <w:p w:rsidR="00343573" w:rsidRPr="005B2844" w:rsidRDefault="00343573" w:rsidP="009536AB">
      <w:pPr>
        <w:numPr>
          <w:ilvl w:val="0"/>
          <w:numId w:val="12"/>
        </w:numPr>
        <w:tabs>
          <w:tab w:val="clear" w:pos="720"/>
        </w:tabs>
        <w:ind w:left="567" w:hanging="567"/>
        <w:rPr>
          <w:szCs w:val="22"/>
        </w:rPr>
      </w:pPr>
      <w:r w:rsidRPr="005B2844">
        <w:rPr>
          <w:szCs w:val="22"/>
        </w:rPr>
        <w:t>Medicinali associati a bassi livelli di potassio nel sangue (</w:t>
      </w:r>
      <w:r w:rsidR="00A60181" w:rsidRPr="005B2844">
        <w:rPr>
          <w:szCs w:val="22"/>
        </w:rPr>
        <w:t>ipokaliemia</w:t>
      </w:r>
      <w:r w:rsidRPr="005B2844">
        <w:rPr>
          <w:szCs w:val="22"/>
        </w:rPr>
        <w:t>) come altri diuretici, lassativi (</w:t>
      </w:r>
      <w:r w:rsidR="00096E7E" w:rsidRPr="005B2844">
        <w:rPr>
          <w:szCs w:val="22"/>
        </w:rPr>
        <w:t>ad es.</w:t>
      </w:r>
      <w:r w:rsidRPr="005B2844">
        <w:rPr>
          <w:szCs w:val="22"/>
        </w:rPr>
        <w:t xml:space="preserve"> olio di </w:t>
      </w:r>
      <w:r w:rsidR="00FF05B5" w:rsidRPr="005B2844">
        <w:rPr>
          <w:szCs w:val="22"/>
        </w:rPr>
        <w:t>ricino</w:t>
      </w:r>
      <w:r w:rsidRPr="005B2844">
        <w:rPr>
          <w:szCs w:val="22"/>
        </w:rPr>
        <w:t>), corticosteroidi (</w:t>
      </w:r>
      <w:r w:rsidR="00096E7E" w:rsidRPr="005B2844">
        <w:rPr>
          <w:szCs w:val="22"/>
        </w:rPr>
        <w:t>ad es.</w:t>
      </w:r>
      <w:r w:rsidRPr="005B2844">
        <w:rPr>
          <w:szCs w:val="22"/>
        </w:rPr>
        <w:t xml:space="preserve"> prednisone), </w:t>
      </w:r>
      <w:r w:rsidR="002F7829" w:rsidRPr="005B2844">
        <w:rPr>
          <w:szCs w:val="22"/>
        </w:rPr>
        <w:t>ormone adrenocorticotropo</w:t>
      </w:r>
      <w:r w:rsidR="00E4281F" w:rsidRPr="005B2844">
        <w:rPr>
          <w:szCs w:val="22"/>
        </w:rPr>
        <w:t xml:space="preserve"> (ACTH)</w:t>
      </w:r>
      <w:r w:rsidR="00FF05B5" w:rsidRPr="005B2844">
        <w:rPr>
          <w:szCs w:val="22"/>
        </w:rPr>
        <w:t xml:space="preserve">, </w:t>
      </w:r>
      <w:proofErr w:type="spellStart"/>
      <w:r w:rsidR="00FF05B5" w:rsidRPr="005B2844">
        <w:rPr>
          <w:szCs w:val="22"/>
        </w:rPr>
        <w:t>amfotericina</w:t>
      </w:r>
      <w:proofErr w:type="spellEnd"/>
      <w:r w:rsidR="00FF05B5" w:rsidRPr="005B2844">
        <w:rPr>
          <w:szCs w:val="22"/>
        </w:rPr>
        <w:t xml:space="preserve"> (medicinale antifungino), </w:t>
      </w:r>
      <w:proofErr w:type="spellStart"/>
      <w:r w:rsidR="00FF05B5" w:rsidRPr="005B2844">
        <w:rPr>
          <w:szCs w:val="22"/>
        </w:rPr>
        <w:t>carbenoxolone</w:t>
      </w:r>
      <w:proofErr w:type="spellEnd"/>
      <w:r w:rsidR="00FF05B5" w:rsidRPr="005B2844">
        <w:rPr>
          <w:szCs w:val="22"/>
        </w:rPr>
        <w:t xml:space="preserve"> (utilizzato per il trattamento delle ulcere della bocca), penicillina G sodica (antibiotico), acido salicilico e suoi derivati</w:t>
      </w:r>
      <w:r w:rsidR="00C94C4C" w:rsidRPr="005B2844">
        <w:rPr>
          <w:szCs w:val="22"/>
        </w:rPr>
        <w:t>.</w:t>
      </w:r>
    </w:p>
    <w:p w:rsidR="00FF05B5" w:rsidRPr="005B2844" w:rsidRDefault="00E40C41" w:rsidP="009536AB">
      <w:pPr>
        <w:numPr>
          <w:ilvl w:val="0"/>
          <w:numId w:val="12"/>
        </w:numPr>
        <w:tabs>
          <w:tab w:val="clear" w:pos="720"/>
        </w:tabs>
        <w:ind w:left="567" w:hanging="567"/>
        <w:rPr>
          <w:szCs w:val="22"/>
        </w:rPr>
      </w:pPr>
      <w:r w:rsidRPr="005B2844">
        <w:rPr>
          <w:szCs w:val="22"/>
        </w:rPr>
        <w:t xml:space="preserve">Medicinali che possono aumentare i livelli di potassio nel sangue come </w:t>
      </w:r>
      <w:r w:rsidR="00CB2A85" w:rsidRPr="005B2844">
        <w:rPr>
          <w:szCs w:val="22"/>
        </w:rPr>
        <w:t>i</w:t>
      </w:r>
      <w:r w:rsidRPr="005B2844">
        <w:rPr>
          <w:szCs w:val="22"/>
        </w:rPr>
        <w:t xml:space="preserve"> </w:t>
      </w:r>
      <w:r w:rsidR="00B058FF" w:rsidRPr="005B2844">
        <w:rPr>
          <w:szCs w:val="22"/>
        </w:rPr>
        <w:t>d</w:t>
      </w:r>
      <w:r w:rsidR="00FF05B5" w:rsidRPr="005B2844">
        <w:rPr>
          <w:szCs w:val="22"/>
        </w:rPr>
        <w:t xml:space="preserve">iuretici </w:t>
      </w:r>
      <w:r w:rsidR="006038AD" w:rsidRPr="005B2844">
        <w:rPr>
          <w:szCs w:val="22"/>
        </w:rPr>
        <w:t xml:space="preserve">detti risparmiatori di </w:t>
      </w:r>
      <w:r w:rsidR="00FF05B5" w:rsidRPr="005B2844">
        <w:rPr>
          <w:szCs w:val="22"/>
        </w:rPr>
        <w:t>potassio, integratori di potassio, sostituti del sale contenenti potassio, ACE inibitori</w:t>
      </w:r>
      <w:r w:rsidRPr="005B2844">
        <w:rPr>
          <w:szCs w:val="22"/>
        </w:rPr>
        <w:t xml:space="preserve">, </w:t>
      </w:r>
      <w:r w:rsidR="004908EE" w:rsidRPr="005B2844">
        <w:rPr>
          <w:szCs w:val="22"/>
        </w:rPr>
        <w:t>ciclosporina</w:t>
      </w:r>
      <w:r w:rsidRPr="005B2844">
        <w:rPr>
          <w:szCs w:val="22"/>
        </w:rPr>
        <w:t xml:space="preserve"> </w:t>
      </w:r>
      <w:r w:rsidR="006038AD" w:rsidRPr="005B2844">
        <w:rPr>
          <w:szCs w:val="22"/>
        </w:rPr>
        <w:t>(</w:t>
      </w:r>
      <w:r w:rsidR="00CB2A85" w:rsidRPr="005B2844">
        <w:rPr>
          <w:szCs w:val="22"/>
        </w:rPr>
        <w:t xml:space="preserve">medicinale immunosoppressore) e altri medicinali come </w:t>
      </w:r>
      <w:r w:rsidR="006038AD" w:rsidRPr="005B2844">
        <w:rPr>
          <w:szCs w:val="22"/>
        </w:rPr>
        <w:t>eparina sodica (</w:t>
      </w:r>
      <w:r w:rsidR="00CB2A85" w:rsidRPr="005B2844">
        <w:rPr>
          <w:szCs w:val="22"/>
        </w:rPr>
        <w:t>anticoagulante)</w:t>
      </w:r>
      <w:r w:rsidR="00C94C4C" w:rsidRPr="005B2844">
        <w:rPr>
          <w:szCs w:val="22"/>
        </w:rPr>
        <w:t>.</w:t>
      </w:r>
    </w:p>
    <w:p w:rsidR="00E958FA" w:rsidRPr="005B2844" w:rsidRDefault="00E958FA" w:rsidP="009536AB">
      <w:pPr>
        <w:numPr>
          <w:ilvl w:val="0"/>
          <w:numId w:val="12"/>
        </w:numPr>
        <w:tabs>
          <w:tab w:val="clear" w:pos="720"/>
        </w:tabs>
        <w:ind w:left="567" w:hanging="567"/>
        <w:rPr>
          <w:szCs w:val="22"/>
        </w:rPr>
      </w:pPr>
      <w:r w:rsidRPr="005B2844">
        <w:rPr>
          <w:szCs w:val="22"/>
        </w:rPr>
        <w:t xml:space="preserve">Medicinali che sono influenzati dalle variazioni del livello di potassio nel sangue come i </w:t>
      </w:r>
      <w:r w:rsidR="009B7D0E" w:rsidRPr="005B2844">
        <w:rPr>
          <w:szCs w:val="22"/>
        </w:rPr>
        <w:t>medicinal</w:t>
      </w:r>
      <w:r w:rsidRPr="005B2844">
        <w:rPr>
          <w:szCs w:val="22"/>
        </w:rPr>
        <w:t xml:space="preserve">i per il cuore (ad es. digossina) o medicinali per controllare il ritmo del cuore (ad es. chinidina, </w:t>
      </w:r>
      <w:proofErr w:type="spellStart"/>
      <w:r w:rsidRPr="005B2844">
        <w:rPr>
          <w:szCs w:val="22"/>
        </w:rPr>
        <w:t>disopiramide</w:t>
      </w:r>
      <w:proofErr w:type="spellEnd"/>
      <w:r w:rsidR="00CB2A85" w:rsidRPr="005B2844">
        <w:rPr>
          <w:szCs w:val="22"/>
        </w:rPr>
        <w:t xml:space="preserve">, amiodarone, </w:t>
      </w:r>
      <w:proofErr w:type="spellStart"/>
      <w:r w:rsidR="00CB2A85" w:rsidRPr="005B2844">
        <w:rPr>
          <w:szCs w:val="22"/>
        </w:rPr>
        <w:t>sotalolo</w:t>
      </w:r>
      <w:proofErr w:type="spellEnd"/>
      <w:r w:rsidRPr="005B2844">
        <w:rPr>
          <w:szCs w:val="22"/>
        </w:rPr>
        <w:t xml:space="preserve">), medicinali utilizzati per disturbi mentali (ad es. </w:t>
      </w:r>
      <w:proofErr w:type="spellStart"/>
      <w:r w:rsidRPr="005B2844">
        <w:rPr>
          <w:szCs w:val="22"/>
        </w:rPr>
        <w:t>tioridazina</w:t>
      </w:r>
      <w:proofErr w:type="spellEnd"/>
      <w:r w:rsidRPr="005B2844">
        <w:rPr>
          <w:szCs w:val="22"/>
        </w:rPr>
        <w:t xml:space="preserve">, clorpromazina, </w:t>
      </w:r>
      <w:proofErr w:type="spellStart"/>
      <w:r w:rsidRPr="005B2844">
        <w:rPr>
          <w:szCs w:val="22"/>
        </w:rPr>
        <w:t>levomepromazina</w:t>
      </w:r>
      <w:proofErr w:type="spellEnd"/>
      <w:r w:rsidRPr="005B2844">
        <w:rPr>
          <w:szCs w:val="22"/>
        </w:rPr>
        <w:t xml:space="preserve">) e altri </w:t>
      </w:r>
      <w:r w:rsidR="00E701DA" w:rsidRPr="005B2844">
        <w:rPr>
          <w:szCs w:val="22"/>
        </w:rPr>
        <w:t>medicinali</w:t>
      </w:r>
      <w:r w:rsidRPr="005B2844">
        <w:rPr>
          <w:szCs w:val="22"/>
        </w:rPr>
        <w:t xml:space="preserve"> come alcuni antibiotici (ad es. </w:t>
      </w:r>
      <w:proofErr w:type="spellStart"/>
      <w:r w:rsidRPr="005B2844">
        <w:rPr>
          <w:szCs w:val="22"/>
        </w:rPr>
        <w:t>sparfloxacina</w:t>
      </w:r>
      <w:proofErr w:type="spellEnd"/>
      <w:r w:rsidRPr="005B2844">
        <w:rPr>
          <w:szCs w:val="22"/>
        </w:rPr>
        <w:t xml:space="preserve">, </w:t>
      </w:r>
      <w:proofErr w:type="spellStart"/>
      <w:r w:rsidRPr="005B2844">
        <w:rPr>
          <w:szCs w:val="22"/>
        </w:rPr>
        <w:t>pentamidina</w:t>
      </w:r>
      <w:proofErr w:type="spellEnd"/>
      <w:r w:rsidRPr="005B2844">
        <w:rPr>
          <w:szCs w:val="22"/>
        </w:rPr>
        <w:t xml:space="preserve">) o alcuni </w:t>
      </w:r>
      <w:r w:rsidR="00E701DA" w:rsidRPr="005B2844">
        <w:rPr>
          <w:szCs w:val="22"/>
        </w:rPr>
        <w:t>medicinali</w:t>
      </w:r>
      <w:r w:rsidRPr="005B2844">
        <w:rPr>
          <w:szCs w:val="22"/>
        </w:rPr>
        <w:t xml:space="preserve"> per il trattamento di reazioni allergiche (ad es. </w:t>
      </w:r>
      <w:proofErr w:type="spellStart"/>
      <w:r w:rsidRPr="005B2844">
        <w:rPr>
          <w:szCs w:val="22"/>
        </w:rPr>
        <w:t>terfenadina</w:t>
      </w:r>
      <w:proofErr w:type="spellEnd"/>
      <w:r w:rsidRPr="005B2844">
        <w:rPr>
          <w:szCs w:val="22"/>
        </w:rPr>
        <w:t>).</w:t>
      </w:r>
    </w:p>
    <w:p w:rsidR="00E958FA" w:rsidRPr="005B2844" w:rsidRDefault="00E701DA" w:rsidP="009536AB">
      <w:pPr>
        <w:numPr>
          <w:ilvl w:val="0"/>
          <w:numId w:val="12"/>
        </w:numPr>
        <w:tabs>
          <w:tab w:val="clear" w:pos="720"/>
        </w:tabs>
        <w:ind w:left="567" w:hanging="567"/>
        <w:rPr>
          <w:szCs w:val="22"/>
        </w:rPr>
      </w:pPr>
      <w:r w:rsidRPr="005B2844">
        <w:rPr>
          <w:szCs w:val="22"/>
        </w:rPr>
        <w:t>Medicinali</w:t>
      </w:r>
      <w:r w:rsidR="00E958FA" w:rsidRPr="005B2844">
        <w:rPr>
          <w:szCs w:val="22"/>
        </w:rPr>
        <w:t xml:space="preserve"> per il trattamento del diabete (insulina o agenti orali come metformina).</w:t>
      </w:r>
    </w:p>
    <w:p w:rsidR="00E958FA" w:rsidRPr="005B2844" w:rsidRDefault="00E958FA" w:rsidP="009536AB">
      <w:pPr>
        <w:numPr>
          <w:ilvl w:val="0"/>
          <w:numId w:val="12"/>
        </w:numPr>
        <w:tabs>
          <w:tab w:val="clear" w:pos="720"/>
        </w:tabs>
        <w:ind w:left="567" w:hanging="567"/>
        <w:rPr>
          <w:szCs w:val="22"/>
        </w:rPr>
      </w:pPr>
      <w:proofErr w:type="spellStart"/>
      <w:r w:rsidRPr="005B2844">
        <w:rPr>
          <w:szCs w:val="22"/>
        </w:rPr>
        <w:t>Colestiramina</w:t>
      </w:r>
      <w:proofErr w:type="spellEnd"/>
      <w:r w:rsidRPr="005B2844">
        <w:rPr>
          <w:szCs w:val="22"/>
        </w:rPr>
        <w:t xml:space="preserve"> e </w:t>
      </w:r>
      <w:proofErr w:type="spellStart"/>
      <w:r w:rsidRPr="005B2844">
        <w:rPr>
          <w:szCs w:val="22"/>
        </w:rPr>
        <w:t>colestipolo</w:t>
      </w:r>
      <w:proofErr w:type="spellEnd"/>
      <w:r w:rsidRPr="005B2844">
        <w:rPr>
          <w:szCs w:val="22"/>
        </w:rPr>
        <w:t xml:space="preserve">, </w:t>
      </w:r>
      <w:r w:rsidR="00E701DA" w:rsidRPr="005B2844">
        <w:rPr>
          <w:szCs w:val="22"/>
        </w:rPr>
        <w:t>medicinal</w:t>
      </w:r>
      <w:r w:rsidRPr="005B2844">
        <w:rPr>
          <w:szCs w:val="22"/>
        </w:rPr>
        <w:t>i per abbassare i livelli di grassi nel sangue.</w:t>
      </w:r>
    </w:p>
    <w:p w:rsidR="00E958FA" w:rsidRPr="005B2844" w:rsidRDefault="00E958FA" w:rsidP="009536AB">
      <w:pPr>
        <w:numPr>
          <w:ilvl w:val="0"/>
          <w:numId w:val="12"/>
        </w:numPr>
        <w:tabs>
          <w:tab w:val="clear" w:pos="720"/>
        </w:tabs>
        <w:ind w:left="567" w:hanging="567"/>
        <w:rPr>
          <w:szCs w:val="22"/>
        </w:rPr>
      </w:pPr>
      <w:r w:rsidRPr="005B2844">
        <w:rPr>
          <w:szCs w:val="22"/>
        </w:rPr>
        <w:t>Medicinali per aumentare la pressione del sangue, come la noradrenalina.</w:t>
      </w:r>
    </w:p>
    <w:p w:rsidR="00E958FA" w:rsidRPr="005B2844" w:rsidRDefault="00E701DA" w:rsidP="009536AB">
      <w:pPr>
        <w:numPr>
          <w:ilvl w:val="0"/>
          <w:numId w:val="12"/>
        </w:numPr>
        <w:tabs>
          <w:tab w:val="clear" w:pos="720"/>
        </w:tabs>
        <w:ind w:left="567" w:hanging="567"/>
        <w:rPr>
          <w:szCs w:val="22"/>
        </w:rPr>
      </w:pPr>
      <w:r w:rsidRPr="005B2844">
        <w:rPr>
          <w:szCs w:val="22"/>
        </w:rPr>
        <w:t>Medicinali</w:t>
      </w:r>
      <w:r w:rsidR="00E958FA" w:rsidRPr="005B2844">
        <w:rPr>
          <w:szCs w:val="22"/>
        </w:rPr>
        <w:t xml:space="preserve"> che rilassano la muscolatura</w:t>
      </w:r>
      <w:r w:rsidR="009B7D0E" w:rsidRPr="005B2844">
        <w:rPr>
          <w:szCs w:val="22"/>
        </w:rPr>
        <w:t>,</w:t>
      </w:r>
      <w:r w:rsidR="00E958FA" w:rsidRPr="005B2844">
        <w:rPr>
          <w:szCs w:val="22"/>
        </w:rPr>
        <w:t xml:space="preserve"> come ad esempio tubocurarina.</w:t>
      </w:r>
    </w:p>
    <w:p w:rsidR="00E958FA" w:rsidRPr="005B2844" w:rsidRDefault="00117178" w:rsidP="009536AB">
      <w:pPr>
        <w:numPr>
          <w:ilvl w:val="0"/>
          <w:numId w:val="12"/>
        </w:numPr>
        <w:tabs>
          <w:tab w:val="clear" w:pos="720"/>
        </w:tabs>
        <w:ind w:left="567" w:hanging="567"/>
        <w:rPr>
          <w:szCs w:val="22"/>
        </w:rPr>
      </w:pPr>
      <w:r w:rsidRPr="005B2844">
        <w:rPr>
          <w:szCs w:val="22"/>
        </w:rPr>
        <w:t>Integratori a base di calcio</w:t>
      </w:r>
      <w:r w:rsidR="00416670" w:rsidRPr="005B2844">
        <w:rPr>
          <w:szCs w:val="22"/>
        </w:rPr>
        <w:t xml:space="preserve"> e/o integratori di vitamina D</w:t>
      </w:r>
      <w:r w:rsidRPr="005B2844">
        <w:rPr>
          <w:szCs w:val="22"/>
        </w:rPr>
        <w:t>.</w:t>
      </w:r>
    </w:p>
    <w:p w:rsidR="00E958FA" w:rsidRPr="005B2844" w:rsidRDefault="00E701DA" w:rsidP="009536AB">
      <w:pPr>
        <w:numPr>
          <w:ilvl w:val="0"/>
          <w:numId w:val="12"/>
        </w:numPr>
        <w:tabs>
          <w:tab w:val="clear" w:pos="720"/>
        </w:tabs>
        <w:ind w:left="567" w:hanging="567"/>
        <w:rPr>
          <w:szCs w:val="22"/>
        </w:rPr>
      </w:pPr>
      <w:r w:rsidRPr="005B2844">
        <w:rPr>
          <w:szCs w:val="22"/>
        </w:rPr>
        <w:t>Medicinali</w:t>
      </w:r>
      <w:r w:rsidR="00E958FA" w:rsidRPr="005B2844">
        <w:rPr>
          <w:szCs w:val="22"/>
        </w:rPr>
        <w:t xml:space="preserve"> anti-colinergici (farmaci usati per trattare una varietà di disturbi come crampi gastrointestinali, spasmi della vescica urinaria, asma, chinetosi</w:t>
      </w:r>
      <w:r w:rsidR="0096705E" w:rsidRPr="005B2844">
        <w:rPr>
          <w:szCs w:val="22"/>
        </w:rPr>
        <w:t xml:space="preserve"> (malessere da movimento)</w:t>
      </w:r>
      <w:r w:rsidR="00E958FA" w:rsidRPr="005B2844">
        <w:rPr>
          <w:szCs w:val="22"/>
        </w:rPr>
        <w:t>, spasmi muscolari,</w:t>
      </w:r>
      <w:r w:rsidR="0096705E" w:rsidRPr="005B2844">
        <w:rPr>
          <w:szCs w:val="22"/>
        </w:rPr>
        <w:t xml:space="preserve"> il</w:t>
      </w:r>
      <w:r w:rsidR="00E958FA" w:rsidRPr="005B2844">
        <w:rPr>
          <w:szCs w:val="22"/>
        </w:rPr>
        <w:t xml:space="preserve"> </w:t>
      </w:r>
      <w:r w:rsidR="006038AD" w:rsidRPr="005B2844">
        <w:rPr>
          <w:szCs w:val="22"/>
        </w:rPr>
        <w:t>morbo</w:t>
      </w:r>
      <w:r w:rsidR="00E958FA" w:rsidRPr="005B2844">
        <w:rPr>
          <w:szCs w:val="22"/>
        </w:rPr>
        <w:t xml:space="preserve"> di Parkinson e come aiuto per l’anestesia), come atropina e </w:t>
      </w:r>
      <w:proofErr w:type="spellStart"/>
      <w:r w:rsidR="00E958FA" w:rsidRPr="005B2844">
        <w:rPr>
          <w:szCs w:val="22"/>
        </w:rPr>
        <w:t>biperidone</w:t>
      </w:r>
      <w:proofErr w:type="spellEnd"/>
      <w:r w:rsidR="00E958FA" w:rsidRPr="005B2844">
        <w:rPr>
          <w:szCs w:val="22"/>
        </w:rPr>
        <w:t>.</w:t>
      </w:r>
    </w:p>
    <w:p w:rsidR="00E958FA" w:rsidRPr="005B2844" w:rsidRDefault="00E958FA" w:rsidP="009536AB">
      <w:pPr>
        <w:numPr>
          <w:ilvl w:val="0"/>
          <w:numId w:val="12"/>
        </w:numPr>
        <w:tabs>
          <w:tab w:val="clear" w:pos="720"/>
        </w:tabs>
        <w:ind w:left="567" w:hanging="567"/>
        <w:rPr>
          <w:szCs w:val="22"/>
        </w:rPr>
      </w:pPr>
      <w:proofErr w:type="spellStart"/>
      <w:r w:rsidRPr="005B2844">
        <w:rPr>
          <w:szCs w:val="22"/>
        </w:rPr>
        <w:t>Amantadina</w:t>
      </w:r>
      <w:proofErr w:type="spellEnd"/>
      <w:r w:rsidRPr="005B2844">
        <w:rPr>
          <w:szCs w:val="22"/>
        </w:rPr>
        <w:t xml:space="preserve"> (medicinal</w:t>
      </w:r>
      <w:r w:rsidR="00F33D2B" w:rsidRPr="005B2844">
        <w:rPr>
          <w:szCs w:val="22"/>
        </w:rPr>
        <w:t xml:space="preserve">e usato per </w:t>
      </w:r>
      <w:r w:rsidR="006038AD" w:rsidRPr="005B2844">
        <w:rPr>
          <w:szCs w:val="22"/>
        </w:rPr>
        <w:t>trattare</w:t>
      </w:r>
      <w:r w:rsidR="00F33D2B" w:rsidRPr="005B2844">
        <w:rPr>
          <w:szCs w:val="22"/>
        </w:rPr>
        <w:t xml:space="preserve"> il morbo di Parkinson</w:t>
      </w:r>
      <w:r w:rsidRPr="005B2844">
        <w:rPr>
          <w:szCs w:val="22"/>
        </w:rPr>
        <w:t xml:space="preserve"> e usato anche per trattare o prevenire le malattie causate da virus).</w:t>
      </w:r>
    </w:p>
    <w:p w:rsidR="004F6770" w:rsidRPr="005B2844" w:rsidRDefault="004F6770" w:rsidP="009536AB">
      <w:pPr>
        <w:numPr>
          <w:ilvl w:val="0"/>
          <w:numId w:val="12"/>
        </w:numPr>
        <w:tabs>
          <w:tab w:val="clear" w:pos="720"/>
        </w:tabs>
        <w:ind w:left="567" w:hanging="567"/>
        <w:rPr>
          <w:szCs w:val="22"/>
        </w:rPr>
      </w:pPr>
      <w:r w:rsidRPr="005B2844">
        <w:rPr>
          <w:szCs w:val="22"/>
        </w:rPr>
        <w:t>Altre sostanze utilizzate per trattare</w:t>
      </w:r>
      <w:r w:rsidR="003B4980" w:rsidRPr="005B2844">
        <w:rPr>
          <w:szCs w:val="22"/>
        </w:rPr>
        <w:t xml:space="preserve"> la pressione del sangue alta, </w:t>
      </w:r>
      <w:r w:rsidR="00204A58" w:rsidRPr="005B2844">
        <w:rPr>
          <w:szCs w:val="22"/>
        </w:rPr>
        <w:t>cortico</w:t>
      </w:r>
      <w:r w:rsidR="003B4980" w:rsidRPr="005B2844">
        <w:rPr>
          <w:szCs w:val="22"/>
        </w:rPr>
        <w:t>steroidi, antidolorifici</w:t>
      </w:r>
      <w:r w:rsidR="00204A58" w:rsidRPr="005B2844">
        <w:rPr>
          <w:szCs w:val="22"/>
        </w:rPr>
        <w:t xml:space="preserve"> (</w:t>
      </w:r>
      <w:r w:rsidR="002F7829" w:rsidRPr="005B2844">
        <w:rPr>
          <w:szCs w:val="22"/>
        </w:rPr>
        <w:t xml:space="preserve">come ad esempio medicinali anti </w:t>
      </w:r>
      <w:r w:rsidR="00204A58" w:rsidRPr="005B2844">
        <w:rPr>
          <w:szCs w:val="22"/>
        </w:rPr>
        <w:t>infiammatori non steroidei [</w:t>
      </w:r>
      <w:r w:rsidR="004908EE" w:rsidRPr="005B2844">
        <w:rPr>
          <w:szCs w:val="22"/>
        </w:rPr>
        <w:t>FANS</w:t>
      </w:r>
      <w:r w:rsidR="00204A58" w:rsidRPr="005B2844">
        <w:rPr>
          <w:szCs w:val="22"/>
        </w:rPr>
        <w:t>])</w:t>
      </w:r>
      <w:r w:rsidR="003B4980" w:rsidRPr="005B2844">
        <w:rPr>
          <w:szCs w:val="22"/>
        </w:rPr>
        <w:t>, medicinali per il trattamento del cancro, della gotta o artrite.</w:t>
      </w:r>
    </w:p>
    <w:p w:rsidR="00C44157" w:rsidRPr="005B2844" w:rsidRDefault="00D43CDA" w:rsidP="00C44157">
      <w:pPr>
        <w:numPr>
          <w:ilvl w:val="0"/>
          <w:numId w:val="12"/>
        </w:numPr>
        <w:tabs>
          <w:tab w:val="clear" w:pos="720"/>
        </w:tabs>
        <w:ind w:left="567" w:hanging="567"/>
        <w:rPr>
          <w:bCs/>
          <w:iCs/>
          <w:szCs w:val="22"/>
        </w:rPr>
      </w:pPr>
      <w:r w:rsidRPr="005B2844">
        <w:rPr>
          <w:bCs/>
          <w:iCs/>
          <w:szCs w:val="22"/>
        </w:rPr>
        <w:t xml:space="preserve">Se sta assumendo un ACE inibitore o </w:t>
      </w:r>
      <w:proofErr w:type="spellStart"/>
      <w:r w:rsidRPr="005B2844">
        <w:rPr>
          <w:bCs/>
          <w:iCs/>
          <w:szCs w:val="22"/>
        </w:rPr>
        <w:t>aliskiren</w:t>
      </w:r>
      <w:proofErr w:type="spellEnd"/>
      <w:r w:rsidRPr="005B2844">
        <w:rPr>
          <w:bCs/>
          <w:iCs/>
          <w:szCs w:val="22"/>
        </w:rPr>
        <w:t xml:space="preserve"> (vedere anche quanto riportato alla voce: “Non prenda </w:t>
      </w:r>
      <w:proofErr w:type="spellStart"/>
      <w:r w:rsidRPr="005B2844">
        <w:rPr>
          <w:bCs/>
          <w:iCs/>
          <w:szCs w:val="22"/>
        </w:rPr>
        <w:t>MicardisPlus</w:t>
      </w:r>
      <w:proofErr w:type="spellEnd"/>
      <w:r w:rsidRPr="005B2844">
        <w:rPr>
          <w:bCs/>
          <w:iCs/>
          <w:szCs w:val="22"/>
        </w:rPr>
        <w:t>” e “Avvertenze e precauzioni”).</w:t>
      </w:r>
    </w:p>
    <w:p w:rsidR="00C44157" w:rsidRPr="005B2844" w:rsidRDefault="00C44157" w:rsidP="00C44157">
      <w:pPr>
        <w:numPr>
          <w:ilvl w:val="0"/>
          <w:numId w:val="12"/>
        </w:numPr>
        <w:tabs>
          <w:tab w:val="clear" w:pos="720"/>
        </w:tabs>
        <w:ind w:left="567" w:hanging="567"/>
        <w:rPr>
          <w:szCs w:val="22"/>
        </w:rPr>
      </w:pPr>
      <w:r w:rsidRPr="005B2844">
        <w:rPr>
          <w:bCs/>
          <w:iCs/>
          <w:szCs w:val="22"/>
        </w:rPr>
        <w:t>Digossina.</w:t>
      </w:r>
    </w:p>
    <w:p w:rsidR="003B4980" w:rsidRPr="005B2844" w:rsidRDefault="003B4980" w:rsidP="0072602F">
      <w:pPr>
        <w:rPr>
          <w:szCs w:val="22"/>
        </w:rPr>
      </w:pPr>
    </w:p>
    <w:p w:rsidR="003B4980" w:rsidRPr="005B2844" w:rsidRDefault="003B4980" w:rsidP="0072602F">
      <w:pPr>
        <w:rPr>
          <w:szCs w:val="22"/>
        </w:rPr>
      </w:pPr>
      <w:proofErr w:type="spellStart"/>
      <w:r w:rsidRPr="005B2844">
        <w:rPr>
          <w:szCs w:val="22"/>
        </w:rPr>
        <w:t>MicardisPlus</w:t>
      </w:r>
      <w:proofErr w:type="spellEnd"/>
      <w:r w:rsidRPr="005B2844">
        <w:rPr>
          <w:szCs w:val="22"/>
        </w:rPr>
        <w:t xml:space="preserve"> può </w:t>
      </w:r>
      <w:r w:rsidR="00A37BC1" w:rsidRPr="005B2844">
        <w:rPr>
          <w:szCs w:val="22"/>
        </w:rPr>
        <w:t>au</w:t>
      </w:r>
      <w:r w:rsidRPr="005B2844">
        <w:rPr>
          <w:szCs w:val="22"/>
        </w:rPr>
        <w:t xml:space="preserve">mentare l’effetto </w:t>
      </w:r>
      <w:r w:rsidR="00E22F84" w:rsidRPr="005B2844">
        <w:rPr>
          <w:szCs w:val="22"/>
        </w:rPr>
        <w:t xml:space="preserve">di altri medicinali </w:t>
      </w:r>
      <w:r w:rsidR="00B85C04" w:rsidRPr="005B2844">
        <w:rPr>
          <w:szCs w:val="22"/>
        </w:rPr>
        <w:t xml:space="preserve">usati </w:t>
      </w:r>
      <w:r w:rsidR="00A37BC1" w:rsidRPr="005B2844">
        <w:rPr>
          <w:szCs w:val="22"/>
        </w:rPr>
        <w:t>per</w:t>
      </w:r>
      <w:r w:rsidR="00E22F84" w:rsidRPr="005B2844">
        <w:rPr>
          <w:szCs w:val="22"/>
        </w:rPr>
        <w:t xml:space="preserve"> ridurre la pressione del sangue </w:t>
      </w:r>
      <w:r w:rsidR="00830CD2" w:rsidRPr="005B2844">
        <w:rPr>
          <w:szCs w:val="22"/>
        </w:rPr>
        <w:t xml:space="preserve">o di medicinali che potenzialmente possono ridurre la pressione del sangue (ad es. </w:t>
      </w:r>
      <w:proofErr w:type="spellStart"/>
      <w:r w:rsidR="00830CD2" w:rsidRPr="005B2844">
        <w:rPr>
          <w:szCs w:val="22"/>
        </w:rPr>
        <w:t>baclofene</w:t>
      </w:r>
      <w:proofErr w:type="spellEnd"/>
      <w:r w:rsidR="00830CD2" w:rsidRPr="005B2844">
        <w:rPr>
          <w:szCs w:val="22"/>
        </w:rPr>
        <w:t xml:space="preserve">, </w:t>
      </w:r>
      <w:proofErr w:type="spellStart"/>
      <w:r w:rsidR="00830CD2" w:rsidRPr="005B2844">
        <w:rPr>
          <w:szCs w:val="22"/>
        </w:rPr>
        <w:t>amifostina</w:t>
      </w:r>
      <w:proofErr w:type="spellEnd"/>
      <w:r w:rsidR="00830CD2" w:rsidRPr="005B2844">
        <w:rPr>
          <w:szCs w:val="22"/>
        </w:rPr>
        <w:t>). Inoltre l’abbassamento della pressione del sangue può essere aggravato da alcol, barbiturici, narcotici o antidepressivi. Lei potrebbe avvertire questo abbassamento pressorio come vertigini alzandosi in piedi. Consulti</w:t>
      </w:r>
      <w:r w:rsidR="00E22F84" w:rsidRPr="005B2844">
        <w:rPr>
          <w:szCs w:val="22"/>
        </w:rPr>
        <w:t xml:space="preserve"> il medico se ha la necessità di modificare la dose degli altri medicinali mentre assume </w:t>
      </w:r>
      <w:proofErr w:type="spellStart"/>
      <w:r w:rsidR="00E22F84" w:rsidRPr="005B2844">
        <w:rPr>
          <w:szCs w:val="22"/>
        </w:rPr>
        <w:t>MicardisPlus</w:t>
      </w:r>
      <w:proofErr w:type="spellEnd"/>
      <w:r w:rsidR="00E22F84" w:rsidRPr="005B2844">
        <w:rPr>
          <w:szCs w:val="22"/>
        </w:rPr>
        <w:t>.</w:t>
      </w:r>
    </w:p>
    <w:p w:rsidR="002964F2" w:rsidRPr="005B2844" w:rsidRDefault="00DA1533" w:rsidP="00DA1533">
      <w:pPr>
        <w:tabs>
          <w:tab w:val="left" w:pos="8347"/>
        </w:tabs>
        <w:rPr>
          <w:szCs w:val="22"/>
        </w:rPr>
      </w:pPr>
      <w:r w:rsidRPr="005B2844">
        <w:rPr>
          <w:szCs w:val="22"/>
        </w:rPr>
        <w:tab/>
      </w:r>
    </w:p>
    <w:p w:rsidR="002964F2" w:rsidRPr="005B2844" w:rsidRDefault="00097FFC" w:rsidP="0072602F">
      <w:pPr>
        <w:rPr>
          <w:szCs w:val="22"/>
        </w:rPr>
      </w:pPr>
      <w:r w:rsidRPr="005B2844">
        <w:rPr>
          <w:szCs w:val="22"/>
        </w:rPr>
        <w:t>L</w:t>
      </w:r>
      <w:r w:rsidR="002964F2" w:rsidRPr="005B2844">
        <w:rPr>
          <w:szCs w:val="22"/>
        </w:rPr>
        <w:t xml:space="preserve">’effetto di </w:t>
      </w:r>
      <w:proofErr w:type="spellStart"/>
      <w:r w:rsidR="002964F2" w:rsidRPr="005B2844">
        <w:rPr>
          <w:szCs w:val="22"/>
        </w:rPr>
        <w:t>MicardisPlus</w:t>
      </w:r>
      <w:proofErr w:type="spellEnd"/>
      <w:r w:rsidR="002964F2" w:rsidRPr="005B2844">
        <w:rPr>
          <w:szCs w:val="22"/>
        </w:rPr>
        <w:t xml:space="preserve"> può essere ridotto quando assume FANS (</w:t>
      </w:r>
      <w:r w:rsidR="006F476C" w:rsidRPr="005B2844">
        <w:rPr>
          <w:szCs w:val="22"/>
        </w:rPr>
        <w:t>medicinali</w:t>
      </w:r>
      <w:r w:rsidR="002964F2" w:rsidRPr="005B2844">
        <w:rPr>
          <w:szCs w:val="22"/>
        </w:rPr>
        <w:t xml:space="preserve"> antiinfiammatori non steroidei, </w:t>
      </w:r>
      <w:r w:rsidR="00096E7E" w:rsidRPr="005B2844">
        <w:rPr>
          <w:szCs w:val="22"/>
        </w:rPr>
        <w:t>ad es.</w:t>
      </w:r>
      <w:r w:rsidR="002964F2" w:rsidRPr="005B2844">
        <w:rPr>
          <w:szCs w:val="22"/>
        </w:rPr>
        <w:t xml:space="preserve"> aspirina e ibuprofene).</w:t>
      </w:r>
    </w:p>
    <w:p w:rsidR="00783EA1" w:rsidRPr="005B2844" w:rsidRDefault="00783EA1" w:rsidP="0072602F">
      <w:pPr>
        <w:rPr>
          <w:szCs w:val="22"/>
        </w:rPr>
      </w:pPr>
    </w:p>
    <w:p w:rsidR="00F33D2B" w:rsidRPr="005B2844" w:rsidRDefault="00F33D2B" w:rsidP="00BD43A7">
      <w:pPr>
        <w:keepNext/>
        <w:rPr>
          <w:b/>
          <w:szCs w:val="22"/>
        </w:rPr>
      </w:pPr>
      <w:proofErr w:type="spellStart"/>
      <w:r w:rsidRPr="005B2844">
        <w:rPr>
          <w:b/>
          <w:szCs w:val="22"/>
        </w:rPr>
        <w:t>MicardisPlus</w:t>
      </w:r>
      <w:proofErr w:type="spellEnd"/>
      <w:r w:rsidRPr="005B2844">
        <w:rPr>
          <w:b/>
          <w:szCs w:val="22"/>
        </w:rPr>
        <w:t xml:space="preserve"> con cibi e alcol</w:t>
      </w:r>
    </w:p>
    <w:p w:rsidR="00F33D2B" w:rsidRPr="005B2844" w:rsidRDefault="00F33D2B" w:rsidP="00BD43A7">
      <w:pPr>
        <w:keepNext/>
        <w:rPr>
          <w:szCs w:val="22"/>
        </w:rPr>
      </w:pPr>
    </w:p>
    <w:p w:rsidR="00F33D2B" w:rsidRPr="005B2844" w:rsidRDefault="00F33D2B" w:rsidP="00BD43A7">
      <w:pPr>
        <w:keepNext/>
        <w:rPr>
          <w:szCs w:val="22"/>
        </w:rPr>
      </w:pPr>
      <w:r w:rsidRPr="005B2844">
        <w:rPr>
          <w:szCs w:val="22"/>
        </w:rPr>
        <w:t xml:space="preserve">Può prendere </w:t>
      </w:r>
      <w:proofErr w:type="spellStart"/>
      <w:r w:rsidRPr="005B2844">
        <w:rPr>
          <w:szCs w:val="22"/>
        </w:rPr>
        <w:t>MicardisPlus</w:t>
      </w:r>
      <w:proofErr w:type="spellEnd"/>
      <w:r w:rsidRPr="005B2844">
        <w:rPr>
          <w:szCs w:val="22"/>
        </w:rPr>
        <w:t xml:space="preserve"> con o senza cibo.</w:t>
      </w:r>
    </w:p>
    <w:p w:rsidR="00F33D2B" w:rsidRPr="005B2844" w:rsidRDefault="00F33D2B" w:rsidP="00BD43A7">
      <w:pPr>
        <w:keepNext/>
        <w:rPr>
          <w:szCs w:val="22"/>
        </w:rPr>
      </w:pPr>
      <w:r w:rsidRPr="005B2844">
        <w:rPr>
          <w:szCs w:val="22"/>
        </w:rPr>
        <w:t>Eviti di assumere alcol prima di aver</w:t>
      </w:r>
      <w:r w:rsidR="009B7D0E" w:rsidRPr="005B2844">
        <w:rPr>
          <w:szCs w:val="22"/>
        </w:rPr>
        <w:t>ne</w:t>
      </w:r>
      <w:r w:rsidRPr="005B2844">
        <w:rPr>
          <w:szCs w:val="22"/>
        </w:rPr>
        <w:t xml:space="preserve"> parlato con il medico. </w:t>
      </w:r>
      <w:r w:rsidR="008A15AD" w:rsidRPr="005B2844">
        <w:rPr>
          <w:szCs w:val="22"/>
        </w:rPr>
        <w:t xml:space="preserve">L’alcol può </w:t>
      </w:r>
      <w:r w:rsidR="00232B85" w:rsidRPr="005B2844">
        <w:rPr>
          <w:szCs w:val="22"/>
        </w:rPr>
        <w:t xml:space="preserve">ulteriormente ridurre la </w:t>
      </w:r>
      <w:r w:rsidR="008A15AD" w:rsidRPr="005B2844">
        <w:rPr>
          <w:szCs w:val="22"/>
        </w:rPr>
        <w:t xml:space="preserve">pressione </w:t>
      </w:r>
      <w:r w:rsidR="00232B85" w:rsidRPr="005B2844">
        <w:rPr>
          <w:szCs w:val="22"/>
        </w:rPr>
        <w:t>del sangue</w:t>
      </w:r>
      <w:r w:rsidR="008A15AD" w:rsidRPr="005B2844">
        <w:rPr>
          <w:szCs w:val="22"/>
        </w:rPr>
        <w:t xml:space="preserve"> </w:t>
      </w:r>
      <w:r w:rsidR="00232B85" w:rsidRPr="005B2844">
        <w:rPr>
          <w:szCs w:val="22"/>
        </w:rPr>
        <w:t>e/o aumentare il rischio di</w:t>
      </w:r>
      <w:r w:rsidR="008A15AD" w:rsidRPr="005B2844">
        <w:rPr>
          <w:szCs w:val="22"/>
        </w:rPr>
        <w:t xml:space="preserve"> </w:t>
      </w:r>
      <w:r w:rsidR="006038AD" w:rsidRPr="005B2844">
        <w:rPr>
          <w:szCs w:val="22"/>
        </w:rPr>
        <w:t>giramenti di testa</w:t>
      </w:r>
      <w:r w:rsidR="008A15AD" w:rsidRPr="005B2844">
        <w:rPr>
          <w:szCs w:val="22"/>
        </w:rPr>
        <w:t xml:space="preserve"> o</w:t>
      </w:r>
      <w:r w:rsidR="00104F13" w:rsidRPr="005B2844">
        <w:rPr>
          <w:szCs w:val="22"/>
        </w:rPr>
        <w:t xml:space="preserve"> </w:t>
      </w:r>
      <w:r w:rsidR="00232B85" w:rsidRPr="005B2844">
        <w:rPr>
          <w:szCs w:val="22"/>
        </w:rPr>
        <w:t>di</w:t>
      </w:r>
      <w:r w:rsidR="008A15AD" w:rsidRPr="005B2844">
        <w:rPr>
          <w:szCs w:val="22"/>
        </w:rPr>
        <w:t xml:space="preserve"> svenimento.</w:t>
      </w:r>
    </w:p>
    <w:p w:rsidR="00F33D2B" w:rsidRPr="005B2844" w:rsidRDefault="00F33D2B" w:rsidP="00BD43A7">
      <w:pPr>
        <w:keepNext/>
        <w:rPr>
          <w:b/>
          <w:szCs w:val="22"/>
        </w:rPr>
      </w:pPr>
    </w:p>
    <w:p w:rsidR="00A70FCB" w:rsidRPr="005B2844" w:rsidRDefault="00A70FCB" w:rsidP="00BD43A7">
      <w:pPr>
        <w:keepNext/>
        <w:rPr>
          <w:b/>
          <w:szCs w:val="22"/>
        </w:rPr>
      </w:pPr>
      <w:r w:rsidRPr="005B2844">
        <w:rPr>
          <w:b/>
          <w:szCs w:val="22"/>
        </w:rPr>
        <w:t>Gravidanza</w:t>
      </w:r>
      <w:r w:rsidR="00A048CF" w:rsidRPr="005B2844">
        <w:rPr>
          <w:b/>
          <w:szCs w:val="22"/>
        </w:rPr>
        <w:t xml:space="preserve"> e allattamento</w:t>
      </w:r>
    </w:p>
    <w:p w:rsidR="00CD33A5" w:rsidRPr="005B2844" w:rsidRDefault="00CD33A5" w:rsidP="00BD43A7">
      <w:pPr>
        <w:keepNext/>
        <w:rPr>
          <w:b/>
          <w:szCs w:val="22"/>
        </w:rPr>
      </w:pPr>
    </w:p>
    <w:p w:rsidR="00B103D0" w:rsidRPr="005B2844" w:rsidRDefault="00B103D0" w:rsidP="00BD43A7">
      <w:pPr>
        <w:keepNext/>
        <w:numPr>
          <w:ilvl w:val="12"/>
          <w:numId w:val="0"/>
        </w:numPr>
        <w:rPr>
          <w:noProof/>
          <w:color w:val="000000"/>
          <w:szCs w:val="22"/>
          <w:u w:val="single"/>
        </w:rPr>
      </w:pPr>
      <w:r w:rsidRPr="005B2844">
        <w:rPr>
          <w:noProof/>
          <w:color w:val="000000"/>
          <w:szCs w:val="22"/>
          <w:u w:val="single"/>
        </w:rPr>
        <w:t>Gravidanza</w:t>
      </w:r>
    </w:p>
    <w:p w:rsidR="00D45421" w:rsidRPr="005B2844" w:rsidRDefault="00D45421" w:rsidP="0072602F">
      <w:pPr>
        <w:numPr>
          <w:ilvl w:val="12"/>
          <w:numId w:val="0"/>
        </w:numPr>
        <w:rPr>
          <w:color w:val="000000"/>
          <w:szCs w:val="22"/>
        </w:rPr>
      </w:pPr>
      <w:r w:rsidRPr="005B2844">
        <w:rPr>
          <w:noProof/>
          <w:color w:val="000000"/>
          <w:szCs w:val="22"/>
        </w:rPr>
        <w:t xml:space="preserve">Deve informare il medico se pensa di essere in </w:t>
      </w:r>
      <w:r w:rsidR="0066312C" w:rsidRPr="005B2844">
        <w:rPr>
          <w:noProof/>
          <w:color w:val="000000"/>
          <w:szCs w:val="22"/>
        </w:rPr>
        <w:t xml:space="preserve">stato di </w:t>
      </w:r>
      <w:r w:rsidRPr="005B2844">
        <w:rPr>
          <w:noProof/>
          <w:color w:val="000000"/>
          <w:szCs w:val="22"/>
        </w:rPr>
        <w:t>gravidanza (</w:t>
      </w:r>
      <w:r w:rsidRPr="005B2844">
        <w:rPr>
          <w:noProof/>
          <w:color w:val="000000"/>
          <w:szCs w:val="22"/>
          <w:u w:val="single"/>
        </w:rPr>
        <w:t xml:space="preserve">o </w:t>
      </w:r>
      <w:r w:rsidR="0066312C" w:rsidRPr="005B2844">
        <w:rPr>
          <w:noProof/>
          <w:color w:val="000000"/>
          <w:szCs w:val="22"/>
          <w:u w:val="single"/>
        </w:rPr>
        <w:t xml:space="preserve">se vi è la possibilità </w:t>
      </w:r>
      <w:r w:rsidRPr="005B2844">
        <w:rPr>
          <w:noProof/>
          <w:color w:val="000000"/>
          <w:szCs w:val="22"/>
          <w:u w:val="single"/>
        </w:rPr>
        <w:t>di dare inizio ad una gravidanza</w:t>
      </w:r>
      <w:r w:rsidRPr="005B2844">
        <w:rPr>
          <w:noProof/>
          <w:color w:val="000000"/>
          <w:szCs w:val="22"/>
        </w:rPr>
        <w:t xml:space="preserve">). </w:t>
      </w:r>
      <w:r w:rsidR="0066312C" w:rsidRPr="005B2844">
        <w:rPr>
          <w:noProof/>
          <w:color w:val="000000"/>
          <w:szCs w:val="22"/>
        </w:rPr>
        <w:t xml:space="preserve">Di norma </w:t>
      </w:r>
      <w:r w:rsidRPr="005B2844">
        <w:rPr>
          <w:noProof/>
          <w:color w:val="000000"/>
          <w:szCs w:val="22"/>
        </w:rPr>
        <w:t>il medico l</w:t>
      </w:r>
      <w:r w:rsidR="000D4540" w:rsidRPr="005B2844">
        <w:rPr>
          <w:noProof/>
          <w:color w:val="000000"/>
          <w:szCs w:val="22"/>
        </w:rPr>
        <w:t>e</w:t>
      </w:r>
      <w:r w:rsidRPr="005B2844">
        <w:rPr>
          <w:noProof/>
          <w:color w:val="000000"/>
          <w:szCs w:val="22"/>
        </w:rPr>
        <w:t xml:space="preserve"> consiglierà di </w:t>
      </w:r>
      <w:r w:rsidR="00B103D0" w:rsidRPr="005B2844">
        <w:rPr>
          <w:noProof/>
          <w:color w:val="000000"/>
          <w:szCs w:val="22"/>
        </w:rPr>
        <w:t xml:space="preserve">interrompere l’assunzione di MicardisPlus prima di </w:t>
      </w:r>
      <w:r w:rsidR="0066312C" w:rsidRPr="005B2844">
        <w:rPr>
          <w:noProof/>
          <w:color w:val="000000"/>
          <w:szCs w:val="22"/>
        </w:rPr>
        <w:t>dare inizio alla</w:t>
      </w:r>
      <w:r w:rsidR="00B103D0" w:rsidRPr="005B2844">
        <w:rPr>
          <w:noProof/>
          <w:color w:val="000000"/>
          <w:szCs w:val="22"/>
        </w:rPr>
        <w:t xml:space="preserve"> gravidanza o appena </w:t>
      </w:r>
      <w:r w:rsidR="0066312C" w:rsidRPr="005B2844">
        <w:rPr>
          <w:noProof/>
          <w:color w:val="000000"/>
          <w:szCs w:val="22"/>
        </w:rPr>
        <w:t xml:space="preserve">lei verrà a conoscenza </w:t>
      </w:r>
      <w:r w:rsidR="00B103D0" w:rsidRPr="005B2844">
        <w:rPr>
          <w:noProof/>
          <w:color w:val="000000"/>
          <w:szCs w:val="22"/>
        </w:rPr>
        <w:t>di esser</w:t>
      </w:r>
      <w:r w:rsidR="0066312C" w:rsidRPr="005B2844">
        <w:rPr>
          <w:noProof/>
          <w:color w:val="000000"/>
          <w:szCs w:val="22"/>
        </w:rPr>
        <w:t>e</w:t>
      </w:r>
      <w:r w:rsidR="00B103D0" w:rsidRPr="005B2844">
        <w:rPr>
          <w:noProof/>
          <w:color w:val="000000"/>
          <w:szCs w:val="22"/>
        </w:rPr>
        <w:t xml:space="preserve"> </w:t>
      </w:r>
      <w:r w:rsidR="0066312C" w:rsidRPr="005B2844">
        <w:rPr>
          <w:noProof/>
          <w:color w:val="000000"/>
          <w:szCs w:val="22"/>
        </w:rPr>
        <w:t xml:space="preserve">in stato di gravidanza e le consiglierà di </w:t>
      </w:r>
      <w:r w:rsidRPr="005B2844">
        <w:rPr>
          <w:noProof/>
          <w:color w:val="000000"/>
          <w:szCs w:val="22"/>
        </w:rPr>
        <w:t>prendere un altro medicinale al posto di MicardisPlus</w:t>
      </w:r>
      <w:r w:rsidR="00B103D0" w:rsidRPr="005B2844">
        <w:rPr>
          <w:noProof/>
          <w:color w:val="000000"/>
          <w:szCs w:val="22"/>
        </w:rPr>
        <w:t>.</w:t>
      </w:r>
      <w:r w:rsidRPr="005B2844">
        <w:rPr>
          <w:noProof/>
          <w:color w:val="000000"/>
          <w:szCs w:val="22"/>
        </w:rPr>
        <w:t xml:space="preserve"> MicardisPlus non è raccomandato </w:t>
      </w:r>
      <w:r w:rsidR="00903045" w:rsidRPr="005B2844">
        <w:rPr>
          <w:noProof/>
          <w:color w:val="000000"/>
          <w:szCs w:val="22"/>
        </w:rPr>
        <w:t>durante la</w:t>
      </w:r>
      <w:r w:rsidRPr="005B2844">
        <w:rPr>
          <w:noProof/>
          <w:color w:val="000000"/>
          <w:szCs w:val="22"/>
        </w:rPr>
        <w:t xml:space="preserve"> gravidanza e </w:t>
      </w:r>
      <w:r w:rsidR="00B103D0" w:rsidRPr="005B2844">
        <w:rPr>
          <w:noProof/>
          <w:color w:val="000000"/>
          <w:szCs w:val="22"/>
        </w:rPr>
        <w:t xml:space="preserve">non deve essere assunto se </w:t>
      </w:r>
      <w:r w:rsidR="0066312C" w:rsidRPr="005B2844">
        <w:rPr>
          <w:noProof/>
          <w:color w:val="000000"/>
          <w:szCs w:val="22"/>
        </w:rPr>
        <w:t xml:space="preserve">lei </w:t>
      </w:r>
      <w:r w:rsidR="00B103D0" w:rsidRPr="005B2844">
        <w:rPr>
          <w:noProof/>
          <w:color w:val="000000"/>
          <w:szCs w:val="22"/>
        </w:rPr>
        <w:t xml:space="preserve">è </w:t>
      </w:r>
      <w:r w:rsidR="00B103D0" w:rsidRPr="005B2844">
        <w:rPr>
          <w:szCs w:val="22"/>
        </w:rPr>
        <w:t xml:space="preserve">in </w:t>
      </w:r>
      <w:r w:rsidR="0066312C" w:rsidRPr="005B2844">
        <w:rPr>
          <w:szCs w:val="22"/>
        </w:rPr>
        <w:t xml:space="preserve">stato di </w:t>
      </w:r>
      <w:r w:rsidR="00B103D0" w:rsidRPr="005B2844">
        <w:rPr>
          <w:szCs w:val="22"/>
        </w:rPr>
        <w:t>gravidanza da più di 3 mesi</w:t>
      </w:r>
      <w:r w:rsidR="00B103D0" w:rsidRPr="005B2844">
        <w:rPr>
          <w:noProof/>
          <w:color w:val="000000"/>
          <w:szCs w:val="22"/>
        </w:rPr>
        <w:t xml:space="preserve"> poiché </w:t>
      </w:r>
      <w:r w:rsidRPr="005B2844">
        <w:rPr>
          <w:noProof/>
          <w:color w:val="000000"/>
          <w:szCs w:val="22"/>
        </w:rPr>
        <w:t>può causare gravi danni al bambino se preso dopo il terzo mese di gravidanza.</w:t>
      </w:r>
    </w:p>
    <w:p w:rsidR="00311810" w:rsidRPr="005B2844" w:rsidRDefault="00311810" w:rsidP="0072602F">
      <w:pPr>
        <w:rPr>
          <w:szCs w:val="22"/>
        </w:rPr>
      </w:pPr>
    </w:p>
    <w:p w:rsidR="00B103D0" w:rsidRPr="005B2844" w:rsidRDefault="00B103D0" w:rsidP="00BD43A7">
      <w:pPr>
        <w:keepNext/>
        <w:rPr>
          <w:szCs w:val="22"/>
          <w:u w:val="single"/>
        </w:rPr>
      </w:pPr>
      <w:r w:rsidRPr="005B2844">
        <w:rPr>
          <w:szCs w:val="22"/>
          <w:u w:val="single"/>
        </w:rPr>
        <w:t>Allattamento</w:t>
      </w:r>
    </w:p>
    <w:p w:rsidR="00A70FCB" w:rsidRPr="005B2844" w:rsidRDefault="00B103D0" w:rsidP="00B103D0">
      <w:pPr>
        <w:rPr>
          <w:szCs w:val="22"/>
        </w:rPr>
      </w:pPr>
      <w:r w:rsidRPr="005B2844">
        <w:rPr>
          <w:szCs w:val="22"/>
        </w:rPr>
        <w:t xml:space="preserve">Informi il medico se sta allattando o </w:t>
      </w:r>
      <w:r w:rsidR="002E6693" w:rsidRPr="005B2844">
        <w:rPr>
          <w:szCs w:val="22"/>
        </w:rPr>
        <w:t>se sta per iniziare l’allattamento</w:t>
      </w:r>
      <w:r w:rsidRPr="005B2844">
        <w:rPr>
          <w:szCs w:val="22"/>
        </w:rPr>
        <w:t xml:space="preserve">. </w:t>
      </w:r>
      <w:proofErr w:type="spellStart"/>
      <w:r w:rsidRPr="005B2844">
        <w:rPr>
          <w:szCs w:val="22"/>
        </w:rPr>
        <w:t>MicardisPlus</w:t>
      </w:r>
      <w:proofErr w:type="spellEnd"/>
      <w:r w:rsidRPr="005B2844">
        <w:rPr>
          <w:szCs w:val="22"/>
        </w:rPr>
        <w:t xml:space="preserve"> non è raccomandato </w:t>
      </w:r>
      <w:r w:rsidR="002E6693" w:rsidRPr="005B2844">
        <w:rPr>
          <w:szCs w:val="22"/>
        </w:rPr>
        <w:t xml:space="preserve">per </w:t>
      </w:r>
      <w:r w:rsidRPr="005B2844">
        <w:rPr>
          <w:szCs w:val="22"/>
        </w:rPr>
        <w:t xml:space="preserve">le donne che stanno allattando e il medico può scegliere </w:t>
      </w:r>
      <w:r w:rsidR="002E6693" w:rsidRPr="005B2844">
        <w:rPr>
          <w:szCs w:val="22"/>
        </w:rPr>
        <w:t xml:space="preserve">per lei </w:t>
      </w:r>
      <w:r w:rsidRPr="005B2844">
        <w:rPr>
          <w:szCs w:val="22"/>
        </w:rPr>
        <w:t xml:space="preserve">un </w:t>
      </w:r>
      <w:r w:rsidR="002E6693" w:rsidRPr="005B2844">
        <w:rPr>
          <w:szCs w:val="22"/>
        </w:rPr>
        <w:t xml:space="preserve">altro </w:t>
      </w:r>
      <w:r w:rsidRPr="005B2844">
        <w:rPr>
          <w:szCs w:val="22"/>
        </w:rPr>
        <w:t xml:space="preserve">trattamento </w:t>
      </w:r>
      <w:r w:rsidR="002E6693" w:rsidRPr="005B2844">
        <w:rPr>
          <w:szCs w:val="22"/>
        </w:rPr>
        <w:t xml:space="preserve">se </w:t>
      </w:r>
      <w:r w:rsidRPr="005B2844">
        <w:rPr>
          <w:szCs w:val="22"/>
        </w:rPr>
        <w:t>lei desidera allattare.</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Guida di veicoli e utilizzo di macchinari</w:t>
      </w:r>
    </w:p>
    <w:p w:rsidR="00CD33A5" w:rsidRPr="005B2844" w:rsidRDefault="00CD33A5" w:rsidP="00532263">
      <w:pPr>
        <w:keepNext/>
        <w:rPr>
          <w:b/>
          <w:szCs w:val="22"/>
        </w:rPr>
      </w:pPr>
    </w:p>
    <w:p w:rsidR="00361E16" w:rsidRPr="005B2844" w:rsidRDefault="00361E16" w:rsidP="0072602F">
      <w:pPr>
        <w:rPr>
          <w:szCs w:val="22"/>
        </w:rPr>
      </w:pPr>
      <w:r w:rsidRPr="005B2844">
        <w:rPr>
          <w:szCs w:val="22"/>
        </w:rPr>
        <w:t xml:space="preserve">Alcuni pazienti possono riportare </w:t>
      </w:r>
      <w:r w:rsidR="006038AD" w:rsidRPr="005B2844">
        <w:rPr>
          <w:szCs w:val="22"/>
        </w:rPr>
        <w:t xml:space="preserve">giramento di testa </w:t>
      </w:r>
      <w:r w:rsidRPr="005B2844">
        <w:rPr>
          <w:szCs w:val="22"/>
        </w:rPr>
        <w:t xml:space="preserve">o </w:t>
      </w:r>
      <w:r w:rsidR="006038AD" w:rsidRPr="005B2844">
        <w:rPr>
          <w:szCs w:val="22"/>
        </w:rPr>
        <w:t xml:space="preserve">stanchezza </w:t>
      </w:r>
      <w:r w:rsidR="00C87AB8" w:rsidRPr="005B2844">
        <w:rPr>
          <w:szCs w:val="22"/>
        </w:rPr>
        <w:t xml:space="preserve">quando assumono </w:t>
      </w:r>
      <w:proofErr w:type="spellStart"/>
      <w:r w:rsidR="00C87AB8" w:rsidRPr="005B2844">
        <w:rPr>
          <w:szCs w:val="22"/>
        </w:rPr>
        <w:t>MicardisPlus</w:t>
      </w:r>
      <w:proofErr w:type="spellEnd"/>
      <w:r w:rsidR="003D58CE" w:rsidRPr="005B2844">
        <w:rPr>
          <w:szCs w:val="22"/>
        </w:rPr>
        <w:t>.</w:t>
      </w:r>
      <w:r w:rsidRPr="005B2844">
        <w:rPr>
          <w:szCs w:val="22"/>
        </w:rPr>
        <w:t xml:space="preserve"> Se si verificano questi effetti, non guidi né utilizzi macchinari.</w:t>
      </w:r>
    </w:p>
    <w:p w:rsidR="00A70FCB" w:rsidRPr="005B2844" w:rsidRDefault="00A70FCB" w:rsidP="0072602F">
      <w:pPr>
        <w:rPr>
          <w:szCs w:val="22"/>
        </w:rPr>
      </w:pPr>
    </w:p>
    <w:p w:rsidR="009B7D12" w:rsidRPr="005B2844" w:rsidRDefault="009B7D12" w:rsidP="00532263">
      <w:pPr>
        <w:keepNext/>
        <w:rPr>
          <w:b/>
          <w:szCs w:val="22"/>
        </w:rPr>
      </w:pPr>
      <w:proofErr w:type="spellStart"/>
      <w:r w:rsidRPr="005B2844">
        <w:rPr>
          <w:b/>
          <w:szCs w:val="22"/>
        </w:rPr>
        <w:t>MicardisPlus</w:t>
      </w:r>
      <w:proofErr w:type="spellEnd"/>
      <w:r w:rsidRPr="005B2844">
        <w:rPr>
          <w:b/>
          <w:szCs w:val="22"/>
        </w:rPr>
        <w:t xml:space="preserve"> contiene lo zucchero del latte (lattosio) e sorbitolo.</w:t>
      </w:r>
    </w:p>
    <w:p w:rsidR="00A70FCB" w:rsidRPr="005B2844" w:rsidRDefault="003C50A0" w:rsidP="0072602F">
      <w:pPr>
        <w:rPr>
          <w:szCs w:val="22"/>
        </w:rPr>
      </w:pPr>
      <w:r w:rsidRPr="005B2844">
        <w:rPr>
          <w:szCs w:val="22"/>
        </w:rPr>
        <w:t xml:space="preserve">Se lei </w:t>
      </w:r>
      <w:r w:rsidR="009B7D12" w:rsidRPr="005B2844">
        <w:rPr>
          <w:szCs w:val="22"/>
        </w:rPr>
        <w:t xml:space="preserve">è </w:t>
      </w:r>
      <w:r w:rsidRPr="005B2844">
        <w:rPr>
          <w:szCs w:val="22"/>
        </w:rPr>
        <w:t>intolleran</w:t>
      </w:r>
      <w:r w:rsidR="009B7D12" w:rsidRPr="005B2844">
        <w:rPr>
          <w:szCs w:val="22"/>
        </w:rPr>
        <w:t>te</w:t>
      </w:r>
      <w:r w:rsidRPr="005B2844">
        <w:rPr>
          <w:szCs w:val="22"/>
        </w:rPr>
        <w:t xml:space="preserve"> a qualche zucchero, co</w:t>
      </w:r>
      <w:r w:rsidR="00E662CA" w:rsidRPr="005B2844">
        <w:rPr>
          <w:szCs w:val="22"/>
        </w:rPr>
        <w:t>n</w:t>
      </w:r>
      <w:r w:rsidR="009B7D12" w:rsidRPr="005B2844">
        <w:rPr>
          <w:szCs w:val="22"/>
        </w:rPr>
        <w:t>sulti</w:t>
      </w:r>
      <w:r w:rsidRPr="005B2844">
        <w:rPr>
          <w:szCs w:val="22"/>
        </w:rPr>
        <w:t xml:space="preserve"> il medico prima di assumere </w:t>
      </w:r>
      <w:proofErr w:type="spellStart"/>
      <w:r w:rsidRPr="005B2844">
        <w:rPr>
          <w:szCs w:val="22"/>
        </w:rPr>
        <w:t>MicardisPlus</w:t>
      </w:r>
      <w:proofErr w:type="spellEnd"/>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4C355D" w:rsidP="00532263">
      <w:pPr>
        <w:keepNext/>
        <w:tabs>
          <w:tab w:val="left" w:pos="567"/>
        </w:tabs>
        <w:rPr>
          <w:b/>
          <w:szCs w:val="22"/>
        </w:rPr>
      </w:pPr>
      <w:r w:rsidRPr="005B2844">
        <w:rPr>
          <w:b/>
          <w:szCs w:val="22"/>
        </w:rPr>
        <w:t>3.</w:t>
      </w:r>
      <w:r w:rsidRPr="005B2844">
        <w:rPr>
          <w:b/>
          <w:szCs w:val="22"/>
        </w:rPr>
        <w:tab/>
      </w:r>
      <w:r w:rsidR="001063FE" w:rsidRPr="005B2844">
        <w:rPr>
          <w:b/>
          <w:szCs w:val="22"/>
        </w:rPr>
        <w:t xml:space="preserve">Come prendere </w:t>
      </w:r>
      <w:proofErr w:type="spellStart"/>
      <w:r w:rsidR="001063FE" w:rsidRPr="005B2844">
        <w:rPr>
          <w:b/>
          <w:szCs w:val="22"/>
        </w:rPr>
        <w:t>MicardisPlus</w:t>
      </w:r>
      <w:proofErr w:type="spellEnd"/>
    </w:p>
    <w:p w:rsidR="00A70FCB" w:rsidRPr="005B2844" w:rsidRDefault="00A70FCB" w:rsidP="00532263">
      <w:pPr>
        <w:keepNext/>
        <w:rPr>
          <w:szCs w:val="22"/>
        </w:rPr>
      </w:pPr>
    </w:p>
    <w:p w:rsidR="00A70FCB" w:rsidRPr="005B2844" w:rsidRDefault="00A70FCB" w:rsidP="0072602F">
      <w:pPr>
        <w:rPr>
          <w:szCs w:val="22"/>
        </w:rPr>
      </w:pPr>
      <w:r w:rsidRPr="005B2844">
        <w:rPr>
          <w:szCs w:val="22"/>
        </w:rPr>
        <w:t xml:space="preserve">Prenda </w:t>
      </w:r>
      <w:r w:rsidR="00F84023" w:rsidRPr="005B2844">
        <w:rPr>
          <w:szCs w:val="22"/>
        </w:rPr>
        <w:t xml:space="preserve">questo medicinale </w:t>
      </w:r>
      <w:r w:rsidRPr="005B2844">
        <w:rPr>
          <w:szCs w:val="22"/>
        </w:rPr>
        <w:t xml:space="preserve">seguendo </w:t>
      </w:r>
      <w:r w:rsidR="0009078D" w:rsidRPr="005B2844">
        <w:rPr>
          <w:szCs w:val="22"/>
        </w:rPr>
        <w:t xml:space="preserve">sempre </w:t>
      </w:r>
      <w:r w:rsidRPr="005B2844">
        <w:rPr>
          <w:szCs w:val="22"/>
        </w:rPr>
        <w:t xml:space="preserve">esattamente le istruzioni del medico. Se </w:t>
      </w:r>
      <w:r w:rsidR="00DD6652" w:rsidRPr="005B2844">
        <w:rPr>
          <w:szCs w:val="22"/>
        </w:rPr>
        <w:t>ha dubbi</w:t>
      </w:r>
      <w:r w:rsidRPr="005B2844">
        <w:rPr>
          <w:szCs w:val="22"/>
        </w:rPr>
        <w:t xml:space="preserve"> consult</w:t>
      </w:r>
      <w:r w:rsidR="00DD6652" w:rsidRPr="005B2844">
        <w:rPr>
          <w:szCs w:val="22"/>
        </w:rPr>
        <w:t>i</w:t>
      </w:r>
      <w:r w:rsidRPr="005B2844">
        <w:rPr>
          <w:szCs w:val="22"/>
        </w:rPr>
        <w:t xml:space="preserve"> il medico o il farmacista.</w:t>
      </w:r>
    </w:p>
    <w:p w:rsidR="00A70FCB" w:rsidRPr="005B2844" w:rsidRDefault="00A70FCB" w:rsidP="0072602F">
      <w:pPr>
        <w:rPr>
          <w:szCs w:val="22"/>
        </w:rPr>
      </w:pPr>
    </w:p>
    <w:p w:rsidR="001063FE" w:rsidRPr="005B2844" w:rsidRDefault="00A70FCB" w:rsidP="0072602F">
      <w:pPr>
        <w:rPr>
          <w:szCs w:val="22"/>
        </w:rPr>
      </w:pPr>
      <w:r w:rsidRPr="005B2844">
        <w:rPr>
          <w:szCs w:val="22"/>
        </w:rPr>
        <w:t xml:space="preserve">La dose </w:t>
      </w:r>
      <w:r w:rsidR="001063FE" w:rsidRPr="005B2844">
        <w:rPr>
          <w:szCs w:val="22"/>
        </w:rPr>
        <w:t>raccomandata</w:t>
      </w:r>
      <w:r w:rsidRPr="005B2844">
        <w:rPr>
          <w:szCs w:val="22"/>
        </w:rPr>
        <w:t xml:space="preserve"> è di una compressa al giorno.</w:t>
      </w:r>
      <w:r w:rsidR="001063FE" w:rsidRPr="005B2844">
        <w:rPr>
          <w:szCs w:val="22"/>
        </w:rPr>
        <w:t xml:space="preserve"> </w:t>
      </w:r>
      <w:r w:rsidR="002C3D31" w:rsidRPr="005B2844">
        <w:rPr>
          <w:szCs w:val="22"/>
        </w:rPr>
        <w:t>Cerchi di prendere la compres</w:t>
      </w:r>
      <w:r w:rsidR="001063FE" w:rsidRPr="005B2844">
        <w:rPr>
          <w:szCs w:val="22"/>
        </w:rPr>
        <w:t>sa alla stessa ora ogni giorno.</w:t>
      </w:r>
    </w:p>
    <w:p w:rsidR="00A70FCB" w:rsidRPr="005B2844" w:rsidRDefault="00A70FCB" w:rsidP="0072602F">
      <w:pPr>
        <w:rPr>
          <w:szCs w:val="22"/>
        </w:rPr>
      </w:pPr>
      <w:r w:rsidRPr="005B2844">
        <w:rPr>
          <w:szCs w:val="22"/>
        </w:rPr>
        <w:t xml:space="preserve">Può prendere </w:t>
      </w:r>
      <w:proofErr w:type="spellStart"/>
      <w:r w:rsidRPr="005B2844">
        <w:rPr>
          <w:szCs w:val="22"/>
        </w:rPr>
        <w:t>MicardisPlus</w:t>
      </w:r>
      <w:proofErr w:type="spellEnd"/>
      <w:r w:rsidRPr="005B2844">
        <w:rPr>
          <w:szCs w:val="22"/>
        </w:rPr>
        <w:t xml:space="preserve"> con o senza cibo. Le compresse devono essere deglutite con </w:t>
      </w:r>
      <w:r w:rsidR="002C3D31" w:rsidRPr="005B2844">
        <w:rPr>
          <w:szCs w:val="22"/>
        </w:rPr>
        <w:t>un po’ d’acqua o altra bevanda non alcolica.</w:t>
      </w:r>
      <w:r w:rsidRPr="005B2844">
        <w:rPr>
          <w:szCs w:val="22"/>
        </w:rPr>
        <w:t xml:space="preserve"> È importante prendere </w:t>
      </w:r>
      <w:proofErr w:type="spellStart"/>
      <w:r w:rsidRPr="005B2844">
        <w:rPr>
          <w:szCs w:val="22"/>
        </w:rPr>
        <w:t>MicardisPlus</w:t>
      </w:r>
      <w:proofErr w:type="spellEnd"/>
      <w:r w:rsidRPr="005B2844">
        <w:rPr>
          <w:szCs w:val="22"/>
        </w:rPr>
        <w:t xml:space="preserve"> ogni giorno fino a quando il medico non le dirà altrimenti.</w:t>
      </w:r>
    </w:p>
    <w:p w:rsidR="00A70FCB" w:rsidRPr="005B2844" w:rsidRDefault="00A70FCB" w:rsidP="0072602F">
      <w:pPr>
        <w:rPr>
          <w:szCs w:val="22"/>
        </w:rPr>
      </w:pPr>
    </w:p>
    <w:p w:rsidR="00A70FCB" w:rsidRPr="005B2844" w:rsidRDefault="00316C3A" w:rsidP="0072602F">
      <w:pPr>
        <w:rPr>
          <w:szCs w:val="22"/>
        </w:rPr>
      </w:pPr>
      <w:r w:rsidRPr="005B2844">
        <w:rPr>
          <w:szCs w:val="22"/>
        </w:rPr>
        <w:t xml:space="preserve">Se il suo fegato non </w:t>
      </w:r>
      <w:r w:rsidR="00C50FB1" w:rsidRPr="005B2844">
        <w:rPr>
          <w:szCs w:val="22"/>
        </w:rPr>
        <w:t>funziona</w:t>
      </w:r>
      <w:r w:rsidRPr="005B2844">
        <w:rPr>
          <w:szCs w:val="22"/>
        </w:rPr>
        <w:t xml:space="preserve"> in modo adeguato, </w:t>
      </w:r>
      <w:r w:rsidR="00A70FCB" w:rsidRPr="005B2844">
        <w:rPr>
          <w:szCs w:val="22"/>
        </w:rPr>
        <w:t>non deve essere superata la dose abituale di 40</w:t>
      </w:r>
      <w:r w:rsidR="00E20EA2" w:rsidRPr="005B2844">
        <w:rPr>
          <w:szCs w:val="22"/>
        </w:rPr>
        <w:t> mg</w:t>
      </w:r>
      <w:r w:rsidR="00A70FCB" w:rsidRPr="005B2844">
        <w:rPr>
          <w:szCs w:val="22"/>
        </w:rPr>
        <w:t xml:space="preserve">/12,5 mg </w:t>
      </w:r>
      <w:r w:rsidR="00E95954" w:rsidRPr="005B2844">
        <w:rPr>
          <w:szCs w:val="22"/>
        </w:rPr>
        <w:t xml:space="preserve">una volta </w:t>
      </w:r>
      <w:r w:rsidR="00A70FCB" w:rsidRPr="005B2844">
        <w:rPr>
          <w:szCs w:val="22"/>
        </w:rPr>
        <w:t>al giorno.</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 xml:space="preserve">Se prende più </w:t>
      </w:r>
      <w:proofErr w:type="spellStart"/>
      <w:r w:rsidRPr="005B2844">
        <w:rPr>
          <w:b/>
          <w:szCs w:val="22"/>
        </w:rPr>
        <w:t>MicardisPlus</w:t>
      </w:r>
      <w:proofErr w:type="spellEnd"/>
      <w:r w:rsidRPr="005B2844">
        <w:rPr>
          <w:b/>
          <w:szCs w:val="22"/>
        </w:rPr>
        <w:t xml:space="preserve"> di quanto deve</w:t>
      </w:r>
    </w:p>
    <w:p w:rsidR="00A70FCB" w:rsidRPr="005B2844" w:rsidRDefault="00A70FCB" w:rsidP="00E81C87">
      <w:pPr>
        <w:pStyle w:val="NormalWeb"/>
        <w:spacing w:before="0" w:beforeAutospacing="0" w:after="0" w:afterAutospacing="0"/>
        <w:rPr>
          <w:sz w:val="22"/>
          <w:szCs w:val="22"/>
          <w:highlight w:val="yellow"/>
        </w:rPr>
      </w:pPr>
      <w:r w:rsidRPr="005B2844">
        <w:rPr>
          <w:sz w:val="22"/>
          <w:szCs w:val="22"/>
        </w:rPr>
        <w:t>In caso lei abbia preso per errore troppe compresse</w:t>
      </w:r>
      <w:r w:rsidR="008A15AD" w:rsidRPr="005B2844">
        <w:rPr>
          <w:sz w:val="22"/>
          <w:szCs w:val="22"/>
        </w:rPr>
        <w:t xml:space="preserve"> potrebbe avvertire sintomi quali</w:t>
      </w:r>
      <w:r w:rsidR="00F4464B" w:rsidRPr="005B2844">
        <w:rPr>
          <w:sz w:val="22"/>
          <w:szCs w:val="22"/>
        </w:rPr>
        <w:t xml:space="preserve"> pressione</w:t>
      </w:r>
      <w:r w:rsidR="003A48BA" w:rsidRPr="005B2844">
        <w:rPr>
          <w:sz w:val="22"/>
          <w:szCs w:val="22"/>
        </w:rPr>
        <w:t xml:space="preserve"> del sangue</w:t>
      </w:r>
      <w:r w:rsidR="00F4464B" w:rsidRPr="005B2844">
        <w:rPr>
          <w:sz w:val="22"/>
          <w:szCs w:val="22"/>
        </w:rPr>
        <w:t xml:space="preserve"> bassa e battito </w:t>
      </w:r>
      <w:r w:rsidR="003A48BA" w:rsidRPr="005B2844">
        <w:rPr>
          <w:sz w:val="22"/>
          <w:szCs w:val="22"/>
        </w:rPr>
        <w:t>del cuore</w:t>
      </w:r>
      <w:r w:rsidR="00F4464B" w:rsidRPr="005B2844">
        <w:rPr>
          <w:sz w:val="22"/>
          <w:szCs w:val="22"/>
        </w:rPr>
        <w:t xml:space="preserve"> accelerato. Sono stati riportati anche battito </w:t>
      </w:r>
      <w:r w:rsidR="003A48BA" w:rsidRPr="005B2844">
        <w:rPr>
          <w:sz w:val="22"/>
          <w:szCs w:val="22"/>
        </w:rPr>
        <w:t>del cuore</w:t>
      </w:r>
      <w:r w:rsidR="00F4464B" w:rsidRPr="005B2844">
        <w:rPr>
          <w:sz w:val="22"/>
          <w:szCs w:val="22"/>
        </w:rPr>
        <w:t xml:space="preserve"> lento,</w:t>
      </w:r>
      <w:r w:rsidR="008A15AD" w:rsidRPr="005B2844">
        <w:rPr>
          <w:sz w:val="22"/>
          <w:szCs w:val="22"/>
        </w:rPr>
        <w:t xml:space="preserve"> </w:t>
      </w:r>
      <w:r w:rsidR="006038AD" w:rsidRPr="005B2844">
        <w:rPr>
          <w:sz w:val="22"/>
          <w:szCs w:val="22"/>
        </w:rPr>
        <w:t>capogiri</w:t>
      </w:r>
      <w:r w:rsidR="00F4464B" w:rsidRPr="005B2844">
        <w:rPr>
          <w:sz w:val="22"/>
          <w:szCs w:val="22"/>
        </w:rPr>
        <w:t>, vomito, ridotta funzionalità renale</w:t>
      </w:r>
      <w:r w:rsidR="004908EE" w:rsidRPr="005B2844">
        <w:rPr>
          <w:sz w:val="22"/>
          <w:szCs w:val="22"/>
        </w:rPr>
        <w:t xml:space="preserve"> inclusa insufficienza renale</w:t>
      </w:r>
      <w:r w:rsidR="008A15AD" w:rsidRPr="005B2844">
        <w:rPr>
          <w:sz w:val="22"/>
          <w:szCs w:val="22"/>
        </w:rPr>
        <w:t>.</w:t>
      </w:r>
      <w:r w:rsidRPr="005B2844">
        <w:rPr>
          <w:sz w:val="22"/>
          <w:szCs w:val="22"/>
        </w:rPr>
        <w:t xml:space="preserve"> </w:t>
      </w:r>
      <w:r w:rsidR="00F4464B" w:rsidRPr="005B2844">
        <w:rPr>
          <w:sz w:val="22"/>
          <w:szCs w:val="22"/>
        </w:rPr>
        <w:t xml:space="preserve">A causa della presenza di </w:t>
      </w:r>
      <w:proofErr w:type="spellStart"/>
      <w:r w:rsidR="00F4464B" w:rsidRPr="005B2844">
        <w:rPr>
          <w:sz w:val="22"/>
          <w:szCs w:val="22"/>
        </w:rPr>
        <w:t>idroclorotiazide</w:t>
      </w:r>
      <w:proofErr w:type="spellEnd"/>
      <w:r w:rsidR="00F4464B" w:rsidRPr="005B2844">
        <w:rPr>
          <w:sz w:val="22"/>
          <w:szCs w:val="22"/>
        </w:rPr>
        <w:t xml:space="preserve">, possono anche presentarsi pressione </w:t>
      </w:r>
      <w:r w:rsidR="003A48BA" w:rsidRPr="005B2844">
        <w:rPr>
          <w:sz w:val="22"/>
          <w:szCs w:val="22"/>
        </w:rPr>
        <w:t>del sangue</w:t>
      </w:r>
      <w:r w:rsidR="00F4464B" w:rsidRPr="005B2844">
        <w:rPr>
          <w:sz w:val="22"/>
          <w:szCs w:val="22"/>
        </w:rPr>
        <w:t xml:space="preserve"> marcatamente bassa e bassi livelli di potassio nel sangue, </w:t>
      </w:r>
      <w:r w:rsidR="003A48BA" w:rsidRPr="005B2844">
        <w:rPr>
          <w:sz w:val="22"/>
          <w:szCs w:val="22"/>
        </w:rPr>
        <w:t>che possono</w:t>
      </w:r>
      <w:r w:rsidR="00F4464B" w:rsidRPr="005B2844">
        <w:rPr>
          <w:sz w:val="22"/>
          <w:szCs w:val="22"/>
        </w:rPr>
        <w:t xml:space="preserve"> provocare nausea, sonnolenza e crampi muscolari</w:t>
      </w:r>
      <w:r w:rsidR="00880FE1" w:rsidRPr="005B2844">
        <w:rPr>
          <w:sz w:val="22"/>
          <w:szCs w:val="22"/>
        </w:rPr>
        <w:t xml:space="preserve"> e/o battito del cuore irregolare associato </w:t>
      </w:r>
      <w:r w:rsidR="00DE07CD" w:rsidRPr="005B2844">
        <w:rPr>
          <w:sz w:val="22"/>
          <w:szCs w:val="22"/>
        </w:rPr>
        <w:t>al</w:t>
      </w:r>
      <w:r w:rsidR="00880FE1" w:rsidRPr="005B2844">
        <w:rPr>
          <w:sz w:val="22"/>
          <w:szCs w:val="22"/>
        </w:rPr>
        <w:t>l’uso concomitante di farmaci come la digitale o alcun</w:t>
      </w:r>
      <w:r w:rsidR="002752DE" w:rsidRPr="005B2844">
        <w:rPr>
          <w:sz w:val="22"/>
          <w:szCs w:val="22"/>
        </w:rPr>
        <w:t>i trattamenti</w:t>
      </w:r>
      <w:r w:rsidR="00880FE1" w:rsidRPr="005B2844">
        <w:rPr>
          <w:sz w:val="22"/>
          <w:szCs w:val="22"/>
        </w:rPr>
        <w:t xml:space="preserve"> antiaritmici</w:t>
      </w:r>
      <w:r w:rsidR="003A48BA" w:rsidRPr="005B2844">
        <w:rPr>
          <w:sz w:val="22"/>
          <w:szCs w:val="22"/>
        </w:rPr>
        <w:t xml:space="preserve">. </w:t>
      </w:r>
      <w:r w:rsidR="008A15AD" w:rsidRPr="005B2844">
        <w:rPr>
          <w:sz w:val="22"/>
          <w:szCs w:val="22"/>
        </w:rPr>
        <w:t>C</w:t>
      </w:r>
      <w:r w:rsidRPr="005B2844">
        <w:rPr>
          <w:sz w:val="22"/>
          <w:szCs w:val="22"/>
        </w:rPr>
        <w:t xml:space="preserve">ontatti </w:t>
      </w:r>
      <w:r w:rsidR="00316C3A" w:rsidRPr="005B2844">
        <w:rPr>
          <w:sz w:val="22"/>
          <w:szCs w:val="22"/>
        </w:rPr>
        <w:t xml:space="preserve">immediatamente </w:t>
      </w:r>
      <w:r w:rsidRPr="005B2844">
        <w:rPr>
          <w:sz w:val="22"/>
          <w:szCs w:val="22"/>
        </w:rPr>
        <w:t>il medico o il farmacista, o il pronto soccorso dell'ospedale più vicino.</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 xml:space="preserve">Se dimentica di prendere </w:t>
      </w:r>
      <w:proofErr w:type="spellStart"/>
      <w:r w:rsidRPr="005B2844">
        <w:rPr>
          <w:b/>
          <w:szCs w:val="22"/>
        </w:rPr>
        <w:t>MicardisPlus</w:t>
      </w:r>
      <w:proofErr w:type="spellEnd"/>
    </w:p>
    <w:p w:rsidR="00A70FCB" w:rsidRPr="005B2844" w:rsidRDefault="00A70FCB" w:rsidP="0072602F">
      <w:pPr>
        <w:rPr>
          <w:szCs w:val="22"/>
        </w:rPr>
      </w:pPr>
      <w:r w:rsidRPr="005B2844">
        <w:rPr>
          <w:szCs w:val="22"/>
        </w:rPr>
        <w:t xml:space="preserve">Se dimentica di prendere il </w:t>
      </w:r>
      <w:r w:rsidR="0080254B" w:rsidRPr="005B2844">
        <w:rPr>
          <w:szCs w:val="22"/>
        </w:rPr>
        <w:t>medicinale</w:t>
      </w:r>
      <w:r w:rsidRPr="005B2844">
        <w:rPr>
          <w:szCs w:val="22"/>
        </w:rPr>
        <w:t xml:space="preserve">, non si preoccupi. Lo prenda non appena se ne ricorda, poi continui come prima. Se salta la dose di un giorno, prenda la dose normale il giorno successivo. </w:t>
      </w:r>
      <w:r w:rsidRPr="005B2844">
        <w:rPr>
          <w:b/>
          <w:i/>
          <w:szCs w:val="22"/>
        </w:rPr>
        <w:t xml:space="preserve">Non </w:t>
      </w:r>
      <w:r w:rsidRPr="005B2844">
        <w:rPr>
          <w:szCs w:val="22"/>
        </w:rPr>
        <w:t xml:space="preserve">prenda una dose doppia per compensare </w:t>
      </w:r>
      <w:r w:rsidR="00F847B4" w:rsidRPr="005B2844">
        <w:rPr>
          <w:szCs w:val="22"/>
        </w:rPr>
        <w:t xml:space="preserve">la dimenticanza </w:t>
      </w:r>
      <w:r w:rsidR="00F84023" w:rsidRPr="005B2844">
        <w:rPr>
          <w:szCs w:val="22"/>
        </w:rPr>
        <w:t>delle dosi</w:t>
      </w:r>
      <w:r w:rsidRPr="005B2844">
        <w:rPr>
          <w:szCs w:val="22"/>
        </w:rPr>
        <w:t>.</w:t>
      </w:r>
    </w:p>
    <w:p w:rsidR="00A70FCB" w:rsidRPr="005B2844" w:rsidRDefault="00A70FCB" w:rsidP="0072602F">
      <w:pPr>
        <w:rPr>
          <w:szCs w:val="22"/>
        </w:rPr>
      </w:pPr>
    </w:p>
    <w:p w:rsidR="007B44DD" w:rsidRPr="005B2844" w:rsidRDefault="007B44DD" w:rsidP="0072602F">
      <w:pPr>
        <w:suppressAutoHyphens/>
        <w:rPr>
          <w:noProof/>
          <w:szCs w:val="22"/>
        </w:rPr>
      </w:pPr>
      <w:r w:rsidRPr="005B2844">
        <w:rPr>
          <w:noProof/>
          <w:szCs w:val="22"/>
        </w:rPr>
        <w:t xml:space="preserve">Se ha qualsiasi dubbio sull’uso di </w:t>
      </w:r>
      <w:r w:rsidR="00036097" w:rsidRPr="005B2844">
        <w:rPr>
          <w:noProof/>
          <w:szCs w:val="22"/>
        </w:rPr>
        <w:t>questo medicinale</w:t>
      </w:r>
      <w:r w:rsidRPr="005B2844">
        <w:rPr>
          <w:noProof/>
          <w:szCs w:val="22"/>
        </w:rPr>
        <w:t>, si rivolga al medico o al farmacista.</w:t>
      </w:r>
    </w:p>
    <w:p w:rsidR="00A70FCB" w:rsidRPr="005B2844" w:rsidRDefault="00A70FCB" w:rsidP="0072602F">
      <w:pPr>
        <w:rPr>
          <w:szCs w:val="22"/>
        </w:rPr>
      </w:pPr>
    </w:p>
    <w:p w:rsidR="001B3B66" w:rsidRPr="005B2844" w:rsidRDefault="001B3B66" w:rsidP="0072602F">
      <w:pPr>
        <w:rPr>
          <w:szCs w:val="22"/>
        </w:rPr>
      </w:pPr>
    </w:p>
    <w:p w:rsidR="00A70FCB" w:rsidRPr="005B2844" w:rsidRDefault="00A70FCB" w:rsidP="00532263">
      <w:pPr>
        <w:keepNext/>
        <w:ind w:left="567" w:hanging="567"/>
        <w:rPr>
          <w:b/>
          <w:szCs w:val="22"/>
        </w:rPr>
      </w:pPr>
      <w:r w:rsidRPr="005B2844">
        <w:rPr>
          <w:b/>
          <w:szCs w:val="22"/>
        </w:rPr>
        <w:t>4.</w:t>
      </w:r>
      <w:r w:rsidRPr="005B2844">
        <w:rPr>
          <w:b/>
          <w:szCs w:val="22"/>
        </w:rPr>
        <w:tab/>
      </w:r>
      <w:r w:rsidR="00036097" w:rsidRPr="005B2844">
        <w:rPr>
          <w:b/>
          <w:szCs w:val="22"/>
        </w:rPr>
        <w:t>Possibili effetti indesiderati</w:t>
      </w:r>
    </w:p>
    <w:p w:rsidR="00A70FCB" w:rsidRPr="005B2844" w:rsidRDefault="00A70FCB" w:rsidP="00532263">
      <w:pPr>
        <w:keepNext/>
        <w:rPr>
          <w:szCs w:val="22"/>
        </w:rPr>
      </w:pPr>
    </w:p>
    <w:p w:rsidR="00A70FCB" w:rsidRPr="005B2844" w:rsidRDefault="00A70FCB" w:rsidP="0072602F">
      <w:pPr>
        <w:rPr>
          <w:szCs w:val="22"/>
        </w:rPr>
      </w:pPr>
      <w:r w:rsidRPr="005B2844">
        <w:rPr>
          <w:szCs w:val="22"/>
        </w:rPr>
        <w:t xml:space="preserve">Come tutti i medicinali, </w:t>
      </w:r>
      <w:r w:rsidR="00036097" w:rsidRPr="005B2844">
        <w:rPr>
          <w:szCs w:val="22"/>
        </w:rPr>
        <w:t>questo medicinale</w:t>
      </w:r>
      <w:r w:rsidRPr="005B2844">
        <w:rPr>
          <w:szCs w:val="22"/>
        </w:rPr>
        <w:t xml:space="preserve"> può </w:t>
      </w:r>
      <w:r w:rsidR="007B44DD" w:rsidRPr="005B2844">
        <w:rPr>
          <w:szCs w:val="22"/>
        </w:rPr>
        <w:t>causare</w:t>
      </w:r>
      <w:r w:rsidR="00301E20" w:rsidRPr="005B2844">
        <w:rPr>
          <w:szCs w:val="22"/>
        </w:rPr>
        <w:t xml:space="preserve"> </w:t>
      </w:r>
      <w:r w:rsidRPr="005B2844">
        <w:rPr>
          <w:szCs w:val="22"/>
        </w:rPr>
        <w:t>effetti indesiderati</w:t>
      </w:r>
      <w:r w:rsidR="005356A9" w:rsidRPr="005B2844">
        <w:rPr>
          <w:szCs w:val="22"/>
        </w:rPr>
        <w:t xml:space="preserve"> </w:t>
      </w:r>
      <w:bookmarkStart w:id="16" w:name="OLE_LINK3"/>
      <w:r w:rsidR="005356A9" w:rsidRPr="005B2844">
        <w:rPr>
          <w:noProof/>
          <w:szCs w:val="22"/>
        </w:rPr>
        <w:t>sebbene non tutte le persone li manifestino</w:t>
      </w:r>
      <w:bookmarkEnd w:id="16"/>
      <w:r w:rsidRPr="005B2844">
        <w:rPr>
          <w:szCs w:val="22"/>
        </w:rPr>
        <w:t>.</w:t>
      </w:r>
    </w:p>
    <w:p w:rsidR="00A70FCB" w:rsidRPr="005B2844" w:rsidRDefault="00A70FCB" w:rsidP="0072602F">
      <w:pPr>
        <w:rPr>
          <w:szCs w:val="22"/>
        </w:rPr>
      </w:pPr>
    </w:p>
    <w:p w:rsidR="009C060D" w:rsidRPr="005B2844" w:rsidRDefault="009C060D" w:rsidP="00532263">
      <w:pPr>
        <w:keepNext/>
        <w:rPr>
          <w:b/>
          <w:szCs w:val="22"/>
        </w:rPr>
      </w:pPr>
      <w:r w:rsidRPr="005B2844">
        <w:rPr>
          <w:b/>
          <w:szCs w:val="22"/>
        </w:rPr>
        <w:t>Alcuni effetti indesiderati possono essere gravi e necessitare di immediate cure mediche:</w:t>
      </w:r>
    </w:p>
    <w:p w:rsidR="00036097" w:rsidRPr="005B2844" w:rsidRDefault="00036097" w:rsidP="00532263">
      <w:pPr>
        <w:keepNext/>
        <w:rPr>
          <w:szCs w:val="22"/>
        </w:rPr>
      </w:pPr>
    </w:p>
    <w:p w:rsidR="009C060D" w:rsidRPr="005B2844" w:rsidRDefault="009C060D" w:rsidP="0072602F">
      <w:pPr>
        <w:rPr>
          <w:szCs w:val="22"/>
        </w:rPr>
      </w:pPr>
      <w:r w:rsidRPr="005B2844">
        <w:rPr>
          <w:szCs w:val="22"/>
        </w:rPr>
        <w:t>Deve recarsi immediatamente dal medico se manifesta uno qualsiasi dei seguenti sintomi:</w:t>
      </w:r>
    </w:p>
    <w:p w:rsidR="009C060D" w:rsidRPr="005B2844" w:rsidRDefault="009C060D" w:rsidP="0072602F">
      <w:pPr>
        <w:rPr>
          <w:szCs w:val="22"/>
        </w:rPr>
      </w:pPr>
    </w:p>
    <w:p w:rsidR="009C060D" w:rsidRPr="005B2844" w:rsidRDefault="009C060D" w:rsidP="0072602F">
      <w:pPr>
        <w:rPr>
          <w:szCs w:val="22"/>
        </w:rPr>
      </w:pPr>
      <w:r w:rsidRPr="005B2844">
        <w:rPr>
          <w:szCs w:val="22"/>
        </w:rPr>
        <w:t>Sepsi* (spesso chiamata "infezione del sangue"</w:t>
      </w:r>
      <w:r w:rsidR="00BB7C64" w:rsidRPr="005B2844">
        <w:rPr>
          <w:szCs w:val="22"/>
        </w:rPr>
        <w:t>)</w:t>
      </w:r>
      <w:r w:rsidRPr="005B2844">
        <w:rPr>
          <w:szCs w:val="22"/>
        </w:rPr>
        <w:t xml:space="preserve"> è una grave infezione con risposta infiammatoria dell’intero organismo, rapido gonfiore della pelle e dell</w:t>
      </w:r>
      <w:r w:rsidR="008A6DD1" w:rsidRPr="005B2844">
        <w:rPr>
          <w:szCs w:val="22"/>
        </w:rPr>
        <w:t>e</w:t>
      </w:r>
      <w:r w:rsidRPr="005B2844">
        <w:rPr>
          <w:szCs w:val="22"/>
        </w:rPr>
        <w:t xml:space="preserve"> mucos</w:t>
      </w:r>
      <w:r w:rsidR="008A6DD1" w:rsidRPr="005B2844">
        <w:rPr>
          <w:szCs w:val="22"/>
        </w:rPr>
        <w:t>e</w:t>
      </w:r>
      <w:r w:rsidRPr="005B2844">
        <w:rPr>
          <w:szCs w:val="22"/>
        </w:rPr>
        <w:t xml:space="preserve"> (angioedema)</w:t>
      </w:r>
      <w:r w:rsidR="008A15AD" w:rsidRPr="005B2844">
        <w:rPr>
          <w:szCs w:val="22"/>
        </w:rPr>
        <w:t xml:space="preserve">, </w:t>
      </w:r>
      <w:r w:rsidR="00117178" w:rsidRPr="005B2844">
        <w:rPr>
          <w:szCs w:val="22"/>
        </w:rPr>
        <w:t>comparsa di vesciche e desquamazione dello strato più esterno della pelle (</w:t>
      </w:r>
      <w:proofErr w:type="spellStart"/>
      <w:r w:rsidR="00117178" w:rsidRPr="005B2844">
        <w:rPr>
          <w:szCs w:val="22"/>
        </w:rPr>
        <w:t>necrolisi</w:t>
      </w:r>
      <w:proofErr w:type="spellEnd"/>
      <w:r w:rsidR="00117178" w:rsidRPr="005B2844">
        <w:rPr>
          <w:szCs w:val="22"/>
        </w:rPr>
        <w:t xml:space="preserve"> tossica epidermica)</w:t>
      </w:r>
      <w:r w:rsidRPr="005B2844">
        <w:rPr>
          <w:szCs w:val="22"/>
        </w:rPr>
        <w:t>; questi effetti indesiderati sono rari</w:t>
      </w:r>
      <w:r w:rsidR="00BB7C64" w:rsidRPr="005B2844">
        <w:rPr>
          <w:szCs w:val="22"/>
        </w:rPr>
        <w:t xml:space="preserve"> (possono interessare fino a 1 persona su 1.000)</w:t>
      </w:r>
      <w:r w:rsidR="008A15AD" w:rsidRPr="005B2844">
        <w:rPr>
          <w:szCs w:val="22"/>
        </w:rPr>
        <w:t xml:space="preserve"> o di frequenza non nota (</w:t>
      </w:r>
      <w:proofErr w:type="spellStart"/>
      <w:r w:rsidR="008A15AD" w:rsidRPr="005B2844">
        <w:rPr>
          <w:szCs w:val="22"/>
        </w:rPr>
        <w:t>necrolisi</w:t>
      </w:r>
      <w:proofErr w:type="spellEnd"/>
      <w:r w:rsidR="008A15AD" w:rsidRPr="005B2844">
        <w:rPr>
          <w:szCs w:val="22"/>
        </w:rPr>
        <w:t xml:space="preserve"> epidermica tossica)</w:t>
      </w:r>
      <w:r w:rsidRPr="005B2844">
        <w:rPr>
          <w:szCs w:val="22"/>
        </w:rPr>
        <w:t xml:space="preserve"> ma estremamente gravi e i pazienti devono so</w:t>
      </w:r>
      <w:r w:rsidR="00A67D35" w:rsidRPr="005B2844">
        <w:rPr>
          <w:szCs w:val="22"/>
        </w:rPr>
        <w:t>s</w:t>
      </w:r>
      <w:r w:rsidRPr="005B2844">
        <w:rPr>
          <w:szCs w:val="22"/>
        </w:rPr>
        <w:t xml:space="preserve">pendere l'assunzione del </w:t>
      </w:r>
      <w:r w:rsidR="00BB7C64" w:rsidRPr="005B2844">
        <w:rPr>
          <w:szCs w:val="22"/>
        </w:rPr>
        <w:t>medicinale</w:t>
      </w:r>
      <w:r w:rsidRPr="005B2844">
        <w:rPr>
          <w:szCs w:val="22"/>
        </w:rPr>
        <w:t xml:space="preserve"> e consultare immediatamente il medico</w:t>
      </w:r>
      <w:r w:rsidR="00A67D35" w:rsidRPr="005B2844">
        <w:rPr>
          <w:szCs w:val="22"/>
        </w:rPr>
        <w:t>. Se questi effetti non vengono trattati possono essere fatali.</w:t>
      </w:r>
      <w:r w:rsidR="00A70A8E" w:rsidRPr="005B2844">
        <w:rPr>
          <w:szCs w:val="22"/>
        </w:rPr>
        <w:t xml:space="preserve"> L’aumento dell’incidenza di sepsi è stato osservato con </w:t>
      </w:r>
      <w:proofErr w:type="spellStart"/>
      <w:r w:rsidR="00A70A8E" w:rsidRPr="005B2844">
        <w:rPr>
          <w:szCs w:val="22"/>
        </w:rPr>
        <w:t>telmisartan</w:t>
      </w:r>
      <w:proofErr w:type="spellEnd"/>
      <w:r w:rsidR="00A70A8E" w:rsidRPr="005B2844">
        <w:rPr>
          <w:szCs w:val="22"/>
        </w:rPr>
        <w:t xml:space="preserve"> da solo, tuttavia non può essere escluso per </w:t>
      </w:r>
      <w:proofErr w:type="spellStart"/>
      <w:r w:rsidR="00A70A8E" w:rsidRPr="005B2844">
        <w:rPr>
          <w:szCs w:val="22"/>
        </w:rPr>
        <w:t>MicardisPlus</w:t>
      </w:r>
      <w:proofErr w:type="spellEnd"/>
      <w:r w:rsidR="00A70A8E" w:rsidRPr="005B2844">
        <w:rPr>
          <w:szCs w:val="22"/>
        </w:rPr>
        <w:t>.</w:t>
      </w:r>
    </w:p>
    <w:p w:rsidR="00A67D35" w:rsidRPr="005B2844" w:rsidRDefault="00A67D35" w:rsidP="0072602F">
      <w:pPr>
        <w:rPr>
          <w:szCs w:val="22"/>
        </w:rPr>
      </w:pPr>
    </w:p>
    <w:p w:rsidR="00A67D35" w:rsidRPr="005B2844" w:rsidRDefault="00A67D35" w:rsidP="00532263">
      <w:pPr>
        <w:keepNext/>
        <w:rPr>
          <w:b/>
          <w:szCs w:val="22"/>
        </w:rPr>
      </w:pPr>
      <w:r w:rsidRPr="005B2844">
        <w:rPr>
          <w:b/>
          <w:szCs w:val="22"/>
        </w:rPr>
        <w:t xml:space="preserve">Possibili effetti indesiderati di </w:t>
      </w:r>
      <w:proofErr w:type="spellStart"/>
      <w:r w:rsidRPr="005B2844">
        <w:rPr>
          <w:b/>
          <w:szCs w:val="22"/>
        </w:rPr>
        <w:t>MicardisPlus</w:t>
      </w:r>
      <w:proofErr w:type="spellEnd"/>
      <w:r w:rsidRPr="005B2844">
        <w:rPr>
          <w:b/>
          <w:szCs w:val="22"/>
        </w:rPr>
        <w:t>:</w:t>
      </w:r>
    </w:p>
    <w:p w:rsidR="00A67D35" w:rsidRPr="005B2844" w:rsidRDefault="00A67D35" w:rsidP="00532263">
      <w:pPr>
        <w:keepNext/>
        <w:rPr>
          <w:szCs w:val="22"/>
        </w:rPr>
      </w:pPr>
    </w:p>
    <w:p w:rsidR="004B6B91" w:rsidRPr="005B2844" w:rsidRDefault="007F7C6B" w:rsidP="00532263">
      <w:pPr>
        <w:keepNext/>
        <w:rPr>
          <w:szCs w:val="22"/>
        </w:rPr>
      </w:pPr>
      <w:r w:rsidRPr="005B2844">
        <w:rPr>
          <w:szCs w:val="22"/>
          <w:u w:val="single"/>
        </w:rPr>
        <w:t>Effetti indesiderati comuni</w:t>
      </w:r>
      <w:r w:rsidRPr="005B2844">
        <w:rPr>
          <w:szCs w:val="22"/>
        </w:rPr>
        <w:t xml:space="preserve"> </w:t>
      </w:r>
      <w:r w:rsidR="00F90C99" w:rsidRPr="005B2844">
        <w:rPr>
          <w:szCs w:val="22"/>
        </w:rPr>
        <w:t>(possono interessare fino a 1 persona su 10)</w:t>
      </w:r>
      <w:r w:rsidRPr="005B2844">
        <w:rPr>
          <w:szCs w:val="22"/>
        </w:rPr>
        <w:t>:</w:t>
      </w:r>
    </w:p>
    <w:p w:rsidR="00A70FCB" w:rsidRPr="005B2844" w:rsidRDefault="000E543C" w:rsidP="0072602F">
      <w:pPr>
        <w:rPr>
          <w:szCs w:val="22"/>
        </w:rPr>
      </w:pPr>
      <w:r w:rsidRPr="005B2844">
        <w:rPr>
          <w:szCs w:val="22"/>
        </w:rPr>
        <w:t>Capogiro</w:t>
      </w:r>
      <w:r w:rsidR="0005320D" w:rsidRPr="005B2844">
        <w:rPr>
          <w:szCs w:val="22"/>
        </w:rPr>
        <w:t>.</w:t>
      </w:r>
    </w:p>
    <w:p w:rsidR="0005320D" w:rsidRPr="005B2844" w:rsidRDefault="0005320D" w:rsidP="0072602F">
      <w:pPr>
        <w:rPr>
          <w:szCs w:val="22"/>
        </w:rPr>
      </w:pPr>
    </w:p>
    <w:p w:rsidR="004B6B91" w:rsidRPr="005B2844" w:rsidRDefault="0005320D" w:rsidP="00532263">
      <w:pPr>
        <w:keepNext/>
        <w:rPr>
          <w:szCs w:val="22"/>
        </w:rPr>
      </w:pPr>
      <w:bookmarkStart w:id="17" w:name="OLE_LINK1"/>
      <w:r w:rsidRPr="005B2844">
        <w:rPr>
          <w:szCs w:val="22"/>
          <w:u w:val="single"/>
        </w:rPr>
        <w:t>Effetti indesiderati non comuni</w:t>
      </w:r>
      <w:r w:rsidRPr="005B2844">
        <w:rPr>
          <w:szCs w:val="22"/>
        </w:rPr>
        <w:t xml:space="preserve"> </w:t>
      </w:r>
      <w:r w:rsidR="00F90C99" w:rsidRPr="005B2844">
        <w:rPr>
          <w:szCs w:val="22"/>
        </w:rPr>
        <w:t>(possono interessare fino a 1 persona su 100)</w:t>
      </w:r>
      <w:r w:rsidRPr="005B2844">
        <w:rPr>
          <w:szCs w:val="22"/>
        </w:rPr>
        <w:t>:</w:t>
      </w:r>
    </w:p>
    <w:bookmarkEnd w:id="17"/>
    <w:p w:rsidR="0005320D" w:rsidRPr="005B2844" w:rsidRDefault="004B6B91" w:rsidP="0072602F">
      <w:pPr>
        <w:rPr>
          <w:szCs w:val="22"/>
        </w:rPr>
      </w:pPr>
      <w:r w:rsidRPr="005B2844">
        <w:rPr>
          <w:szCs w:val="22"/>
        </w:rPr>
        <w:t>Livelli di potassio nel sangue ridotti</w:t>
      </w:r>
      <w:r w:rsidR="00B46C6B" w:rsidRPr="005B2844">
        <w:rPr>
          <w:szCs w:val="22"/>
        </w:rPr>
        <w:t xml:space="preserve">, </w:t>
      </w:r>
      <w:r w:rsidRPr="005B2844">
        <w:rPr>
          <w:szCs w:val="22"/>
        </w:rPr>
        <w:t>ansia</w:t>
      </w:r>
      <w:r w:rsidR="00B46C6B" w:rsidRPr="005B2844">
        <w:rPr>
          <w:szCs w:val="22"/>
        </w:rPr>
        <w:t xml:space="preserve">, </w:t>
      </w:r>
      <w:r w:rsidRPr="005B2844">
        <w:rPr>
          <w:szCs w:val="22"/>
        </w:rPr>
        <w:t>svenimento (sincope</w:t>
      </w:r>
      <w:r w:rsidR="00B46C6B" w:rsidRPr="005B2844">
        <w:rPr>
          <w:szCs w:val="22"/>
        </w:rPr>
        <w:t xml:space="preserve">), </w:t>
      </w:r>
      <w:r w:rsidRPr="005B2844">
        <w:rPr>
          <w:szCs w:val="22"/>
        </w:rPr>
        <w:t xml:space="preserve">sensazione di </w:t>
      </w:r>
      <w:r w:rsidR="00EE7825" w:rsidRPr="005B2844">
        <w:rPr>
          <w:szCs w:val="22"/>
        </w:rPr>
        <w:t>intorpidimento</w:t>
      </w:r>
      <w:r w:rsidR="008D176F" w:rsidRPr="005B2844">
        <w:rPr>
          <w:szCs w:val="22"/>
        </w:rPr>
        <w:t>,</w:t>
      </w:r>
      <w:r w:rsidRPr="005B2844">
        <w:rPr>
          <w:szCs w:val="22"/>
        </w:rPr>
        <w:t xml:space="preserve"> </w:t>
      </w:r>
      <w:r w:rsidR="00EA4B6A" w:rsidRPr="005B2844">
        <w:rPr>
          <w:szCs w:val="22"/>
        </w:rPr>
        <w:t>sensazione di formicolio</w:t>
      </w:r>
      <w:r w:rsidR="005A3DF9" w:rsidRPr="005B2844">
        <w:rPr>
          <w:szCs w:val="22"/>
        </w:rPr>
        <w:t xml:space="preserve"> </w:t>
      </w:r>
      <w:r w:rsidRPr="005B2844">
        <w:rPr>
          <w:szCs w:val="22"/>
        </w:rPr>
        <w:t>(pare</w:t>
      </w:r>
      <w:r w:rsidR="0050242E" w:rsidRPr="005B2844">
        <w:rPr>
          <w:szCs w:val="22"/>
        </w:rPr>
        <w:t>stesia</w:t>
      </w:r>
      <w:r w:rsidR="00B46C6B" w:rsidRPr="005B2844">
        <w:rPr>
          <w:szCs w:val="22"/>
        </w:rPr>
        <w:t xml:space="preserve">), </w:t>
      </w:r>
      <w:r w:rsidRPr="005B2844">
        <w:rPr>
          <w:szCs w:val="22"/>
        </w:rPr>
        <w:t>vertigini</w:t>
      </w:r>
      <w:r w:rsidR="00B46C6B" w:rsidRPr="005B2844">
        <w:rPr>
          <w:szCs w:val="22"/>
        </w:rPr>
        <w:t xml:space="preserve">, </w:t>
      </w:r>
      <w:r w:rsidR="00BD14CA" w:rsidRPr="005B2844">
        <w:rPr>
          <w:szCs w:val="22"/>
        </w:rPr>
        <w:t xml:space="preserve">battito accelerato del cuore (tachicardia), disordini del ritmo del cuore, pressione del sangue bassa, </w:t>
      </w:r>
      <w:r w:rsidR="008671AB" w:rsidRPr="005B2844">
        <w:rPr>
          <w:szCs w:val="22"/>
        </w:rPr>
        <w:t xml:space="preserve">improvviso </w:t>
      </w:r>
      <w:r w:rsidR="006038AD" w:rsidRPr="005B2844">
        <w:rPr>
          <w:szCs w:val="22"/>
        </w:rPr>
        <w:t xml:space="preserve">abbassamento </w:t>
      </w:r>
      <w:r w:rsidR="008671AB" w:rsidRPr="005B2844">
        <w:rPr>
          <w:szCs w:val="22"/>
        </w:rPr>
        <w:t xml:space="preserve">della pressione </w:t>
      </w:r>
      <w:r w:rsidR="00094289" w:rsidRPr="005B2844">
        <w:rPr>
          <w:szCs w:val="22"/>
        </w:rPr>
        <w:t xml:space="preserve">del sangue </w:t>
      </w:r>
      <w:r w:rsidR="008671AB" w:rsidRPr="005B2844">
        <w:rPr>
          <w:szCs w:val="22"/>
        </w:rPr>
        <w:t>alzandosi</w:t>
      </w:r>
      <w:r w:rsidR="00094289" w:rsidRPr="005B2844">
        <w:rPr>
          <w:szCs w:val="22"/>
        </w:rPr>
        <w:t xml:space="preserve"> in piedi</w:t>
      </w:r>
      <w:r w:rsidR="00B46C6B" w:rsidRPr="005B2844">
        <w:rPr>
          <w:szCs w:val="22"/>
        </w:rPr>
        <w:t xml:space="preserve">, </w:t>
      </w:r>
      <w:r w:rsidR="008671AB" w:rsidRPr="005B2844">
        <w:rPr>
          <w:szCs w:val="22"/>
        </w:rPr>
        <w:t>respiro corto (dispnea</w:t>
      </w:r>
      <w:r w:rsidR="00B46C6B" w:rsidRPr="005B2844">
        <w:rPr>
          <w:szCs w:val="22"/>
        </w:rPr>
        <w:t xml:space="preserve">), </w:t>
      </w:r>
      <w:r w:rsidR="008671AB" w:rsidRPr="005B2844">
        <w:rPr>
          <w:szCs w:val="22"/>
        </w:rPr>
        <w:t>diarrea</w:t>
      </w:r>
      <w:r w:rsidR="00B46C6B" w:rsidRPr="005B2844">
        <w:rPr>
          <w:szCs w:val="22"/>
        </w:rPr>
        <w:t xml:space="preserve">, </w:t>
      </w:r>
      <w:r w:rsidR="008671AB" w:rsidRPr="005B2844">
        <w:rPr>
          <w:szCs w:val="22"/>
        </w:rPr>
        <w:t>secchezza della bocca, flatulenza</w:t>
      </w:r>
      <w:r w:rsidR="002F7829" w:rsidRPr="005B2844">
        <w:rPr>
          <w:szCs w:val="22"/>
        </w:rPr>
        <w:t xml:space="preserve"> (presenza di gas intestinali)</w:t>
      </w:r>
      <w:r w:rsidR="00B46C6B" w:rsidRPr="005B2844">
        <w:rPr>
          <w:szCs w:val="22"/>
        </w:rPr>
        <w:t xml:space="preserve">, </w:t>
      </w:r>
      <w:r w:rsidR="008671AB" w:rsidRPr="005B2844">
        <w:rPr>
          <w:szCs w:val="22"/>
        </w:rPr>
        <w:t>dolore alla schiena, spasmo muscolare, dolore muscolare</w:t>
      </w:r>
      <w:r w:rsidR="00B46C6B" w:rsidRPr="005B2844">
        <w:rPr>
          <w:szCs w:val="22"/>
        </w:rPr>
        <w:t xml:space="preserve">, </w:t>
      </w:r>
      <w:r w:rsidR="008671AB" w:rsidRPr="005B2844">
        <w:rPr>
          <w:szCs w:val="22"/>
        </w:rPr>
        <w:t>disfunzione erettile (incapacità a raggiungere o mantenere un’erezione</w:t>
      </w:r>
      <w:r w:rsidR="00B46C6B" w:rsidRPr="005B2844">
        <w:rPr>
          <w:szCs w:val="22"/>
        </w:rPr>
        <w:t xml:space="preserve">), </w:t>
      </w:r>
      <w:r w:rsidR="008671AB" w:rsidRPr="005B2844">
        <w:rPr>
          <w:szCs w:val="22"/>
        </w:rPr>
        <w:t xml:space="preserve">dolore al torace, </w:t>
      </w:r>
      <w:r w:rsidR="0005320D" w:rsidRPr="005B2844">
        <w:rPr>
          <w:szCs w:val="22"/>
        </w:rPr>
        <w:t xml:space="preserve">livelli di acido urico </w:t>
      </w:r>
      <w:r w:rsidR="008671AB" w:rsidRPr="005B2844">
        <w:rPr>
          <w:szCs w:val="22"/>
        </w:rPr>
        <w:t>nel sangue aumentati</w:t>
      </w:r>
      <w:r w:rsidR="0005320D" w:rsidRPr="005B2844">
        <w:rPr>
          <w:szCs w:val="22"/>
        </w:rPr>
        <w:t>.</w:t>
      </w:r>
    </w:p>
    <w:p w:rsidR="00A67D35" w:rsidRPr="005B2844" w:rsidRDefault="00A67D35" w:rsidP="0072602F">
      <w:pPr>
        <w:rPr>
          <w:szCs w:val="22"/>
        </w:rPr>
      </w:pPr>
    </w:p>
    <w:p w:rsidR="00630B30" w:rsidRPr="005B2844" w:rsidRDefault="00630B30" w:rsidP="00532263">
      <w:pPr>
        <w:keepNext/>
        <w:rPr>
          <w:szCs w:val="22"/>
        </w:rPr>
      </w:pPr>
      <w:r w:rsidRPr="005B2844">
        <w:rPr>
          <w:szCs w:val="22"/>
          <w:u w:val="single"/>
        </w:rPr>
        <w:t xml:space="preserve">Effetti indesiderati rari </w:t>
      </w:r>
      <w:r w:rsidR="00F90C99" w:rsidRPr="005B2844">
        <w:rPr>
          <w:szCs w:val="22"/>
        </w:rPr>
        <w:t>(possono interessare fino a 1 persona su 1.000)</w:t>
      </w:r>
      <w:r w:rsidRPr="005B2844">
        <w:rPr>
          <w:szCs w:val="22"/>
        </w:rPr>
        <w:t>:</w:t>
      </w:r>
    </w:p>
    <w:p w:rsidR="00630B30" w:rsidRPr="005B2844" w:rsidRDefault="00630B30" w:rsidP="0072602F">
      <w:pPr>
        <w:rPr>
          <w:szCs w:val="22"/>
        </w:rPr>
      </w:pPr>
      <w:r w:rsidRPr="005B2844">
        <w:rPr>
          <w:szCs w:val="22"/>
        </w:rPr>
        <w:t>Infiammazione dei polmoni (bronchite</w:t>
      </w:r>
      <w:r w:rsidR="00B46C6B" w:rsidRPr="005B2844">
        <w:rPr>
          <w:szCs w:val="22"/>
        </w:rPr>
        <w:t xml:space="preserve">), </w:t>
      </w:r>
      <w:r w:rsidR="00A67D35" w:rsidRPr="005B2844">
        <w:rPr>
          <w:szCs w:val="22"/>
        </w:rPr>
        <w:t xml:space="preserve">attivazione o peggioramento </w:t>
      </w:r>
      <w:r w:rsidR="008A6DD1" w:rsidRPr="005B2844">
        <w:rPr>
          <w:szCs w:val="22"/>
        </w:rPr>
        <w:t xml:space="preserve">del lupus eritematoso sistemico (una malattia a causa della quale il sistema immunitario attacca l'organismo stesso, che </w:t>
      </w:r>
      <w:r w:rsidR="004A2428" w:rsidRPr="005B2844">
        <w:rPr>
          <w:szCs w:val="22"/>
        </w:rPr>
        <w:t>provoca</w:t>
      </w:r>
      <w:r w:rsidR="008A6DD1" w:rsidRPr="005B2844">
        <w:rPr>
          <w:szCs w:val="22"/>
        </w:rPr>
        <w:t xml:space="preserve"> dolore articolare, eruzione cutanea e febbre)</w:t>
      </w:r>
      <w:r w:rsidR="00AD635C" w:rsidRPr="005B2844">
        <w:rPr>
          <w:szCs w:val="22"/>
        </w:rPr>
        <w:t>,</w:t>
      </w:r>
      <w:r w:rsidR="008A6DD1" w:rsidRPr="005B2844">
        <w:rPr>
          <w:szCs w:val="22"/>
        </w:rPr>
        <w:t xml:space="preserve"> </w:t>
      </w:r>
      <w:r w:rsidR="00B46C6B" w:rsidRPr="005B2844">
        <w:rPr>
          <w:szCs w:val="22"/>
        </w:rPr>
        <w:t xml:space="preserve">mal di gola, sinusite, </w:t>
      </w:r>
      <w:r w:rsidRPr="005B2844">
        <w:rPr>
          <w:szCs w:val="22"/>
        </w:rPr>
        <w:t>sensazione di tristezza (depressione</w:t>
      </w:r>
      <w:r w:rsidR="00B46C6B" w:rsidRPr="005B2844">
        <w:rPr>
          <w:szCs w:val="22"/>
        </w:rPr>
        <w:t xml:space="preserve">), </w:t>
      </w:r>
      <w:r w:rsidRPr="005B2844">
        <w:rPr>
          <w:szCs w:val="22"/>
        </w:rPr>
        <w:t>difficoltà ad addormentarsi (insonnia</w:t>
      </w:r>
      <w:r w:rsidR="00B46C6B" w:rsidRPr="005B2844">
        <w:rPr>
          <w:szCs w:val="22"/>
        </w:rPr>
        <w:t xml:space="preserve">), </w:t>
      </w:r>
      <w:r w:rsidRPr="005B2844">
        <w:rPr>
          <w:szCs w:val="22"/>
        </w:rPr>
        <w:t xml:space="preserve">vista </w:t>
      </w:r>
      <w:r w:rsidR="00EE7825" w:rsidRPr="005B2844">
        <w:rPr>
          <w:szCs w:val="22"/>
        </w:rPr>
        <w:t>alterata</w:t>
      </w:r>
      <w:r w:rsidR="00B46C6B" w:rsidRPr="005B2844">
        <w:rPr>
          <w:szCs w:val="22"/>
        </w:rPr>
        <w:t xml:space="preserve">, </w:t>
      </w:r>
      <w:r w:rsidRPr="005B2844">
        <w:rPr>
          <w:szCs w:val="22"/>
        </w:rPr>
        <w:t>difficoltà a respirare</w:t>
      </w:r>
      <w:r w:rsidR="00B46C6B" w:rsidRPr="005B2844">
        <w:rPr>
          <w:szCs w:val="22"/>
        </w:rPr>
        <w:t xml:space="preserve">, </w:t>
      </w:r>
      <w:r w:rsidRPr="005B2844">
        <w:rPr>
          <w:szCs w:val="22"/>
        </w:rPr>
        <w:t>dolore addominale</w:t>
      </w:r>
      <w:r w:rsidR="00B46C6B" w:rsidRPr="005B2844">
        <w:rPr>
          <w:szCs w:val="22"/>
        </w:rPr>
        <w:t xml:space="preserve">, </w:t>
      </w:r>
      <w:r w:rsidRPr="005B2844">
        <w:rPr>
          <w:szCs w:val="22"/>
        </w:rPr>
        <w:t>stitichezza</w:t>
      </w:r>
      <w:r w:rsidR="00B46C6B" w:rsidRPr="005B2844">
        <w:rPr>
          <w:szCs w:val="22"/>
        </w:rPr>
        <w:t xml:space="preserve">, </w:t>
      </w:r>
      <w:r w:rsidRPr="005B2844">
        <w:rPr>
          <w:szCs w:val="22"/>
        </w:rPr>
        <w:t xml:space="preserve">gonfiore </w:t>
      </w:r>
      <w:r w:rsidR="006038AD" w:rsidRPr="005B2844">
        <w:rPr>
          <w:szCs w:val="22"/>
        </w:rPr>
        <w:t xml:space="preserve">addominale </w:t>
      </w:r>
      <w:r w:rsidRPr="005B2844">
        <w:rPr>
          <w:szCs w:val="22"/>
        </w:rPr>
        <w:t>(dispepsia), sensazione di malessere</w:t>
      </w:r>
      <w:r w:rsidR="00F84023" w:rsidRPr="005B2844">
        <w:rPr>
          <w:szCs w:val="22"/>
        </w:rPr>
        <w:t xml:space="preserve"> (vomito)</w:t>
      </w:r>
      <w:r w:rsidR="00B46C6B" w:rsidRPr="005B2844">
        <w:rPr>
          <w:szCs w:val="22"/>
        </w:rPr>
        <w:t xml:space="preserve">, infiammazione dello stomaco (gastrite), </w:t>
      </w:r>
      <w:r w:rsidRPr="005B2844">
        <w:rPr>
          <w:szCs w:val="22"/>
        </w:rPr>
        <w:t>funzionalità epatica anormale</w:t>
      </w:r>
      <w:r w:rsidR="00F30355" w:rsidRPr="005B2844">
        <w:rPr>
          <w:szCs w:val="22"/>
        </w:rPr>
        <w:t xml:space="preserve"> (i pazienti giapponesi hanno maggiore probabilità di manifestare quest</w:t>
      </w:r>
      <w:r w:rsidR="00205B39" w:rsidRPr="005B2844">
        <w:rPr>
          <w:szCs w:val="22"/>
        </w:rPr>
        <w:t>o</w:t>
      </w:r>
      <w:r w:rsidR="00F30355" w:rsidRPr="005B2844">
        <w:rPr>
          <w:szCs w:val="22"/>
        </w:rPr>
        <w:t xml:space="preserve"> effett</w:t>
      </w:r>
      <w:r w:rsidR="00205B39" w:rsidRPr="005B2844">
        <w:rPr>
          <w:szCs w:val="22"/>
        </w:rPr>
        <w:t>o</w:t>
      </w:r>
      <w:r w:rsidR="00F30355" w:rsidRPr="005B2844">
        <w:rPr>
          <w:szCs w:val="22"/>
        </w:rPr>
        <w:t xml:space="preserve"> indesiderat</w:t>
      </w:r>
      <w:r w:rsidR="00205B39" w:rsidRPr="005B2844">
        <w:rPr>
          <w:szCs w:val="22"/>
        </w:rPr>
        <w:t>o</w:t>
      </w:r>
      <w:r w:rsidR="00F30355" w:rsidRPr="005B2844">
        <w:rPr>
          <w:szCs w:val="22"/>
        </w:rPr>
        <w:t>)</w:t>
      </w:r>
      <w:r w:rsidR="00B46C6B" w:rsidRPr="005B2844">
        <w:rPr>
          <w:szCs w:val="22"/>
        </w:rPr>
        <w:t xml:space="preserve">, </w:t>
      </w:r>
      <w:r w:rsidR="000F57F8" w:rsidRPr="005B2844">
        <w:rPr>
          <w:szCs w:val="22"/>
        </w:rPr>
        <w:t>rossore della pelle (eritema</w:t>
      </w:r>
      <w:r w:rsidR="00B46C6B" w:rsidRPr="005B2844">
        <w:rPr>
          <w:szCs w:val="22"/>
        </w:rPr>
        <w:t xml:space="preserve">), </w:t>
      </w:r>
      <w:r w:rsidR="000F57F8" w:rsidRPr="005B2844">
        <w:rPr>
          <w:szCs w:val="22"/>
        </w:rPr>
        <w:t xml:space="preserve">reazioni allergiche come prurito o </w:t>
      </w:r>
      <w:r w:rsidR="00EE7825" w:rsidRPr="005B2844">
        <w:rPr>
          <w:szCs w:val="22"/>
        </w:rPr>
        <w:t>eruzione cutanea</w:t>
      </w:r>
      <w:r w:rsidR="00B46C6B" w:rsidRPr="005B2844">
        <w:rPr>
          <w:szCs w:val="22"/>
        </w:rPr>
        <w:t xml:space="preserve">, </w:t>
      </w:r>
      <w:r w:rsidR="000F57F8" w:rsidRPr="005B2844">
        <w:rPr>
          <w:szCs w:val="22"/>
        </w:rPr>
        <w:t>sudorazione aumentata, orticaria</w:t>
      </w:r>
      <w:r w:rsidR="00B46C6B" w:rsidRPr="005B2844">
        <w:rPr>
          <w:szCs w:val="22"/>
        </w:rPr>
        <w:t xml:space="preserve">, </w:t>
      </w:r>
      <w:r w:rsidR="000F57F8" w:rsidRPr="005B2844">
        <w:rPr>
          <w:szCs w:val="22"/>
        </w:rPr>
        <w:t>dolore articolare (artralgia) e dolore alle estremità, crampi muscolari</w:t>
      </w:r>
      <w:r w:rsidR="00B46C6B" w:rsidRPr="005B2844">
        <w:rPr>
          <w:szCs w:val="22"/>
        </w:rPr>
        <w:t xml:space="preserve">, </w:t>
      </w:r>
      <w:r w:rsidR="000F57F8" w:rsidRPr="005B2844">
        <w:rPr>
          <w:szCs w:val="22"/>
        </w:rPr>
        <w:t>malattia simile all’influenza</w:t>
      </w:r>
      <w:r w:rsidR="00B46C6B" w:rsidRPr="005B2844">
        <w:rPr>
          <w:szCs w:val="22"/>
        </w:rPr>
        <w:t xml:space="preserve">, </w:t>
      </w:r>
      <w:r w:rsidR="000F57F8" w:rsidRPr="005B2844">
        <w:rPr>
          <w:szCs w:val="22"/>
        </w:rPr>
        <w:t>dolore</w:t>
      </w:r>
      <w:r w:rsidR="00B46C6B" w:rsidRPr="005B2844">
        <w:rPr>
          <w:szCs w:val="22"/>
        </w:rPr>
        <w:t xml:space="preserve">, </w:t>
      </w:r>
      <w:r w:rsidR="00166718" w:rsidRPr="005B2844">
        <w:rPr>
          <w:szCs w:val="22"/>
        </w:rPr>
        <w:t xml:space="preserve">bassi livelli di sodio, livelli </w:t>
      </w:r>
      <w:r w:rsidR="006038AD" w:rsidRPr="005B2844">
        <w:rPr>
          <w:szCs w:val="22"/>
        </w:rPr>
        <w:t xml:space="preserve">aumentati nel sangue </w:t>
      </w:r>
      <w:r w:rsidR="00166718" w:rsidRPr="005B2844">
        <w:rPr>
          <w:szCs w:val="22"/>
        </w:rPr>
        <w:t xml:space="preserve">di creatinina, enzimi </w:t>
      </w:r>
      <w:r w:rsidR="006038AD" w:rsidRPr="005B2844">
        <w:rPr>
          <w:szCs w:val="22"/>
        </w:rPr>
        <w:t xml:space="preserve">del fegato </w:t>
      </w:r>
      <w:r w:rsidR="00166718" w:rsidRPr="005B2844">
        <w:rPr>
          <w:szCs w:val="22"/>
        </w:rPr>
        <w:t xml:space="preserve">o creatina </w:t>
      </w:r>
      <w:proofErr w:type="spellStart"/>
      <w:r w:rsidR="00166718" w:rsidRPr="005B2844">
        <w:rPr>
          <w:szCs w:val="22"/>
        </w:rPr>
        <w:t>fosfochinasi</w:t>
      </w:r>
      <w:proofErr w:type="spellEnd"/>
      <w:r w:rsidR="00166718" w:rsidRPr="005B2844">
        <w:rPr>
          <w:szCs w:val="22"/>
        </w:rPr>
        <w:t>.</w:t>
      </w:r>
    </w:p>
    <w:p w:rsidR="00166718" w:rsidRPr="005B2844" w:rsidRDefault="00166718" w:rsidP="0072602F">
      <w:pPr>
        <w:rPr>
          <w:szCs w:val="22"/>
        </w:rPr>
      </w:pPr>
    </w:p>
    <w:p w:rsidR="00F30355" w:rsidRPr="005B2844" w:rsidRDefault="00F30355" w:rsidP="0072602F">
      <w:pPr>
        <w:rPr>
          <w:szCs w:val="22"/>
        </w:rPr>
      </w:pPr>
      <w:r w:rsidRPr="005B2844">
        <w:rPr>
          <w:szCs w:val="22"/>
        </w:rPr>
        <w:t xml:space="preserve">Le reazioni avverse riportate con uno dei singoli componenti possono essere potenziali reazioni avverse con </w:t>
      </w:r>
      <w:proofErr w:type="spellStart"/>
      <w:r w:rsidRPr="005B2844">
        <w:rPr>
          <w:szCs w:val="22"/>
        </w:rPr>
        <w:t>MicardisPlus</w:t>
      </w:r>
      <w:proofErr w:type="spellEnd"/>
      <w:r w:rsidRPr="005B2844">
        <w:rPr>
          <w:szCs w:val="22"/>
        </w:rPr>
        <w:t>, anche se non osservate negli studi clinici con questo prodotto.</w:t>
      </w:r>
    </w:p>
    <w:p w:rsidR="003514F7" w:rsidRPr="005B2844" w:rsidRDefault="003514F7" w:rsidP="0072602F">
      <w:pPr>
        <w:rPr>
          <w:szCs w:val="22"/>
        </w:rPr>
      </w:pPr>
    </w:p>
    <w:p w:rsidR="00BB2446" w:rsidRPr="005B2844" w:rsidRDefault="00BB2446" w:rsidP="00532263">
      <w:pPr>
        <w:keepNext/>
        <w:rPr>
          <w:b/>
          <w:szCs w:val="22"/>
          <w:u w:val="single"/>
        </w:rPr>
      </w:pPr>
      <w:proofErr w:type="spellStart"/>
      <w:r w:rsidRPr="005B2844">
        <w:rPr>
          <w:b/>
          <w:szCs w:val="22"/>
          <w:u w:val="single"/>
        </w:rPr>
        <w:t>Telmisartan</w:t>
      </w:r>
      <w:proofErr w:type="spellEnd"/>
    </w:p>
    <w:p w:rsidR="00BB2446" w:rsidRPr="005B2844" w:rsidRDefault="00A70FCB" w:rsidP="0072602F">
      <w:pPr>
        <w:rPr>
          <w:szCs w:val="22"/>
        </w:rPr>
      </w:pPr>
      <w:r w:rsidRPr="005B2844">
        <w:rPr>
          <w:szCs w:val="22"/>
        </w:rPr>
        <w:t xml:space="preserve">Nei pazienti trattati con </w:t>
      </w:r>
      <w:proofErr w:type="spellStart"/>
      <w:r w:rsidRPr="005B2844">
        <w:rPr>
          <w:szCs w:val="22"/>
        </w:rPr>
        <w:t>telmisartan</w:t>
      </w:r>
      <w:proofErr w:type="spellEnd"/>
      <w:r w:rsidRPr="005B2844">
        <w:rPr>
          <w:szCs w:val="22"/>
        </w:rPr>
        <w:t xml:space="preserve"> da solo sono stati riscontrati i seguenti ulteriori effetti indesiderati:</w:t>
      </w:r>
    </w:p>
    <w:p w:rsidR="00BB2446" w:rsidRPr="005B2844" w:rsidRDefault="00BB2446" w:rsidP="0072602F">
      <w:pPr>
        <w:rPr>
          <w:szCs w:val="22"/>
        </w:rPr>
      </w:pPr>
    </w:p>
    <w:p w:rsidR="007C5403" w:rsidRPr="005B2844" w:rsidRDefault="007C5403" w:rsidP="00532263">
      <w:pPr>
        <w:keepNext/>
        <w:rPr>
          <w:szCs w:val="22"/>
        </w:rPr>
      </w:pPr>
      <w:r w:rsidRPr="005B2844">
        <w:rPr>
          <w:szCs w:val="22"/>
          <w:u w:val="single"/>
        </w:rPr>
        <w:t>Effetti indesiderati non comuni</w:t>
      </w:r>
      <w:r w:rsidRPr="005B2844">
        <w:rPr>
          <w:szCs w:val="22"/>
        </w:rPr>
        <w:t xml:space="preserve"> </w:t>
      </w:r>
      <w:r w:rsidR="00A47BE1" w:rsidRPr="005B2844">
        <w:rPr>
          <w:szCs w:val="22"/>
        </w:rPr>
        <w:t>(possono interessare fino a 1 persona su 100)</w:t>
      </w:r>
      <w:r w:rsidRPr="005B2844">
        <w:rPr>
          <w:szCs w:val="22"/>
        </w:rPr>
        <w:t>:</w:t>
      </w:r>
    </w:p>
    <w:p w:rsidR="007C5403" w:rsidRPr="005B2844" w:rsidRDefault="007C5403" w:rsidP="00166718">
      <w:pPr>
        <w:rPr>
          <w:szCs w:val="22"/>
        </w:rPr>
      </w:pPr>
      <w:r w:rsidRPr="005B2844">
        <w:rPr>
          <w:noProof/>
          <w:szCs w:val="22"/>
        </w:rPr>
        <w:t>I</w:t>
      </w:r>
      <w:proofErr w:type="spellStart"/>
      <w:r w:rsidRPr="005B2844">
        <w:rPr>
          <w:szCs w:val="22"/>
        </w:rPr>
        <w:t>nfezione</w:t>
      </w:r>
      <w:proofErr w:type="spellEnd"/>
      <w:r w:rsidRPr="005B2844">
        <w:rPr>
          <w:szCs w:val="22"/>
        </w:rPr>
        <w:t xml:space="preserve"> delle vie respiratorie superiori (ad es. mal di gola, sinusite, raffreddore comune), infezioni del tratto urinario, </w:t>
      </w:r>
      <w:r w:rsidR="00763FE8" w:rsidRPr="005B2844">
        <w:rPr>
          <w:szCs w:val="22"/>
        </w:rPr>
        <w:t>riduzione</w:t>
      </w:r>
      <w:r w:rsidRPr="005B2844">
        <w:rPr>
          <w:szCs w:val="22"/>
        </w:rPr>
        <w:t xml:space="preserve"> di globuli rossi (anemia), </w:t>
      </w:r>
      <w:r w:rsidR="00763FE8" w:rsidRPr="005B2844">
        <w:rPr>
          <w:szCs w:val="22"/>
        </w:rPr>
        <w:t>alti livelli di potassio,</w:t>
      </w:r>
      <w:r w:rsidRPr="005B2844">
        <w:rPr>
          <w:szCs w:val="22"/>
        </w:rPr>
        <w:t xml:space="preserve"> battito cardiaco </w:t>
      </w:r>
      <w:r w:rsidR="00763FE8" w:rsidRPr="005B2844">
        <w:rPr>
          <w:szCs w:val="22"/>
        </w:rPr>
        <w:t>rallentato</w:t>
      </w:r>
      <w:r w:rsidRPr="005B2844">
        <w:rPr>
          <w:szCs w:val="22"/>
        </w:rPr>
        <w:t xml:space="preserve"> (bradicardia), compromissione renale inclusa insufficienza renale acuta, </w:t>
      </w:r>
      <w:r w:rsidR="00763FE8" w:rsidRPr="005B2844">
        <w:rPr>
          <w:szCs w:val="22"/>
        </w:rPr>
        <w:t xml:space="preserve">sensazione di </w:t>
      </w:r>
      <w:r w:rsidRPr="005B2844">
        <w:rPr>
          <w:szCs w:val="22"/>
        </w:rPr>
        <w:t>debolezza</w:t>
      </w:r>
      <w:r w:rsidR="008D6186" w:rsidRPr="005B2844">
        <w:rPr>
          <w:szCs w:val="22"/>
        </w:rPr>
        <w:t>, tosse</w:t>
      </w:r>
      <w:r w:rsidRPr="005B2844">
        <w:rPr>
          <w:szCs w:val="22"/>
        </w:rPr>
        <w:t>.</w:t>
      </w:r>
    </w:p>
    <w:p w:rsidR="007C5403" w:rsidRPr="005B2844" w:rsidRDefault="007C5403" w:rsidP="00166718">
      <w:pPr>
        <w:rPr>
          <w:szCs w:val="22"/>
        </w:rPr>
      </w:pPr>
    </w:p>
    <w:p w:rsidR="007C5403" w:rsidRPr="005B2844" w:rsidRDefault="007C5403" w:rsidP="00532263">
      <w:pPr>
        <w:keepNext/>
        <w:rPr>
          <w:szCs w:val="22"/>
        </w:rPr>
      </w:pPr>
      <w:r w:rsidRPr="005B2844">
        <w:rPr>
          <w:szCs w:val="22"/>
          <w:u w:val="single"/>
        </w:rPr>
        <w:t xml:space="preserve">Effetti indesiderati rari </w:t>
      </w:r>
      <w:r w:rsidR="00A47BE1" w:rsidRPr="005B2844">
        <w:rPr>
          <w:szCs w:val="22"/>
        </w:rPr>
        <w:t>(possono interessare fino a 1 persona su 1.000)</w:t>
      </w:r>
      <w:r w:rsidRPr="005B2844">
        <w:rPr>
          <w:szCs w:val="22"/>
        </w:rPr>
        <w:t>:</w:t>
      </w:r>
    </w:p>
    <w:p w:rsidR="00A47208" w:rsidRPr="005B2844" w:rsidRDefault="00117178" w:rsidP="00166718">
      <w:pPr>
        <w:rPr>
          <w:szCs w:val="22"/>
        </w:rPr>
      </w:pPr>
      <w:r w:rsidRPr="005B2844">
        <w:rPr>
          <w:szCs w:val="22"/>
        </w:rPr>
        <w:t>B</w:t>
      </w:r>
      <w:r w:rsidR="007C5403" w:rsidRPr="005B2844">
        <w:rPr>
          <w:szCs w:val="22"/>
        </w:rPr>
        <w:t>ass</w:t>
      </w:r>
      <w:r w:rsidR="009F719D" w:rsidRPr="005B2844">
        <w:rPr>
          <w:szCs w:val="22"/>
        </w:rPr>
        <w:t>o</w:t>
      </w:r>
      <w:r w:rsidR="007C5403" w:rsidRPr="005B2844">
        <w:rPr>
          <w:szCs w:val="22"/>
        </w:rPr>
        <w:t xml:space="preserve"> </w:t>
      </w:r>
      <w:r w:rsidR="006038AD" w:rsidRPr="005B2844">
        <w:rPr>
          <w:szCs w:val="22"/>
        </w:rPr>
        <w:t xml:space="preserve">numero di piastrine </w:t>
      </w:r>
      <w:r w:rsidR="007C5403" w:rsidRPr="005B2844">
        <w:rPr>
          <w:szCs w:val="22"/>
        </w:rPr>
        <w:t>(trombocitopenia), aumento di alcuni globuli bianchi (eosinofilia), grave reazione allergica (ad es. ipersensibilità, reazione anafilattic</w:t>
      </w:r>
      <w:r w:rsidR="00A00888" w:rsidRPr="005B2844">
        <w:rPr>
          <w:szCs w:val="22"/>
        </w:rPr>
        <w:t xml:space="preserve">a, eruzione cutanea da farmaco), livelli bassi di glicemia (nei pazienti diabetici), </w:t>
      </w:r>
      <w:r w:rsidR="007C5403" w:rsidRPr="005B2844">
        <w:rPr>
          <w:szCs w:val="22"/>
        </w:rPr>
        <w:t>disturbo allo stomaco</w:t>
      </w:r>
      <w:r w:rsidR="00A00888" w:rsidRPr="005B2844">
        <w:rPr>
          <w:szCs w:val="22"/>
        </w:rPr>
        <w:t>,</w:t>
      </w:r>
      <w:r w:rsidR="007C5403" w:rsidRPr="005B2844">
        <w:rPr>
          <w:szCs w:val="22"/>
        </w:rPr>
        <w:t xml:space="preserve"> eczema (disturbo della pelle)</w:t>
      </w:r>
      <w:r w:rsidR="00A00888" w:rsidRPr="005B2844">
        <w:rPr>
          <w:szCs w:val="22"/>
        </w:rPr>
        <w:t>, artrosi,</w:t>
      </w:r>
      <w:r w:rsidR="007C5403" w:rsidRPr="005B2844">
        <w:rPr>
          <w:szCs w:val="22"/>
        </w:rPr>
        <w:t xml:space="preserve"> infiammazione dei tendini</w:t>
      </w:r>
      <w:r w:rsidR="00A00888" w:rsidRPr="005B2844">
        <w:rPr>
          <w:szCs w:val="22"/>
        </w:rPr>
        <w:t>,</w:t>
      </w:r>
      <w:r w:rsidR="007C5403" w:rsidRPr="005B2844">
        <w:rPr>
          <w:szCs w:val="22"/>
        </w:rPr>
        <w:t xml:space="preserve"> diminuzione della emoglobina (una proteina del sangue)</w:t>
      </w:r>
      <w:r w:rsidR="00A47BE1" w:rsidRPr="005B2844">
        <w:rPr>
          <w:szCs w:val="22"/>
        </w:rPr>
        <w:t>, sonnolenza</w:t>
      </w:r>
      <w:r w:rsidR="00A00888" w:rsidRPr="005B2844">
        <w:rPr>
          <w:szCs w:val="22"/>
        </w:rPr>
        <w:t>.</w:t>
      </w:r>
    </w:p>
    <w:p w:rsidR="00A70FCB" w:rsidRPr="005B2844" w:rsidRDefault="00A70FCB" w:rsidP="0072602F">
      <w:pPr>
        <w:rPr>
          <w:szCs w:val="22"/>
        </w:rPr>
      </w:pPr>
    </w:p>
    <w:p w:rsidR="00A47BE1" w:rsidRPr="005B2844" w:rsidRDefault="00A47BE1" w:rsidP="00532263">
      <w:pPr>
        <w:keepNext/>
        <w:rPr>
          <w:szCs w:val="22"/>
        </w:rPr>
      </w:pPr>
      <w:r w:rsidRPr="005B2844">
        <w:rPr>
          <w:szCs w:val="22"/>
          <w:u w:val="single"/>
        </w:rPr>
        <w:t xml:space="preserve">Effetti indesiderati molto rari </w:t>
      </w:r>
      <w:r w:rsidRPr="005B2844">
        <w:rPr>
          <w:szCs w:val="22"/>
        </w:rPr>
        <w:t>(possono interessare fino a 1 persona su 10.000):</w:t>
      </w:r>
    </w:p>
    <w:p w:rsidR="00A47BE1" w:rsidRPr="005B2844" w:rsidRDefault="00A47BE1" w:rsidP="00A47BE1">
      <w:pPr>
        <w:rPr>
          <w:szCs w:val="22"/>
        </w:rPr>
      </w:pPr>
      <w:r w:rsidRPr="005B2844">
        <w:rPr>
          <w:szCs w:val="22"/>
        </w:rPr>
        <w:t>Progressiva cicatrizzazione del tessuto polmonare (malattia polmonare interstiziale)**.</w:t>
      </w:r>
    </w:p>
    <w:p w:rsidR="00A47BE1" w:rsidRPr="005B2844" w:rsidRDefault="00A47BE1" w:rsidP="00A47BE1">
      <w:pPr>
        <w:rPr>
          <w:szCs w:val="22"/>
        </w:rPr>
      </w:pPr>
    </w:p>
    <w:p w:rsidR="005E527A" w:rsidRPr="005B2844" w:rsidRDefault="005E527A" w:rsidP="0072602F">
      <w:pPr>
        <w:rPr>
          <w:szCs w:val="22"/>
        </w:rPr>
      </w:pPr>
      <w:r w:rsidRPr="005B2844">
        <w:rPr>
          <w:szCs w:val="22"/>
        </w:rPr>
        <w:t>*L’evento può essersi verificato per caso o potrebbe essere correlato ad un meccanismo attualmente sconosciuto.</w:t>
      </w:r>
    </w:p>
    <w:p w:rsidR="005E527A" w:rsidRPr="005B2844" w:rsidRDefault="005E527A" w:rsidP="0072602F">
      <w:pPr>
        <w:rPr>
          <w:szCs w:val="22"/>
        </w:rPr>
      </w:pPr>
    </w:p>
    <w:p w:rsidR="00F22849" w:rsidRPr="005B2844" w:rsidRDefault="00F22849" w:rsidP="00F22849">
      <w:pPr>
        <w:pStyle w:val="BodyText2"/>
        <w:tabs>
          <w:tab w:val="clear" w:pos="567"/>
        </w:tabs>
        <w:ind w:left="0" w:firstLine="0"/>
        <w:rPr>
          <w:szCs w:val="22"/>
        </w:rPr>
      </w:pPr>
      <w:r w:rsidRPr="005B2844">
        <w:rPr>
          <w:szCs w:val="22"/>
        </w:rPr>
        <w:t xml:space="preserve">**Sono stati riportati casi di </w:t>
      </w:r>
      <w:r w:rsidR="00B85E6B" w:rsidRPr="005B2844">
        <w:rPr>
          <w:szCs w:val="22"/>
        </w:rPr>
        <w:t xml:space="preserve">progressiva cicatrizzazione del tessuto polmonare durante </w:t>
      </w:r>
      <w:r w:rsidRPr="005B2844">
        <w:rPr>
          <w:szCs w:val="22"/>
        </w:rPr>
        <w:t xml:space="preserve">l’assunzione di </w:t>
      </w:r>
      <w:proofErr w:type="spellStart"/>
      <w:r w:rsidRPr="005B2844">
        <w:rPr>
          <w:szCs w:val="22"/>
        </w:rPr>
        <w:t>telmisartan</w:t>
      </w:r>
      <w:proofErr w:type="spellEnd"/>
      <w:r w:rsidRPr="005B2844">
        <w:rPr>
          <w:szCs w:val="22"/>
        </w:rPr>
        <w:t xml:space="preserve">. Tuttavia non è </w:t>
      </w:r>
      <w:r w:rsidR="00B85E6B" w:rsidRPr="005B2844">
        <w:rPr>
          <w:szCs w:val="22"/>
        </w:rPr>
        <w:t xml:space="preserve">noto se </w:t>
      </w:r>
      <w:proofErr w:type="spellStart"/>
      <w:r w:rsidR="00B85E6B" w:rsidRPr="005B2844">
        <w:rPr>
          <w:szCs w:val="22"/>
        </w:rPr>
        <w:t>telmisartan</w:t>
      </w:r>
      <w:proofErr w:type="spellEnd"/>
      <w:r w:rsidR="00B85E6B" w:rsidRPr="005B2844">
        <w:rPr>
          <w:szCs w:val="22"/>
        </w:rPr>
        <w:t xml:space="preserve"> ne sia stato la causa</w:t>
      </w:r>
      <w:r w:rsidR="006516D4" w:rsidRPr="005B2844">
        <w:rPr>
          <w:szCs w:val="22"/>
        </w:rPr>
        <w:t>.</w:t>
      </w:r>
    </w:p>
    <w:p w:rsidR="00F22849" w:rsidRPr="005B2844" w:rsidRDefault="00F22849" w:rsidP="0072602F">
      <w:pPr>
        <w:rPr>
          <w:szCs w:val="22"/>
        </w:rPr>
      </w:pPr>
    </w:p>
    <w:p w:rsidR="0092359F" w:rsidRPr="005B2844" w:rsidRDefault="0092359F" w:rsidP="00532263">
      <w:pPr>
        <w:keepNext/>
        <w:rPr>
          <w:b/>
          <w:szCs w:val="22"/>
          <w:u w:val="single"/>
        </w:rPr>
      </w:pPr>
      <w:proofErr w:type="spellStart"/>
      <w:r w:rsidRPr="005B2844">
        <w:rPr>
          <w:b/>
          <w:szCs w:val="22"/>
          <w:u w:val="single"/>
        </w:rPr>
        <w:t>Idroclorotiazide</w:t>
      </w:r>
      <w:proofErr w:type="spellEnd"/>
    </w:p>
    <w:p w:rsidR="0092359F" w:rsidRPr="005B2844" w:rsidRDefault="0092359F" w:rsidP="0072602F">
      <w:pPr>
        <w:rPr>
          <w:szCs w:val="22"/>
        </w:rPr>
      </w:pPr>
      <w:r w:rsidRPr="005B2844">
        <w:rPr>
          <w:szCs w:val="22"/>
        </w:rPr>
        <w:t xml:space="preserve">Nei pazienti trattati con </w:t>
      </w:r>
      <w:proofErr w:type="spellStart"/>
      <w:r w:rsidR="007C11DF" w:rsidRPr="005B2844">
        <w:rPr>
          <w:szCs w:val="22"/>
        </w:rPr>
        <w:t>idroclorotiazide</w:t>
      </w:r>
      <w:proofErr w:type="spellEnd"/>
      <w:r w:rsidRPr="005B2844">
        <w:rPr>
          <w:szCs w:val="22"/>
        </w:rPr>
        <w:t xml:space="preserve"> da sol</w:t>
      </w:r>
      <w:r w:rsidR="007C11DF" w:rsidRPr="005B2844">
        <w:rPr>
          <w:szCs w:val="22"/>
        </w:rPr>
        <w:t>a</w:t>
      </w:r>
      <w:r w:rsidRPr="005B2844">
        <w:rPr>
          <w:szCs w:val="22"/>
        </w:rPr>
        <w:t xml:space="preserve"> sono stati riscontrati i seguenti ulteriori effetti indesiderati:</w:t>
      </w:r>
    </w:p>
    <w:p w:rsidR="00CA68C0" w:rsidRPr="005B2844" w:rsidRDefault="00CA68C0" w:rsidP="0072602F">
      <w:pPr>
        <w:rPr>
          <w:szCs w:val="22"/>
        </w:rPr>
      </w:pPr>
    </w:p>
    <w:p w:rsidR="00CA68C0" w:rsidRPr="005B2844" w:rsidRDefault="00CA68C0" w:rsidP="0072602F">
      <w:pPr>
        <w:rPr>
          <w:szCs w:val="22"/>
          <w:u w:val="single"/>
        </w:rPr>
      </w:pPr>
      <w:r w:rsidRPr="005B2844">
        <w:rPr>
          <w:szCs w:val="22"/>
          <w:u w:val="single"/>
        </w:rPr>
        <w:t>Effetti indesiderati comuni (possono interessare fino a 1 persona su 10):</w:t>
      </w:r>
    </w:p>
    <w:p w:rsidR="00CA68C0" w:rsidRPr="005B2844" w:rsidRDefault="000F6189" w:rsidP="0072602F">
      <w:pPr>
        <w:rPr>
          <w:szCs w:val="22"/>
        </w:rPr>
      </w:pPr>
      <w:r w:rsidRPr="005B2844">
        <w:rPr>
          <w:szCs w:val="22"/>
        </w:rPr>
        <w:t>Malessere (n</w:t>
      </w:r>
      <w:r w:rsidR="00CA68C0" w:rsidRPr="005B2844">
        <w:rPr>
          <w:szCs w:val="22"/>
        </w:rPr>
        <w:t>ausea</w:t>
      </w:r>
      <w:r w:rsidRPr="005B2844">
        <w:rPr>
          <w:szCs w:val="22"/>
        </w:rPr>
        <w:t>)</w:t>
      </w:r>
      <w:r w:rsidR="00CA68C0" w:rsidRPr="005B2844">
        <w:rPr>
          <w:szCs w:val="22"/>
        </w:rPr>
        <w:t>, basso livello di magnesio nel sangue.</w:t>
      </w:r>
    </w:p>
    <w:p w:rsidR="0092359F" w:rsidRPr="005B2844" w:rsidRDefault="0092359F" w:rsidP="0072602F">
      <w:pPr>
        <w:rPr>
          <w:szCs w:val="22"/>
        </w:rPr>
      </w:pPr>
    </w:p>
    <w:p w:rsidR="00CA68C0" w:rsidRPr="005B2844" w:rsidRDefault="00CA68C0" w:rsidP="0072602F">
      <w:pPr>
        <w:rPr>
          <w:szCs w:val="22"/>
          <w:u w:val="single"/>
        </w:rPr>
      </w:pPr>
      <w:r w:rsidRPr="005B2844">
        <w:rPr>
          <w:szCs w:val="22"/>
          <w:u w:val="single"/>
        </w:rPr>
        <w:t>Effetti indesiderati rari (possono interessare fino a 1 persona su 1.000):</w:t>
      </w:r>
    </w:p>
    <w:p w:rsidR="00CA68C0" w:rsidRPr="005B2844" w:rsidRDefault="00CA68C0" w:rsidP="0072602F">
      <w:pPr>
        <w:rPr>
          <w:szCs w:val="22"/>
        </w:rPr>
      </w:pPr>
      <w:r w:rsidRPr="005B2844">
        <w:rPr>
          <w:szCs w:val="22"/>
        </w:rPr>
        <w:t>Riduzione delle piastrine, che aumenta il rischio di sanguinamento o formazione di lividi (piccoli segni viola-rossi sulla pelle o altri tessuti causati dal sanguinamento), alto livello di calcio nel sangue, cefalea.</w:t>
      </w:r>
    </w:p>
    <w:p w:rsidR="00CA68C0" w:rsidRPr="005B2844" w:rsidRDefault="00CA68C0" w:rsidP="0072602F">
      <w:pPr>
        <w:rPr>
          <w:szCs w:val="22"/>
        </w:rPr>
      </w:pPr>
    </w:p>
    <w:p w:rsidR="00CA68C0" w:rsidRPr="005B2844" w:rsidRDefault="00CA68C0" w:rsidP="000709BC">
      <w:pPr>
        <w:keepNext/>
        <w:rPr>
          <w:szCs w:val="22"/>
          <w:u w:val="single"/>
        </w:rPr>
      </w:pPr>
      <w:r w:rsidRPr="005B2844">
        <w:rPr>
          <w:szCs w:val="22"/>
          <w:u w:val="single"/>
        </w:rPr>
        <w:t>Effetti indesiderati molto rari (possono interessare fino a 1 persona su 10.000):</w:t>
      </w:r>
    </w:p>
    <w:p w:rsidR="00CA68C0" w:rsidRPr="005B2844" w:rsidRDefault="00CA68C0" w:rsidP="0072602F">
      <w:pPr>
        <w:rPr>
          <w:szCs w:val="22"/>
        </w:rPr>
      </w:pPr>
      <w:r w:rsidRPr="005B2844">
        <w:rPr>
          <w:szCs w:val="22"/>
        </w:rPr>
        <w:t>Aumento del pH (equilibrio acido-base alterato) dovuto a un basso livello di cloro nel sangue.</w:t>
      </w:r>
    </w:p>
    <w:p w:rsidR="00CA68C0" w:rsidRPr="005B2844" w:rsidRDefault="00CA68C0" w:rsidP="0072602F">
      <w:pPr>
        <w:rPr>
          <w:szCs w:val="22"/>
        </w:rPr>
      </w:pPr>
    </w:p>
    <w:p w:rsidR="00EB48B2" w:rsidRPr="005B2844" w:rsidRDefault="0092359F" w:rsidP="000A1FDA">
      <w:pPr>
        <w:keepNext/>
        <w:rPr>
          <w:szCs w:val="22"/>
        </w:rPr>
      </w:pPr>
      <w:r w:rsidRPr="005B2844">
        <w:rPr>
          <w:szCs w:val="22"/>
          <w:u w:val="single"/>
        </w:rPr>
        <w:t>Effetti indesiderati di frequenza non nota</w:t>
      </w:r>
      <w:r w:rsidRPr="005B2844">
        <w:rPr>
          <w:szCs w:val="22"/>
        </w:rPr>
        <w:t xml:space="preserve"> </w:t>
      </w:r>
      <w:r w:rsidR="004D2273" w:rsidRPr="005B2844">
        <w:rPr>
          <w:szCs w:val="22"/>
        </w:rPr>
        <w:t>(la frequenza non può essere definita sulla base dei dati disponibili)</w:t>
      </w:r>
      <w:r w:rsidRPr="005B2844">
        <w:rPr>
          <w:szCs w:val="22"/>
        </w:rPr>
        <w:t>:</w:t>
      </w:r>
      <w:r w:rsidRPr="005B2844">
        <w:rPr>
          <w:szCs w:val="22"/>
          <w:u w:val="single"/>
        </w:rPr>
        <w:t xml:space="preserve"> </w:t>
      </w:r>
      <w:r w:rsidRPr="005B2844">
        <w:rPr>
          <w:szCs w:val="22"/>
          <w:u w:val="single"/>
        </w:rPr>
        <w:br/>
      </w:r>
      <w:r w:rsidR="00AD0ED0" w:rsidRPr="005B2844">
        <w:rPr>
          <w:szCs w:val="22"/>
        </w:rPr>
        <w:t>I</w:t>
      </w:r>
      <w:r w:rsidRPr="005B2844">
        <w:rPr>
          <w:szCs w:val="22"/>
        </w:rPr>
        <w:t>nfiammazione dell</w:t>
      </w:r>
      <w:r w:rsidR="007C11DF" w:rsidRPr="005B2844">
        <w:rPr>
          <w:szCs w:val="22"/>
        </w:rPr>
        <w:t>e</w:t>
      </w:r>
      <w:r w:rsidRPr="005B2844">
        <w:rPr>
          <w:szCs w:val="22"/>
        </w:rPr>
        <w:t xml:space="preserve"> ghian</w:t>
      </w:r>
      <w:r w:rsidR="007C11DF" w:rsidRPr="005B2844">
        <w:rPr>
          <w:szCs w:val="22"/>
        </w:rPr>
        <w:t>dole</w:t>
      </w:r>
      <w:r w:rsidRPr="005B2844">
        <w:rPr>
          <w:szCs w:val="22"/>
        </w:rPr>
        <w:t xml:space="preserve"> salivar</w:t>
      </w:r>
      <w:r w:rsidR="007C11DF" w:rsidRPr="005B2844">
        <w:rPr>
          <w:szCs w:val="22"/>
        </w:rPr>
        <w:t>i</w:t>
      </w:r>
      <w:r w:rsidR="00A00888" w:rsidRPr="005B2844">
        <w:rPr>
          <w:szCs w:val="22"/>
        </w:rPr>
        <w:t>,</w:t>
      </w:r>
      <w:r w:rsidRPr="005B2844">
        <w:rPr>
          <w:szCs w:val="22"/>
        </w:rPr>
        <w:t xml:space="preserve"> </w:t>
      </w:r>
      <w:r w:rsidR="00263CA9" w:rsidRPr="005B2844">
        <w:rPr>
          <w:szCs w:val="22"/>
        </w:rPr>
        <w:t>cancro della pelle e delle labbra (cancro della pelle non melanoma),</w:t>
      </w:r>
      <w:r w:rsidR="00263CA9" w:rsidRPr="005B2844">
        <w:rPr>
          <w:sz w:val="18"/>
          <w:szCs w:val="18"/>
          <w:u w:val="single"/>
        </w:rPr>
        <w:t xml:space="preserve"> </w:t>
      </w:r>
      <w:r w:rsidR="00692A54" w:rsidRPr="005B2844">
        <w:rPr>
          <w:szCs w:val="22"/>
        </w:rPr>
        <w:t xml:space="preserve">diminuzione del numero </w:t>
      </w:r>
      <w:r w:rsidR="00CB1AE9" w:rsidRPr="005B2844">
        <w:rPr>
          <w:szCs w:val="22"/>
        </w:rPr>
        <w:t xml:space="preserve">(o persino </w:t>
      </w:r>
      <w:r w:rsidR="00CF650F" w:rsidRPr="005B2844">
        <w:rPr>
          <w:szCs w:val="22"/>
        </w:rPr>
        <w:t>mancan</w:t>
      </w:r>
      <w:r w:rsidR="00CB1AE9" w:rsidRPr="005B2844">
        <w:rPr>
          <w:szCs w:val="22"/>
        </w:rPr>
        <w:t xml:space="preserve">za) </w:t>
      </w:r>
      <w:r w:rsidR="00692A54" w:rsidRPr="005B2844">
        <w:rPr>
          <w:szCs w:val="22"/>
        </w:rPr>
        <w:t>delle cellule del sangue, incluso calo della conta</w:t>
      </w:r>
      <w:r w:rsidR="006E4990" w:rsidRPr="005B2844">
        <w:rPr>
          <w:szCs w:val="22"/>
        </w:rPr>
        <w:t xml:space="preserve"> </w:t>
      </w:r>
      <w:r w:rsidR="00692A54" w:rsidRPr="005B2844">
        <w:rPr>
          <w:szCs w:val="22"/>
        </w:rPr>
        <w:t>de</w:t>
      </w:r>
      <w:r w:rsidR="007C11DF" w:rsidRPr="005B2844">
        <w:rPr>
          <w:szCs w:val="22"/>
        </w:rPr>
        <w:t>i globuli rossi</w:t>
      </w:r>
      <w:r w:rsidR="00692A54" w:rsidRPr="005B2844">
        <w:rPr>
          <w:szCs w:val="22"/>
        </w:rPr>
        <w:t xml:space="preserve"> </w:t>
      </w:r>
      <w:r w:rsidR="00AD0ED0" w:rsidRPr="005B2844">
        <w:rPr>
          <w:szCs w:val="22"/>
        </w:rPr>
        <w:t xml:space="preserve">e dei globuli bianchi, </w:t>
      </w:r>
      <w:r w:rsidR="00692A54" w:rsidRPr="005B2844">
        <w:rPr>
          <w:szCs w:val="22"/>
        </w:rPr>
        <w:t>gravi reazioni allergiche</w:t>
      </w:r>
      <w:r w:rsidR="00AD0ED0" w:rsidRPr="005B2844">
        <w:rPr>
          <w:szCs w:val="22"/>
        </w:rPr>
        <w:t xml:space="preserve"> (ad es. ipersensibilità, reazione anafilattica),</w:t>
      </w:r>
      <w:r w:rsidR="00692A54" w:rsidRPr="005B2844">
        <w:rPr>
          <w:szCs w:val="22"/>
        </w:rPr>
        <w:t xml:space="preserve"> calo o perdita di appetito</w:t>
      </w:r>
      <w:r w:rsidR="00A00888" w:rsidRPr="005B2844">
        <w:rPr>
          <w:szCs w:val="22"/>
        </w:rPr>
        <w:t>,</w:t>
      </w:r>
      <w:r w:rsidR="00692A54" w:rsidRPr="005B2844">
        <w:rPr>
          <w:szCs w:val="22"/>
        </w:rPr>
        <w:t xml:space="preserve"> irrequietezza</w:t>
      </w:r>
      <w:r w:rsidR="00A00888" w:rsidRPr="005B2844">
        <w:rPr>
          <w:szCs w:val="22"/>
        </w:rPr>
        <w:t>,</w:t>
      </w:r>
      <w:r w:rsidR="00692A54" w:rsidRPr="005B2844">
        <w:rPr>
          <w:szCs w:val="22"/>
        </w:rPr>
        <w:t xml:space="preserve"> </w:t>
      </w:r>
      <w:r w:rsidR="00113DEE" w:rsidRPr="005B2844">
        <w:rPr>
          <w:szCs w:val="22"/>
        </w:rPr>
        <w:t>stordimento</w:t>
      </w:r>
      <w:r w:rsidR="00A00888" w:rsidRPr="005B2844">
        <w:rPr>
          <w:szCs w:val="22"/>
        </w:rPr>
        <w:t xml:space="preserve">, </w:t>
      </w:r>
      <w:r w:rsidR="00EB48B2" w:rsidRPr="005B2844">
        <w:rPr>
          <w:szCs w:val="22"/>
        </w:rPr>
        <w:t>visione offuscata o giallognola</w:t>
      </w:r>
      <w:r w:rsidR="00A00888" w:rsidRPr="005B2844">
        <w:rPr>
          <w:szCs w:val="22"/>
        </w:rPr>
        <w:t xml:space="preserve">, </w:t>
      </w:r>
      <w:r w:rsidR="005D68E6" w:rsidRPr="005B2844">
        <w:rPr>
          <w:szCs w:val="22"/>
        </w:rPr>
        <w:t xml:space="preserve">diminuzione della vista e dolore agli occhi (possibili segni </w:t>
      </w:r>
      <w:r w:rsidR="00AB2D22">
        <w:rPr>
          <w:szCs w:val="22"/>
        </w:rPr>
        <w:t xml:space="preserve">dell’accumulo di liquido nello strato vascolare dell’occhio (effusione </w:t>
      </w:r>
      <w:proofErr w:type="spellStart"/>
      <w:r w:rsidR="00AB2D22">
        <w:rPr>
          <w:szCs w:val="22"/>
        </w:rPr>
        <w:t>coroidale</w:t>
      </w:r>
      <w:proofErr w:type="spellEnd"/>
      <w:r w:rsidR="00713E25">
        <w:rPr>
          <w:szCs w:val="22"/>
        </w:rPr>
        <w:t>)</w:t>
      </w:r>
      <w:r w:rsidR="00AB2D22">
        <w:rPr>
          <w:szCs w:val="22"/>
        </w:rPr>
        <w:t xml:space="preserve"> o </w:t>
      </w:r>
      <w:r w:rsidR="005D68E6" w:rsidRPr="005B2844">
        <w:rPr>
          <w:szCs w:val="22"/>
        </w:rPr>
        <w:t xml:space="preserve">di </w:t>
      </w:r>
      <w:r w:rsidR="006F4554" w:rsidRPr="005B2844">
        <w:rPr>
          <w:szCs w:val="22"/>
        </w:rPr>
        <w:t xml:space="preserve">miopia acuta o </w:t>
      </w:r>
      <w:r w:rsidR="005D68E6" w:rsidRPr="005B2844">
        <w:rPr>
          <w:szCs w:val="22"/>
        </w:rPr>
        <w:t xml:space="preserve">glaucoma </w:t>
      </w:r>
      <w:r w:rsidR="00AB5B92" w:rsidRPr="005B2844">
        <w:rPr>
          <w:szCs w:val="22"/>
        </w:rPr>
        <w:t xml:space="preserve">acuto </w:t>
      </w:r>
      <w:r w:rsidR="005D68E6" w:rsidRPr="005B2844">
        <w:rPr>
          <w:szCs w:val="22"/>
        </w:rPr>
        <w:t xml:space="preserve">ad angolo chiuso), </w:t>
      </w:r>
      <w:r w:rsidR="00A00888" w:rsidRPr="005B2844">
        <w:rPr>
          <w:szCs w:val="22"/>
        </w:rPr>
        <w:t xml:space="preserve">infiammazione dei vasi sanguigni (vasculite necrotizzante), </w:t>
      </w:r>
      <w:r w:rsidR="00EB48B2" w:rsidRPr="005B2844">
        <w:rPr>
          <w:szCs w:val="22"/>
        </w:rPr>
        <w:t xml:space="preserve">infiammazione del pancreas, </w:t>
      </w:r>
      <w:r w:rsidR="005A3DF9" w:rsidRPr="005B2844">
        <w:rPr>
          <w:szCs w:val="22"/>
        </w:rPr>
        <w:t>disturbo di stomaco</w:t>
      </w:r>
      <w:r w:rsidR="00A00888" w:rsidRPr="005B2844">
        <w:rPr>
          <w:szCs w:val="22"/>
        </w:rPr>
        <w:t xml:space="preserve">, </w:t>
      </w:r>
      <w:r w:rsidR="00EB48B2" w:rsidRPr="005B2844">
        <w:rPr>
          <w:szCs w:val="22"/>
        </w:rPr>
        <w:t>ingiallimento della pelle o degli occhi (ittero)</w:t>
      </w:r>
      <w:r w:rsidR="00A00888" w:rsidRPr="005B2844">
        <w:rPr>
          <w:szCs w:val="22"/>
        </w:rPr>
        <w:t>,</w:t>
      </w:r>
      <w:r w:rsidR="00EB48B2" w:rsidRPr="005B2844">
        <w:rPr>
          <w:szCs w:val="22"/>
        </w:rPr>
        <w:t xml:space="preserve"> </w:t>
      </w:r>
      <w:r w:rsidR="008A6DD1" w:rsidRPr="005B2844">
        <w:rPr>
          <w:szCs w:val="22"/>
        </w:rPr>
        <w:t xml:space="preserve">sindrome simil lupus (una condizione </w:t>
      </w:r>
      <w:r w:rsidR="006038AD" w:rsidRPr="005B2844">
        <w:rPr>
          <w:szCs w:val="22"/>
        </w:rPr>
        <w:t>simile ad</w:t>
      </w:r>
      <w:r w:rsidR="008A6DD1" w:rsidRPr="005B2844">
        <w:rPr>
          <w:szCs w:val="22"/>
        </w:rPr>
        <w:t xml:space="preserve"> una malattia chiamata lupus eritematoso sistemico a causa della quale il sistema immunitario attacca l'organismo stesso); </w:t>
      </w:r>
      <w:r w:rsidR="00EB48B2" w:rsidRPr="005B2844">
        <w:rPr>
          <w:szCs w:val="22"/>
        </w:rPr>
        <w:t xml:space="preserve">disturbi della pelle </w:t>
      </w:r>
      <w:r w:rsidR="007F009C" w:rsidRPr="005B2844">
        <w:rPr>
          <w:szCs w:val="22"/>
        </w:rPr>
        <w:t>come infiammazione dei vasi sanguigni della pelle</w:t>
      </w:r>
      <w:r w:rsidR="00A00888" w:rsidRPr="005B2844">
        <w:rPr>
          <w:szCs w:val="22"/>
        </w:rPr>
        <w:t xml:space="preserve">, </w:t>
      </w:r>
      <w:r w:rsidR="007F009C" w:rsidRPr="005B2844">
        <w:rPr>
          <w:szCs w:val="22"/>
        </w:rPr>
        <w:t>aumentata sensibilità alla luce del sole</w:t>
      </w:r>
      <w:r w:rsidR="00817E8A" w:rsidRPr="005B2844">
        <w:rPr>
          <w:szCs w:val="22"/>
        </w:rPr>
        <w:t>,</w:t>
      </w:r>
      <w:r w:rsidR="007F009C" w:rsidRPr="005B2844">
        <w:rPr>
          <w:szCs w:val="22"/>
        </w:rPr>
        <w:t xml:space="preserve"> </w:t>
      </w:r>
      <w:r w:rsidR="006E4990" w:rsidRPr="005B2844">
        <w:rPr>
          <w:szCs w:val="22"/>
        </w:rPr>
        <w:t>eruzione cutanea, arrossamento della pelle, formazione di vesciche su labbra, occhi o bocca, desquamazione dell</w:t>
      </w:r>
      <w:r w:rsidR="0031590E" w:rsidRPr="005B2844">
        <w:rPr>
          <w:szCs w:val="22"/>
        </w:rPr>
        <w:t>a</w:t>
      </w:r>
      <w:r w:rsidR="006E4990" w:rsidRPr="005B2844">
        <w:rPr>
          <w:szCs w:val="22"/>
        </w:rPr>
        <w:t xml:space="preserve"> pelle, febbre (possibili segni di eritema multiforme), </w:t>
      </w:r>
      <w:r w:rsidR="00763FE8" w:rsidRPr="005B2844">
        <w:rPr>
          <w:szCs w:val="22"/>
        </w:rPr>
        <w:t xml:space="preserve">sensazione di </w:t>
      </w:r>
      <w:r w:rsidR="007E5AEC" w:rsidRPr="005B2844">
        <w:rPr>
          <w:szCs w:val="22"/>
        </w:rPr>
        <w:t xml:space="preserve">debolezza, </w:t>
      </w:r>
      <w:r w:rsidR="00DB7B91" w:rsidRPr="005B2844">
        <w:rPr>
          <w:szCs w:val="22"/>
        </w:rPr>
        <w:t>infiammazione dei reni o funzionalità renale alterata</w:t>
      </w:r>
      <w:r w:rsidR="00A00888" w:rsidRPr="005B2844">
        <w:rPr>
          <w:szCs w:val="22"/>
        </w:rPr>
        <w:t xml:space="preserve">, </w:t>
      </w:r>
      <w:r w:rsidR="007E5AEC" w:rsidRPr="005B2844">
        <w:rPr>
          <w:szCs w:val="22"/>
        </w:rPr>
        <w:t xml:space="preserve">glucosio presente nell’urina (glicosuria), </w:t>
      </w:r>
      <w:r w:rsidR="00DB7B91" w:rsidRPr="005B2844">
        <w:rPr>
          <w:szCs w:val="22"/>
        </w:rPr>
        <w:t>febbre</w:t>
      </w:r>
      <w:bookmarkStart w:id="18" w:name="OLE_LINK16"/>
      <w:r w:rsidR="00A00888" w:rsidRPr="005B2844">
        <w:rPr>
          <w:szCs w:val="22"/>
        </w:rPr>
        <w:t xml:space="preserve">, </w:t>
      </w:r>
      <w:r w:rsidR="00872AB4" w:rsidRPr="005B2844">
        <w:rPr>
          <w:szCs w:val="22"/>
        </w:rPr>
        <w:t>s</w:t>
      </w:r>
      <w:r w:rsidR="005A3DF9" w:rsidRPr="005B2844">
        <w:rPr>
          <w:szCs w:val="22"/>
        </w:rPr>
        <w:t xml:space="preserve">quilibrio elettrolitico, livelli elevati di colesterolo nel sangue, volume di sangue ridotto, </w:t>
      </w:r>
      <w:bookmarkEnd w:id="18"/>
      <w:r w:rsidR="001161B5" w:rsidRPr="005B2844">
        <w:rPr>
          <w:szCs w:val="22"/>
        </w:rPr>
        <w:t>aumentati livelli di glucosio nel sangue, difficoltà nel controllare i livelli di glucosio nel sangue/nelle urine in pazienti con diagnosi di diabete mellito,</w:t>
      </w:r>
      <w:r w:rsidR="00DB7B91" w:rsidRPr="005B2844">
        <w:rPr>
          <w:szCs w:val="22"/>
        </w:rPr>
        <w:t xml:space="preserve"> </w:t>
      </w:r>
      <w:r w:rsidR="005A3DF9" w:rsidRPr="005B2844">
        <w:rPr>
          <w:szCs w:val="22"/>
        </w:rPr>
        <w:t xml:space="preserve">o </w:t>
      </w:r>
      <w:r w:rsidR="00711E77" w:rsidRPr="005B2844">
        <w:rPr>
          <w:szCs w:val="22"/>
        </w:rPr>
        <w:t xml:space="preserve">di </w:t>
      </w:r>
      <w:r w:rsidR="00DB7B91" w:rsidRPr="005B2844">
        <w:rPr>
          <w:szCs w:val="22"/>
        </w:rPr>
        <w:t>grass</w:t>
      </w:r>
      <w:r w:rsidR="00FC5B8C" w:rsidRPr="005B2844">
        <w:rPr>
          <w:szCs w:val="22"/>
        </w:rPr>
        <w:t>i nel sangue</w:t>
      </w:r>
      <w:r w:rsidR="00DB7B91" w:rsidRPr="005B2844">
        <w:rPr>
          <w:szCs w:val="22"/>
        </w:rPr>
        <w:t>.</w:t>
      </w:r>
    </w:p>
    <w:p w:rsidR="00A70FCB" w:rsidRPr="005B2844" w:rsidRDefault="00A70FCB" w:rsidP="0072602F">
      <w:pPr>
        <w:rPr>
          <w:szCs w:val="22"/>
        </w:rPr>
      </w:pPr>
    </w:p>
    <w:p w:rsidR="00503D51" w:rsidRPr="005B2844" w:rsidRDefault="00503D51" w:rsidP="00503D51">
      <w:pPr>
        <w:tabs>
          <w:tab w:val="left" w:pos="6300"/>
        </w:tabs>
        <w:ind w:right="-2"/>
        <w:rPr>
          <w:b/>
          <w:noProof/>
          <w:szCs w:val="22"/>
        </w:rPr>
      </w:pPr>
      <w:r w:rsidRPr="005B2844">
        <w:rPr>
          <w:b/>
          <w:noProof/>
          <w:szCs w:val="22"/>
        </w:rPr>
        <w:t>Segnalazione degli effetti indesiderati</w:t>
      </w:r>
    </w:p>
    <w:p w:rsidR="007E5AEC" w:rsidRPr="005B2844" w:rsidRDefault="00503D51" w:rsidP="00C90BD9">
      <w:pPr>
        <w:suppressAutoHyphens/>
        <w:rPr>
          <w:noProof/>
          <w:szCs w:val="22"/>
        </w:rPr>
      </w:pPr>
      <w:r w:rsidRPr="005B2844">
        <w:rPr>
          <w:szCs w:val="22"/>
        </w:rPr>
        <w:t>Se manifesta un qualsiasi effetto indesiderato, compresi quelli non elencati in questo foglio, si rivolga al medico o al farmacista.</w:t>
      </w:r>
      <w:r w:rsidRPr="005B2844">
        <w:rPr>
          <w:noProof/>
          <w:szCs w:val="22"/>
        </w:rPr>
        <w:t xml:space="preserve"> </w:t>
      </w:r>
      <w:r w:rsidR="00DD69F3" w:rsidRPr="005B2844">
        <w:rPr>
          <w:noProof/>
          <w:szCs w:val="22"/>
        </w:rPr>
        <w:t>P</w:t>
      </w:r>
      <w:r w:rsidRPr="005B2844">
        <w:rPr>
          <w:noProof/>
          <w:szCs w:val="22"/>
        </w:rPr>
        <w:t xml:space="preserve">uò inoltre segnalare gli effetti indesiderati direttamente tramite </w:t>
      </w:r>
      <w:r w:rsidRPr="005B2844">
        <w:rPr>
          <w:noProof/>
          <w:szCs w:val="22"/>
          <w:highlight w:val="lightGray"/>
        </w:rPr>
        <w:t>il sistema nazionale di segnalazione riportato nell’</w:t>
      </w:r>
      <w:hyperlink r:id="rId14" w:history="1">
        <w:r w:rsidR="00DD69F3" w:rsidRPr="005B2844">
          <w:rPr>
            <w:rStyle w:val="Hyperlink"/>
            <w:noProof/>
            <w:szCs w:val="22"/>
            <w:highlight w:val="lightGray"/>
          </w:rPr>
          <w:t>a</w:t>
        </w:r>
        <w:r w:rsidRPr="005B2844">
          <w:rPr>
            <w:rStyle w:val="Hyperlink"/>
            <w:noProof/>
            <w:szCs w:val="22"/>
            <w:highlight w:val="lightGray"/>
          </w:rPr>
          <w:t>lle</w:t>
        </w:r>
        <w:r w:rsidRPr="005B2844">
          <w:rPr>
            <w:rStyle w:val="Hyperlink"/>
            <w:noProof/>
            <w:szCs w:val="22"/>
            <w:highlight w:val="lightGray"/>
          </w:rPr>
          <w:t>g</w:t>
        </w:r>
        <w:r w:rsidRPr="005B2844">
          <w:rPr>
            <w:rStyle w:val="Hyperlink"/>
            <w:noProof/>
            <w:szCs w:val="22"/>
            <w:highlight w:val="lightGray"/>
          </w:rPr>
          <w:t>ato V</w:t>
        </w:r>
      </w:hyperlink>
      <w:r w:rsidRPr="005B2844">
        <w:rPr>
          <w:noProof/>
          <w:szCs w:val="22"/>
        </w:rPr>
        <w:t>.</w:t>
      </w:r>
      <w:r w:rsidR="00DD69F3" w:rsidRPr="005B2844">
        <w:rPr>
          <w:noProof/>
          <w:szCs w:val="22"/>
        </w:rPr>
        <w:t xml:space="preserve"> </w:t>
      </w:r>
      <w:r w:rsidRPr="005B2844">
        <w:rPr>
          <w:noProof/>
          <w:szCs w:val="22"/>
        </w:rPr>
        <w:t>Segnalando gli effetti indesiderati può contribuire a fornire maggiori informazioni sulla sicurezza di questo medicinale.</w:t>
      </w:r>
    </w:p>
    <w:p w:rsidR="000C6CBB" w:rsidRPr="005B2844" w:rsidRDefault="000C6CBB" w:rsidP="0072602F">
      <w:pPr>
        <w:rPr>
          <w:b/>
          <w:szCs w:val="22"/>
        </w:rPr>
      </w:pPr>
    </w:p>
    <w:p w:rsidR="007E5AEC" w:rsidRPr="005B2844" w:rsidRDefault="007E5AEC" w:rsidP="0072602F">
      <w:pPr>
        <w:rPr>
          <w:szCs w:val="22"/>
        </w:rPr>
      </w:pPr>
    </w:p>
    <w:p w:rsidR="00A70FCB" w:rsidRPr="005B2844" w:rsidRDefault="00A70FCB" w:rsidP="008A1E96">
      <w:pPr>
        <w:keepNext/>
        <w:rPr>
          <w:b/>
          <w:szCs w:val="22"/>
        </w:rPr>
      </w:pPr>
      <w:r w:rsidRPr="005B2844">
        <w:rPr>
          <w:b/>
          <w:szCs w:val="22"/>
        </w:rPr>
        <w:t>5.</w:t>
      </w:r>
      <w:r w:rsidRPr="005B2844">
        <w:rPr>
          <w:b/>
          <w:szCs w:val="22"/>
        </w:rPr>
        <w:tab/>
      </w:r>
      <w:r w:rsidR="004D2273" w:rsidRPr="005B2844">
        <w:rPr>
          <w:b/>
          <w:szCs w:val="22"/>
        </w:rPr>
        <w:t xml:space="preserve">Come conservare </w:t>
      </w:r>
      <w:proofErr w:type="spellStart"/>
      <w:r w:rsidR="004D2273" w:rsidRPr="005B2844">
        <w:rPr>
          <w:b/>
          <w:szCs w:val="22"/>
        </w:rPr>
        <w:t>MicardisPlus</w:t>
      </w:r>
      <w:proofErr w:type="spellEnd"/>
    </w:p>
    <w:p w:rsidR="00A70FCB" w:rsidRPr="005B2844" w:rsidRDefault="00A70FCB" w:rsidP="008A1E96">
      <w:pPr>
        <w:keepNext/>
        <w:rPr>
          <w:szCs w:val="22"/>
        </w:rPr>
      </w:pPr>
    </w:p>
    <w:p w:rsidR="00A70FCB" w:rsidRPr="005B2844" w:rsidRDefault="00DD69F3" w:rsidP="0072602F">
      <w:pPr>
        <w:rPr>
          <w:szCs w:val="22"/>
        </w:rPr>
      </w:pPr>
      <w:r w:rsidRPr="005B2844">
        <w:rPr>
          <w:szCs w:val="22"/>
        </w:rPr>
        <w:t xml:space="preserve">Conservi </w:t>
      </w:r>
      <w:r w:rsidR="00293033" w:rsidRPr="005B2844">
        <w:rPr>
          <w:szCs w:val="22"/>
        </w:rPr>
        <w:t>questo medicinale</w:t>
      </w:r>
      <w:r w:rsidR="007D6956" w:rsidRPr="005B2844">
        <w:rPr>
          <w:szCs w:val="22"/>
        </w:rPr>
        <w:t xml:space="preserve"> </w:t>
      </w:r>
      <w:r w:rsidR="00A70FCB" w:rsidRPr="005B2844">
        <w:rPr>
          <w:szCs w:val="22"/>
        </w:rPr>
        <w:t>fuori d</w:t>
      </w:r>
      <w:r w:rsidR="007D6956" w:rsidRPr="005B2844">
        <w:rPr>
          <w:szCs w:val="22"/>
        </w:rPr>
        <w:t>a</w:t>
      </w:r>
      <w:r w:rsidR="00A70FCB" w:rsidRPr="005B2844">
        <w:rPr>
          <w:szCs w:val="22"/>
        </w:rPr>
        <w:t xml:space="preserve">lla </w:t>
      </w:r>
      <w:r w:rsidR="00293033" w:rsidRPr="005B2844">
        <w:rPr>
          <w:szCs w:val="22"/>
        </w:rPr>
        <w:t>vista</w:t>
      </w:r>
      <w:r w:rsidR="00A70FCB" w:rsidRPr="005B2844">
        <w:rPr>
          <w:szCs w:val="22"/>
        </w:rPr>
        <w:t xml:space="preserve"> e d</w:t>
      </w:r>
      <w:r w:rsidR="007D6956" w:rsidRPr="005B2844">
        <w:rPr>
          <w:szCs w:val="22"/>
        </w:rPr>
        <w:t>a</w:t>
      </w:r>
      <w:r w:rsidR="00A70FCB" w:rsidRPr="005B2844">
        <w:rPr>
          <w:szCs w:val="22"/>
        </w:rPr>
        <w:t xml:space="preserve">lla </w:t>
      </w:r>
      <w:r w:rsidR="00293033" w:rsidRPr="005B2844">
        <w:rPr>
          <w:szCs w:val="22"/>
        </w:rPr>
        <w:t>portata</w:t>
      </w:r>
      <w:r w:rsidR="00A70FCB" w:rsidRPr="005B2844">
        <w:rPr>
          <w:szCs w:val="22"/>
        </w:rPr>
        <w:t xml:space="preserve"> dei bambini.</w:t>
      </w:r>
    </w:p>
    <w:p w:rsidR="007D6956" w:rsidRPr="005B2844" w:rsidRDefault="007D6956" w:rsidP="0072602F">
      <w:pPr>
        <w:rPr>
          <w:szCs w:val="22"/>
        </w:rPr>
      </w:pPr>
    </w:p>
    <w:p w:rsidR="007D6956" w:rsidRPr="005B2844" w:rsidRDefault="007D6956" w:rsidP="0072602F">
      <w:pPr>
        <w:suppressAutoHyphens/>
        <w:rPr>
          <w:noProof/>
          <w:szCs w:val="22"/>
        </w:rPr>
      </w:pPr>
      <w:r w:rsidRPr="005B2844">
        <w:rPr>
          <w:noProof/>
          <w:szCs w:val="22"/>
        </w:rPr>
        <w:t xml:space="preserve">Non usi </w:t>
      </w:r>
      <w:r w:rsidR="00293033" w:rsidRPr="005B2844">
        <w:rPr>
          <w:szCs w:val="22"/>
        </w:rPr>
        <w:t>questo medicinale</w:t>
      </w:r>
      <w:r w:rsidRPr="005B2844">
        <w:rPr>
          <w:szCs w:val="22"/>
        </w:rPr>
        <w:t xml:space="preserve"> </w:t>
      </w:r>
      <w:r w:rsidRPr="005B2844">
        <w:rPr>
          <w:noProof/>
          <w:szCs w:val="22"/>
        </w:rPr>
        <w:t xml:space="preserve">dopo la data di scadenza che è riportata </w:t>
      </w:r>
      <w:r w:rsidR="00293033" w:rsidRPr="005B2844">
        <w:rPr>
          <w:noProof/>
          <w:szCs w:val="22"/>
        </w:rPr>
        <w:t>sulla scatola</w:t>
      </w:r>
      <w:r w:rsidRPr="005B2844">
        <w:rPr>
          <w:noProof/>
          <w:szCs w:val="22"/>
        </w:rPr>
        <w:t xml:space="preserve"> dopo Scad. La data di scadenza si riferisce all’ultimo giorno </w:t>
      </w:r>
      <w:r w:rsidR="00971E74" w:rsidRPr="005B2844">
        <w:rPr>
          <w:noProof/>
          <w:szCs w:val="22"/>
        </w:rPr>
        <w:t>di quel</w:t>
      </w:r>
      <w:r w:rsidRPr="005B2844">
        <w:rPr>
          <w:noProof/>
          <w:szCs w:val="22"/>
        </w:rPr>
        <w:t xml:space="preserve"> mese.</w:t>
      </w:r>
    </w:p>
    <w:p w:rsidR="007D6956" w:rsidRPr="005B2844" w:rsidRDefault="007D6956" w:rsidP="0072602F">
      <w:pPr>
        <w:rPr>
          <w:szCs w:val="22"/>
        </w:rPr>
      </w:pPr>
    </w:p>
    <w:p w:rsidR="00A70FCB" w:rsidRPr="005B2844" w:rsidRDefault="0011676C" w:rsidP="0072602F">
      <w:pPr>
        <w:rPr>
          <w:szCs w:val="22"/>
        </w:rPr>
      </w:pPr>
      <w:r w:rsidRPr="005B2844">
        <w:rPr>
          <w:noProof/>
          <w:szCs w:val="22"/>
        </w:rPr>
        <w:t xml:space="preserve">Questo medicinale non richiede alcuna </w:t>
      </w:r>
      <w:r w:rsidR="00971E74" w:rsidRPr="005B2844">
        <w:rPr>
          <w:noProof/>
          <w:szCs w:val="22"/>
        </w:rPr>
        <w:t>temperatura</w:t>
      </w:r>
      <w:r w:rsidRPr="005B2844">
        <w:rPr>
          <w:noProof/>
          <w:szCs w:val="22"/>
        </w:rPr>
        <w:t xml:space="preserve"> particolare di conservazione. </w:t>
      </w:r>
      <w:r w:rsidR="00BD4027" w:rsidRPr="005B2844">
        <w:rPr>
          <w:szCs w:val="22"/>
        </w:rPr>
        <w:t>Deve c</w:t>
      </w:r>
      <w:r w:rsidR="00A70FCB" w:rsidRPr="005B2844">
        <w:rPr>
          <w:szCs w:val="22"/>
        </w:rPr>
        <w:t xml:space="preserve">onservare </w:t>
      </w:r>
      <w:r w:rsidR="00BD4027" w:rsidRPr="005B2844">
        <w:rPr>
          <w:szCs w:val="22"/>
        </w:rPr>
        <w:t xml:space="preserve">il medicinale </w:t>
      </w:r>
      <w:r w:rsidR="00A70FCB" w:rsidRPr="005B2844">
        <w:rPr>
          <w:szCs w:val="22"/>
        </w:rPr>
        <w:t>nella confezione originale per tener</w:t>
      </w:r>
      <w:r w:rsidR="00BD4027" w:rsidRPr="005B2844">
        <w:rPr>
          <w:szCs w:val="22"/>
        </w:rPr>
        <w:t xml:space="preserve">e </w:t>
      </w:r>
      <w:r w:rsidR="00A70FCB" w:rsidRPr="005B2844">
        <w:rPr>
          <w:szCs w:val="22"/>
        </w:rPr>
        <w:t>l</w:t>
      </w:r>
      <w:r w:rsidR="00BD4027" w:rsidRPr="005B2844">
        <w:rPr>
          <w:szCs w:val="22"/>
        </w:rPr>
        <w:t>e</w:t>
      </w:r>
      <w:r w:rsidR="00A70FCB" w:rsidRPr="005B2844">
        <w:rPr>
          <w:szCs w:val="22"/>
        </w:rPr>
        <w:t xml:space="preserve"> </w:t>
      </w:r>
      <w:r w:rsidR="00BD4027" w:rsidRPr="005B2844">
        <w:rPr>
          <w:szCs w:val="22"/>
        </w:rPr>
        <w:t xml:space="preserve">compresse </w:t>
      </w:r>
      <w:r w:rsidR="00A70FCB" w:rsidRPr="005B2844">
        <w:rPr>
          <w:szCs w:val="22"/>
        </w:rPr>
        <w:t>al riparo dall’umidità.</w:t>
      </w:r>
      <w:r w:rsidR="00C77CFB" w:rsidRPr="005B2844">
        <w:rPr>
          <w:szCs w:val="22"/>
        </w:rPr>
        <w:t xml:space="preserve"> Estragga la compressa di </w:t>
      </w:r>
      <w:proofErr w:type="spellStart"/>
      <w:r w:rsidR="00C77CFB" w:rsidRPr="005B2844">
        <w:rPr>
          <w:szCs w:val="22"/>
        </w:rPr>
        <w:t>MicardisPlus</w:t>
      </w:r>
      <w:proofErr w:type="spellEnd"/>
      <w:r w:rsidR="00C77CFB" w:rsidRPr="005B2844">
        <w:rPr>
          <w:szCs w:val="22"/>
        </w:rPr>
        <w:t xml:space="preserve"> dal blister solo immediatamente prima dell’assunzione.</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Occasionalmente lo strato esterno del blister </w:t>
      </w:r>
      <w:r w:rsidR="00F4470C" w:rsidRPr="005B2844">
        <w:rPr>
          <w:szCs w:val="22"/>
        </w:rPr>
        <w:t xml:space="preserve">si </w:t>
      </w:r>
      <w:r w:rsidRPr="005B2844">
        <w:rPr>
          <w:szCs w:val="22"/>
        </w:rPr>
        <w:t xml:space="preserve">separa dallo strato interno tra gli alveoli. Se ciò si verificasse, non è necessario </w:t>
      </w:r>
      <w:r w:rsidR="00F4470C" w:rsidRPr="005B2844">
        <w:rPr>
          <w:szCs w:val="22"/>
        </w:rPr>
        <w:t xml:space="preserve">che </w:t>
      </w:r>
      <w:r w:rsidRPr="005B2844">
        <w:rPr>
          <w:szCs w:val="22"/>
        </w:rPr>
        <w:t>prend</w:t>
      </w:r>
      <w:r w:rsidR="00F4470C" w:rsidRPr="005B2844">
        <w:rPr>
          <w:szCs w:val="22"/>
        </w:rPr>
        <w:t>a</w:t>
      </w:r>
      <w:r w:rsidRPr="005B2844">
        <w:rPr>
          <w:szCs w:val="22"/>
        </w:rPr>
        <w:t xml:space="preserve"> alcuna precauzione.</w:t>
      </w:r>
    </w:p>
    <w:p w:rsidR="00A70FCB" w:rsidRPr="005B2844" w:rsidRDefault="00A70FCB" w:rsidP="0072602F">
      <w:pPr>
        <w:rPr>
          <w:szCs w:val="22"/>
        </w:rPr>
      </w:pPr>
    </w:p>
    <w:p w:rsidR="007D6956" w:rsidRPr="005B2844" w:rsidRDefault="00971E74" w:rsidP="0072602F">
      <w:pPr>
        <w:suppressAutoHyphens/>
        <w:rPr>
          <w:noProof/>
          <w:szCs w:val="22"/>
        </w:rPr>
      </w:pPr>
      <w:r w:rsidRPr="005B2844">
        <w:rPr>
          <w:noProof/>
          <w:szCs w:val="22"/>
        </w:rPr>
        <w:t>Non getti alcun medicinale</w:t>
      </w:r>
      <w:r w:rsidR="007D6956" w:rsidRPr="005B2844">
        <w:rPr>
          <w:noProof/>
          <w:szCs w:val="22"/>
        </w:rPr>
        <w:t xml:space="preserve"> nell’acqua di scarico e nei rifiuti domestici. Chieda al farmacista come eliminare i medicinali che non utilizza più. Questo aiuterà a proteggere l’ambiente.</w:t>
      </w:r>
    </w:p>
    <w:p w:rsidR="007B3BC3" w:rsidRPr="005B2844" w:rsidRDefault="007B3BC3" w:rsidP="0072602F">
      <w:pPr>
        <w:rPr>
          <w:b/>
          <w:szCs w:val="22"/>
        </w:rPr>
      </w:pPr>
    </w:p>
    <w:p w:rsidR="007D6956" w:rsidRPr="005B2844" w:rsidRDefault="007D6956" w:rsidP="0072602F">
      <w:pPr>
        <w:rPr>
          <w:b/>
          <w:szCs w:val="22"/>
        </w:rPr>
      </w:pPr>
    </w:p>
    <w:p w:rsidR="00A70FCB" w:rsidRPr="005B2844" w:rsidRDefault="00A70FCB" w:rsidP="00532263">
      <w:pPr>
        <w:keepNext/>
        <w:rPr>
          <w:b/>
          <w:szCs w:val="22"/>
        </w:rPr>
      </w:pPr>
      <w:r w:rsidRPr="005B2844">
        <w:rPr>
          <w:b/>
          <w:szCs w:val="22"/>
        </w:rPr>
        <w:t>6.</w:t>
      </w:r>
      <w:r w:rsidRPr="005B2844">
        <w:rPr>
          <w:b/>
          <w:szCs w:val="22"/>
        </w:rPr>
        <w:tab/>
      </w:r>
      <w:r w:rsidR="00971E74" w:rsidRPr="005B2844">
        <w:rPr>
          <w:b/>
          <w:szCs w:val="22"/>
        </w:rPr>
        <w:t>Contenuto della confezione e altre informazioni</w:t>
      </w:r>
    </w:p>
    <w:p w:rsidR="007D6956" w:rsidRPr="005B2844" w:rsidRDefault="007D6956" w:rsidP="00532263">
      <w:pPr>
        <w:keepNext/>
        <w:rPr>
          <w:szCs w:val="22"/>
        </w:rPr>
      </w:pPr>
    </w:p>
    <w:p w:rsidR="007D6956" w:rsidRPr="005B2844" w:rsidRDefault="00990D13" w:rsidP="00532263">
      <w:pPr>
        <w:keepNext/>
        <w:tabs>
          <w:tab w:val="left" w:pos="426"/>
        </w:tabs>
        <w:rPr>
          <w:b/>
          <w:szCs w:val="22"/>
        </w:rPr>
      </w:pPr>
      <w:r w:rsidRPr="005B2844">
        <w:rPr>
          <w:b/>
          <w:szCs w:val="22"/>
        </w:rPr>
        <w:t xml:space="preserve">Cosa contiene </w:t>
      </w:r>
      <w:proofErr w:type="spellStart"/>
      <w:r w:rsidRPr="005B2844">
        <w:rPr>
          <w:b/>
          <w:szCs w:val="22"/>
        </w:rPr>
        <w:t>Micardis</w:t>
      </w:r>
      <w:r w:rsidR="007D6956" w:rsidRPr="005B2844">
        <w:rPr>
          <w:b/>
          <w:szCs w:val="22"/>
        </w:rPr>
        <w:t>Plus</w:t>
      </w:r>
      <w:proofErr w:type="spellEnd"/>
    </w:p>
    <w:p w:rsidR="00CD33A5" w:rsidRPr="005B2844" w:rsidRDefault="00CD33A5" w:rsidP="00532263">
      <w:pPr>
        <w:keepNext/>
        <w:tabs>
          <w:tab w:val="left" w:pos="426"/>
        </w:tabs>
        <w:rPr>
          <w:b/>
          <w:szCs w:val="22"/>
        </w:rPr>
      </w:pPr>
    </w:p>
    <w:p w:rsidR="007D6956" w:rsidRPr="005B2844" w:rsidRDefault="007D6956" w:rsidP="0072602F">
      <w:pPr>
        <w:rPr>
          <w:szCs w:val="22"/>
        </w:rPr>
      </w:pPr>
      <w:r w:rsidRPr="005B2844">
        <w:rPr>
          <w:szCs w:val="22"/>
        </w:rPr>
        <w:t xml:space="preserve">I principi attivi sono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00AE6AF6" w:rsidRPr="005B2844">
        <w:rPr>
          <w:szCs w:val="22"/>
        </w:rPr>
        <w:t>. Ogni compressa contiene 40</w:t>
      </w:r>
      <w:r w:rsidR="00646A6E" w:rsidRPr="005B2844">
        <w:rPr>
          <w:szCs w:val="22"/>
        </w:rPr>
        <w:t> </w:t>
      </w:r>
      <w:r w:rsidR="00AE6AF6" w:rsidRPr="005B2844">
        <w:rPr>
          <w:szCs w:val="22"/>
        </w:rPr>
        <w:t xml:space="preserve">mg di </w:t>
      </w:r>
      <w:proofErr w:type="spellStart"/>
      <w:r w:rsidR="00AE6AF6" w:rsidRPr="005B2844">
        <w:rPr>
          <w:szCs w:val="22"/>
        </w:rPr>
        <w:t>telmisartan</w:t>
      </w:r>
      <w:proofErr w:type="spellEnd"/>
      <w:r w:rsidR="00AE6AF6" w:rsidRPr="005B2844">
        <w:rPr>
          <w:szCs w:val="22"/>
        </w:rPr>
        <w:t xml:space="preserve"> e 12,5</w:t>
      </w:r>
      <w:r w:rsidR="00646A6E" w:rsidRPr="005B2844">
        <w:rPr>
          <w:szCs w:val="22"/>
        </w:rPr>
        <w:t> </w:t>
      </w:r>
      <w:r w:rsidR="00AE6AF6" w:rsidRPr="005B2844">
        <w:rPr>
          <w:szCs w:val="22"/>
        </w:rPr>
        <w:t xml:space="preserve">mg di </w:t>
      </w:r>
      <w:proofErr w:type="spellStart"/>
      <w:r w:rsidR="00AE6AF6" w:rsidRPr="005B2844">
        <w:rPr>
          <w:szCs w:val="22"/>
        </w:rPr>
        <w:t>idroclorotiazide</w:t>
      </w:r>
      <w:proofErr w:type="spellEnd"/>
      <w:r w:rsidR="00AE6AF6" w:rsidRPr="005B2844">
        <w:rPr>
          <w:szCs w:val="22"/>
        </w:rPr>
        <w:t>.</w:t>
      </w:r>
    </w:p>
    <w:p w:rsidR="007D6956" w:rsidRPr="005B2844" w:rsidRDefault="007D6956" w:rsidP="0072602F">
      <w:pPr>
        <w:tabs>
          <w:tab w:val="left" w:pos="567"/>
        </w:tabs>
        <w:rPr>
          <w:szCs w:val="22"/>
        </w:rPr>
      </w:pPr>
      <w:r w:rsidRPr="005B2844">
        <w:rPr>
          <w:szCs w:val="22"/>
        </w:rPr>
        <w:t xml:space="preserve">Gli </w:t>
      </w:r>
      <w:r w:rsidR="00F72BE7" w:rsidRPr="005B2844">
        <w:rPr>
          <w:szCs w:val="22"/>
        </w:rPr>
        <w:t>altri componenti</w:t>
      </w:r>
      <w:r w:rsidRPr="005B2844">
        <w:rPr>
          <w:szCs w:val="22"/>
        </w:rPr>
        <w:t xml:space="preserve"> sono lattosio monoidrato, magnesio stearato, amido di mais, </w:t>
      </w:r>
      <w:proofErr w:type="spellStart"/>
      <w:r w:rsidRPr="005B2844">
        <w:rPr>
          <w:szCs w:val="22"/>
        </w:rPr>
        <w:t>meglumina</w:t>
      </w:r>
      <w:proofErr w:type="spellEnd"/>
      <w:r w:rsidRPr="005B2844">
        <w:rPr>
          <w:szCs w:val="22"/>
        </w:rPr>
        <w:t xml:space="preserve">, cellulosa microcristallina, povidone, ferro ossido rosso (E172), sodio idrossido, </w:t>
      </w:r>
      <w:proofErr w:type="spellStart"/>
      <w:r w:rsidRPr="005B2844">
        <w:rPr>
          <w:szCs w:val="22"/>
        </w:rPr>
        <w:t>carbossimetilamido</w:t>
      </w:r>
      <w:proofErr w:type="spellEnd"/>
      <w:r w:rsidRPr="005B2844">
        <w:rPr>
          <w:szCs w:val="22"/>
        </w:rPr>
        <w:t xml:space="preserve"> sodico (Tipo A)</w:t>
      </w:r>
      <w:r w:rsidR="00AE6AF6" w:rsidRPr="005B2844">
        <w:rPr>
          <w:szCs w:val="22"/>
        </w:rPr>
        <w:t>,</w:t>
      </w:r>
      <w:r w:rsidRPr="005B2844">
        <w:rPr>
          <w:szCs w:val="22"/>
        </w:rPr>
        <w:t xml:space="preserve"> sorbitolo (E420)</w:t>
      </w:r>
      <w:r w:rsidR="00B20D0C" w:rsidRPr="005B2844">
        <w:rPr>
          <w:szCs w:val="22"/>
        </w:rPr>
        <w:t>.</w:t>
      </w:r>
    </w:p>
    <w:p w:rsidR="007D6956" w:rsidRPr="005B2844" w:rsidRDefault="007D6956" w:rsidP="0072602F">
      <w:pPr>
        <w:tabs>
          <w:tab w:val="left" w:pos="426"/>
        </w:tabs>
        <w:rPr>
          <w:szCs w:val="22"/>
        </w:rPr>
      </w:pPr>
    </w:p>
    <w:p w:rsidR="007D6956" w:rsidRPr="005B2844" w:rsidRDefault="007D6956" w:rsidP="00532263">
      <w:pPr>
        <w:keepNext/>
        <w:numPr>
          <w:ilvl w:val="12"/>
          <w:numId w:val="0"/>
        </w:numPr>
        <w:ind w:right="-2"/>
        <w:rPr>
          <w:b/>
          <w:bCs/>
          <w:noProof/>
          <w:szCs w:val="22"/>
        </w:rPr>
      </w:pPr>
      <w:r w:rsidRPr="005B2844">
        <w:rPr>
          <w:b/>
          <w:noProof/>
          <w:szCs w:val="22"/>
        </w:rPr>
        <w:t xml:space="preserve">Descrizione dell’aspetto di </w:t>
      </w:r>
      <w:proofErr w:type="spellStart"/>
      <w:r w:rsidRPr="005B2844">
        <w:rPr>
          <w:b/>
          <w:szCs w:val="22"/>
        </w:rPr>
        <w:t>M</w:t>
      </w:r>
      <w:r w:rsidR="009A1690" w:rsidRPr="005B2844">
        <w:rPr>
          <w:b/>
          <w:szCs w:val="22"/>
        </w:rPr>
        <w:t>i</w:t>
      </w:r>
      <w:r w:rsidR="00C7361A" w:rsidRPr="005B2844">
        <w:rPr>
          <w:b/>
          <w:szCs w:val="22"/>
        </w:rPr>
        <w:t>cardisPlus</w:t>
      </w:r>
      <w:proofErr w:type="spellEnd"/>
      <w:r w:rsidRPr="005B2844">
        <w:rPr>
          <w:b/>
          <w:noProof/>
          <w:szCs w:val="22"/>
        </w:rPr>
        <w:t xml:space="preserve"> e contenuto della confezione</w:t>
      </w:r>
    </w:p>
    <w:p w:rsidR="00CD33A5" w:rsidRPr="005B2844" w:rsidRDefault="00CD33A5" w:rsidP="00532263">
      <w:pPr>
        <w:keepNext/>
        <w:rPr>
          <w:szCs w:val="22"/>
        </w:rPr>
      </w:pPr>
    </w:p>
    <w:p w:rsidR="00C7361A" w:rsidRPr="005B2844" w:rsidRDefault="00A918D0" w:rsidP="0072602F">
      <w:pPr>
        <w:rPr>
          <w:szCs w:val="22"/>
        </w:rPr>
      </w:pPr>
      <w:r w:rsidRPr="005B2844">
        <w:rPr>
          <w:szCs w:val="22"/>
        </w:rPr>
        <w:t>Le c</w:t>
      </w:r>
      <w:r w:rsidR="00C7361A" w:rsidRPr="005B2844">
        <w:rPr>
          <w:szCs w:val="22"/>
        </w:rPr>
        <w:t>ompress</w:t>
      </w:r>
      <w:r w:rsidRPr="005B2844">
        <w:rPr>
          <w:szCs w:val="22"/>
        </w:rPr>
        <w:t>e</w:t>
      </w:r>
      <w:r w:rsidR="00C7361A" w:rsidRPr="005B2844">
        <w:rPr>
          <w:szCs w:val="22"/>
        </w:rPr>
        <w:t xml:space="preserve"> </w:t>
      </w:r>
      <w:r w:rsidRPr="005B2844">
        <w:rPr>
          <w:szCs w:val="22"/>
        </w:rPr>
        <w:t xml:space="preserve">di </w:t>
      </w:r>
      <w:proofErr w:type="spellStart"/>
      <w:r w:rsidRPr="005B2844">
        <w:rPr>
          <w:szCs w:val="22"/>
        </w:rPr>
        <w:t>MicardisPlus</w:t>
      </w:r>
      <w:proofErr w:type="spellEnd"/>
      <w:r w:rsidRPr="005B2844">
        <w:rPr>
          <w:szCs w:val="22"/>
        </w:rPr>
        <w:t xml:space="preserve"> 40 mg/12,5 mg sono </w:t>
      </w:r>
      <w:r w:rsidR="00F61D41" w:rsidRPr="005B2844">
        <w:rPr>
          <w:szCs w:val="22"/>
        </w:rPr>
        <w:t xml:space="preserve">rosse e </w:t>
      </w:r>
      <w:r w:rsidR="00C7361A" w:rsidRPr="005B2844">
        <w:rPr>
          <w:szCs w:val="22"/>
        </w:rPr>
        <w:t>bianc</w:t>
      </w:r>
      <w:r w:rsidRPr="005B2844">
        <w:rPr>
          <w:szCs w:val="22"/>
        </w:rPr>
        <w:t>he</w:t>
      </w:r>
      <w:r w:rsidR="00C7361A" w:rsidRPr="005B2844">
        <w:rPr>
          <w:szCs w:val="22"/>
        </w:rPr>
        <w:t xml:space="preserve"> di forma </w:t>
      </w:r>
      <w:r w:rsidR="002F79D9">
        <w:rPr>
          <w:szCs w:val="22"/>
        </w:rPr>
        <w:t>oblunga</w:t>
      </w:r>
      <w:r w:rsidR="00C7361A" w:rsidRPr="005B2844">
        <w:rPr>
          <w:szCs w:val="22"/>
        </w:rPr>
        <w:t xml:space="preserve"> a due strati, con impresso il logo dell’azienda ed il codice </w:t>
      </w:r>
      <w:r w:rsidR="00646A6E" w:rsidRPr="005B2844">
        <w:rPr>
          <w:szCs w:val="22"/>
        </w:rPr>
        <w:t>‘</w:t>
      </w:r>
      <w:r w:rsidR="00C7361A" w:rsidRPr="005B2844">
        <w:rPr>
          <w:szCs w:val="22"/>
        </w:rPr>
        <w:t>H4</w:t>
      </w:r>
      <w:r w:rsidR="00646A6E" w:rsidRPr="005B2844">
        <w:rPr>
          <w:szCs w:val="22"/>
        </w:rPr>
        <w:t>’</w:t>
      </w:r>
      <w:r w:rsidR="00C7361A" w:rsidRPr="005B2844">
        <w:rPr>
          <w:szCs w:val="22"/>
        </w:rPr>
        <w:t>.</w:t>
      </w:r>
    </w:p>
    <w:p w:rsidR="000D6F65" w:rsidRPr="005B2844" w:rsidRDefault="00C7361A" w:rsidP="0072602F">
      <w:pPr>
        <w:pStyle w:val="BodyText3"/>
        <w:jc w:val="left"/>
        <w:rPr>
          <w:szCs w:val="22"/>
          <w:lang w:val="it-IT"/>
        </w:rPr>
      </w:pPr>
      <w:proofErr w:type="spellStart"/>
      <w:r w:rsidRPr="005B2844">
        <w:rPr>
          <w:szCs w:val="22"/>
          <w:lang w:val="it-IT"/>
        </w:rPr>
        <w:t>MicardisPlus</w:t>
      </w:r>
      <w:proofErr w:type="spellEnd"/>
      <w:r w:rsidRPr="005B2844">
        <w:rPr>
          <w:szCs w:val="22"/>
          <w:lang w:val="it-IT"/>
        </w:rPr>
        <w:t xml:space="preserve"> è </w:t>
      </w:r>
      <w:r w:rsidR="00E334F6" w:rsidRPr="005B2844">
        <w:rPr>
          <w:szCs w:val="22"/>
          <w:lang w:val="it-IT"/>
        </w:rPr>
        <w:t xml:space="preserve">disponibile </w:t>
      </w:r>
      <w:r w:rsidRPr="005B2844">
        <w:rPr>
          <w:szCs w:val="22"/>
          <w:lang w:val="it-IT"/>
        </w:rPr>
        <w:t xml:space="preserve">in blister, in confezioni da 14, 28, 56, 84 o 98 compresse </w:t>
      </w:r>
      <w:r w:rsidR="000D6F65" w:rsidRPr="005B2844">
        <w:rPr>
          <w:szCs w:val="22"/>
          <w:lang w:val="it-IT"/>
        </w:rPr>
        <w:t>o in blister divisibile per dose unitaria con 28 x 1</w:t>
      </w:r>
      <w:r w:rsidR="00AA0919" w:rsidRPr="005B2844">
        <w:rPr>
          <w:szCs w:val="22"/>
          <w:lang w:val="it-IT"/>
        </w:rPr>
        <w:t>, 30 x 1 o 90 x 1</w:t>
      </w:r>
      <w:r w:rsidR="000D6F65" w:rsidRPr="005B2844">
        <w:rPr>
          <w:szCs w:val="22"/>
          <w:lang w:val="it-IT"/>
        </w:rPr>
        <w:t xml:space="preserve"> compresse.</w:t>
      </w:r>
    </w:p>
    <w:p w:rsidR="000D6F65" w:rsidRPr="005B2844" w:rsidRDefault="000D6F65" w:rsidP="0072602F">
      <w:pPr>
        <w:pStyle w:val="BodyText3"/>
        <w:jc w:val="left"/>
        <w:rPr>
          <w:szCs w:val="22"/>
          <w:lang w:val="it-IT"/>
        </w:rPr>
      </w:pPr>
    </w:p>
    <w:p w:rsidR="00C7361A" w:rsidRPr="005B2844" w:rsidRDefault="000D6F65" w:rsidP="0072602F">
      <w:pPr>
        <w:rPr>
          <w:szCs w:val="22"/>
        </w:rPr>
      </w:pPr>
      <w:r w:rsidRPr="005B2844">
        <w:rPr>
          <w:szCs w:val="22"/>
        </w:rPr>
        <w:t xml:space="preserve">È possibile che </w:t>
      </w:r>
      <w:r w:rsidR="00C7361A" w:rsidRPr="005B2844">
        <w:rPr>
          <w:szCs w:val="22"/>
        </w:rPr>
        <w:t xml:space="preserve">non tutte le confezioni </w:t>
      </w:r>
      <w:r w:rsidRPr="005B2844">
        <w:rPr>
          <w:szCs w:val="22"/>
        </w:rPr>
        <w:t>siano commercializzate</w:t>
      </w:r>
      <w:r w:rsidR="00C7361A" w:rsidRPr="005B2844">
        <w:rPr>
          <w:szCs w:val="22"/>
        </w:rPr>
        <w:t>.</w:t>
      </w:r>
    </w:p>
    <w:p w:rsidR="00C257D6" w:rsidRPr="005B2844" w:rsidRDefault="00C257D6" w:rsidP="0072602F">
      <w:pPr>
        <w:rPr>
          <w:szCs w:val="22"/>
        </w:rPr>
      </w:pPr>
    </w:p>
    <w:tbl>
      <w:tblPr>
        <w:tblW w:w="0" w:type="auto"/>
        <w:tblLook w:val="01E0" w:firstRow="1" w:lastRow="1" w:firstColumn="1" w:lastColumn="1" w:noHBand="0" w:noVBand="0"/>
      </w:tblPr>
      <w:tblGrid>
        <w:gridCol w:w="4428"/>
        <w:gridCol w:w="4858"/>
      </w:tblGrid>
      <w:tr w:rsidR="00C57F31" w:rsidRPr="005B2844" w:rsidTr="008A1E96">
        <w:trPr>
          <w:cantSplit/>
        </w:trPr>
        <w:tc>
          <w:tcPr>
            <w:tcW w:w="4428" w:type="dxa"/>
          </w:tcPr>
          <w:p w:rsidR="00C57F31" w:rsidRPr="005B2844" w:rsidRDefault="00C57F31" w:rsidP="00EF2A57">
            <w:pPr>
              <w:pStyle w:val="BodyText30"/>
              <w:keepNext/>
              <w:keepLines/>
              <w:tabs>
                <w:tab w:val="left" w:pos="567"/>
              </w:tabs>
              <w:spacing w:line="260" w:lineRule="exact"/>
              <w:rPr>
                <w:b/>
                <w:szCs w:val="22"/>
                <w:lang w:val="it-IT" w:eastAsia="en-US"/>
              </w:rPr>
            </w:pPr>
            <w:r w:rsidRPr="005B2844">
              <w:rPr>
                <w:b/>
                <w:szCs w:val="22"/>
                <w:lang w:val="it-IT"/>
              </w:rPr>
              <w:t>Titolare dell’autorizzazione all’immissione in commercio</w:t>
            </w:r>
          </w:p>
        </w:tc>
        <w:tc>
          <w:tcPr>
            <w:tcW w:w="4859" w:type="dxa"/>
          </w:tcPr>
          <w:p w:rsidR="00C57F31" w:rsidRPr="005B2844" w:rsidRDefault="00C57F31" w:rsidP="00EF2A57">
            <w:pPr>
              <w:pStyle w:val="BodyText30"/>
              <w:keepNext/>
              <w:keepLines/>
              <w:tabs>
                <w:tab w:val="left" w:pos="567"/>
              </w:tabs>
              <w:spacing w:line="260" w:lineRule="exact"/>
              <w:rPr>
                <w:b/>
                <w:szCs w:val="22"/>
                <w:lang w:val="it-IT" w:eastAsia="en-US"/>
              </w:rPr>
            </w:pPr>
            <w:r w:rsidRPr="005B2844">
              <w:rPr>
                <w:b/>
                <w:szCs w:val="22"/>
                <w:lang w:val="it-IT"/>
              </w:rPr>
              <w:t>Produttore</w:t>
            </w:r>
          </w:p>
        </w:tc>
      </w:tr>
      <w:tr w:rsidR="00C57F31" w:rsidRPr="005B2844" w:rsidTr="008A1E96">
        <w:trPr>
          <w:cantSplit/>
        </w:trPr>
        <w:tc>
          <w:tcPr>
            <w:tcW w:w="4428" w:type="dxa"/>
          </w:tcPr>
          <w:p w:rsidR="00C57F31" w:rsidRPr="005B2844" w:rsidRDefault="00C57F31" w:rsidP="00EF2A57">
            <w:pPr>
              <w:pStyle w:val="BodyText30"/>
              <w:keepNext/>
              <w:keepLines/>
              <w:tabs>
                <w:tab w:val="left" w:pos="567"/>
              </w:tabs>
              <w:spacing w:line="260" w:lineRule="exact"/>
              <w:rPr>
                <w:szCs w:val="22"/>
                <w:lang w:val="it-IT" w:eastAsia="en-US"/>
              </w:rPr>
            </w:pPr>
            <w:r w:rsidRPr="005B2844">
              <w:rPr>
                <w:szCs w:val="22"/>
                <w:lang w:val="it-IT"/>
              </w:rPr>
              <w:t xml:space="preserve">Boehringer </w:t>
            </w:r>
            <w:proofErr w:type="spellStart"/>
            <w:r w:rsidRPr="005B2844">
              <w:rPr>
                <w:szCs w:val="22"/>
                <w:lang w:val="it-IT"/>
              </w:rPr>
              <w:t>Ingelheim</w:t>
            </w:r>
            <w:proofErr w:type="spellEnd"/>
            <w:r w:rsidRPr="005B2844">
              <w:rPr>
                <w:szCs w:val="22"/>
                <w:lang w:val="it-IT"/>
              </w:rPr>
              <w:t xml:space="preserve"> International GmbH</w:t>
            </w:r>
          </w:p>
          <w:p w:rsidR="00C57F31" w:rsidRPr="005B2844" w:rsidRDefault="00C57F31" w:rsidP="00EF2A57">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EF2A57">
            <w:pPr>
              <w:pStyle w:val="BodyText30"/>
              <w:keepNext/>
              <w:keepLines/>
              <w:tabs>
                <w:tab w:val="left" w:pos="567"/>
              </w:tabs>
              <w:spacing w:line="260" w:lineRule="exact"/>
              <w:rPr>
                <w:szCs w:val="22"/>
                <w:lang w:val="it-IT"/>
              </w:rPr>
            </w:pPr>
            <w:r w:rsidRPr="005B2844">
              <w:rPr>
                <w:szCs w:val="22"/>
                <w:lang w:val="it-IT"/>
              </w:rPr>
              <w:t xml:space="preserve">D-55216 </w:t>
            </w:r>
            <w:proofErr w:type="spellStart"/>
            <w:r w:rsidRPr="005B2844">
              <w:rPr>
                <w:szCs w:val="22"/>
                <w:lang w:val="it-IT"/>
              </w:rPr>
              <w:t>Ingelheim</w:t>
            </w:r>
            <w:proofErr w:type="spellEnd"/>
            <w:r w:rsidRPr="005B2844">
              <w:rPr>
                <w:szCs w:val="22"/>
                <w:lang w:val="it-IT"/>
              </w:rPr>
              <w:t xml:space="preserve"> </w:t>
            </w:r>
            <w:proofErr w:type="spellStart"/>
            <w:r w:rsidRPr="005B2844">
              <w:rPr>
                <w:szCs w:val="22"/>
                <w:lang w:val="it-IT"/>
              </w:rPr>
              <w:t>am</w:t>
            </w:r>
            <w:proofErr w:type="spellEnd"/>
            <w:r w:rsidRPr="005B2844">
              <w:rPr>
                <w:szCs w:val="22"/>
                <w:lang w:val="it-IT"/>
              </w:rPr>
              <w:t xml:space="preserve"> </w:t>
            </w:r>
            <w:proofErr w:type="spellStart"/>
            <w:r w:rsidRPr="005B2844">
              <w:rPr>
                <w:szCs w:val="22"/>
                <w:lang w:val="it-IT"/>
              </w:rPr>
              <w:t>Rhein</w:t>
            </w:r>
            <w:proofErr w:type="spellEnd"/>
          </w:p>
          <w:p w:rsidR="00C57F31" w:rsidRPr="005B2844" w:rsidRDefault="00C57F31" w:rsidP="00EF2A57">
            <w:pPr>
              <w:pStyle w:val="BodyText30"/>
              <w:keepNext/>
              <w:keepLines/>
              <w:tabs>
                <w:tab w:val="left" w:pos="567"/>
              </w:tabs>
              <w:spacing w:line="260" w:lineRule="exact"/>
              <w:rPr>
                <w:szCs w:val="22"/>
                <w:lang w:val="it-IT" w:eastAsia="en-US"/>
              </w:rPr>
            </w:pPr>
            <w:r w:rsidRPr="005B2844">
              <w:rPr>
                <w:szCs w:val="22"/>
                <w:lang w:val="it-IT"/>
              </w:rPr>
              <w:t>Germania</w:t>
            </w:r>
          </w:p>
        </w:tc>
        <w:tc>
          <w:tcPr>
            <w:tcW w:w="4859" w:type="dxa"/>
          </w:tcPr>
          <w:p w:rsidR="00C57F31" w:rsidRPr="005B2844" w:rsidRDefault="00C57F31" w:rsidP="00EF2A57">
            <w:pPr>
              <w:pStyle w:val="BodyText30"/>
              <w:keepNext/>
              <w:keepLines/>
              <w:tabs>
                <w:tab w:val="left" w:pos="567"/>
              </w:tabs>
              <w:spacing w:line="260" w:lineRule="exact"/>
              <w:rPr>
                <w:color w:val="000000"/>
                <w:szCs w:val="22"/>
                <w:lang w:val="it-IT" w:eastAsia="en-US"/>
              </w:rPr>
            </w:pPr>
            <w:r w:rsidRPr="005B2844">
              <w:rPr>
                <w:color w:val="000000"/>
                <w:szCs w:val="22"/>
                <w:lang w:val="it-IT"/>
              </w:rPr>
              <w:t xml:space="preserve">Boehringer </w:t>
            </w:r>
            <w:proofErr w:type="spellStart"/>
            <w:r w:rsidRPr="005B2844">
              <w:rPr>
                <w:color w:val="000000"/>
                <w:szCs w:val="22"/>
                <w:lang w:val="it-IT"/>
              </w:rPr>
              <w:t>Ingelheim</w:t>
            </w:r>
            <w:proofErr w:type="spellEnd"/>
            <w:r w:rsidRPr="005B2844">
              <w:rPr>
                <w:color w:val="000000"/>
                <w:szCs w:val="22"/>
                <w:lang w:val="it-IT"/>
              </w:rPr>
              <w:t xml:space="preserve"> Pharma GmbH &amp; Co. KG</w:t>
            </w:r>
          </w:p>
          <w:p w:rsidR="00C57F31" w:rsidRPr="005B2844" w:rsidRDefault="00C57F31" w:rsidP="00EF2A57">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EF2A57">
            <w:pPr>
              <w:pStyle w:val="BodyText30"/>
              <w:keepNext/>
              <w:keepLines/>
              <w:tabs>
                <w:tab w:val="left" w:pos="567"/>
              </w:tabs>
              <w:spacing w:line="260" w:lineRule="exact"/>
              <w:rPr>
                <w:color w:val="000000"/>
                <w:szCs w:val="22"/>
                <w:lang w:val="it-IT"/>
              </w:rPr>
            </w:pPr>
            <w:r w:rsidRPr="005B2844">
              <w:rPr>
                <w:color w:val="000000"/>
                <w:szCs w:val="22"/>
                <w:lang w:val="it-IT"/>
              </w:rPr>
              <w:t xml:space="preserve">D-55216 </w:t>
            </w:r>
            <w:proofErr w:type="spellStart"/>
            <w:r w:rsidRPr="005B2844">
              <w:rPr>
                <w:color w:val="000000"/>
                <w:szCs w:val="22"/>
                <w:lang w:val="it-IT"/>
              </w:rPr>
              <w:t>Ingelheim</w:t>
            </w:r>
            <w:proofErr w:type="spellEnd"/>
            <w:r w:rsidRPr="005B2844">
              <w:rPr>
                <w:color w:val="000000"/>
                <w:szCs w:val="22"/>
                <w:lang w:val="it-IT"/>
              </w:rPr>
              <w:t xml:space="preserve"> </w:t>
            </w:r>
            <w:proofErr w:type="spellStart"/>
            <w:r w:rsidRPr="005B2844">
              <w:rPr>
                <w:color w:val="000000"/>
                <w:szCs w:val="22"/>
                <w:lang w:val="it-IT"/>
              </w:rPr>
              <w:t>am</w:t>
            </w:r>
            <w:proofErr w:type="spellEnd"/>
            <w:r w:rsidRPr="005B2844">
              <w:rPr>
                <w:color w:val="000000"/>
                <w:szCs w:val="22"/>
                <w:lang w:val="it-IT"/>
              </w:rPr>
              <w:t xml:space="preserve"> </w:t>
            </w:r>
            <w:proofErr w:type="spellStart"/>
            <w:r w:rsidRPr="005B2844">
              <w:rPr>
                <w:color w:val="000000"/>
                <w:szCs w:val="22"/>
                <w:lang w:val="it-IT"/>
              </w:rPr>
              <w:t>Rhein</w:t>
            </w:r>
            <w:proofErr w:type="spellEnd"/>
          </w:p>
          <w:p w:rsidR="00FF4AC4" w:rsidRPr="005B2844" w:rsidRDefault="00C57F31" w:rsidP="00EF2A57">
            <w:pPr>
              <w:pStyle w:val="BodyText30"/>
              <w:keepNext/>
              <w:keepLines/>
              <w:tabs>
                <w:tab w:val="left" w:pos="567"/>
              </w:tabs>
              <w:spacing w:line="260" w:lineRule="exact"/>
              <w:rPr>
                <w:color w:val="000000"/>
                <w:szCs w:val="22"/>
                <w:lang w:val="it-IT"/>
              </w:rPr>
            </w:pPr>
            <w:r w:rsidRPr="005B2844">
              <w:rPr>
                <w:color w:val="000000"/>
                <w:szCs w:val="22"/>
                <w:lang w:val="it-IT"/>
              </w:rPr>
              <w:t>Germania</w:t>
            </w:r>
          </w:p>
          <w:p w:rsidR="006A693D" w:rsidRPr="005B2844" w:rsidRDefault="006A693D" w:rsidP="00EF2A57">
            <w:pPr>
              <w:pStyle w:val="BodyText30"/>
              <w:keepNext/>
              <w:keepLines/>
              <w:tabs>
                <w:tab w:val="left" w:pos="567"/>
              </w:tabs>
              <w:spacing w:line="260" w:lineRule="exact"/>
              <w:rPr>
                <w:color w:val="000000"/>
                <w:szCs w:val="22"/>
                <w:lang w:val="it-IT"/>
              </w:rPr>
            </w:pPr>
          </w:p>
          <w:p w:rsidR="006A693D" w:rsidRPr="005B2844" w:rsidRDefault="006A693D" w:rsidP="00EF2A57">
            <w:pPr>
              <w:pStyle w:val="BodyText30"/>
              <w:keepNext/>
              <w:keepLines/>
              <w:tabs>
                <w:tab w:val="left" w:pos="567"/>
              </w:tabs>
              <w:spacing w:line="260" w:lineRule="exact"/>
              <w:rPr>
                <w:color w:val="000000"/>
                <w:szCs w:val="22"/>
                <w:lang w:val="it-IT"/>
              </w:rPr>
            </w:pPr>
            <w:r w:rsidRPr="005B2844">
              <w:rPr>
                <w:color w:val="000000"/>
                <w:szCs w:val="22"/>
                <w:lang w:val="it-IT"/>
              </w:rPr>
              <w:t>e</w:t>
            </w:r>
          </w:p>
          <w:p w:rsidR="006A693D" w:rsidRPr="005B2844" w:rsidRDefault="006A693D" w:rsidP="00EF2A57">
            <w:pPr>
              <w:pStyle w:val="BodyText30"/>
              <w:keepNext/>
              <w:keepLines/>
              <w:tabs>
                <w:tab w:val="left" w:pos="567"/>
              </w:tabs>
              <w:spacing w:line="260" w:lineRule="exact"/>
              <w:rPr>
                <w:szCs w:val="22"/>
                <w:lang w:val="it-IT" w:eastAsia="en-US"/>
              </w:rPr>
            </w:pPr>
          </w:p>
        </w:tc>
      </w:tr>
      <w:tr w:rsidR="007E3FFC" w:rsidRPr="005B2844" w:rsidTr="008A1E96">
        <w:trPr>
          <w:cantSplit/>
        </w:trPr>
        <w:tc>
          <w:tcPr>
            <w:tcW w:w="4428" w:type="dxa"/>
          </w:tcPr>
          <w:p w:rsidR="007E3FFC" w:rsidRPr="005B2844" w:rsidRDefault="007E3FFC" w:rsidP="00EF2A57">
            <w:pPr>
              <w:pStyle w:val="BodyText30"/>
              <w:keepNext/>
              <w:keepLines/>
              <w:tabs>
                <w:tab w:val="left" w:pos="567"/>
              </w:tabs>
              <w:spacing w:line="260" w:lineRule="exact"/>
              <w:rPr>
                <w:szCs w:val="22"/>
                <w:lang w:val="it-IT"/>
              </w:rPr>
            </w:pPr>
          </w:p>
        </w:tc>
        <w:tc>
          <w:tcPr>
            <w:tcW w:w="4859" w:type="dxa"/>
          </w:tcPr>
          <w:p w:rsidR="007E3FFC" w:rsidRPr="005B2844" w:rsidRDefault="007E3FFC" w:rsidP="00EF2A57">
            <w:pPr>
              <w:keepNext/>
              <w:keepLines/>
              <w:numPr>
                <w:ilvl w:val="12"/>
                <w:numId w:val="0"/>
              </w:numPr>
              <w:rPr>
                <w:color w:val="000000"/>
                <w:szCs w:val="22"/>
              </w:rPr>
            </w:pPr>
            <w:r w:rsidRPr="005B2844">
              <w:rPr>
                <w:color w:val="000000"/>
                <w:szCs w:val="22"/>
              </w:rPr>
              <w:t xml:space="preserve">Boehringer </w:t>
            </w:r>
            <w:proofErr w:type="spellStart"/>
            <w:r w:rsidRPr="005B2844">
              <w:rPr>
                <w:color w:val="000000"/>
                <w:szCs w:val="22"/>
              </w:rPr>
              <w:t>Ingelheim</w:t>
            </w:r>
            <w:proofErr w:type="spellEnd"/>
            <w:r w:rsidRPr="005B2844">
              <w:rPr>
                <w:color w:val="000000"/>
                <w:szCs w:val="22"/>
              </w:rPr>
              <w:t xml:space="preserve"> </w:t>
            </w:r>
            <w:proofErr w:type="spellStart"/>
            <w:r w:rsidRPr="005B2844">
              <w:rPr>
                <w:color w:val="000000"/>
                <w:szCs w:val="22"/>
              </w:rPr>
              <w:t>Ellas</w:t>
            </w:r>
            <w:proofErr w:type="spellEnd"/>
            <w:r w:rsidRPr="005B2844">
              <w:rPr>
                <w:color w:val="000000"/>
                <w:szCs w:val="22"/>
              </w:rPr>
              <w:t xml:space="preserve"> A.E.</w:t>
            </w:r>
          </w:p>
          <w:p w:rsidR="007E3FFC" w:rsidRPr="005B2844" w:rsidRDefault="007E3FFC" w:rsidP="00EF2A57">
            <w:pPr>
              <w:keepNext/>
              <w:keepLines/>
              <w:numPr>
                <w:ilvl w:val="12"/>
                <w:numId w:val="0"/>
              </w:numPr>
              <w:rPr>
                <w:color w:val="000000"/>
                <w:szCs w:val="22"/>
              </w:rPr>
            </w:pPr>
            <w:r w:rsidRPr="005B2844">
              <w:rPr>
                <w:color w:val="000000"/>
                <w:szCs w:val="22"/>
              </w:rPr>
              <w:t xml:space="preserve">5th km </w:t>
            </w:r>
            <w:proofErr w:type="spellStart"/>
            <w:r w:rsidRPr="005B2844">
              <w:rPr>
                <w:color w:val="000000"/>
                <w:szCs w:val="22"/>
              </w:rPr>
              <w:t>Paiania</w:t>
            </w:r>
            <w:proofErr w:type="spellEnd"/>
            <w:r w:rsidRPr="005B2844">
              <w:rPr>
                <w:color w:val="000000"/>
                <w:szCs w:val="22"/>
              </w:rPr>
              <w:t xml:space="preserve"> – </w:t>
            </w:r>
            <w:proofErr w:type="spellStart"/>
            <w:r w:rsidRPr="005B2844">
              <w:rPr>
                <w:color w:val="000000"/>
                <w:szCs w:val="22"/>
              </w:rPr>
              <w:t>Markopoulo</w:t>
            </w:r>
            <w:proofErr w:type="spellEnd"/>
          </w:p>
          <w:p w:rsidR="007E3FFC" w:rsidRPr="005B2844" w:rsidRDefault="007E3FFC" w:rsidP="00EF2A57">
            <w:pPr>
              <w:keepNext/>
              <w:keepLines/>
              <w:numPr>
                <w:ilvl w:val="12"/>
                <w:numId w:val="0"/>
              </w:numPr>
              <w:rPr>
                <w:color w:val="000000"/>
                <w:szCs w:val="22"/>
              </w:rPr>
            </w:pPr>
            <w:proofErr w:type="spellStart"/>
            <w:r w:rsidRPr="005B2844">
              <w:rPr>
                <w:color w:val="000000"/>
                <w:szCs w:val="22"/>
              </w:rPr>
              <w:t>Koropi</w:t>
            </w:r>
            <w:proofErr w:type="spellEnd"/>
            <w:r w:rsidRPr="005B2844">
              <w:rPr>
                <w:color w:val="000000"/>
                <w:szCs w:val="22"/>
              </w:rPr>
              <w:t xml:space="preserve"> </w:t>
            </w:r>
            <w:proofErr w:type="spellStart"/>
            <w:r w:rsidRPr="005B2844">
              <w:rPr>
                <w:color w:val="000000"/>
                <w:szCs w:val="22"/>
              </w:rPr>
              <w:t>Attiki</w:t>
            </w:r>
            <w:proofErr w:type="spellEnd"/>
            <w:r w:rsidRPr="005B2844">
              <w:rPr>
                <w:color w:val="000000"/>
                <w:szCs w:val="22"/>
              </w:rPr>
              <w:t>, 194 00</w:t>
            </w:r>
          </w:p>
          <w:p w:rsidR="007E3FFC" w:rsidRDefault="007E3FFC" w:rsidP="00EF2A57">
            <w:pPr>
              <w:pStyle w:val="BodyText30"/>
              <w:keepNext/>
              <w:keepLines/>
              <w:tabs>
                <w:tab w:val="left" w:pos="567"/>
              </w:tabs>
              <w:spacing w:line="260" w:lineRule="exact"/>
              <w:rPr>
                <w:color w:val="000000"/>
                <w:szCs w:val="22"/>
                <w:lang w:val="it-IT"/>
              </w:rPr>
            </w:pPr>
            <w:r w:rsidRPr="005B2844">
              <w:rPr>
                <w:color w:val="000000"/>
                <w:szCs w:val="22"/>
                <w:lang w:val="it-IT"/>
              </w:rPr>
              <w:t>Grecia</w:t>
            </w:r>
          </w:p>
          <w:p w:rsidR="00453785" w:rsidRDefault="00453785" w:rsidP="00EF2A57">
            <w:pPr>
              <w:pStyle w:val="BodyText30"/>
              <w:keepNext/>
              <w:keepLines/>
              <w:tabs>
                <w:tab w:val="left" w:pos="567"/>
              </w:tabs>
              <w:spacing w:line="260" w:lineRule="exact"/>
              <w:rPr>
                <w:color w:val="000000"/>
                <w:szCs w:val="22"/>
                <w:lang w:val="it-IT"/>
              </w:rPr>
            </w:pPr>
          </w:p>
          <w:p w:rsidR="00453785" w:rsidRDefault="00453785" w:rsidP="00EF2A57">
            <w:pPr>
              <w:pStyle w:val="BodyText30"/>
              <w:keepNext/>
              <w:keepLines/>
              <w:tabs>
                <w:tab w:val="left" w:pos="567"/>
              </w:tabs>
              <w:spacing w:line="260" w:lineRule="exact"/>
              <w:rPr>
                <w:color w:val="000000"/>
                <w:szCs w:val="22"/>
                <w:lang w:val="it-IT"/>
              </w:rPr>
            </w:pPr>
            <w:r>
              <w:rPr>
                <w:color w:val="000000"/>
                <w:szCs w:val="22"/>
                <w:lang w:val="it-IT"/>
              </w:rPr>
              <w:t>e</w:t>
            </w:r>
          </w:p>
          <w:p w:rsidR="00453785" w:rsidRPr="005B2844" w:rsidRDefault="00453785" w:rsidP="00EF2A57">
            <w:pPr>
              <w:pStyle w:val="BodyText30"/>
              <w:keepNext/>
              <w:keepLines/>
              <w:tabs>
                <w:tab w:val="left" w:pos="567"/>
              </w:tabs>
              <w:spacing w:line="260" w:lineRule="exact"/>
              <w:rPr>
                <w:color w:val="000000"/>
                <w:szCs w:val="22"/>
                <w:lang w:val="it-IT"/>
              </w:rPr>
            </w:pPr>
          </w:p>
        </w:tc>
      </w:tr>
      <w:tr w:rsidR="00453785" w:rsidRPr="005B2844" w:rsidTr="008A1E96">
        <w:trPr>
          <w:cantSplit/>
        </w:trPr>
        <w:tc>
          <w:tcPr>
            <w:tcW w:w="4428" w:type="dxa"/>
          </w:tcPr>
          <w:p w:rsidR="00453785" w:rsidRPr="005B2844" w:rsidRDefault="00453785" w:rsidP="00EF2A57">
            <w:pPr>
              <w:pStyle w:val="BodyText30"/>
              <w:keepNext/>
              <w:keepLines/>
              <w:tabs>
                <w:tab w:val="left" w:pos="567"/>
              </w:tabs>
              <w:spacing w:line="260" w:lineRule="exact"/>
              <w:rPr>
                <w:szCs w:val="22"/>
                <w:lang w:val="it-IT"/>
              </w:rPr>
            </w:pPr>
          </w:p>
        </w:tc>
        <w:tc>
          <w:tcPr>
            <w:tcW w:w="4859" w:type="dxa"/>
          </w:tcPr>
          <w:p w:rsidR="00453785" w:rsidRPr="00453785" w:rsidRDefault="00453785" w:rsidP="00453785">
            <w:pPr>
              <w:keepNext/>
              <w:keepLines/>
              <w:numPr>
                <w:ilvl w:val="12"/>
                <w:numId w:val="0"/>
              </w:numPr>
              <w:rPr>
                <w:color w:val="000000"/>
                <w:szCs w:val="22"/>
              </w:rPr>
            </w:pPr>
            <w:proofErr w:type="spellStart"/>
            <w:r w:rsidRPr="00453785">
              <w:rPr>
                <w:color w:val="000000"/>
                <w:szCs w:val="22"/>
              </w:rPr>
              <w:t>Rottendorf</w:t>
            </w:r>
            <w:proofErr w:type="spellEnd"/>
            <w:r w:rsidRPr="00453785">
              <w:rPr>
                <w:color w:val="000000"/>
                <w:szCs w:val="22"/>
              </w:rPr>
              <w:t xml:space="preserve"> Pharma GmbH</w:t>
            </w:r>
          </w:p>
          <w:p w:rsidR="00453785" w:rsidRPr="00453785" w:rsidRDefault="00453785" w:rsidP="00453785">
            <w:pPr>
              <w:keepNext/>
              <w:keepLines/>
              <w:numPr>
                <w:ilvl w:val="12"/>
                <w:numId w:val="0"/>
              </w:numPr>
              <w:rPr>
                <w:color w:val="000000"/>
                <w:szCs w:val="22"/>
              </w:rPr>
            </w:pPr>
            <w:proofErr w:type="spellStart"/>
            <w:r w:rsidRPr="00453785">
              <w:rPr>
                <w:color w:val="000000"/>
                <w:szCs w:val="22"/>
              </w:rPr>
              <w:t>Ostenfelder</w:t>
            </w:r>
            <w:proofErr w:type="spellEnd"/>
            <w:r w:rsidRPr="00453785">
              <w:rPr>
                <w:color w:val="000000"/>
                <w:szCs w:val="22"/>
              </w:rPr>
              <w:t xml:space="preserve"> </w:t>
            </w:r>
            <w:proofErr w:type="spellStart"/>
            <w:r w:rsidRPr="00453785">
              <w:rPr>
                <w:color w:val="000000"/>
                <w:szCs w:val="22"/>
              </w:rPr>
              <w:t>Straße</w:t>
            </w:r>
            <w:proofErr w:type="spellEnd"/>
            <w:r w:rsidRPr="00453785">
              <w:rPr>
                <w:color w:val="000000"/>
                <w:szCs w:val="22"/>
              </w:rPr>
              <w:t xml:space="preserve"> 51 - 61</w:t>
            </w:r>
          </w:p>
          <w:p w:rsidR="00453785" w:rsidRPr="00453785" w:rsidRDefault="00453785" w:rsidP="00453785">
            <w:pPr>
              <w:keepNext/>
              <w:keepLines/>
              <w:numPr>
                <w:ilvl w:val="12"/>
                <w:numId w:val="0"/>
              </w:numPr>
              <w:rPr>
                <w:color w:val="000000"/>
                <w:szCs w:val="22"/>
              </w:rPr>
            </w:pPr>
            <w:r w:rsidRPr="00453785">
              <w:rPr>
                <w:color w:val="000000"/>
                <w:szCs w:val="22"/>
              </w:rPr>
              <w:t xml:space="preserve">D-59320 </w:t>
            </w:r>
            <w:proofErr w:type="spellStart"/>
            <w:r w:rsidRPr="00453785">
              <w:rPr>
                <w:color w:val="000000"/>
                <w:szCs w:val="22"/>
              </w:rPr>
              <w:t>Ennigerloh</w:t>
            </w:r>
            <w:proofErr w:type="spellEnd"/>
          </w:p>
          <w:p w:rsidR="00453785" w:rsidRPr="005B2844" w:rsidRDefault="00453785" w:rsidP="00453785">
            <w:pPr>
              <w:keepNext/>
              <w:keepLines/>
              <w:numPr>
                <w:ilvl w:val="12"/>
                <w:numId w:val="0"/>
              </w:numPr>
              <w:rPr>
                <w:color w:val="000000"/>
                <w:szCs w:val="22"/>
              </w:rPr>
            </w:pPr>
            <w:r w:rsidRPr="00453785">
              <w:rPr>
                <w:color w:val="000000"/>
                <w:szCs w:val="22"/>
              </w:rPr>
              <w:t>Germania</w:t>
            </w:r>
          </w:p>
        </w:tc>
      </w:tr>
    </w:tbl>
    <w:p w:rsidR="00A70FCB" w:rsidRPr="005B2844" w:rsidRDefault="00C57F31" w:rsidP="0072602F">
      <w:pPr>
        <w:pStyle w:val="BodyText30"/>
        <w:widowControl/>
        <w:rPr>
          <w:szCs w:val="22"/>
          <w:lang w:val="it-IT"/>
        </w:rPr>
      </w:pPr>
      <w:r w:rsidRPr="005B2844">
        <w:rPr>
          <w:szCs w:val="22"/>
          <w:lang w:val="it-IT"/>
        </w:rPr>
        <w:br w:type="page"/>
      </w:r>
      <w:r w:rsidR="00A70FCB" w:rsidRPr="005B2844">
        <w:rPr>
          <w:szCs w:val="22"/>
          <w:lang w:val="it-IT"/>
        </w:rPr>
        <w:t>Per ulteriori informazioni su</w:t>
      </w:r>
      <w:r w:rsidR="00430D2F" w:rsidRPr="005B2844">
        <w:rPr>
          <w:szCs w:val="22"/>
          <w:lang w:val="it-IT"/>
        </w:rPr>
        <w:t xml:space="preserve"> </w:t>
      </w:r>
      <w:r w:rsidR="00DD6652" w:rsidRPr="005B2844">
        <w:rPr>
          <w:szCs w:val="22"/>
          <w:lang w:val="it-IT"/>
        </w:rPr>
        <w:t>questo medicinale</w:t>
      </w:r>
      <w:r w:rsidR="00A70FCB" w:rsidRPr="005B2844">
        <w:rPr>
          <w:szCs w:val="22"/>
          <w:lang w:val="it-IT"/>
        </w:rPr>
        <w:t>, contatt</w:t>
      </w:r>
      <w:r w:rsidR="00996C9E" w:rsidRPr="005B2844">
        <w:rPr>
          <w:szCs w:val="22"/>
          <w:lang w:val="it-IT"/>
        </w:rPr>
        <w:t>i</w:t>
      </w:r>
      <w:r w:rsidR="00A70FCB" w:rsidRPr="005B2844">
        <w:rPr>
          <w:szCs w:val="22"/>
          <w:lang w:val="it-IT"/>
        </w:rPr>
        <w:t xml:space="preserve"> il rappresentante locale del titolare dell</w:t>
      </w:r>
      <w:r w:rsidR="00DD6652" w:rsidRPr="005B2844">
        <w:rPr>
          <w:szCs w:val="22"/>
          <w:lang w:val="it-IT"/>
        </w:rPr>
        <w:t>’</w:t>
      </w:r>
      <w:r w:rsidR="00A70FCB" w:rsidRPr="005B2844">
        <w:rPr>
          <w:szCs w:val="22"/>
          <w:lang w:val="it-IT"/>
        </w:rPr>
        <w:t>autorizzazione all'immissione in commercio</w:t>
      </w:r>
      <w:r w:rsidR="00FD2F1E" w:rsidRPr="005B2844">
        <w:rPr>
          <w:szCs w:val="22"/>
          <w:lang w:val="it-IT"/>
        </w:rPr>
        <w:t>:</w:t>
      </w:r>
    </w:p>
    <w:p w:rsidR="003E55FB" w:rsidRPr="005B2844" w:rsidRDefault="003E55FB" w:rsidP="0072602F">
      <w:pPr>
        <w:tabs>
          <w:tab w:val="left" w:pos="0"/>
        </w:tabs>
        <w:rPr>
          <w:b/>
          <w:szCs w:val="22"/>
        </w:rPr>
      </w:pPr>
    </w:p>
    <w:tbl>
      <w:tblPr>
        <w:tblW w:w="9356" w:type="dxa"/>
        <w:tblInd w:w="108" w:type="dxa"/>
        <w:tblLayout w:type="fixed"/>
        <w:tblLook w:val="01E0" w:firstRow="1" w:lastRow="1" w:firstColumn="1" w:lastColumn="1" w:noHBand="0" w:noVBand="0"/>
      </w:tblPr>
      <w:tblGrid>
        <w:gridCol w:w="4644"/>
        <w:gridCol w:w="34"/>
        <w:gridCol w:w="4644"/>
        <w:gridCol w:w="34"/>
      </w:tblGrid>
      <w:tr w:rsidR="001D5AD6" w:rsidRPr="005B2844" w:rsidTr="009536AB">
        <w:trPr>
          <w:gridAfter w:val="1"/>
          <w:wAfter w:w="34" w:type="dxa"/>
        </w:trPr>
        <w:tc>
          <w:tcPr>
            <w:tcW w:w="4644" w:type="dxa"/>
          </w:tcPr>
          <w:p w:rsidR="001D5AD6" w:rsidRPr="005B2844" w:rsidRDefault="001D5AD6" w:rsidP="0072602F">
            <w:pPr>
              <w:rPr>
                <w:noProof/>
                <w:szCs w:val="22"/>
              </w:rPr>
            </w:pPr>
            <w:r w:rsidRPr="005B2844">
              <w:rPr>
                <w:b/>
                <w:noProof/>
                <w:szCs w:val="22"/>
              </w:rPr>
              <w:t>België/Belgique/Belgien</w:t>
            </w:r>
          </w:p>
          <w:p w:rsidR="001D5AD6" w:rsidRPr="005B2844" w:rsidRDefault="001D5AD6" w:rsidP="009536AB">
            <w:pPr>
              <w:ind w:right="34"/>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1D5AD6" w:rsidRPr="005B2844" w:rsidRDefault="001D5AD6" w:rsidP="009536AB">
            <w:pPr>
              <w:ind w:right="34"/>
              <w:rPr>
                <w:szCs w:val="22"/>
                <w:lang w:eastAsia="ja-JP"/>
              </w:rPr>
            </w:pPr>
            <w:proofErr w:type="spellStart"/>
            <w:r w:rsidRPr="005B2844">
              <w:rPr>
                <w:szCs w:val="22"/>
                <w:lang w:eastAsia="ja-JP"/>
              </w:rPr>
              <w:t>Tél</w:t>
            </w:r>
            <w:proofErr w:type="spellEnd"/>
            <w:r w:rsidRPr="005B2844">
              <w:rPr>
                <w:szCs w:val="22"/>
                <w:lang w:eastAsia="ja-JP"/>
              </w:rPr>
              <w:t>/Tel: +32 2 773 33 11</w:t>
            </w:r>
          </w:p>
          <w:p w:rsidR="001D5AD6" w:rsidRPr="005B2844" w:rsidRDefault="001D5AD6" w:rsidP="009536AB">
            <w:pPr>
              <w:ind w:right="34"/>
              <w:rPr>
                <w:noProof/>
                <w:szCs w:val="22"/>
              </w:rPr>
            </w:pPr>
          </w:p>
        </w:tc>
        <w:tc>
          <w:tcPr>
            <w:tcW w:w="4678" w:type="dxa"/>
            <w:gridSpan w:val="2"/>
          </w:tcPr>
          <w:p w:rsidR="001D5AD6" w:rsidRPr="005B2844" w:rsidRDefault="001D5AD6" w:rsidP="001D5AD6">
            <w:pPr>
              <w:ind w:left="567" w:hanging="567"/>
              <w:rPr>
                <w:noProof/>
                <w:szCs w:val="22"/>
              </w:rPr>
            </w:pPr>
            <w:r w:rsidRPr="005B2844">
              <w:rPr>
                <w:b/>
                <w:noProof/>
                <w:szCs w:val="22"/>
              </w:rPr>
              <w:t>Lietuva</w:t>
            </w:r>
          </w:p>
          <w:p w:rsidR="001D5AD6" w:rsidRPr="005B2844" w:rsidRDefault="001D5AD6" w:rsidP="001D5AD6">
            <w:pPr>
              <w:tabs>
                <w:tab w:val="left" w:pos="-720"/>
              </w:tabs>
              <w:suppressAutoHyphens/>
              <w:ind w:left="34" w:hanging="34"/>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w:t>
            </w:r>
          </w:p>
          <w:p w:rsidR="001D5AD6" w:rsidRPr="005B2844" w:rsidRDefault="001D5AD6" w:rsidP="001D5AD6">
            <w:pPr>
              <w:tabs>
                <w:tab w:val="left" w:pos="-720"/>
              </w:tabs>
              <w:suppressAutoHyphens/>
              <w:ind w:left="567" w:hanging="567"/>
              <w:rPr>
                <w:szCs w:val="22"/>
                <w:lang w:eastAsia="ja-JP"/>
              </w:rPr>
            </w:pPr>
            <w:proofErr w:type="spellStart"/>
            <w:r w:rsidRPr="005B2844">
              <w:rPr>
                <w:szCs w:val="22"/>
                <w:lang w:eastAsia="ja-JP"/>
              </w:rPr>
              <w:t>Lietuvos</w:t>
            </w:r>
            <w:proofErr w:type="spellEnd"/>
            <w:r w:rsidRPr="005B2844">
              <w:rPr>
                <w:szCs w:val="22"/>
                <w:lang w:eastAsia="ja-JP"/>
              </w:rPr>
              <w:t xml:space="preserve"> </w:t>
            </w:r>
            <w:proofErr w:type="spellStart"/>
            <w:r w:rsidRPr="005B2844">
              <w:rPr>
                <w:szCs w:val="22"/>
                <w:lang w:eastAsia="ja-JP"/>
              </w:rPr>
              <w:t>filialas</w:t>
            </w:r>
            <w:proofErr w:type="spellEnd"/>
          </w:p>
          <w:p w:rsidR="001D5AD6" w:rsidRPr="005B2844" w:rsidRDefault="001D5AD6" w:rsidP="001D5AD6">
            <w:pPr>
              <w:autoSpaceDE w:val="0"/>
              <w:autoSpaceDN w:val="0"/>
              <w:adjustRightInd w:val="0"/>
              <w:rPr>
                <w:szCs w:val="22"/>
                <w:lang w:eastAsia="ja-JP"/>
              </w:rPr>
            </w:pPr>
            <w:r w:rsidRPr="005B2844">
              <w:rPr>
                <w:szCs w:val="22"/>
                <w:lang w:eastAsia="ja-JP"/>
              </w:rPr>
              <w:t>Tel.: +370 37 473922</w:t>
            </w:r>
          </w:p>
          <w:p w:rsidR="001D5AD6" w:rsidRPr="005B2844" w:rsidRDefault="001D5AD6" w:rsidP="001D5AD6">
            <w:pPr>
              <w:autoSpaceDE w:val="0"/>
              <w:autoSpaceDN w:val="0"/>
              <w:adjustRightInd w:val="0"/>
              <w:rPr>
                <w:noProof/>
                <w:szCs w:val="22"/>
              </w:rPr>
            </w:pPr>
          </w:p>
        </w:tc>
      </w:tr>
      <w:tr w:rsidR="001D5AD6" w:rsidRPr="005B2844" w:rsidTr="009536AB">
        <w:trPr>
          <w:gridAfter w:val="1"/>
          <w:wAfter w:w="34" w:type="dxa"/>
        </w:trPr>
        <w:tc>
          <w:tcPr>
            <w:tcW w:w="4644" w:type="dxa"/>
          </w:tcPr>
          <w:p w:rsidR="001D5AD6" w:rsidRPr="005B2844" w:rsidRDefault="001D5AD6" w:rsidP="002123EA">
            <w:pPr>
              <w:autoSpaceDE w:val="0"/>
              <w:autoSpaceDN w:val="0"/>
              <w:adjustRightInd w:val="0"/>
              <w:rPr>
                <w:b/>
                <w:bCs/>
                <w:szCs w:val="22"/>
              </w:rPr>
            </w:pPr>
            <w:proofErr w:type="spellStart"/>
            <w:r w:rsidRPr="005B2844">
              <w:rPr>
                <w:b/>
                <w:bCs/>
                <w:szCs w:val="22"/>
              </w:rPr>
              <w:t>България</w:t>
            </w:r>
            <w:proofErr w:type="spellEnd"/>
          </w:p>
          <w:p w:rsidR="001D5AD6" w:rsidRPr="005B2844" w:rsidRDefault="001D5AD6" w:rsidP="002123EA">
            <w:pPr>
              <w:rPr>
                <w:szCs w:val="22"/>
              </w:rPr>
            </w:pPr>
            <w:proofErr w:type="spellStart"/>
            <w:r w:rsidRPr="005B2844">
              <w:rPr>
                <w:rFonts w:eastAsia="MS Mincho"/>
                <w:szCs w:val="22"/>
                <w:lang w:eastAsia="ja-JP"/>
              </w:rPr>
              <w:t>Бьорингер</w:t>
            </w:r>
            <w:proofErr w:type="spellEnd"/>
            <w:r w:rsidRPr="005B2844">
              <w:rPr>
                <w:rFonts w:eastAsia="MS Mincho"/>
                <w:szCs w:val="22"/>
                <w:lang w:eastAsia="ja-JP"/>
              </w:rPr>
              <w:t xml:space="preserve"> </w:t>
            </w:r>
            <w:proofErr w:type="spellStart"/>
            <w:r w:rsidRPr="005B2844">
              <w:rPr>
                <w:rFonts w:eastAsia="MS Mincho"/>
                <w:szCs w:val="22"/>
                <w:lang w:eastAsia="ja-JP"/>
              </w:rPr>
              <w:t>Ингелхайм</w:t>
            </w:r>
            <w:proofErr w:type="spellEnd"/>
            <w:r w:rsidRPr="005B2844">
              <w:rPr>
                <w:rFonts w:eastAsia="MS Mincho"/>
                <w:szCs w:val="22"/>
                <w:lang w:eastAsia="ja-JP"/>
              </w:rPr>
              <w:t xml:space="preserve"> РЦВ </w:t>
            </w:r>
            <w:proofErr w:type="spellStart"/>
            <w:r w:rsidRPr="005B2844">
              <w:rPr>
                <w:rFonts w:eastAsia="MS Mincho"/>
                <w:szCs w:val="22"/>
                <w:lang w:eastAsia="ja-JP"/>
              </w:rPr>
              <w:t>ГмбХ</w:t>
            </w:r>
            <w:proofErr w:type="spellEnd"/>
            <w:r w:rsidRPr="005B2844">
              <w:rPr>
                <w:rFonts w:eastAsia="MS Mincho"/>
                <w:szCs w:val="22"/>
                <w:lang w:eastAsia="ja-JP"/>
              </w:rPr>
              <w:t xml:space="preserve"> и </w:t>
            </w:r>
            <w:proofErr w:type="spellStart"/>
            <w:r w:rsidRPr="005B2844">
              <w:rPr>
                <w:rFonts w:eastAsia="MS Mincho"/>
                <w:szCs w:val="22"/>
                <w:lang w:eastAsia="ja-JP"/>
              </w:rPr>
              <w:t>Ко</w:t>
            </w:r>
            <w:proofErr w:type="spellEnd"/>
            <w:r w:rsidRPr="005B2844">
              <w:rPr>
                <w:rFonts w:eastAsia="MS Mincho"/>
                <w:szCs w:val="22"/>
                <w:lang w:eastAsia="ja-JP"/>
              </w:rPr>
              <w:t xml:space="preserve">. КГ - </w:t>
            </w:r>
            <w:proofErr w:type="spellStart"/>
            <w:r w:rsidRPr="005B2844">
              <w:rPr>
                <w:rFonts w:eastAsia="MS Mincho"/>
                <w:szCs w:val="22"/>
                <w:lang w:eastAsia="ja-JP"/>
              </w:rPr>
              <w:t>клон</w:t>
            </w:r>
            <w:proofErr w:type="spellEnd"/>
            <w:r w:rsidRPr="005B2844">
              <w:rPr>
                <w:rFonts w:eastAsia="MS Mincho"/>
                <w:szCs w:val="22"/>
                <w:lang w:eastAsia="ja-JP"/>
              </w:rPr>
              <w:t xml:space="preserve"> </w:t>
            </w:r>
            <w:proofErr w:type="spellStart"/>
            <w:r w:rsidRPr="005B2844">
              <w:rPr>
                <w:rFonts w:eastAsia="MS Mincho"/>
                <w:szCs w:val="22"/>
                <w:lang w:eastAsia="ja-JP"/>
              </w:rPr>
              <w:t>България</w:t>
            </w:r>
            <w:proofErr w:type="spellEnd"/>
          </w:p>
          <w:p w:rsidR="001D5AD6" w:rsidRPr="005B2844" w:rsidRDefault="001D5AD6" w:rsidP="002123EA">
            <w:pPr>
              <w:autoSpaceDE w:val="0"/>
              <w:autoSpaceDN w:val="0"/>
              <w:adjustRightInd w:val="0"/>
              <w:ind w:left="567" w:hanging="567"/>
              <w:rPr>
                <w:szCs w:val="22"/>
              </w:rPr>
            </w:pPr>
            <w:proofErr w:type="spellStart"/>
            <w:r w:rsidRPr="005B2844">
              <w:rPr>
                <w:rFonts w:eastAsia="MS Mincho"/>
                <w:szCs w:val="22"/>
                <w:lang w:eastAsia="ja-JP"/>
              </w:rPr>
              <w:t>Тел</w:t>
            </w:r>
            <w:proofErr w:type="spellEnd"/>
            <w:r w:rsidRPr="005B2844">
              <w:rPr>
                <w:rFonts w:eastAsia="MS Mincho"/>
                <w:szCs w:val="22"/>
                <w:lang w:eastAsia="ja-JP"/>
              </w:rPr>
              <w:t>: +359 2 958 79 98</w:t>
            </w:r>
          </w:p>
          <w:p w:rsidR="001D5AD6" w:rsidRPr="005B2844" w:rsidRDefault="001D5AD6" w:rsidP="000B27DB">
            <w:pPr>
              <w:tabs>
                <w:tab w:val="left" w:pos="-720"/>
              </w:tabs>
              <w:suppressAutoHyphens/>
              <w:ind w:left="567" w:hanging="567"/>
              <w:rPr>
                <w:noProof/>
                <w:szCs w:val="22"/>
              </w:rPr>
            </w:pPr>
          </w:p>
        </w:tc>
        <w:tc>
          <w:tcPr>
            <w:tcW w:w="4678" w:type="dxa"/>
            <w:gridSpan w:val="2"/>
          </w:tcPr>
          <w:p w:rsidR="001D5AD6" w:rsidRPr="005B2844" w:rsidRDefault="001D5AD6" w:rsidP="0072602F">
            <w:pPr>
              <w:rPr>
                <w:noProof/>
                <w:szCs w:val="22"/>
              </w:rPr>
            </w:pPr>
            <w:r w:rsidRPr="005B2844">
              <w:rPr>
                <w:b/>
                <w:noProof/>
                <w:szCs w:val="22"/>
              </w:rPr>
              <w:t>Luxembourg/Luxemburg</w:t>
            </w:r>
          </w:p>
          <w:p w:rsidR="001D5AD6" w:rsidRPr="005B2844" w:rsidRDefault="001D5AD6" w:rsidP="0072602F">
            <w:pPr>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1D5AD6" w:rsidRPr="005B2844" w:rsidRDefault="001D5AD6" w:rsidP="009536AB">
            <w:pPr>
              <w:autoSpaceDE w:val="0"/>
              <w:autoSpaceDN w:val="0"/>
              <w:adjustRightInd w:val="0"/>
              <w:rPr>
                <w:szCs w:val="22"/>
                <w:lang w:eastAsia="ja-JP"/>
              </w:rPr>
            </w:pPr>
            <w:proofErr w:type="spellStart"/>
            <w:r w:rsidRPr="005B2844">
              <w:rPr>
                <w:szCs w:val="22"/>
                <w:lang w:eastAsia="ja-JP"/>
              </w:rPr>
              <w:t>Tél</w:t>
            </w:r>
            <w:proofErr w:type="spellEnd"/>
            <w:r w:rsidRPr="005B2844">
              <w:rPr>
                <w:szCs w:val="22"/>
                <w:lang w:eastAsia="ja-JP"/>
              </w:rPr>
              <w:t>/Tel: +32 2 773 33 11</w:t>
            </w:r>
          </w:p>
          <w:p w:rsidR="001D5AD6" w:rsidRPr="005B2844" w:rsidRDefault="001D5AD6" w:rsidP="009536AB">
            <w:pPr>
              <w:autoSpaceDE w:val="0"/>
              <w:autoSpaceDN w:val="0"/>
              <w:adjustRightInd w:val="0"/>
              <w:rPr>
                <w:noProof/>
                <w:szCs w:val="22"/>
              </w:rPr>
            </w:pPr>
          </w:p>
        </w:tc>
      </w:tr>
      <w:tr w:rsidR="001D5AD6" w:rsidRPr="005B2844" w:rsidTr="009536AB">
        <w:trPr>
          <w:gridAfter w:val="1"/>
          <w:wAfter w:w="34" w:type="dxa"/>
          <w:trHeight w:val="1031"/>
        </w:trPr>
        <w:tc>
          <w:tcPr>
            <w:tcW w:w="4644" w:type="dxa"/>
          </w:tcPr>
          <w:p w:rsidR="001D5AD6" w:rsidRPr="005B2844" w:rsidRDefault="001D5AD6" w:rsidP="009536AB">
            <w:pPr>
              <w:tabs>
                <w:tab w:val="left" w:pos="-720"/>
              </w:tabs>
              <w:suppressAutoHyphens/>
              <w:ind w:left="567" w:hanging="567"/>
              <w:rPr>
                <w:noProof/>
                <w:szCs w:val="22"/>
              </w:rPr>
            </w:pPr>
            <w:r w:rsidRPr="005B2844">
              <w:rPr>
                <w:b/>
                <w:noProof/>
                <w:szCs w:val="22"/>
              </w:rPr>
              <w:t>Česká republika</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spol</w:t>
            </w:r>
            <w:proofErr w:type="spellEnd"/>
            <w:r w:rsidRPr="005B2844">
              <w:rPr>
                <w:szCs w:val="22"/>
                <w:lang w:eastAsia="ja-JP"/>
              </w:rPr>
              <w:t xml:space="preserve">. s </w:t>
            </w:r>
            <w:proofErr w:type="spellStart"/>
            <w:r w:rsidRPr="005B2844">
              <w:rPr>
                <w:szCs w:val="22"/>
                <w:lang w:eastAsia="ja-JP"/>
              </w:rPr>
              <w:t>r.o.</w:t>
            </w:r>
            <w:proofErr w:type="spellEnd"/>
          </w:p>
          <w:p w:rsidR="001D5AD6" w:rsidRPr="005B2844" w:rsidRDefault="001D5AD6" w:rsidP="009536AB">
            <w:pPr>
              <w:tabs>
                <w:tab w:val="left" w:pos="-720"/>
              </w:tabs>
              <w:suppressAutoHyphens/>
              <w:ind w:left="567" w:hanging="567"/>
              <w:rPr>
                <w:szCs w:val="22"/>
                <w:lang w:eastAsia="ja-JP"/>
              </w:rPr>
            </w:pPr>
            <w:r w:rsidRPr="005B2844">
              <w:rPr>
                <w:szCs w:val="22"/>
                <w:lang w:eastAsia="ja-JP"/>
              </w:rPr>
              <w:t>Tel: +420 234 655 111</w:t>
            </w:r>
          </w:p>
          <w:p w:rsidR="001D5AD6" w:rsidRPr="005B2844" w:rsidRDefault="001D5AD6" w:rsidP="009536AB">
            <w:pPr>
              <w:tabs>
                <w:tab w:val="left" w:pos="-720"/>
              </w:tabs>
              <w:suppressAutoHyphens/>
              <w:ind w:left="567" w:hanging="567"/>
              <w:rPr>
                <w:noProof/>
                <w:szCs w:val="22"/>
              </w:rPr>
            </w:pPr>
          </w:p>
        </w:tc>
        <w:tc>
          <w:tcPr>
            <w:tcW w:w="4678" w:type="dxa"/>
            <w:gridSpan w:val="2"/>
          </w:tcPr>
          <w:p w:rsidR="001D5AD6" w:rsidRPr="005B2844" w:rsidRDefault="001D5AD6" w:rsidP="009536AB">
            <w:pPr>
              <w:ind w:left="567" w:hanging="567"/>
              <w:rPr>
                <w:b/>
                <w:noProof/>
                <w:szCs w:val="22"/>
              </w:rPr>
            </w:pPr>
            <w:r w:rsidRPr="005B2844">
              <w:rPr>
                <w:b/>
                <w:noProof/>
                <w:szCs w:val="22"/>
              </w:rPr>
              <w:t>Magyarország</w:t>
            </w:r>
          </w:p>
          <w:p w:rsidR="001D5AD6" w:rsidRPr="005B2844" w:rsidRDefault="001D5AD6" w:rsidP="009536AB">
            <w:pPr>
              <w:tabs>
                <w:tab w:val="left" w:pos="-720"/>
              </w:tabs>
              <w:suppressAutoHyphens/>
              <w:rPr>
                <w:szCs w:val="22"/>
              </w:rPr>
            </w:pPr>
            <w:r w:rsidRPr="005B2844">
              <w:rPr>
                <w:szCs w:val="22"/>
                <w:lang w:eastAsia="de-DE"/>
              </w:rPr>
              <w:t xml:space="preserve">Boehringer </w:t>
            </w:r>
            <w:proofErr w:type="spellStart"/>
            <w:r w:rsidRPr="005B2844">
              <w:rPr>
                <w:szCs w:val="22"/>
                <w:lang w:eastAsia="de-DE"/>
              </w:rPr>
              <w:t>Ingelheim</w:t>
            </w:r>
            <w:proofErr w:type="spellEnd"/>
            <w:r w:rsidRPr="005B2844">
              <w:rPr>
                <w:szCs w:val="22"/>
                <w:lang w:eastAsia="de-DE"/>
              </w:rPr>
              <w:t xml:space="preserve"> RCV GmbH &amp; Co KG </w:t>
            </w:r>
            <w:r w:rsidRPr="005B2844">
              <w:rPr>
                <w:noProof/>
                <w:szCs w:val="22"/>
              </w:rPr>
              <w:t>Magyarországi</w:t>
            </w:r>
            <w:r w:rsidRPr="005B2844">
              <w:rPr>
                <w:szCs w:val="22"/>
                <w:lang w:eastAsia="de-DE"/>
              </w:rPr>
              <w:t xml:space="preserve"> </w:t>
            </w:r>
            <w:proofErr w:type="spellStart"/>
            <w:r w:rsidRPr="005B2844">
              <w:rPr>
                <w:szCs w:val="22"/>
                <w:lang w:eastAsia="de-DE"/>
              </w:rPr>
              <w:t>Fióktelepe</w:t>
            </w:r>
            <w:proofErr w:type="spellEnd"/>
            <w:r w:rsidRPr="005B2844">
              <w:rPr>
                <w:szCs w:val="22"/>
                <w:lang w:eastAsia="de-DE"/>
              </w:rPr>
              <w:br/>
              <w:t>Tel.: +</w:t>
            </w:r>
            <w:r w:rsidRPr="005B2844">
              <w:rPr>
                <w:szCs w:val="22"/>
              </w:rPr>
              <w:t>36 1 299 8900</w:t>
            </w:r>
          </w:p>
          <w:p w:rsidR="00F80C1C" w:rsidRPr="005B2844" w:rsidRDefault="00F80C1C" w:rsidP="009536AB">
            <w:pPr>
              <w:tabs>
                <w:tab w:val="left" w:pos="-720"/>
              </w:tabs>
              <w:suppressAutoHyphens/>
              <w:rPr>
                <w:noProof/>
                <w:szCs w:val="22"/>
              </w:rPr>
            </w:pPr>
          </w:p>
        </w:tc>
      </w:tr>
      <w:tr w:rsidR="001D5AD6" w:rsidRPr="005B2844" w:rsidTr="009536AB">
        <w:trPr>
          <w:gridAfter w:val="1"/>
          <w:wAfter w:w="34" w:type="dxa"/>
        </w:trPr>
        <w:tc>
          <w:tcPr>
            <w:tcW w:w="4644" w:type="dxa"/>
          </w:tcPr>
          <w:p w:rsidR="001D5AD6" w:rsidRPr="005B2844" w:rsidRDefault="001D5AD6" w:rsidP="009536AB">
            <w:pPr>
              <w:ind w:left="567" w:hanging="567"/>
              <w:rPr>
                <w:noProof/>
                <w:szCs w:val="22"/>
              </w:rPr>
            </w:pPr>
            <w:r w:rsidRPr="005B2844">
              <w:rPr>
                <w:b/>
                <w:noProof/>
                <w:szCs w:val="22"/>
              </w:rPr>
              <w:t>Danmark</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Danmark</w:t>
            </w:r>
            <w:proofErr w:type="spellEnd"/>
            <w:r w:rsidRPr="005B2844">
              <w:rPr>
                <w:szCs w:val="22"/>
                <w:lang w:eastAsia="ja-JP"/>
              </w:rPr>
              <w:t xml:space="preserve"> A/S</w:t>
            </w:r>
          </w:p>
          <w:p w:rsidR="001D5AD6" w:rsidRPr="005B2844" w:rsidRDefault="001D5AD6" w:rsidP="00A61A92">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xml:space="preserve">: +45 39 15 88 </w:t>
            </w:r>
            <w:r w:rsidR="003D0FFF" w:rsidRPr="005B2844">
              <w:rPr>
                <w:szCs w:val="22"/>
                <w:lang w:eastAsia="ja-JP"/>
              </w:rPr>
              <w:t>88</w:t>
            </w:r>
          </w:p>
          <w:p w:rsidR="001D5AD6" w:rsidRPr="005B2844" w:rsidRDefault="001D5AD6" w:rsidP="00A61A92">
            <w:pPr>
              <w:tabs>
                <w:tab w:val="left" w:pos="-720"/>
              </w:tabs>
              <w:suppressAutoHyphens/>
              <w:ind w:left="567" w:hanging="567"/>
              <w:rPr>
                <w:noProof/>
                <w:szCs w:val="22"/>
              </w:rPr>
            </w:pPr>
          </w:p>
        </w:tc>
        <w:tc>
          <w:tcPr>
            <w:tcW w:w="4678" w:type="dxa"/>
            <w:gridSpan w:val="2"/>
          </w:tcPr>
          <w:p w:rsidR="001D5AD6" w:rsidRPr="005B2844" w:rsidRDefault="001D5AD6" w:rsidP="009536AB">
            <w:pPr>
              <w:tabs>
                <w:tab w:val="left" w:pos="-720"/>
                <w:tab w:val="left" w:pos="4536"/>
              </w:tabs>
              <w:suppressAutoHyphens/>
              <w:ind w:left="567" w:hanging="567"/>
              <w:rPr>
                <w:b/>
                <w:noProof/>
                <w:szCs w:val="22"/>
              </w:rPr>
            </w:pPr>
            <w:r w:rsidRPr="005B2844">
              <w:rPr>
                <w:b/>
                <w:noProof/>
                <w:szCs w:val="22"/>
              </w:rPr>
              <w:t>Malta</w:t>
            </w:r>
          </w:p>
          <w:p w:rsidR="00C76DD4" w:rsidRPr="005B2844" w:rsidRDefault="00C76DD4" w:rsidP="00C76DD4">
            <w:pPr>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1D5AD6" w:rsidRPr="005B2844" w:rsidRDefault="00C76DD4" w:rsidP="009536AB">
            <w:pPr>
              <w:ind w:left="567" w:hanging="567"/>
              <w:rPr>
                <w:szCs w:val="22"/>
                <w:lang w:eastAsia="ja-JP"/>
              </w:rPr>
            </w:pPr>
            <w:r w:rsidRPr="005B2844">
              <w:rPr>
                <w:szCs w:val="22"/>
                <w:lang w:eastAsia="ja-JP"/>
              </w:rPr>
              <w:t>Tel: +353 1 295 9620</w:t>
            </w:r>
          </w:p>
          <w:p w:rsidR="001D5AD6" w:rsidRPr="005B2844" w:rsidRDefault="001D5AD6" w:rsidP="009536AB">
            <w:pPr>
              <w:ind w:left="567" w:hanging="567"/>
              <w:rPr>
                <w:noProof/>
                <w:szCs w:val="22"/>
              </w:rPr>
            </w:pPr>
          </w:p>
        </w:tc>
      </w:tr>
      <w:tr w:rsidR="001D5AD6" w:rsidRPr="005B2844" w:rsidTr="009536AB">
        <w:trPr>
          <w:gridAfter w:val="1"/>
          <w:wAfter w:w="34" w:type="dxa"/>
        </w:trPr>
        <w:tc>
          <w:tcPr>
            <w:tcW w:w="4644" w:type="dxa"/>
          </w:tcPr>
          <w:p w:rsidR="001D5AD6" w:rsidRPr="005B2844" w:rsidRDefault="001D5AD6" w:rsidP="009536AB">
            <w:pPr>
              <w:ind w:left="567" w:hanging="567"/>
              <w:rPr>
                <w:noProof/>
                <w:szCs w:val="22"/>
              </w:rPr>
            </w:pPr>
            <w:r w:rsidRPr="005B2844">
              <w:rPr>
                <w:b/>
                <w:noProof/>
                <w:szCs w:val="22"/>
              </w:rPr>
              <w:t>Deutschland</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Pharma GmbH &amp; Co. KG</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Tel: +49 (0) 800 / 77 90 900</w:t>
            </w:r>
          </w:p>
          <w:p w:rsidR="00F80C1C" w:rsidRPr="005B2844" w:rsidRDefault="00F80C1C" w:rsidP="009536AB">
            <w:pPr>
              <w:tabs>
                <w:tab w:val="left" w:pos="-720"/>
              </w:tabs>
              <w:suppressAutoHyphens/>
              <w:ind w:left="567" w:hanging="567"/>
              <w:rPr>
                <w:noProof/>
                <w:szCs w:val="22"/>
              </w:rPr>
            </w:pPr>
          </w:p>
        </w:tc>
        <w:tc>
          <w:tcPr>
            <w:tcW w:w="4678" w:type="dxa"/>
            <w:gridSpan w:val="2"/>
          </w:tcPr>
          <w:p w:rsidR="001D5AD6" w:rsidRPr="005B2844" w:rsidRDefault="001D5AD6" w:rsidP="009536AB">
            <w:pPr>
              <w:suppressAutoHyphens/>
              <w:ind w:left="567" w:hanging="567"/>
              <w:rPr>
                <w:noProof/>
                <w:szCs w:val="22"/>
              </w:rPr>
            </w:pPr>
            <w:r w:rsidRPr="005B2844">
              <w:rPr>
                <w:b/>
                <w:noProof/>
                <w:szCs w:val="22"/>
              </w:rPr>
              <w:t>Nederland</w:t>
            </w:r>
          </w:p>
          <w:p w:rsidR="001D5AD6" w:rsidRPr="005B2844" w:rsidRDefault="001D5AD6"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b.v.</w:t>
            </w:r>
          </w:p>
          <w:p w:rsidR="001D5AD6" w:rsidRPr="005B2844" w:rsidRDefault="001D5AD6" w:rsidP="009536AB">
            <w:pPr>
              <w:ind w:left="567" w:hanging="567"/>
              <w:rPr>
                <w:szCs w:val="22"/>
                <w:lang w:eastAsia="ja-JP"/>
              </w:rPr>
            </w:pPr>
            <w:r w:rsidRPr="005B2844">
              <w:rPr>
                <w:szCs w:val="22"/>
                <w:lang w:eastAsia="ja-JP"/>
              </w:rPr>
              <w:t xml:space="preserve">Tel: +31 </w:t>
            </w:r>
            <w:r w:rsidRPr="005B2844">
              <w:rPr>
                <w:szCs w:val="22"/>
              </w:rPr>
              <w:t>(0) 800 22 55 889</w:t>
            </w:r>
          </w:p>
          <w:p w:rsidR="001D5AD6" w:rsidRPr="005B2844" w:rsidRDefault="001D5AD6" w:rsidP="009536AB">
            <w:pPr>
              <w:ind w:left="567" w:hanging="567"/>
              <w:rPr>
                <w:noProof/>
                <w:szCs w:val="22"/>
              </w:rPr>
            </w:pPr>
          </w:p>
        </w:tc>
      </w:tr>
      <w:tr w:rsidR="001D5AD6" w:rsidRPr="005B2844" w:rsidTr="009536AB">
        <w:trPr>
          <w:gridAfter w:val="1"/>
          <w:wAfter w:w="34" w:type="dxa"/>
        </w:trPr>
        <w:tc>
          <w:tcPr>
            <w:tcW w:w="4644" w:type="dxa"/>
          </w:tcPr>
          <w:p w:rsidR="001D5AD6" w:rsidRPr="005B2844" w:rsidRDefault="001D5AD6" w:rsidP="006F7672">
            <w:pPr>
              <w:tabs>
                <w:tab w:val="left" w:pos="-720"/>
              </w:tabs>
              <w:suppressAutoHyphens/>
              <w:ind w:left="567" w:hanging="567"/>
              <w:rPr>
                <w:b/>
                <w:bCs/>
                <w:szCs w:val="22"/>
                <w:lang w:eastAsia="ja-JP"/>
              </w:rPr>
            </w:pPr>
            <w:proofErr w:type="spellStart"/>
            <w:r w:rsidRPr="005B2844">
              <w:rPr>
                <w:b/>
                <w:bCs/>
                <w:szCs w:val="22"/>
                <w:lang w:eastAsia="ja-JP"/>
              </w:rPr>
              <w:t>Eesti</w:t>
            </w:r>
            <w:proofErr w:type="spellEnd"/>
          </w:p>
          <w:p w:rsidR="001D5AD6" w:rsidRPr="005B2844" w:rsidRDefault="001D5AD6" w:rsidP="006F7672">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w:t>
            </w:r>
          </w:p>
          <w:p w:rsidR="001D5AD6" w:rsidRPr="005B2844" w:rsidRDefault="001D5AD6" w:rsidP="006F7672">
            <w:pPr>
              <w:tabs>
                <w:tab w:val="left" w:pos="-720"/>
              </w:tabs>
              <w:suppressAutoHyphens/>
              <w:ind w:left="567" w:hanging="567"/>
              <w:rPr>
                <w:szCs w:val="22"/>
                <w:lang w:eastAsia="ja-JP"/>
              </w:rPr>
            </w:pPr>
            <w:proofErr w:type="spellStart"/>
            <w:r w:rsidRPr="005B2844">
              <w:rPr>
                <w:szCs w:val="22"/>
                <w:lang w:eastAsia="ja-JP"/>
              </w:rPr>
              <w:t>Eesti</w:t>
            </w:r>
            <w:proofErr w:type="spellEnd"/>
            <w:r w:rsidRPr="005B2844">
              <w:rPr>
                <w:szCs w:val="22"/>
                <w:lang w:eastAsia="ja-JP"/>
              </w:rPr>
              <w:t xml:space="preserve"> </w:t>
            </w:r>
            <w:proofErr w:type="spellStart"/>
            <w:r w:rsidRPr="005B2844">
              <w:rPr>
                <w:szCs w:val="22"/>
                <w:lang w:eastAsia="ja-JP"/>
              </w:rPr>
              <w:t>Filiaal</w:t>
            </w:r>
            <w:proofErr w:type="spellEnd"/>
          </w:p>
          <w:p w:rsidR="001D5AD6" w:rsidRPr="005B2844" w:rsidRDefault="001D5AD6" w:rsidP="006F7672">
            <w:pPr>
              <w:tabs>
                <w:tab w:val="left" w:pos="-720"/>
              </w:tabs>
              <w:suppressAutoHyphens/>
              <w:ind w:left="567" w:hanging="567"/>
              <w:rPr>
                <w:szCs w:val="22"/>
                <w:lang w:eastAsia="ja-JP"/>
              </w:rPr>
            </w:pPr>
            <w:r w:rsidRPr="005B2844">
              <w:rPr>
                <w:szCs w:val="22"/>
                <w:lang w:eastAsia="ja-JP"/>
              </w:rPr>
              <w:t>Tel: +372 612 8000</w:t>
            </w:r>
          </w:p>
          <w:p w:rsidR="001D5AD6" w:rsidRPr="005B2844" w:rsidRDefault="001D5AD6" w:rsidP="006F7672">
            <w:pPr>
              <w:tabs>
                <w:tab w:val="left" w:pos="-720"/>
              </w:tabs>
              <w:suppressAutoHyphens/>
              <w:ind w:left="567" w:hanging="567"/>
              <w:rPr>
                <w:noProof/>
                <w:szCs w:val="22"/>
              </w:rPr>
            </w:pPr>
          </w:p>
        </w:tc>
        <w:tc>
          <w:tcPr>
            <w:tcW w:w="4678" w:type="dxa"/>
            <w:gridSpan w:val="2"/>
          </w:tcPr>
          <w:p w:rsidR="001D5AD6" w:rsidRPr="005B2844" w:rsidRDefault="001D5AD6" w:rsidP="009536AB">
            <w:pPr>
              <w:ind w:left="567" w:hanging="567"/>
              <w:rPr>
                <w:noProof/>
                <w:szCs w:val="22"/>
              </w:rPr>
            </w:pPr>
            <w:r w:rsidRPr="005B2844">
              <w:rPr>
                <w:b/>
                <w:noProof/>
                <w:szCs w:val="22"/>
              </w:rPr>
              <w:t>Norge</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Norway KS</w:t>
            </w:r>
          </w:p>
          <w:p w:rsidR="001D5AD6" w:rsidRPr="005B2844" w:rsidRDefault="001D5AD6" w:rsidP="009536AB">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+47 66 76 13 00</w:t>
            </w:r>
          </w:p>
          <w:p w:rsidR="001D5AD6" w:rsidRPr="005B2844" w:rsidRDefault="001D5AD6" w:rsidP="009536AB">
            <w:pPr>
              <w:tabs>
                <w:tab w:val="left" w:pos="-720"/>
              </w:tabs>
              <w:suppressAutoHyphens/>
              <w:ind w:left="567" w:hanging="567"/>
              <w:rPr>
                <w:noProof/>
                <w:szCs w:val="22"/>
              </w:rPr>
            </w:pPr>
          </w:p>
        </w:tc>
      </w:tr>
      <w:tr w:rsidR="001D5AD6" w:rsidRPr="005B2844" w:rsidTr="009536AB">
        <w:trPr>
          <w:gridAfter w:val="1"/>
          <w:wAfter w:w="34" w:type="dxa"/>
        </w:trPr>
        <w:tc>
          <w:tcPr>
            <w:tcW w:w="4644" w:type="dxa"/>
          </w:tcPr>
          <w:p w:rsidR="001D5AD6" w:rsidRPr="005B2844" w:rsidRDefault="001D5AD6" w:rsidP="009536AB">
            <w:pPr>
              <w:ind w:left="567" w:hanging="567"/>
              <w:rPr>
                <w:noProof/>
                <w:szCs w:val="22"/>
              </w:rPr>
            </w:pPr>
            <w:r w:rsidRPr="005B2844">
              <w:rPr>
                <w:b/>
                <w:noProof/>
                <w:szCs w:val="22"/>
              </w:rPr>
              <w:t>Ελλάδα</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1D5AD6" w:rsidRPr="005B2844" w:rsidRDefault="001D5AD6" w:rsidP="009536AB">
            <w:pPr>
              <w:tabs>
                <w:tab w:val="left" w:pos="-720"/>
              </w:tabs>
              <w:suppressAutoHyphens/>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F80C1C" w:rsidRPr="005B2844" w:rsidRDefault="00F80C1C" w:rsidP="009536AB">
            <w:pPr>
              <w:tabs>
                <w:tab w:val="left" w:pos="-720"/>
              </w:tabs>
              <w:suppressAutoHyphens/>
              <w:ind w:left="567" w:hanging="567"/>
              <w:rPr>
                <w:noProof/>
                <w:szCs w:val="22"/>
              </w:rPr>
            </w:pPr>
          </w:p>
        </w:tc>
        <w:tc>
          <w:tcPr>
            <w:tcW w:w="4678" w:type="dxa"/>
            <w:gridSpan w:val="2"/>
          </w:tcPr>
          <w:p w:rsidR="001D5AD6" w:rsidRPr="005B2844" w:rsidRDefault="001D5AD6" w:rsidP="009536AB">
            <w:pPr>
              <w:ind w:left="567" w:hanging="567"/>
              <w:rPr>
                <w:noProof/>
                <w:szCs w:val="22"/>
              </w:rPr>
            </w:pPr>
            <w:r w:rsidRPr="005B2844">
              <w:rPr>
                <w:b/>
                <w:noProof/>
                <w:szCs w:val="22"/>
              </w:rPr>
              <w:t>Österreich</w:t>
            </w:r>
          </w:p>
          <w:p w:rsidR="001D5AD6" w:rsidRPr="005B2844" w:rsidRDefault="001D5AD6" w:rsidP="00364416">
            <w:pPr>
              <w:autoSpaceDE w:val="0"/>
              <w:autoSpaceDN w:val="0"/>
              <w:adjustRightInd w:val="0"/>
              <w:rPr>
                <w:szCs w:val="22"/>
                <w:lang w:eastAsia="de-DE"/>
              </w:rPr>
            </w:pPr>
            <w:r w:rsidRPr="005B2844">
              <w:rPr>
                <w:szCs w:val="22"/>
                <w:lang w:eastAsia="de-DE"/>
              </w:rPr>
              <w:t xml:space="preserve">Boehringer </w:t>
            </w:r>
            <w:proofErr w:type="spellStart"/>
            <w:r w:rsidRPr="005B2844">
              <w:rPr>
                <w:szCs w:val="22"/>
                <w:lang w:eastAsia="de-DE"/>
              </w:rPr>
              <w:t>Ingelheim</w:t>
            </w:r>
            <w:proofErr w:type="spellEnd"/>
            <w:r w:rsidRPr="005B2844">
              <w:rPr>
                <w:szCs w:val="22"/>
                <w:lang w:eastAsia="de-DE"/>
              </w:rPr>
              <w:t xml:space="preserve"> RCV GmbH &amp; Co KG</w:t>
            </w:r>
          </w:p>
          <w:p w:rsidR="001D5AD6" w:rsidRPr="005B2844" w:rsidRDefault="001D5AD6" w:rsidP="00A468CD">
            <w:pPr>
              <w:ind w:left="567" w:hanging="567"/>
              <w:rPr>
                <w:szCs w:val="22"/>
                <w:lang w:eastAsia="de-DE"/>
              </w:rPr>
            </w:pPr>
            <w:r w:rsidRPr="005B2844">
              <w:rPr>
                <w:szCs w:val="22"/>
              </w:rPr>
              <w:t xml:space="preserve">Tel: </w:t>
            </w:r>
            <w:r w:rsidRPr="005B2844">
              <w:rPr>
                <w:szCs w:val="22"/>
                <w:lang w:eastAsia="de-DE"/>
              </w:rPr>
              <w:t>+</w:t>
            </w:r>
            <w:r w:rsidR="00A468CD" w:rsidRPr="005B2844">
              <w:rPr>
                <w:szCs w:val="22"/>
                <w:lang w:eastAsia="de-DE"/>
              </w:rPr>
              <w:t>43 1 80 105-7870</w:t>
            </w:r>
          </w:p>
          <w:p w:rsidR="00F80C1C" w:rsidRPr="005B2844" w:rsidRDefault="00F80C1C" w:rsidP="00364416">
            <w:pPr>
              <w:ind w:left="567" w:hanging="567"/>
              <w:rPr>
                <w:noProof/>
                <w:szCs w:val="22"/>
              </w:rPr>
            </w:pPr>
          </w:p>
        </w:tc>
      </w:tr>
      <w:tr w:rsidR="001D5AD6" w:rsidRPr="005B2844" w:rsidTr="009536AB">
        <w:tc>
          <w:tcPr>
            <w:tcW w:w="4678" w:type="dxa"/>
            <w:gridSpan w:val="2"/>
          </w:tcPr>
          <w:p w:rsidR="001D5AD6" w:rsidRPr="005B2844" w:rsidRDefault="001D5AD6" w:rsidP="009536AB">
            <w:pPr>
              <w:tabs>
                <w:tab w:val="left" w:pos="-720"/>
                <w:tab w:val="left" w:pos="4536"/>
              </w:tabs>
              <w:suppressAutoHyphens/>
              <w:ind w:left="567" w:hanging="567"/>
              <w:rPr>
                <w:b/>
                <w:noProof/>
                <w:szCs w:val="22"/>
              </w:rPr>
            </w:pPr>
            <w:r w:rsidRPr="005B2844">
              <w:rPr>
                <w:b/>
                <w:noProof/>
                <w:szCs w:val="22"/>
              </w:rPr>
              <w:t>España</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España</w:t>
            </w:r>
            <w:proofErr w:type="spellEnd"/>
            <w:r w:rsidR="0008548D" w:rsidRPr="005B2844">
              <w:rPr>
                <w:szCs w:val="22"/>
                <w:lang w:eastAsia="ja-JP"/>
              </w:rPr>
              <w:t>,</w:t>
            </w:r>
            <w:r w:rsidRPr="005B2844">
              <w:rPr>
                <w:szCs w:val="22"/>
                <w:lang w:eastAsia="ja-JP"/>
              </w:rPr>
              <w:t xml:space="preserve"> S.A.</w:t>
            </w:r>
          </w:p>
          <w:p w:rsidR="001D5AD6" w:rsidRPr="005B2844" w:rsidRDefault="001D5AD6" w:rsidP="009536AB">
            <w:pPr>
              <w:tabs>
                <w:tab w:val="left" w:pos="-720"/>
              </w:tabs>
              <w:suppressAutoHyphens/>
              <w:ind w:left="567" w:hanging="567"/>
              <w:rPr>
                <w:noProof/>
                <w:szCs w:val="22"/>
              </w:rPr>
            </w:pPr>
            <w:r w:rsidRPr="005B2844">
              <w:rPr>
                <w:szCs w:val="22"/>
                <w:lang w:eastAsia="ja-JP"/>
              </w:rPr>
              <w:t>Tel: +34 93 404 51 00</w:t>
            </w:r>
          </w:p>
          <w:p w:rsidR="001D5AD6" w:rsidRPr="005B2844" w:rsidRDefault="001D5AD6" w:rsidP="009536AB">
            <w:pPr>
              <w:tabs>
                <w:tab w:val="left" w:pos="-720"/>
              </w:tabs>
              <w:suppressAutoHyphens/>
              <w:ind w:left="567" w:hanging="567"/>
              <w:rPr>
                <w:noProof/>
                <w:szCs w:val="22"/>
              </w:rPr>
            </w:pPr>
          </w:p>
        </w:tc>
        <w:tc>
          <w:tcPr>
            <w:tcW w:w="4678" w:type="dxa"/>
            <w:gridSpan w:val="2"/>
          </w:tcPr>
          <w:p w:rsidR="001D5AD6" w:rsidRPr="005B2844" w:rsidRDefault="001D5AD6" w:rsidP="009536AB">
            <w:pPr>
              <w:tabs>
                <w:tab w:val="left" w:pos="-720"/>
                <w:tab w:val="left" w:pos="4536"/>
              </w:tabs>
              <w:suppressAutoHyphens/>
              <w:ind w:left="567" w:hanging="567"/>
              <w:rPr>
                <w:b/>
                <w:bCs/>
                <w:i/>
                <w:iCs/>
                <w:noProof/>
                <w:szCs w:val="22"/>
              </w:rPr>
            </w:pPr>
            <w:r w:rsidRPr="005B2844">
              <w:rPr>
                <w:b/>
                <w:noProof/>
                <w:szCs w:val="22"/>
              </w:rPr>
              <w:t>Polska</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Sp.zo.o</w:t>
            </w:r>
            <w:proofErr w:type="spellEnd"/>
            <w:r w:rsidRPr="005B2844">
              <w:rPr>
                <w:szCs w:val="22"/>
                <w:lang w:eastAsia="ja-JP"/>
              </w:rPr>
              <w:t>.</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Tel.: +48 22 699 0 699</w:t>
            </w:r>
          </w:p>
          <w:p w:rsidR="001D5AD6" w:rsidRPr="005B2844" w:rsidRDefault="001D5AD6" w:rsidP="009536AB">
            <w:pPr>
              <w:tabs>
                <w:tab w:val="left" w:pos="-720"/>
              </w:tabs>
              <w:suppressAutoHyphens/>
              <w:ind w:left="567" w:hanging="567"/>
              <w:rPr>
                <w:noProof/>
                <w:szCs w:val="22"/>
              </w:rPr>
            </w:pPr>
          </w:p>
        </w:tc>
      </w:tr>
      <w:tr w:rsidR="001D5AD6" w:rsidRPr="005B2844" w:rsidTr="009536AB">
        <w:tc>
          <w:tcPr>
            <w:tcW w:w="4678" w:type="dxa"/>
            <w:gridSpan w:val="2"/>
          </w:tcPr>
          <w:p w:rsidR="001D5AD6" w:rsidRPr="005B2844" w:rsidRDefault="001D5AD6" w:rsidP="009536AB">
            <w:pPr>
              <w:tabs>
                <w:tab w:val="left" w:pos="-720"/>
                <w:tab w:val="left" w:pos="4536"/>
              </w:tabs>
              <w:suppressAutoHyphens/>
              <w:ind w:left="567" w:hanging="567"/>
              <w:rPr>
                <w:b/>
                <w:noProof/>
                <w:szCs w:val="22"/>
              </w:rPr>
            </w:pPr>
            <w:r w:rsidRPr="005B2844">
              <w:rPr>
                <w:b/>
                <w:noProof/>
                <w:szCs w:val="22"/>
              </w:rPr>
              <w:t>France</w:t>
            </w:r>
          </w:p>
          <w:p w:rsidR="001D5AD6" w:rsidRPr="005B2844" w:rsidRDefault="001D5AD6"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France S.A.S.</w:t>
            </w:r>
          </w:p>
          <w:p w:rsidR="001D5AD6" w:rsidRPr="005B2844" w:rsidRDefault="001D5AD6" w:rsidP="009536AB">
            <w:pPr>
              <w:ind w:left="567" w:hanging="567"/>
              <w:rPr>
                <w:szCs w:val="22"/>
                <w:lang w:eastAsia="ja-JP"/>
              </w:rPr>
            </w:pPr>
            <w:proofErr w:type="spellStart"/>
            <w:r w:rsidRPr="005B2844">
              <w:rPr>
                <w:szCs w:val="22"/>
                <w:lang w:eastAsia="ja-JP"/>
              </w:rPr>
              <w:t>Tél</w:t>
            </w:r>
            <w:proofErr w:type="spellEnd"/>
            <w:r w:rsidRPr="005B2844">
              <w:rPr>
                <w:szCs w:val="22"/>
                <w:lang w:eastAsia="ja-JP"/>
              </w:rPr>
              <w:t>: +33 3 26 50 45 33</w:t>
            </w:r>
          </w:p>
          <w:p w:rsidR="00F80C1C" w:rsidRPr="005B2844" w:rsidRDefault="00F80C1C" w:rsidP="009536AB">
            <w:pPr>
              <w:ind w:left="567" w:hanging="567"/>
              <w:rPr>
                <w:b/>
                <w:noProof/>
                <w:szCs w:val="22"/>
              </w:rPr>
            </w:pPr>
          </w:p>
        </w:tc>
        <w:tc>
          <w:tcPr>
            <w:tcW w:w="4678" w:type="dxa"/>
            <w:gridSpan w:val="2"/>
          </w:tcPr>
          <w:p w:rsidR="001D5AD6" w:rsidRPr="005B2844" w:rsidRDefault="001D5AD6" w:rsidP="009536AB">
            <w:pPr>
              <w:ind w:left="567" w:hanging="567"/>
              <w:rPr>
                <w:noProof/>
                <w:szCs w:val="22"/>
              </w:rPr>
            </w:pPr>
            <w:r w:rsidRPr="005B2844">
              <w:rPr>
                <w:b/>
                <w:noProof/>
                <w:szCs w:val="22"/>
              </w:rPr>
              <w:t>Portugal</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006E4990" w:rsidRPr="005B2844">
              <w:rPr>
                <w:szCs w:val="22"/>
                <w:lang w:eastAsia="ja-JP"/>
              </w:rPr>
              <w:t>Unipessoal</w:t>
            </w:r>
            <w:proofErr w:type="spellEnd"/>
            <w:r w:rsidR="006E4990" w:rsidRPr="005B2844">
              <w:rPr>
                <w:szCs w:val="22"/>
                <w:lang w:eastAsia="ja-JP"/>
              </w:rPr>
              <w:t xml:space="preserve">, </w:t>
            </w:r>
            <w:proofErr w:type="spellStart"/>
            <w:r w:rsidRPr="005B2844">
              <w:rPr>
                <w:szCs w:val="22"/>
                <w:lang w:eastAsia="ja-JP"/>
              </w:rPr>
              <w:t>Lda</w:t>
            </w:r>
            <w:proofErr w:type="spellEnd"/>
            <w:r w:rsidRPr="005B2844">
              <w:rPr>
                <w:szCs w:val="22"/>
                <w:lang w:eastAsia="ja-JP"/>
              </w:rPr>
              <w:t>.</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Tel: +351 21 313 53 00</w:t>
            </w:r>
          </w:p>
          <w:p w:rsidR="00F80C1C" w:rsidRPr="005B2844" w:rsidRDefault="00F80C1C" w:rsidP="009536AB">
            <w:pPr>
              <w:tabs>
                <w:tab w:val="left" w:pos="-720"/>
              </w:tabs>
              <w:suppressAutoHyphens/>
              <w:ind w:left="567" w:hanging="567"/>
              <w:rPr>
                <w:noProof/>
                <w:szCs w:val="22"/>
              </w:rPr>
            </w:pPr>
          </w:p>
        </w:tc>
      </w:tr>
      <w:tr w:rsidR="001D5AD6" w:rsidRPr="005B2844" w:rsidTr="009536AB">
        <w:tc>
          <w:tcPr>
            <w:tcW w:w="4678" w:type="dxa"/>
            <w:gridSpan w:val="2"/>
          </w:tcPr>
          <w:p w:rsidR="001D5AD6" w:rsidRPr="005B2844" w:rsidRDefault="001D5AD6" w:rsidP="008E37AB">
            <w:pPr>
              <w:pStyle w:val="HeadNoNum1"/>
              <w:rPr>
                <w:noProof w:val="0"/>
                <w:szCs w:val="22"/>
                <w:lang w:val="it-IT"/>
              </w:rPr>
            </w:pPr>
            <w:proofErr w:type="spellStart"/>
            <w:r w:rsidRPr="005B2844">
              <w:rPr>
                <w:noProof w:val="0"/>
                <w:szCs w:val="22"/>
                <w:lang w:val="it-IT"/>
              </w:rPr>
              <w:t>Hrvatska</w:t>
            </w:r>
            <w:proofErr w:type="spellEnd"/>
          </w:p>
          <w:p w:rsidR="001D5AD6" w:rsidRPr="005B2844" w:rsidRDefault="001D5AD6" w:rsidP="008E37AB">
            <w:pPr>
              <w:pStyle w:val="HeadNoNum1"/>
              <w:rPr>
                <w:b w:val="0"/>
                <w:noProof w:val="0"/>
                <w:szCs w:val="22"/>
                <w:lang w:val="it-IT"/>
              </w:rPr>
            </w:pPr>
            <w:r w:rsidRPr="005B2844">
              <w:rPr>
                <w:b w:val="0"/>
                <w:noProof w:val="0"/>
                <w:szCs w:val="22"/>
                <w:lang w:val="it-IT"/>
              </w:rPr>
              <w:t xml:space="preserve">Boehringer </w:t>
            </w:r>
            <w:proofErr w:type="spellStart"/>
            <w:r w:rsidRPr="005B2844">
              <w:rPr>
                <w:b w:val="0"/>
                <w:noProof w:val="0"/>
                <w:szCs w:val="22"/>
                <w:lang w:val="it-IT"/>
              </w:rPr>
              <w:t>Ingelheim</w:t>
            </w:r>
            <w:proofErr w:type="spellEnd"/>
            <w:r w:rsidRPr="005B2844">
              <w:rPr>
                <w:b w:val="0"/>
                <w:noProof w:val="0"/>
                <w:szCs w:val="22"/>
                <w:lang w:val="it-IT"/>
              </w:rPr>
              <w:t xml:space="preserve"> </w:t>
            </w:r>
            <w:proofErr w:type="spellStart"/>
            <w:r w:rsidRPr="005B2844">
              <w:rPr>
                <w:b w:val="0"/>
                <w:noProof w:val="0"/>
                <w:szCs w:val="22"/>
                <w:lang w:val="it-IT"/>
              </w:rPr>
              <w:t>Zagreb</w:t>
            </w:r>
            <w:proofErr w:type="spellEnd"/>
            <w:r w:rsidRPr="005B2844">
              <w:rPr>
                <w:b w:val="0"/>
                <w:noProof w:val="0"/>
                <w:szCs w:val="22"/>
                <w:lang w:val="it-IT"/>
              </w:rPr>
              <w:t xml:space="preserve"> </w:t>
            </w:r>
            <w:proofErr w:type="spellStart"/>
            <w:r w:rsidRPr="005B2844">
              <w:rPr>
                <w:b w:val="0"/>
                <w:noProof w:val="0"/>
                <w:szCs w:val="22"/>
                <w:lang w:val="it-IT"/>
              </w:rPr>
              <w:t>d.o.o</w:t>
            </w:r>
            <w:proofErr w:type="spellEnd"/>
            <w:r w:rsidRPr="005B2844">
              <w:rPr>
                <w:b w:val="0"/>
                <w:noProof w:val="0"/>
                <w:szCs w:val="22"/>
                <w:lang w:val="it-IT"/>
              </w:rPr>
              <w:t>.</w:t>
            </w:r>
          </w:p>
          <w:p w:rsidR="001D5AD6" w:rsidRPr="005B2844" w:rsidRDefault="001D5AD6" w:rsidP="008E37AB">
            <w:pPr>
              <w:pStyle w:val="HeadNoNum1"/>
              <w:rPr>
                <w:b w:val="0"/>
                <w:noProof w:val="0"/>
                <w:szCs w:val="22"/>
                <w:lang w:val="it-IT"/>
              </w:rPr>
            </w:pPr>
            <w:r w:rsidRPr="005B2844">
              <w:rPr>
                <w:b w:val="0"/>
                <w:noProof w:val="0"/>
                <w:szCs w:val="22"/>
                <w:lang w:val="it-IT"/>
              </w:rPr>
              <w:t>Tel: +385 1 2444 600</w:t>
            </w:r>
          </w:p>
          <w:p w:rsidR="001D5AD6" w:rsidRPr="005B2844" w:rsidRDefault="001D5AD6" w:rsidP="009536AB">
            <w:pPr>
              <w:tabs>
                <w:tab w:val="left" w:pos="-720"/>
              </w:tabs>
              <w:suppressAutoHyphens/>
              <w:ind w:left="567" w:hanging="567"/>
              <w:rPr>
                <w:noProof/>
                <w:szCs w:val="22"/>
              </w:rPr>
            </w:pPr>
          </w:p>
        </w:tc>
        <w:tc>
          <w:tcPr>
            <w:tcW w:w="4678" w:type="dxa"/>
            <w:gridSpan w:val="2"/>
          </w:tcPr>
          <w:p w:rsidR="001D5AD6" w:rsidRPr="005B2844" w:rsidRDefault="001D5AD6" w:rsidP="009536AB">
            <w:pPr>
              <w:tabs>
                <w:tab w:val="left" w:pos="-720"/>
                <w:tab w:val="left" w:pos="4536"/>
              </w:tabs>
              <w:suppressAutoHyphens/>
              <w:ind w:left="567" w:hanging="567"/>
              <w:rPr>
                <w:b/>
                <w:noProof/>
                <w:szCs w:val="22"/>
              </w:rPr>
            </w:pPr>
            <w:r w:rsidRPr="005B2844">
              <w:rPr>
                <w:b/>
                <w:noProof/>
                <w:szCs w:val="22"/>
              </w:rPr>
              <w:t>România</w:t>
            </w:r>
          </w:p>
          <w:p w:rsidR="001D5AD6" w:rsidRPr="005B2844" w:rsidRDefault="001D5AD6" w:rsidP="00F73CE8">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lang w:eastAsia="de-DE"/>
              </w:rPr>
              <w:t xml:space="preserve">RCV GmbH &amp; Co KG Viena – </w:t>
            </w:r>
            <w:proofErr w:type="spellStart"/>
            <w:r w:rsidRPr="005B2844">
              <w:rPr>
                <w:szCs w:val="22"/>
                <w:lang w:eastAsia="de-DE"/>
              </w:rPr>
              <w:t>Sucursala</w:t>
            </w:r>
            <w:proofErr w:type="spellEnd"/>
            <w:r w:rsidRPr="005B2844">
              <w:rPr>
                <w:szCs w:val="22"/>
                <w:lang w:eastAsia="de-DE"/>
              </w:rPr>
              <w:t xml:space="preserve"> Bucuresti</w:t>
            </w:r>
          </w:p>
          <w:p w:rsidR="001D5AD6" w:rsidRPr="005B2844" w:rsidRDefault="001D5AD6" w:rsidP="009536AB">
            <w:pPr>
              <w:ind w:left="567" w:hanging="567"/>
              <w:rPr>
                <w:szCs w:val="22"/>
              </w:rPr>
            </w:pPr>
            <w:r w:rsidRPr="005B2844">
              <w:rPr>
                <w:szCs w:val="22"/>
              </w:rPr>
              <w:t>Tel: +40 21 3022800</w:t>
            </w:r>
          </w:p>
          <w:p w:rsidR="001D5AD6" w:rsidRPr="005B2844" w:rsidRDefault="001D5AD6" w:rsidP="009536AB">
            <w:pPr>
              <w:tabs>
                <w:tab w:val="left" w:pos="-720"/>
              </w:tabs>
              <w:suppressAutoHyphens/>
              <w:ind w:left="567" w:hanging="567"/>
              <w:rPr>
                <w:noProof/>
                <w:szCs w:val="22"/>
              </w:rPr>
            </w:pPr>
          </w:p>
        </w:tc>
      </w:tr>
      <w:tr w:rsidR="001D5AD6" w:rsidRPr="005B2844" w:rsidTr="009536AB">
        <w:tc>
          <w:tcPr>
            <w:tcW w:w="4678" w:type="dxa"/>
            <w:gridSpan w:val="2"/>
          </w:tcPr>
          <w:p w:rsidR="001D5AD6" w:rsidRPr="005B2844" w:rsidRDefault="001D5AD6" w:rsidP="009536AB">
            <w:pPr>
              <w:ind w:left="567" w:hanging="567"/>
              <w:rPr>
                <w:noProof/>
                <w:szCs w:val="22"/>
              </w:rPr>
            </w:pPr>
            <w:r w:rsidRPr="005B2844">
              <w:rPr>
                <w:noProof/>
                <w:szCs w:val="22"/>
              </w:rPr>
              <w:br w:type="page"/>
            </w:r>
            <w:r w:rsidRPr="005B2844">
              <w:rPr>
                <w:b/>
                <w:noProof/>
                <w:szCs w:val="22"/>
              </w:rPr>
              <w:t>Ireland</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Tel: +353 1 295 9620</w:t>
            </w:r>
          </w:p>
          <w:p w:rsidR="00F80C1C" w:rsidRPr="005B2844" w:rsidRDefault="00F80C1C" w:rsidP="009536AB">
            <w:pPr>
              <w:tabs>
                <w:tab w:val="left" w:pos="-720"/>
              </w:tabs>
              <w:suppressAutoHyphens/>
              <w:ind w:left="567" w:hanging="567"/>
              <w:rPr>
                <w:noProof/>
                <w:szCs w:val="22"/>
              </w:rPr>
            </w:pPr>
          </w:p>
        </w:tc>
        <w:tc>
          <w:tcPr>
            <w:tcW w:w="4678" w:type="dxa"/>
            <w:gridSpan w:val="2"/>
          </w:tcPr>
          <w:p w:rsidR="001D5AD6" w:rsidRPr="005B2844" w:rsidRDefault="001D5AD6" w:rsidP="009536AB">
            <w:pPr>
              <w:ind w:left="567" w:hanging="567"/>
              <w:rPr>
                <w:noProof/>
                <w:szCs w:val="22"/>
              </w:rPr>
            </w:pPr>
            <w:r w:rsidRPr="005B2844">
              <w:rPr>
                <w:b/>
                <w:noProof/>
                <w:szCs w:val="22"/>
              </w:rPr>
              <w:t>Slovenija</w:t>
            </w:r>
          </w:p>
          <w:p w:rsidR="001D5AD6" w:rsidRPr="005B2844" w:rsidRDefault="001D5AD6" w:rsidP="009536A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1D5AD6" w:rsidRPr="005B2844" w:rsidRDefault="001D5AD6" w:rsidP="009536AB">
            <w:pPr>
              <w:tabs>
                <w:tab w:val="left" w:pos="-720"/>
              </w:tabs>
              <w:suppressAutoHyphens/>
              <w:ind w:left="567" w:hanging="567"/>
              <w:rPr>
                <w:szCs w:val="22"/>
                <w:lang w:eastAsia="ja-JP"/>
              </w:rPr>
            </w:pPr>
            <w:proofErr w:type="spellStart"/>
            <w:r w:rsidRPr="005B2844">
              <w:rPr>
                <w:szCs w:val="22"/>
                <w:lang w:eastAsia="ja-JP"/>
              </w:rPr>
              <w:t>Podružnica</w:t>
            </w:r>
            <w:proofErr w:type="spellEnd"/>
            <w:r w:rsidRPr="005B2844">
              <w:rPr>
                <w:szCs w:val="22"/>
                <w:lang w:eastAsia="ja-JP"/>
              </w:rPr>
              <w:t xml:space="preserve"> </w:t>
            </w:r>
            <w:proofErr w:type="spellStart"/>
            <w:r w:rsidRPr="005B2844">
              <w:rPr>
                <w:szCs w:val="22"/>
                <w:lang w:eastAsia="ja-JP"/>
              </w:rPr>
              <w:t>Ljubljana</w:t>
            </w:r>
            <w:proofErr w:type="spellEnd"/>
          </w:p>
          <w:p w:rsidR="001D5AD6" w:rsidRPr="005B2844" w:rsidRDefault="001D5AD6" w:rsidP="009536AB">
            <w:pPr>
              <w:tabs>
                <w:tab w:val="left" w:pos="-720"/>
              </w:tabs>
              <w:suppressAutoHyphens/>
              <w:ind w:left="567" w:hanging="567"/>
              <w:rPr>
                <w:szCs w:val="22"/>
                <w:lang w:eastAsia="ja-JP"/>
              </w:rPr>
            </w:pPr>
            <w:r w:rsidRPr="005B2844">
              <w:rPr>
                <w:szCs w:val="22"/>
                <w:lang w:eastAsia="ja-JP"/>
              </w:rPr>
              <w:t>Tel: +386 1 586 40 00</w:t>
            </w:r>
          </w:p>
          <w:p w:rsidR="001D5AD6" w:rsidRPr="005B2844" w:rsidRDefault="001D5AD6" w:rsidP="009536AB">
            <w:pPr>
              <w:tabs>
                <w:tab w:val="left" w:pos="-720"/>
              </w:tabs>
              <w:suppressAutoHyphens/>
              <w:ind w:left="567" w:hanging="567"/>
              <w:rPr>
                <w:noProof/>
                <w:szCs w:val="22"/>
              </w:rPr>
            </w:pPr>
          </w:p>
        </w:tc>
      </w:tr>
      <w:tr w:rsidR="001D5AD6" w:rsidRPr="005B2844" w:rsidTr="009536AB">
        <w:tc>
          <w:tcPr>
            <w:tcW w:w="4678" w:type="dxa"/>
            <w:gridSpan w:val="2"/>
          </w:tcPr>
          <w:p w:rsidR="001D5AD6" w:rsidRPr="005B2844" w:rsidRDefault="00C62018" w:rsidP="00482F2C">
            <w:pPr>
              <w:keepNext/>
              <w:keepLines/>
              <w:ind w:left="567" w:hanging="567"/>
              <w:rPr>
                <w:b/>
                <w:noProof/>
                <w:szCs w:val="22"/>
              </w:rPr>
            </w:pPr>
            <w:r w:rsidRPr="005B2844">
              <w:rPr>
                <w:szCs w:val="22"/>
              </w:rPr>
              <w:br w:type="page"/>
            </w:r>
            <w:r w:rsidR="001D5AD6" w:rsidRPr="005B2844">
              <w:rPr>
                <w:b/>
                <w:noProof/>
                <w:szCs w:val="22"/>
              </w:rPr>
              <w:t>Ísland</w:t>
            </w:r>
          </w:p>
          <w:p w:rsidR="001D5AD6" w:rsidRPr="005B2844" w:rsidRDefault="001D5AD6" w:rsidP="00482F2C">
            <w:pPr>
              <w:keepNext/>
              <w:keepLines/>
              <w:tabs>
                <w:tab w:val="left" w:pos="-720"/>
              </w:tabs>
              <w:suppressAutoHyphens/>
              <w:ind w:left="567" w:hanging="567"/>
              <w:rPr>
                <w:szCs w:val="22"/>
                <w:lang w:eastAsia="ja-JP"/>
              </w:rPr>
            </w:pPr>
            <w:proofErr w:type="spellStart"/>
            <w:r w:rsidRPr="005B2844">
              <w:rPr>
                <w:szCs w:val="22"/>
                <w:lang w:eastAsia="ja-JP"/>
              </w:rPr>
              <w:t>Vistor</w:t>
            </w:r>
            <w:proofErr w:type="spellEnd"/>
            <w:r w:rsidRPr="005B2844">
              <w:rPr>
                <w:szCs w:val="22"/>
                <w:lang w:eastAsia="ja-JP"/>
              </w:rPr>
              <w:t xml:space="preserve"> </w:t>
            </w:r>
            <w:proofErr w:type="spellStart"/>
            <w:r w:rsidRPr="005B2844">
              <w:rPr>
                <w:szCs w:val="22"/>
                <w:lang w:eastAsia="ja-JP"/>
              </w:rPr>
              <w:t>hf</w:t>
            </w:r>
            <w:proofErr w:type="spellEnd"/>
            <w:r w:rsidRPr="005B2844">
              <w:rPr>
                <w:szCs w:val="22"/>
                <w:lang w:eastAsia="ja-JP"/>
              </w:rPr>
              <w:t>.</w:t>
            </w:r>
          </w:p>
          <w:p w:rsidR="001D5AD6" w:rsidRPr="005B2844" w:rsidRDefault="001D5AD6" w:rsidP="00482F2C">
            <w:pPr>
              <w:keepNext/>
              <w:keepLines/>
              <w:tabs>
                <w:tab w:val="left" w:pos="-720"/>
              </w:tabs>
              <w:suppressAutoHyphens/>
              <w:ind w:left="567" w:hanging="567"/>
              <w:rPr>
                <w:noProof/>
                <w:szCs w:val="22"/>
              </w:rPr>
            </w:pPr>
            <w:proofErr w:type="spellStart"/>
            <w:r w:rsidRPr="005B2844">
              <w:rPr>
                <w:szCs w:val="22"/>
              </w:rPr>
              <w:t>Sími</w:t>
            </w:r>
            <w:proofErr w:type="spellEnd"/>
            <w:r w:rsidR="008C1553" w:rsidRPr="005B2844">
              <w:rPr>
                <w:szCs w:val="22"/>
              </w:rPr>
              <w:t>/</w:t>
            </w:r>
            <w:r w:rsidRPr="005B2844">
              <w:rPr>
                <w:szCs w:val="22"/>
              </w:rPr>
              <w:t>Tel</w:t>
            </w:r>
            <w:r w:rsidRPr="005B2844">
              <w:rPr>
                <w:szCs w:val="22"/>
                <w:lang w:eastAsia="ja-JP"/>
              </w:rPr>
              <w:t>: +354 535 7000</w:t>
            </w:r>
          </w:p>
          <w:p w:rsidR="001D5AD6" w:rsidRPr="005B2844" w:rsidRDefault="001D5AD6" w:rsidP="00482F2C">
            <w:pPr>
              <w:keepNext/>
              <w:keepLines/>
              <w:tabs>
                <w:tab w:val="left" w:pos="-720"/>
              </w:tabs>
              <w:suppressAutoHyphens/>
              <w:ind w:left="567" w:hanging="567"/>
              <w:rPr>
                <w:noProof/>
                <w:szCs w:val="22"/>
              </w:rPr>
            </w:pPr>
          </w:p>
        </w:tc>
        <w:tc>
          <w:tcPr>
            <w:tcW w:w="4678" w:type="dxa"/>
            <w:gridSpan w:val="2"/>
          </w:tcPr>
          <w:p w:rsidR="001D5AD6" w:rsidRPr="005B2844" w:rsidRDefault="001D5AD6" w:rsidP="00482F2C">
            <w:pPr>
              <w:keepNext/>
              <w:keepLines/>
              <w:tabs>
                <w:tab w:val="left" w:pos="-720"/>
              </w:tabs>
              <w:suppressAutoHyphens/>
              <w:ind w:left="567" w:hanging="567"/>
              <w:rPr>
                <w:b/>
                <w:noProof/>
                <w:szCs w:val="22"/>
              </w:rPr>
            </w:pPr>
            <w:r w:rsidRPr="005B2844">
              <w:rPr>
                <w:b/>
                <w:noProof/>
                <w:szCs w:val="22"/>
              </w:rPr>
              <w:t>Slovenská republika</w:t>
            </w:r>
          </w:p>
          <w:p w:rsidR="001D5AD6" w:rsidRPr="005B2844" w:rsidRDefault="001D5AD6" w:rsidP="00482F2C">
            <w:pPr>
              <w:keepNext/>
              <w:keepLines/>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1D5AD6" w:rsidRPr="005B2844" w:rsidRDefault="001D5AD6" w:rsidP="00482F2C">
            <w:pPr>
              <w:keepNext/>
              <w:keepLines/>
              <w:tabs>
                <w:tab w:val="left" w:pos="-720"/>
              </w:tabs>
              <w:suppressAutoHyphens/>
              <w:ind w:left="567" w:hanging="567"/>
              <w:rPr>
                <w:szCs w:val="22"/>
                <w:lang w:eastAsia="de-DE"/>
              </w:rPr>
            </w:pPr>
            <w:proofErr w:type="spellStart"/>
            <w:r w:rsidRPr="005B2844">
              <w:rPr>
                <w:szCs w:val="22"/>
                <w:lang w:eastAsia="de-DE"/>
              </w:rPr>
              <w:t>organizačná</w:t>
            </w:r>
            <w:proofErr w:type="spellEnd"/>
            <w:r w:rsidRPr="005B2844">
              <w:rPr>
                <w:szCs w:val="22"/>
                <w:lang w:eastAsia="de-DE"/>
              </w:rPr>
              <w:t xml:space="preserve"> </w:t>
            </w:r>
            <w:proofErr w:type="spellStart"/>
            <w:r w:rsidRPr="005B2844">
              <w:rPr>
                <w:szCs w:val="22"/>
                <w:lang w:eastAsia="de-DE"/>
              </w:rPr>
              <w:t>zložka</w:t>
            </w:r>
            <w:proofErr w:type="spellEnd"/>
          </w:p>
          <w:p w:rsidR="001D5AD6" w:rsidRPr="005B2844" w:rsidRDefault="001D5AD6" w:rsidP="00482F2C">
            <w:pPr>
              <w:keepNext/>
              <w:keepLines/>
              <w:tabs>
                <w:tab w:val="left" w:pos="-720"/>
              </w:tabs>
              <w:suppressAutoHyphens/>
              <w:ind w:left="567" w:hanging="567"/>
              <w:rPr>
                <w:szCs w:val="22"/>
                <w:lang w:eastAsia="de-DE"/>
              </w:rPr>
            </w:pPr>
            <w:r w:rsidRPr="005B2844">
              <w:rPr>
                <w:szCs w:val="22"/>
                <w:lang w:eastAsia="de-DE"/>
              </w:rPr>
              <w:t>Tel: +421 2 5810 1211</w:t>
            </w:r>
          </w:p>
          <w:p w:rsidR="001D5AD6" w:rsidRPr="005B2844" w:rsidRDefault="001D5AD6" w:rsidP="00482F2C">
            <w:pPr>
              <w:keepNext/>
              <w:keepLines/>
              <w:tabs>
                <w:tab w:val="left" w:pos="-720"/>
              </w:tabs>
              <w:suppressAutoHyphens/>
              <w:ind w:left="567" w:hanging="567"/>
              <w:rPr>
                <w:b/>
                <w:noProof/>
                <w:szCs w:val="22"/>
              </w:rPr>
            </w:pPr>
          </w:p>
        </w:tc>
      </w:tr>
      <w:tr w:rsidR="001D5AD6" w:rsidRPr="005B2844" w:rsidTr="009536AB">
        <w:tc>
          <w:tcPr>
            <w:tcW w:w="4678" w:type="dxa"/>
            <w:gridSpan w:val="2"/>
          </w:tcPr>
          <w:p w:rsidR="001D5AD6" w:rsidRPr="005B2844" w:rsidRDefault="001D5AD6" w:rsidP="009536AB">
            <w:pPr>
              <w:ind w:left="567" w:hanging="567"/>
              <w:rPr>
                <w:noProof/>
                <w:szCs w:val="22"/>
              </w:rPr>
            </w:pPr>
            <w:r w:rsidRPr="005B2844">
              <w:rPr>
                <w:b/>
                <w:noProof/>
                <w:szCs w:val="22"/>
              </w:rPr>
              <w:t>Italia</w:t>
            </w:r>
          </w:p>
          <w:p w:rsidR="001D5AD6" w:rsidRPr="005B2844" w:rsidRDefault="001D5AD6"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Italia S.p.A.</w:t>
            </w:r>
          </w:p>
          <w:p w:rsidR="001D5AD6" w:rsidRPr="005B2844" w:rsidRDefault="001D5AD6" w:rsidP="009536AB">
            <w:pPr>
              <w:ind w:left="567" w:hanging="567"/>
              <w:rPr>
                <w:szCs w:val="22"/>
                <w:lang w:eastAsia="ja-JP"/>
              </w:rPr>
            </w:pPr>
            <w:r w:rsidRPr="005B2844">
              <w:rPr>
                <w:szCs w:val="22"/>
                <w:lang w:eastAsia="ja-JP"/>
              </w:rPr>
              <w:t>Tel: +39 02 5355 1</w:t>
            </w:r>
          </w:p>
          <w:p w:rsidR="0008101E" w:rsidRPr="005B2844" w:rsidRDefault="0008101E" w:rsidP="009536AB">
            <w:pPr>
              <w:ind w:left="567" w:hanging="567"/>
              <w:rPr>
                <w:b/>
                <w:noProof/>
                <w:szCs w:val="22"/>
              </w:rPr>
            </w:pPr>
          </w:p>
        </w:tc>
        <w:tc>
          <w:tcPr>
            <w:tcW w:w="4678" w:type="dxa"/>
            <w:gridSpan w:val="2"/>
          </w:tcPr>
          <w:p w:rsidR="001D5AD6" w:rsidRPr="005B2844" w:rsidRDefault="001D5AD6" w:rsidP="009536AB">
            <w:pPr>
              <w:tabs>
                <w:tab w:val="left" w:pos="-720"/>
                <w:tab w:val="left" w:pos="4536"/>
              </w:tabs>
              <w:suppressAutoHyphens/>
              <w:ind w:left="567" w:hanging="567"/>
              <w:rPr>
                <w:noProof/>
                <w:szCs w:val="22"/>
              </w:rPr>
            </w:pPr>
            <w:r w:rsidRPr="005B2844">
              <w:rPr>
                <w:b/>
                <w:noProof/>
                <w:szCs w:val="22"/>
              </w:rPr>
              <w:t>Suomi/Finland</w:t>
            </w:r>
          </w:p>
          <w:p w:rsidR="001D5AD6" w:rsidRPr="005B2844" w:rsidRDefault="001D5AD6"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Finland </w:t>
            </w:r>
            <w:proofErr w:type="spellStart"/>
            <w:r w:rsidRPr="005B2844">
              <w:rPr>
                <w:szCs w:val="22"/>
                <w:lang w:eastAsia="ja-JP"/>
              </w:rPr>
              <w:t>Ky</w:t>
            </w:r>
            <w:proofErr w:type="spellEnd"/>
          </w:p>
          <w:p w:rsidR="001D5AD6" w:rsidRPr="005B2844" w:rsidRDefault="001D5AD6" w:rsidP="008A6DD1">
            <w:pPr>
              <w:tabs>
                <w:tab w:val="left" w:pos="-720"/>
              </w:tabs>
              <w:suppressAutoHyphens/>
              <w:ind w:left="567" w:hanging="567"/>
              <w:jc w:val="both"/>
              <w:rPr>
                <w:szCs w:val="22"/>
                <w:lang w:eastAsia="ja-JP"/>
              </w:rPr>
            </w:pPr>
            <w:r w:rsidRPr="005B2844">
              <w:rPr>
                <w:szCs w:val="22"/>
                <w:lang w:eastAsia="ja-JP"/>
              </w:rPr>
              <w:t>Puh/Tel: +358 10 3102 800</w:t>
            </w:r>
          </w:p>
          <w:p w:rsidR="0008101E" w:rsidRPr="005B2844" w:rsidRDefault="0008101E" w:rsidP="008A6DD1">
            <w:pPr>
              <w:tabs>
                <w:tab w:val="left" w:pos="-720"/>
              </w:tabs>
              <w:suppressAutoHyphens/>
              <w:ind w:left="567" w:hanging="567"/>
              <w:jc w:val="both"/>
              <w:rPr>
                <w:noProof/>
                <w:szCs w:val="22"/>
              </w:rPr>
            </w:pPr>
          </w:p>
        </w:tc>
      </w:tr>
      <w:tr w:rsidR="007B3BC3" w:rsidRPr="005B2844" w:rsidTr="009536AB">
        <w:tc>
          <w:tcPr>
            <w:tcW w:w="4678" w:type="dxa"/>
            <w:gridSpan w:val="2"/>
          </w:tcPr>
          <w:p w:rsidR="007B3BC3" w:rsidRPr="005B2844" w:rsidRDefault="007B3BC3" w:rsidP="009536AB">
            <w:pPr>
              <w:ind w:left="567" w:hanging="567"/>
              <w:rPr>
                <w:b/>
                <w:noProof/>
                <w:szCs w:val="22"/>
              </w:rPr>
            </w:pPr>
            <w:r w:rsidRPr="005B2844">
              <w:rPr>
                <w:b/>
                <w:noProof/>
                <w:szCs w:val="22"/>
              </w:rPr>
              <w:t>Κύπρος</w:t>
            </w:r>
          </w:p>
          <w:p w:rsidR="007B3BC3" w:rsidRPr="005B2844" w:rsidRDefault="007B3BC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7B3BC3" w:rsidRPr="005B2844" w:rsidRDefault="007B3BC3" w:rsidP="009536AB">
            <w:pPr>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08101E" w:rsidRPr="005B2844" w:rsidRDefault="0008101E" w:rsidP="009536AB">
            <w:pPr>
              <w:ind w:left="567" w:hanging="567"/>
              <w:rPr>
                <w:b/>
                <w:noProof/>
                <w:szCs w:val="22"/>
              </w:rPr>
            </w:pPr>
          </w:p>
        </w:tc>
        <w:tc>
          <w:tcPr>
            <w:tcW w:w="4678" w:type="dxa"/>
            <w:gridSpan w:val="2"/>
          </w:tcPr>
          <w:p w:rsidR="007B3BC3" w:rsidRPr="005B2844" w:rsidRDefault="007B3BC3" w:rsidP="009536AB">
            <w:pPr>
              <w:tabs>
                <w:tab w:val="left" w:pos="-720"/>
                <w:tab w:val="left" w:pos="4536"/>
              </w:tabs>
              <w:suppressAutoHyphens/>
              <w:ind w:left="567" w:hanging="567"/>
              <w:rPr>
                <w:b/>
                <w:noProof/>
                <w:szCs w:val="22"/>
              </w:rPr>
            </w:pPr>
            <w:r w:rsidRPr="005B2844">
              <w:rPr>
                <w:b/>
                <w:noProof/>
                <w:szCs w:val="22"/>
              </w:rPr>
              <w:t>Sverige</w:t>
            </w:r>
          </w:p>
          <w:p w:rsidR="007B3BC3" w:rsidRPr="005B2844" w:rsidRDefault="007B3BC3" w:rsidP="009536AB">
            <w:pPr>
              <w:tabs>
                <w:tab w:val="left" w:pos="-720"/>
                <w:tab w:val="left" w:pos="4536"/>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AB</w:t>
            </w:r>
          </w:p>
          <w:p w:rsidR="007B3BC3" w:rsidRPr="005B2844" w:rsidRDefault="007B3BC3" w:rsidP="009536AB">
            <w:pPr>
              <w:tabs>
                <w:tab w:val="left" w:pos="-720"/>
                <w:tab w:val="left" w:pos="4536"/>
              </w:tabs>
              <w:suppressAutoHyphens/>
              <w:ind w:left="567" w:hanging="567"/>
              <w:rPr>
                <w:szCs w:val="22"/>
                <w:lang w:eastAsia="ja-JP"/>
              </w:rPr>
            </w:pPr>
            <w:r w:rsidRPr="005B2844">
              <w:rPr>
                <w:szCs w:val="22"/>
                <w:lang w:eastAsia="ja-JP"/>
              </w:rPr>
              <w:t>Tel: +46 8 721 21 00</w:t>
            </w:r>
          </w:p>
          <w:p w:rsidR="007B3BC3" w:rsidRPr="005B2844" w:rsidRDefault="007B3BC3" w:rsidP="009536AB">
            <w:pPr>
              <w:tabs>
                <w:tab w:val="left" w:pos="-720"/>
                <w:tab w:val="left" w:pos="4536"/>
              </w:tabs>
              <w:suppressAutoHyphens/>
              <w:ind w:left="567" w:hanging="567"/>
              <w:rPr>
                <w:b/>
                <w:noProof/>
                <w:szCs w:val="22"/>
              </w:rPr>
            </w:pPr>
          </w:p>
        </w:tc>
      </w:tr>
      <w:tr w:rsidR="007B3BC3" w:rsidRPr="005B2844" w:rsidTr="009536AB">
        <w:tc>
          <w:tcPr>
            <w:tcW w:w="4678" w:type="dxa"/>
            <w:gridSpan w:val="2"/>
          </w:tcPr>
          <w:p w:rsidR="007B3BC3" w:rsidRPr="005B2844" w:rsidRDefault="007B3BC3" w:rsidP="009536AB">
            <w:pPr>
              <w:ind w:left="567" w:hanging="567"/>
              <w:rPr>
                <w:b/>
                <w:noProof/>
                <w:szCs w:val="22"/>
              </w:rPr>
            </w:pPr>
            <w:r w:rsidRPr="005B2844">
              <w:rPr>
                <w:b/>
                <w:noProof/>
                <w:szCs w:val="22"/>
              </w:rPr>
              <w:t>Latvija</w:t>
            </w:r>
          </w:p>
          <w:p w:rsidR="007B3BC3" w:rsidRPr="005B2844" w:rsidRDefault="007B3BC3" w:rsidP="00C576B0">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00C576B0" w:rsidRPr="005B2844">
              <w:rPr>
                <w:szCs w:val="22"/>
              </w:rPr>
              <w:t>RCV GmbH &amp; Co KG</w:t>
            </w:r>
          </w:p>
          <w:p w:rsidR="007B3BC3" w:rsidRPr="005B2844" w:rsidRDefault="00C576B0" w:rsidP="009536AB">
            <w:pPr>
              <w:tabs>
                <w:tab w:val="left" w:pos="-720"/>
              </w:tabs>
              <w:suppressAutoHyphens/>
              <w:ind w:left="567" w:hanging="567"/>
              <w:rPr>
                <w:szCs w:val="22"/>
                <w:lang w:eastAsia="ja-JP"/>
              </w:rPr>
            </w:pPr>
            <w:proofErr w:type="spellStart"/>
            <w:r w:rsidRPr="005B2844">
              <w:rPr>
                <w:szCs w:val="22"/>
              </w:rPr>
              <w:t>Latvijas</w:t>
            </w:r>
            <w:proofErr w:type="spellEnd"/>
            <w:r w:rsidRPr="005B2844">
              <w:rPr>
                <w:szCs w:val="22"/>
              </w:rPr>
              <w:t xml:space="preserve"> </w:t>
            </w:r>
            <w:proofErr w:type="spellStart"/>
            <w:r w:rsidRPr="005B2844">
              <w:rPr>
                <w:szCs w:val="22"/>
              </w:rPr>
              <w:t>filiāle</w:t>
            </w:r>
            <w:proofErr w:type="spellEnd"/>
          </w:p>
          <w:p w:rsidR="007B3BC3" w:rsidRPr="005B2844" w:rsidRDefault="007B3BC3" w:rsidP="009536AB">
            <w:pPr>
              <w:tabs>
                <w:tab w:val="left" w:pos="-720"/>
              </w:tabs>
              <w:suppressAutoHyphens/>
              <w:ind w:left="567" w:hanging="567"/>
              <w:rPr>
                <w:noProof/>
                <w:szCs w:val="22"/>
              </w:rPr>
            </w:pPr>
            <w:r w:rsidRPr="005B2844">
              <w:rPr>
                <w:szCs w:val="22"/>
                <w:lang w:eastAsia="ja-JP"/>
              </w:rPr>
              <w:t xml:space="preserve">Tel: +371 </w:t>
            </w:r>
            <w:r w:rsidR="003155E1" w:rsidRPr="005B2844">
              <w:rPr>
                <w:szCs w:val="22"/>
                <w:lang w:eastAsia="ja-JP"/>
              </w:rPr>
              <w:t>6</w:t>
            </w:r>
            <w:r w:rsidRPr="005B2844">
              <w:rPr>
                <w:szCs w:val="22"/>
                <w:lang w:eastAsia="ja-JP"/>
              </w:rPr>
              <w:t>7 240 0</w:t>
            </w:r>
            <w:r w:rsidR="00C576B0" w:rsidRPr="005B2844">
              <w:rPr>
                <w:szCs w:val="22"/>
                <w:lang w:eastAsia="ja-JP"/>
              </w:rPr>
              <w:t>11</w:t>
            </w:r>
          </w:p>
          <w:p w:rsidR="007B3BC3" w:rsidRPr="005B2844" w:rsidRDefault="007B3BC3" w:rsidP="009536AB">
            <w:pPr>
              <w:tabs>
                <w:tab w:val="left" w:pos="-720"/>
              </w:tabs>
              <w:suppressAutoHyphens/>
              <w:ind w:left="567" w:hanging="567"/>
              <w:rPr>
                <w:noProof/>
                <w:szCs w:val="22"/>
              </w:rPr>
            </w:pPr>
          </w:p>
        </w:tc>
        <w:tc>
          <w:tcPr>
            <w:tcW w:w="4678" w:type="dxa"/>
            <w:gridSpan w:val="2"/>
          </w:tcPr>
          <w:p w:rsidR="007B3BC3" w:rsidRPr="005B2844" w:rsidRDefault="007B3BC3" w:rsidP="009536AB">
            <w:pPr>
              <w:tabs>
                <w:tab w:val="left" w:pos="-720"/>
                <w:tab w:val="left" w:pos="4536"/>
              </w:tabs>
              <w:suppressAutoHyphens/>
              <w:ind w:left="567" w:hanging="567"/>
              <w:rPr>
                <w:b/>
                <w:noProof/>
                <w:szCs w:val="22"/>
              </w:rPr>
            </w:pPr>
            <w:r w:rsidRPr="005B2844">
              <w:rPr>
                <w:b/>
                <w:noProof/>
                <w:szCs w:val="22"/>
              </w:rPr>
              <w:t>United Kingdom</w:t>
            </w:r>
          </w:p>
          <w:p w:rsidR="007B3BC3" w:rsidRPr="005B2844" w:rsidRDefault="007B3BC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Ltd.</w:t>
            </w:r>
          </w:p>
          <w:p w:rsidR="007B3BC3" w:rsidRPr="005B2844" w:rsidRDefault="007B3BC3" w:rsidP="009536AB">
            <w:pPr>
              <w:ind w:left="567" w:hanging="567"/>
              <w:rPr>
                <w:szCs w:val="22"/>
                <w:lang w:eastAsia="ja-JP"/>
              </w:rPr>
            </w:pPr>
            <w:r w:rsidRPr="005B2844">
              <w:rPr>
                <w:szCs w:val="22"/>
                <w:lang w:eastAsia="ja-JP"/>
              </w:rPr>
              <w:t>Tel: +44 1344 424 600</w:t>
            </w:r>
          </w:p>
          <w:p w:rsidR="0008101E" w:rsidRPr="005B2844" w:rsidRDefault="0008101E" w:rsidP="009536AB">
            <w:pPr>
              <w:ind w:left="567" w:hanging="567"/>
              <w:rPr>
                <w:noProof/>
                <w:szCs w:val="22"/>
              </w:rPr>
            </w:pPr>
          </w:p>
        </w:tc>
      </w:tr>
    </w:tbl>
    <w:p w:rsidR="00A70FCB" w:rsidRPr="005B2844" w:rsidRDefault="00A70FCB" w:rsidP="0072602F">
      <w:pPr>
        <w:pStyle w:val="BodyText20"/>
        <w:spacing w:line="240" w:lineRule="auto"/>
        <w:rPr>
          <w:b/>
          <w:szCs w:val="22"/>
        </w:rPr>
      </w:pPr>
      <w:r w:rsidRPr="005B2844">
        <w:rPr>
          <w:b/>
          <w:szCs w:val="22"/>
        </w:rPr>
        <w:t xml:space="preserve">Questo foglio </w:t>
      </w:r>
      <w:r w:rsidR="008D4289" w:rsidRPr="005B2844">
        <w:rPr>
          <w:b/>
          <w:szCs w:val="22"/>
        </w:rPr>
        <w:t xml:space="preserve">illustrativo </w:t>
      </w:r>
      <w:r w:rsidRPr="005B2844">
        <w:rPr>
          <w:b/>
          <w:szCs w:val="22"/>
        </w:rPr>
        <w:t xml:space="preserve">è stato </w:t>
      </w:r>
      <w:r w:rsidR="00C576B0" w:rsidRPr="005B2844">
        <w:rPr>
          <w:b/>
          <w:szCs w:val="22"/>
        </w:rPr>
        <w:t>aggiornato</w:t>
      </w:r>
      <w:r w:rsidRPr="005B2844">
        <w:rPr>
          <w:b/>
          <w:szCs w:val="22"/>
        </w:rPr>
        <w:t xml:space="preserve"> il</w:t>
      </w:r>
    </w:p>
    <w:p w:rsidR="00133ED7" w:rsidRPr="005B2844" w:rsidRDefault="00133ED7" w:rsidP="0072602F">
      <w:pPr>
        <w:rPr>
          <w:szCs w:val="22"/>
        </w:rPr>
      </w:pPr>
    </w:p>
    <w:p w:rsidR="00D01EC3" w:rsidRPr="005B2844" w:rsidRDefault="006E4990" w:rsidP="0072602F">
      <w:pPr>
        <w:rPr>
          <w:noProof/>
          <w:szCs w:val="22"/>
        </w:rPr>
      </w:pPr>
      <w:r w:rsidRPr="005B2844">
        <w:rPr>
          <w:b/>
          <w:szCs w:val="22"/>
        </w:rPr>
        <w:t>Altre fonti d</w:t>
      </w:r>
      <w:r w:rsidR="00D01EC3" w:rsidRPr="005B2844">
        <w:rPr>
          <w:b/>
          <w:szCs w:val="22"/>
        </w:rPr>
        <w:t>’</w:t>
      </w:r>
      <w:r w:rsidRPr="005B2844">
        <w:rPr>
          <w:b/>
          <w:szCs w:val="22"/>
        </w:rPr>
        <w:t>informazioni</w:t>
      </w:r>
    </w:p>
    <w:p w:rsidR="008D4289" w:rsidRPr="005B2844" w:rsidRDefault="008D4289" w:rsidP="0072602F">
      <w:pPr>
        <w:rPr>
          <w:szCs w:val="22"/>
        </w:rPr>
      </w:pPr>
      <w:r w:rsidRPr="005B2844">
        <w:rPr>
          <w:noProof/>
          <w:szCs w:val="22"/>
        </w:rPr>
        <w:t>Informazioni più dettagliate su questo medicinale sono disponibili sul sito web dell</w:t>
      </w:r>
      <w:r w:rsidR="0009078D" w:rsidRPr="005B2844">
        <w:rPr>
          <w:noProof/>
          <w:szCs w:val="22"/>
        </w:rPr>
        <w:t>’</w:t>
      </w:r>
      <w:r w:rsidRPr="005B2844">
        <w:rPr>
          <w:noProof/>
          <w:szCs w:val="22"/>
        </w:rPr>
        <w:t xml:space="preserve">Agenzia </w:t>
      </w:r>
      <w:r w:rsidR="00180EA4" w:rsidRPr="005B2844">
        <w:rPr>
          <w:noProof/>
          <w:szCs w:val="22"/>
        </w:rPr>
        <w:t>e</w:t>
      </w:r>
      <w:r w:rsidRPr="005B2844">
        <w:rPr>
          <w:noProof/>
          <w:szCs w:val="22"/>
        </w:rPr>
        <w:t xml:space="preserve">uropea dei </w:t>
      </w:r>
      <w:r w:rsidR="00180EA4" w:rsidRPr="005B2844">
        <w:rPr>
          <w:noProof/>
          <w:szCs w:val="22"/>
        </w:rPr>
        <w:t>m</w:t>
      </w:r>
      <w:r w:rsidRPr="005B2844">
        <w:rPr>
          <w:noProof/>
          <w:szCs w:val="22"/>
        </w:rPr>
        <w:t>edicinali</w:t>
      </w:r>
      <w:r w:rsidR="00D01EC3" w:rsidRPr="005B2844">
        <w:rPr>
          <w:noProof/>
          <w:szCs w:val="22"/>
        </w:rPr>
        <w:t>,</w:t>
      </w:r>
      <w:r w:rsidRPr="005B2844">
        <w:rPr>
          <w:noProof/>
          <w:szCs w:val="22"/>
        </w:rPr>
        <w:t xml:space="preserve"> </w:t>
      </w:r>
      <w:hyperlink r:id="rId15" w:history="1">
        <w:r w:rsidRPr="005B2844">
          <w:rPr>
            <w:rStyle w:val="Hyperlink"/>
            <w:noProof/>
            <w:szCs w:val="22"/>
          </w:rPr>
          <w:t>http://www.ema.europa.eu</w:t>
        </w:r>
      </w:hyperlink>
      <w:r w:rsidRPr="005B2844">
        <w:rPr>
          <w:noProof/>
          <w:color w:val="0000FF"/>
          <w:szCs w:val="22"/>
        </w:rPr>
        <w:t>.</w:t>
      </w:r>
    </w:p>
    <w:p w:rsidR="00826308" w:rsidRPr="005B2844" w:rsidRDefault="00A70FCB" w:rsidP="0072602F">
      <w:pPr>
        <w:suppressAutoHyphens/>
        <w:jc w:val="center"/>
        <w:rPr>
          <w:b/>
          <w:szCs w:val="22"/>
        </w:rPr>
      </w:pPr>
      <w:r w:rsidRPr="005B2844">
        <w:rPr>
          <w:szCs w:val="22"/>
        </w:rPr>
        <w:br w:type="page"/>
      </w:r>
      <w:r w:rsidR="00D45615" w:rsidRPr="005B2844">
        <w:rPr>
          <w:b/>
          <w:szCs w:val="22"/>
        </w:rPr>
        <w:t>Foglio illustrativo: informazioni per l’utilizzatore</w:t>
      </w:r>
    </w:p>
    <w:p w:rsidR="00826308" w:rsidRPr="005B2844" w:rsidRDefault="00826308" w:rsidP="0072602F">
      <w:pPr>
        <w:suppressAutoHyphens/>
        <w:jc w:val="center"/>
        <w:rPr>
          <w:b/>
          <w:szCs w:val="22"/>
        </w:rPr>
      </w:pPr>
    </w:p>
    <w:p w:rsidR="00826308" w:rsidRPr="005B2844" w:rsidRDefault="00826308" w:rsidP="0072602F">
      <w:pPr>
        <w:suppressAutoHyphens/>
        <w:jc w:val="center"/>
        <w:rPr>
          <w:szCs w:val="22"/>
        </w:rPr>
      </w:pPr>
      <w:proofErr w:type="spellStart"/>
      <w:r w:rsidRPr="005B2844">
        <w:rPr>
          <w:b/>
          <w:szCs w:val="22"/>
        </w:rPr>
        <w:t>MicardisPlus</w:t>
      </w:r>
      <w:proofErr w:type="spellEnd"/>
      <w:r w:rsidRPr="005B2844">
        <w:rPr>
          <w:b/>
          <w:szCs w:val="22"/>
        </w:rPr>
        <w:t xml:space="preserve"> 80 mg</w:t>
      </w:r>
      <w:r w:rsidR="00FC5178" w:rsidRPr="005B2844">
        <w:rPr>
          <w:b/>
          <w:szCs w:val="22"/>
        </w:rPr>
        <w:t>/</w:t>
      </w:r>
      <w:r w:rsidR="00F13094" w:rsidRPr="005B2844">
        <w:rPr>
          <w:b/>
          <w:szCs w:val="22"/>
        </w:rPr>
        <w:t>1</w:t>
      </w:r>
      <w:r w:rsidRPr="005B2844">
        <w:rPr>
          <w:b/>
          <w:szCs w:val="22"/>
        </w:rPr>
        <w:t>2</w:t>
      </w:r>
      <w:r w:rsidR="00F13094" w:rsidRPr="005B2844">
        <w:rPr>
          <w:b/>
          <w:szCs w:val="22"/>
        </w:rPr>
        <w:t>,</w:t>
      </w:r>
      <w:r w:rsidRPr="005B2844">
        <w:rPr>
          <w:b/>
          <w:szCs w:val="22"/>
        </w:rPr>
        <w:t>5</w:t>
      </w:r>
      <w:r w:rsidR="002F39D9" w:rsidRPr="005B2844">
        <w:rPr>
          <w:b/>
          <w:szCs w:val="22"/>
        </w:rPr>
        <w:t> </w:t>
      </w:r>
      <w:r w:rsidRPr="005B2844">
        <w:rPr>
          <w:b/>
          <w:szCs w:val="22"/>
        </w:rPr>
        <w:t>mg compresse</w:t>
      </w:r>
    </w:p>
    <w:p w:rsidR="00826308" w:rsidRPr="005B2844" w:rsidRDefault="00826308" w:rsidP="0072602F">
      <w:pPr>
        <w:pStyle w:val="BodyText20"/>
        <w:spacing w:line="240" w:lineRule="auto"/>
        <w:jc w:val="center"/>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420473" w:rsidRPr="005B2844" w:rsidRDefault="00420473" w:rsidP="0072602F">
      <w:pPr>
        <w:pStyle w:val="BodyText20"/>
        <w:spacing w:line="240" w:lineRule="auto"/>
        <w:jc w:val="center"/>
        <w:rPr>
          <w:szCs w:val="22"/>
        </w:rPr>
      </w:pPr>
    </w:p>
    <w:p w:rsidR="001111C5" w:rsidRPr="005B2844" w:rsidRDefault="00A70FCB" w:rsidP="0072602F">
      <w:pPr>
        <w:rPr>
          <w:b/>
          <w:szCs w:val="22"/>
        </w:rPr>
      </w:pPr>
      <w:r w:rsidRPr="005B2844">
        <w:rPr>
          <w:b/>
          <w:szCs w:val="22"/>
        </w:rPr>
        <w:t xml:space="preserve">Legga attentamente questo foglio prima di prendere </w:t>
      </w:r>
      <w:r w:rsidR="00826308" w:rsidRPr="005B2844">
        <w:rPr>
          <w:b/>
          <w:szCs w:val="22"/>
        </w:rPr>
        <w:t xml:space="preserve">questo </w:t>
      </w:r>
      <w:r w:rsidRPr="005B2844">
        <w:rPr>
          <w:b/>
          <w:szCs w:val="22"/>
        </w:rPr>
        <w:t>medicinale</w:t>
      </w:r>
      <w:r w:rsidR="00D45615" w:rsidRPr="005B2844">
        <w:rPr>
          <w:rFonts w:eastAsia="SimSun"/>
          <w:b/>
          <w:noProof/>
          <w:snapToGrid w:val="0"/>
          <w:szCs w:val="22"/>
          <w:lang w:eastAsia="zh-CN"/>
        </w:rPr>
        <w:t xml:space="preserve"> </w:t>
      </w:r>
      <w:r w:rsidR="00D45615" w:rsidRPr="005B2844">
        <w:rPr>
          <w:b/>
          <w:szCs w:val="22"/>
        </w:rPr>
        <w:t>perché contiene importanti informazioni per lei</w:t>
      </w:r>
      <w:r w:rsidRPr="005B2844">
        <w:rPr>
          <w:b/>
          <w:szCs w:val="22"/>
        </w:rPr>
        <w:t>.</w:t>
      </w:r>
    </w:p>
    <w:p w:rsidR="00A70FCB" w:rsidRPr="005B2844" w:rsidRDefault="00A70FCB" w:rsidP="0072602F">
      <w:pPr>
        <w:tabs>
          <w:tab w:val="left" w:pos="567"/>
        </w:tabs>
        <w:rPr>
          <w:szCs w:val="22"/>
        </w:rPr>
      </w:pPr>
      <w:r w:rsidRPr="005B2844">
        <w:rPr>
          <w:szCs w:val="22"/>
        </w:rPr>
        <w:t>-</w:t>
      </w:r>
      <w:r w:rsidRPr="005B2844">
        <w:rPr>
          <w:szCs w:val="22"/>
        </w:rPr>
        <w:tab/>
        <w:t>Conservi questo foglio. Potrebbe aver bisogno di leggerlo di nuovo.</w:t>
      </w:r>
    </w:p>
    <w:p w:rsidR="00A70FCB" w:rsidRPr="005B2844" w:rsidRDefault="00A70FCB" w:rsidP="0072602F">
      <w:pPr>
        <w:tabs>
          <w:tab w:val="left" w:pos="567"/>
        </w:tabs>
        <w:rPr>
          <w:szCs w:val="22"/>
        </w:rPr>
      </w:pPr>
      <w:r w:rsidRPr="005B2844">
        <w:rPr>
          <w:szCs w:val="22"/>
        </w:rPr>
        <w:t>-</w:t>
      </w:r>
      <w:r w:rsidRPr="005B2844">
        <w:rPr>
          <w:szCs w:val="22"/>
        </w:rPr>
        <w:tab/>
        <w:t xml:space="preserve">Se ha </w:t>
      </w:r>
      <w:r w:rsidR="00826308" w:rsidRPr="005B2844">
        <w:rPr>
          <w:szCs w:val="22"/>
        </w:rPr>
        <w:t xml:space="preserve">qualsiasi </w:t>
      </w:r>
      <w:r w:rsidRPr="005B2844">
        <w:rPr>
          <w:szCs w:val="22"/>
        </w:rPr>
        <w:t>dubbi</w:t>
      </w:r>
      <w:r w:rsidR="00826308" w:rsidRPr="005B2844">
        <w:rPr>
          <w:szCs w:val="22"/>
        </w:rPr>
        <w:t>o</w:t>
      </w:r>
      <w:r w:rsidRPr="005B2844">
        <w:rPr>
          <w:szCs w:val="22"/>
        </w:rPr>
        <w:t>, si rivolga al medico o al farmacista.</w:t>
      </w:r>
    </w:p>
    <w:p w:rsidR="00A70FCB" w:rsidRPr="005B2844" w:rsidRDefault="00A70FCB" w:rsidP="0072602F">
      <w:pPr>
        <w:tabs>
          <w:tab w:val="left" w:pos="567"/>
        </w:tabs>
        <w:ind w:left="567" w:hanging="567"/>
        <w:rPr>
          <w:szCs w:val="22"/>
        </w:rPr>
      </w:pPr>
      <w:r w:rsidRPr="005B2844">
        <w:rPr>
          <w:szCs w:val="22"/>
        </w:rPr>
        <w:t>-</w:t>
      </w:r>
      <w:r w:rsidRPr="005B2844">
        <w:rPr>
          <w:szCs w:val="22"/>
        </w:rPr>
        <w:tab/>
        <w:t xml:space="preserve">Questo medicinale è stato prescritto </w:t>
      </w:r>
      <w:r w:rsidR="00D45615" w:rsidRPr="005B2844">
        <w:rPr>
          <w:szCs w:val="22"/>
        </w:rPr>
        <w:t xml:space="preserve">soltanto </w:t>
      </w:r>
      <w:r w:rsidRPr="005B2844">
        <w:rPr>
          <w:szCs w:val="22"/>
        </w:rPr>
        <w:t xml:space="preserve">per lei. Non lo dia ad </w:t>
      </w:r>
      <w:r w:rsidR="00E803A5" w:rsidRPr="005B2844">
        <w:rPr>
          <w:szCs w:val="22"/>
        </w:rPr>
        <w:t>altre persone</w:t>
      </w:r>
      <w:r w:rsidRPr="005B2844">
        <w:rPr>
          <w:szCs w:val="22"/>
        </w:rPr>
        <w:t xml:space="preserve">, anche se i sintomi </w:t>
      </w:r>
      <w:r w:rsidR="00D45615" w:rsidRPr="005B2844">
        <w:rPr>
          <w:szCs w:val="22"/>
        </w:rPr>
        <w:t xml:space="preserve">della malattia </w:t>
      </w:r>
      <w:r w:rsidRPr="005B2844">
        <w:rPr>
          <w:szCs w:val="22"/>
        </w:rPr>
        <w:t>sono uguali ai suoi</w:t>
      </w:r>
      <w:r w:rsidR="00A03BDA" w:rsidRPr="005B2844">
        <w:rPr>
          <w:szCs w:val="22"/>
        </w:rPr>
        <w:t>, perché potrebbe essere pericoloso</w:t>
      </w:r>
      <w:r w:rsidRPr="005B2844">
        <w:rPr>
          <w:szCs w:val="22"/>
        </w:rPr>
        <w:t>.</w:t>
      </w:r>
    </w:p>
    <w:p w:rsidR="00826308" w:rsidRPr="005B2844" w:rsidRDefault="00826308" w:rsidP="0072602F">
      <w:pPr>
        <w:tabs>
          <w:tab w:val="left" w:pos="567"/>
        </w:tabs>
        <w:ind w:left="567" w:hanging="567"/>
        <w:rPr>
          <w:szCs w:val="22"/>
        </w:rPr>
      </w:pPr>
      <w:r w:rsidRPr="005B2844">
        <w:rPr>
          <w:noProof/>
          <w:szCs w:val="22"/>
        </w:rPr>
        <w:t>-</w:t>
      </w:r>
      <w:r w:rsidRPr="005B2844">
        <w:rPr>
          <w:noProof/>
          <w:szCs w:val="22"/>
        </w:rPr>
        <w:tab/>
        <w:t xml:space="preserve">Se </w:t>
      </w:r>
      <w:r w:rsidR="00D45615" w:rsidRPr="005B2844">
        <w:rPr>
          <w:noProof/>
          <w:szCs w:val="22"/>
        </w:rPr>
        <w:t>si manifesta</w:t>
      </w:r>
      <w:r w:rsidRPr="005B2844">
        <w:rPr>
          <w:noProof/>
          <w:szCs w:val="22"/>
        </w:rPr>
        <w:t xml:space="preserve"> un qualsiasi effetto indesiderato</w:t>
      </w:r>
      <w:r w:rsidR="00D45615" w:rsidRPr="005B2844">
        <w:rPr>
          <w:noProof/>
          <w:szCs w:val="22"/>
        </w:rPr>
        <w:t>,</w:t>
      </w:r>
      <w:r w:rsidRPr="005B2844">
        <w:rPr>
          <w:noProof/>
          <w:szCs w:val="22"/>
        </w:rPr>
        <w:t xml:space="preserve"> </w:t>
      </w:r>
      <w:r w:rsidR="00D45615" w:rsidRPr="005B2844">
        <w:rPr>
          <w:noProof/>
          <w:szCs w:val="22"/>
        </w:rPr>
        <w:t xml:space="preserve">compresi quelli </w:t>
      </w:r>
      <w:r w:rsidRPr="005B2844">
        <w:rPr>
          <w:noProof/>
          <w:szCs w:val="22"/>
        </w:rPr>
        <w:t xml:space="preserve">non </w:t>
      </w:r>
      <w:r w:rsidR="00D45615" w:rsidRPr="005B2844">
        <w:rPr>
          <w:noProof/>
          <w:szCs w:val="22"/>
        </w:rPr>
        <w:t>elencati</w:t>
      </w:r>
      <w:r w:rsidRPr="005B2844">
        <w:rPr>
          <w:noProof/>
          <w:szCs w:val="22"/>
        </w:rPr>
        <w:t xml:space="preserve"> in questo foglio, </w:t>
      </w:r>
      <w:r w:rsidR="00D45615" w:rsidRPr="005B2844">
        <w:rPr>
          <w:noProof/>
          <w:szCs w:val="22"/>
        </w:rPr>
        <w:t>si rivolga al</w:t>
      </w:r>
      <w:r w:rsidRPr="005B2844">
        <w:rPr>
          <w:noProof/>
          <w:szCs w:val="22"/>
        </w:rPr>
        <w:t xml:space="preserve"> medico o </w:t>
      </w:r>
      <w:r w:rsidR="00D45615" w:rsidRPr="005B2844">
        <w:rPr>
          <w:noProof/>
          <w:szCs w:val="22"/>
        </w:rPr>
        <w:t>al</w:t>
      </w:r>
      <w:r w:rsidRPr="005B2844">
        <w:rPr>
          <w:noProof/>
          <w:szCs w:val="22"/>
        </w:rPr>
        <w:t xml:space="preserve"> farmacista.</w:t>
      </w:r>
      <w:r w:rsidR="005E0327" w:rsidRPr="005B2844">
        <w:rPr>
          <w:noProof/>
          <w:szCs w:val="22"/>
        </w:rPr>
        <w:t xml:space="preserve"> Vedere paragrafo 4.</w:t>
      </w:r>
    </w:p>
    <w:p w:rsidR="00A70FCB" w:rsidRPr="005B2844" w:rsidRDefault="00A70FCB" w:rsidP="0072602F">
      <w:pPr>
        <w:rPr>
          <w:b/>
          <w:szCs w:val="22"/>
        </w:rPr>
      </w:pPr>
      <w:r w:rsidRPr="005B2844">
        <w:rPr>
          <w:szCs w:val="22"/>
        </w:rPr>
        <w:cr/>
      </w:r>
      <w:r w:rsidRPr="005B2844">
        <w:rPr>
          <w:b/>
          <w:szCs w:val="22"/>
        </w:rPr>
        <w:t>Contenuto di questo foglio</w:t>
      </w:r>
    </w:p>
    <w:p w:rsidR="00BE5E64" w:rsidRPr="005B2844" w:rsidRDefault="00BE5E64" w:rsidP="0072602F">
      <w:pPr>
        <w:rPr>
          <w:b/>
          <w:szCs w:val="22"/>
        </w:rPr>
      </w:pPr>
    </w:p>
    <w:p w:rsidR="00A70FCB" w:rsidRPr="005B2844" w:rsidRDefault="00A70FCB" w:rsidP="009536AB">
      <w:pPr>
        <w:numPr>
          <w:ilvl w:val="0"/>
          <w:numId w:val="7"/>
        </w:numPr>
        <w:rPr>
          <w:szCs w:val="22"/>
        </w:rPr>
      </w:pPr>
      <w:r w:rsidRPr="005B2844">
        <w:rPr>
          <w:szCs w:val="22"/>
        </w:rPr>
        <w:t>Cos</w:t>
      </w:r>
      <w:r w:rsidR="008E59C4" w:rsidRPr="005B2844">
        <w:rPr>
          <w:szCs w:val="22"/>
        </w:rPr>
        <w:t>’</w:t>
      </w:r>
      <w:r w:rsidRPr="005B2844">
        <w:rPr>
          <w:szCs w:val="22"/>
        </w:rPr>
        <w:t xml:space="preserve">è </w:t>
      </w:r>
      <w:proofErr w:type="spellStart"/>
      <w:r w:rsidRPr="005B2844">
        <w:rPr>
          <w:szCs w:val="22"/>
        </w:rPr>
        <w:t>MicardisPlus</w:t>
      </w:r>
      <w:proofErr w:type="spellEnd"/>
      <w:r w:rsidRPr="005B2844">
        <w:rPr>
          <w:szCs w:val="22"/>
        </w:rPr>
        <w:t xml:space="preserve"> e a cosa serve</w:t>
      </w:r>
    </w:p>
    <w:p w:rsidR="00A70FCB" w:rsidRPr="005B2844" w:rsidRDefault="00D45615" w:rsidP="009536AB">
      <w:pPr>
        <w:numPr>
          <w:ilvl w:val="0"/>
          <w:numId w:val="7"/>
        </w:numPr>
        <w:rPr>
          <w:szCs w:val="22"/>
        </w:rPr>
      </w:pPr>
      <w:r w:rsidRPr="005B2844">
        <w:rPr>
          <w:szCs w:val="22"/>
        </w:rPr>
        <w:t>Cosa deve sapere p</w:t>
      </w:r>
      <w:r w:rsidR="00A70FCB" w:rsidRPr="005B2844">
        <w:rPr>
          <w:szCs w:val="22"/>
        </w:rPr>
        <w:t xml:space="preserve">rima di prendere </w:t>
      </w:r>
      <w:proofErr w:type="spellStart"/>
      <w:r w:rsidR="00A70FCB" w:rsidRPr="005B2844">
        <w:rPr>
          <w:szCs w:val="22"/>
        </w:rPr>
        <w:t>MicardisPlus</w:t>
      </w:r>
      <w:proofErr w:type="spellEnd"/>
    </w:p>
    <w:p w:rsidR="00A70FCB" w:rsidRPr="005B2844" w:rsidRDefault="00A70FCB" w:rsidP="009536AB">
      <w:pPr>
        <w:numPr>
          <w:ilvl w:val="0"/>
          <w:numId w:val="7"/>
        </w:numPr>
        <w:rPr>
          <w:szCs w:val="22"/>
        </w:rPr>
      </w:pPr>
      <w:r w:rsidRPr="005B2844">
        <w:rPr>
          <w:szCs w:val="22"/>
        </w:rPr>
        <w:t xml:space="preserve">Come prendere </w:t>
      </w:r>
      <w:proofErr w:type="spellStart"/>
      <w:r w:rsidRPr="005B2844">
        <w:rPr>
          <w:szCs w:val="22"/>
        </w:rPr>
        <w:t>MicardisPlus</w:t>
      </w:r>
      <w:proofErr w:type="spellEnd"/>
    </w:p>
    <w:p w:rsidR="00A70FCB" w:rsidRPr="005B2844" w:rsidRDefault="00A70FCB" w:rsidP="009536AB">
      <w:pPr>
        <w:numPr>
          <w:ilvl w:val="0"/>
          <w:numId w:val="7"/>
        </w:numPr>
        <w:rPr>
          <w:szCs w:val="22"/>
        </w:rPr>
      </w:pPr>
      <w:r w:rsidRPr="005B2844">
        <w:rPr>
          <w:szCs w:val="22"/>
        </w:rPr>
        <w:t>Possibili effetti indesiderati</w:t>
      </w:r>
    </w:p>
    <w:p w:rsidR="00A70FCB" w:rsidRPr="005B2844" w:rsidRDefault="00A70FCB" w:rsidP="009536AB">
      <w:pPr>
        <w:numPr>
          <w:ilvl w:val="0"/>
          <w:numId w:val="7"/>
        </w:numPr>
        <w:rPr>
          <w:szCs w:val="22"/>
        </w:rPr>
      </w:pPr>
      <w:r w:rsidRPr="005B2844">
        <w:rPr>
          <w:szCs w:val="22"/>
        </w:rPr>
        <w:t xml:space="preserve">Come conservare </w:t>
      </w:r>
      <w:proofErr w:type="spellStart"/>
      <w:r w:rsidRPr="005B2844">
        <w:rPr>
          <w:szCs w:val="22"/>
        </w:rPr>
        <w:t>MicardisPlus</w:t>
      </w:r>
      <w:proofErr w:type="spellEnd"/>
    </w:p>
    <w:p w:rsidR="00A70FCB" w:rsidRPr="005B2844" w:rsidRDefault="00D45615" w:rsidP="009536AB">
      <w:pPr>
        <w:numPr>
          <w:ilvl w:val="0"/>
          <w:numId w:val="7"/>
        </w:numPr>
        <w:suppressAutoHyphens/>
        <w:rPr>
          <w:szCs w:val="22"/>
        </w:rPr>
      </w:pPr>
      <w:r w:rsidRPr="005B2844">
        <w:rPr>
          <w:szCs w:val="22"/>
        </w:rPr>
        <w:t>Contenuto della confezione e a</w:t>
      </w:r>
      <w:r w:rsidR="00A70FCB" w:rsidRPr="005B2844">
        <w:rPr>
          <w:szCs w:val="22"/>
        </w:rPr>
        <w:t>ltre informazioni</w:t>
      </w:r>
    </w:p>
    <w:p w:rsidR="00A70FCB" w:rsidRPr="005B2844" w:rsidRDefault="00A70FCB" w:rsidP="0072602F">
      <w:pPr>
        <w:rPr>
          <w:szCs w:val="22"/>
        </w:rPr>
      </w:pPr>
    </w:p>
    <w:p w:rsidR="00A70FCB" w:rsidRPr="005B2844" w:rsidRDefault="00A70FCB" w:rsidP="0072602F">
      <w:pPr>
        <w:pStyle w:val="BodyText20"/>
        <w:tabs>
          <w:tab w:val="clear" w:pos="567"/>
        </w:tabs>
        <w:spacing w:line="240" w:lineRule="auto"/>
        <w:rPr>
          <w:szCs w:val="22"/>
        </w:rPr>
      </w:pPr>
    </w:p>
    <w:p w:rsidR="00A70FCB" w:rsidRPr="005B2844" w:rsidRDefault="00A70FCB" w:rsidP="0072602F">
      <w:pPr>
        <w:tabs>
          <w:tab w:val="left" w:pos="567"/>
        </w:tabs>
        <w:rPr>
          <w:b/>
          <w:szCs w:val="22"/>
        </w:rPr>
      </w:pPr>
      <w:r w:rsidRPr="005B2844">
        <w:rPr>
          <w:b/>
          <w:szCs w:val="22"/>
        </w:rPr>
        <w:t>1.</w:t>
      </w:r>
      <w:r w:rsidRPr="005B2844">
        <w:rPr>
          <w:b/>
          <w:szCs w:val="22"/>
        </w:rPr>
        <w:tab/>
      </w:r>
      <w:r w:rsidR="00D45615" w:rsidRPr="005B2844">
        <w:rPr>
          <w:b/>
          <w:szCs w:val="22"/>
        </w:rPr>
        <w:t xml:space="preserve">Cos’è </w:t>
      </w:r>
      <w:proofErr w:type="spellStart"/>
      <w:r w:rsidR="00D45615" w:rsidRPr="005B2844">
        <w:rPr>
          <w:b/>
          <w:szCs w:val="22"/>
        </w:rPr>
        <w:t>MicardisPlus</w:t>
      </w:r>
      <w:proofErr w:type="spellEnd"/>
      <w:r w:rsidR="00D45615" w:rsidRPr="005B2844">
        <w:rPr>
          <w:b/>
          <w:szCs w:val="22"/>
        </w:rPr>
        <w:t xml:space="preserve"> e a cosa serve</w:t>
      </w:r>
    </w:p>
    <w:p w:rsidR="00A70FCB" w:rsidRPr="005B2844" w:rsidRDefault="00A70FCB" w:rsidP="0072602F">
      <w:pPr>
        <w:rPr>
          <w:szCs w:val="22"/>
        </w:rPr>
      </w:pPr>
    </w:p>
    <w:p w:rsidR="00C7607B" w:rsidRPr="005B2844" w:rsidRDefault="00C7607B" w:rsidP="0072602F">
      <w:pPr>
        <w:rPr>
          <w:szCs w:val="22"/>
        </w:rPr>
      </w:pPr>
      <w:proofErr w:type="spellStart"/>
      <w:r w:rsidRPr="005B2844">
        <w:rPr>
          <w:szCs w:val="22"/>
        </w:rPr>
        <w:t>MicardisPlus</w:t>
      </w:r>
      <w:proofErr w:type="spellEnd"/>
      <w:r w:rsidRPr="005B2844">
        <w:rPr>
          <w:szCs w:val="22"/>
        </w:rPr>
        <w:t xml:space="preserve"> è un’associazione dei due principi attivi,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002F39D9" w:rsidRPr="005B2844">
        <w:rPr>
          <w:szCs w:val="22"/>
        </w:rPr>
        <w:t xml:space="preserve"> in un’unica compressa</w:t>
      </w:r>
      <w:r w:rsidRPr="005B2844">
        <w:rPr>
          <w:szCs w:val="22"/>
        </w:rPr>
        <w:t>.</w:t>
      </w:r>
      <w:r w:rsidR="002F39D9" w:rsidRPr="005B2844">
        <w:rPr>
          <w:szCs w:val="22"/>
        </w:rPr>
        <w:t xml:space="preserve"> Ognuna di queste sostanze facilita il controllo d</w:t>
      </w:r>
      <w:r w:rsidR="007218DD" w:rsidRPr="005B2844">
        <w:rPr>
          <w:szCs w:val="22"/>
        </w:rPr>
        <w:t>i una</w:t>
      </w:r>
      <w:r w:rsidR="002F39D9" w:rsidRPr="005B2844">
        <w:rPr>
          <w:szCs w:val="22"/>
        </w:rPr>
        <w:t xml:space="preserve"> </w:t>
      </w:r>
      <w:r w:rsidR="007218DD" w:rsidRPr="005B2844">
        <w:rPr>
          <w:szCs w:val="22"/>
        </w:rPr>
        <w:t xml:space="preserve">elevata </w:t>
      </w:r>
      <w:r w:rsidR="002F39D9" w:rsidRPr="005B2844">
        <w:rPr>
          <w:szCs w:val="22"/>
        </w:rPr>
        <w:t>pressione del sangue.</w:t>
      </w:r>
    </w:p>
    <w:p w:rsidR="00C7607B" w:rsidRPr="005B2844" w:rsidRDefault="00C7607B" w:rsidP="0072602F">
      <w:pPr>
        <w:rPr>
          <w:szCs w:val="22"/>
        </w:rPr>
      </w:pPr>
    </w:p>
    <w:p w:rsidR="00C7607B" w:rsidRPr="005B2844" w:rsidRDefault="002F39D9" w:rsidP="0072602F">
      <w:pPr>
        <w:ind w:left="567" w:hanging="567"/>
        <w:rPr>
          <w:szCs w:val="22"/>
        </w:rPr>
      </w:pPr>
      <w:r w:rsidRPr="005B2844">
        <w:rPr>
          <w:szCs w:val="22"/>
        </w:rPr>
        <w:t>-</w:t>
      </w:r>
      <w:r w:rsidRPr="005B2844">
        <w:rPr>
          <w:szCs w:val="22"/>
        </w:rPr>
        <w:tab/>
      </w:r>
      <w:proofErr w:type="spellStart"/>
      <w:r w:rsidR="00C7607B" w:rsidRPr="005B2844">
        <w:rPr>
          <w:szCs w:val="22"/>
        </w:rPr>
        <w:t>telmisartan</w:t>
      </w:r>
      <w:proofErr w:type="spellEnd"/>
      <w:r w:rsidR="00C7607B" w:rsidRPr="005B2844">
        <w:rPr>
          <w:szCs w:val="22"/>
        </w:rPr>
        <w:t xml:space="preserve"> appartiene ad un gruppo di </w:t>
      </w:r>
      <w:r w:rsidR="0080254B" w:rsidRPr="005B2844">
        <w:rPr>
          <w:szCs w:val="22"/>
        </w:rPr>
        <w:t>medicinali</w:t>
      </w:r>
      <w:r w:rsidR="00C7607B" w:rsidRPr="005B2844">
        <w:rPr>
          <w:szCs w:val="22"/>
        </w:rPr>
        <w:t xml:space="preserve"> conosciuti come antagonisti del recettore dell'angiotensina II. L'angiotensina II è una sostanza presente nel corpo che </w:t>
      </w:r>
      <w:r w:rsidR="006038AD" w:rsidRPr="005B2844">
        <w:rPr>
          <w:szCs w:val="22"/>
        </w:rPr>
        <w:t xml:space="preserve">provoca </w:t>
      </w:r>
      <w:r w:rsidR="00C7607B" w:rsidRPr="005B2844">
        <w:rPr>
          <w:szCs w:val="22"/>
        </w:rPr>
        <w:t>la costrizione dei vasi sanguigni</w:t>
      </w:r>
      <w:r w:rsidRPr="005B2844">
        <w:rPr>
          <w:szCs w:val="22"/>
        </w:rPr>
        <w:t>, aumentando così la pressione del sangue</w:t>
      </w:r>
      <w:r w:rsidR="00C7607B" w:rsidRPr="005B2844">
        <w:rPr>
          <w:szCs w:val="22"/>
        </w:rPr>
        <w:t>.</w:t>
      </w:r>
      <w:r w:rsidR="00CB3F46" w:rsidRPr="005B2844">
        <w:rPr>
          <w:szCs w:val="22"/>
        </w:rPr>
        <w:t xml:space="preserve"> </w:t>
      </w:r>
      <w:proofErr w:type="spellStart"/>
      <w:r w:rsidR="009F719D" w:rsidRPr="005B2844">
        <w:rPr>
          <w:szCs w:val="22"/>
        </w:rPr>
        <w:t>T</w:t>
      </w:r>
      <w:r w:rsidR="00C7607B" w:rsidRPr="005B2844">
        <w:rPr>
          <w:szCs w:val="22"/>
        </w:rPr>
        <w:t>elmisartan</w:t>
      </w:r>
      <w:proofErr w:type="spellEnd"/>
      <w:r w:rsidR="00C7607B" w:rsidRPr="005B2844">
        <w:rPr>
          <w:szCs w:val="22"/>
        </w:rPr>
        <w:t xml:space="preserve"> blocca questo effetto dell'angiotensina II, causando </w:t>
      </w:r>
      <w:r w:rsidR="006038AD" w:rsidRPr="005B2844">
        <w:rPr>
          <w:szCs w:val="22"/>
        </w:rPr>
        <w:t xml:space="preserve">il </w:t>
      </w:r>
      <w:r w:rsidR="00C7607B" w:rsidRPr="005B2844">
        <w:rPr>
          <w:szCs w:val="22"/>
        </w:rPr>
        <w:t xml:space="preserve">rilasciamento dei vasi sanguigni e riducendo così la pressione sanguigna. </w:t>
      </w:r>
    </w:p>
    <w:p w:rsidR="00C7607B" w:rsidRPr="005B2844" w:rsidRDefault="00C7607B" w:rsidP="0072602F">
      <w:pPr>
        <w:rPr>
          <w:b/>
          <w:i/>
          <w:szCs w:val="22"/>
        </w:rPr>
      </w:pPr>
    </w:p>
    <w:p w:rsidR="00C7607B" w:rsidRPr="005B2844" w:rsidRDefault="00CB3F46" w:rsidP="0072602F">
      <w:pPr>
        <w:ind w:left="567" w:hanging="567"/>
        <w:rPr>
          <w:szCs w:val="22"/>
        </w:rPr>
      </w:pPr>
      <w:r w:rsidRPr="005B2844">
        <w:rPr>
          <w:szCs w:val="22"/>
        </w:rPr>
        <w:t>-</w:t>
      </w:r>
      <w:r w:rsidRPr="005B2844">
        <w:rPr>
          <w:szCs w:val="22"/>
        </w:rPr>
        <w:tab/>
      </w:r>
      <w:proofErr w:type="spellStart"/>
      <w:r w:rsidR="00C7607B" w:rsidRPr="005B2844">
        <w:rPr>
          <w:szCs w:val="22"/>
        </w:rPr>
        <w:t>idroclorotiazide</w:t>
      </w:r>
      <w:proofErr w:type="spellEnd"/>
      <w:r w:rsidR="00C7607B" w:rsidRPr="005B2844">
        <w:rPr>
          <w:szCs w:val="22"/>
        </w:rPr>
        <w:t xml:space="preserve"> appartiene ad un gruppo di </w:t>
      </w:r>
      <w:r w:rsidR="0080254B" w:rsidRPr="005B2844">
        <w:rPr>
          <w:szCs w:val="22"/>
        </w:rPr>
        <w:t>medicinali</w:t>
      </w:r>
      <w:r w:rsidR="00C7607B" w:rsidRPr="005B2844">
        <w:rPr>
          <w:szCs w:val="22"/>
        </w:rPr>
        <w:t xml:space="preserve"> conosciuti come diuretici tiazidici</w:t>
      </w:r>
      <w:r w:rsidRPr="005B2844">
        <w:rPr>
          <w:szCs w:val="22"/>
        </w:rPr>
        <w:t xml:space="preserve"> che </w:t>
      </w:r>
      <w:r w:rsidR="00301E20" w:rsidRPr="005B2844">
        <w:rPr>
          <w:szCs w:val="22"/>
        </w:rPr>
        <w:t>provoca</w:t>
      </w:r>
      <w:r w:rsidRPr="005B2844">
        <w:rPr>
          <w:szCs w:val="22"/>
        </w:rPr>
        <w:t>no</w:t>
      </w:r>
      <w:r w:rsidR="00C7607B" w:rsidRPr="005B2844">
        <w:rPr>
          <w:szCs w:val="22"/>
        </w:rPr>
        <w:t xml:space="preserve"> un aumento del flusso di urina, contribu</w:t>
      </w:r>
      <w:r w:rsidRPr="005B2844">
        <w:rPr>
          <w:szCs w:val="22"/>
        </w:rPr>
        <w:t>endo</w:t>
      </w:r>
      <w:r w:rsidR="00C7607B" w:rsidRPr="005B2844">
        <w:rPr>
          <w:szCs w:val="22"/>
        </w:rPr>
        <w:t xml:space="preserve"> </w:t>
      </w:r>
      <w:r w:rsidRPr="005B2844">
        <w:rPr>
          <w:szCs w:val="22"/>
        </w:rPr>
        <w:t xml:space="preserve">così </w:t>
      </w:r>
      <w:r w:rsidR="00C7607B" w:rsidRPr="005B2844">
        <w:rPr>
          <w:szCs w:val="22"/>
        </w:rPr>
        <w:t>a</w:t>
      </w:r>
      <w:r w:rsidRPr="005B2844">
        <w:rPr>
          <w:szCs w:val="22"/>
        </w:rPr>
        <w:t>lla</w:t>
      </w:r>
      <w:r w:rsidR="00C7607B" w:rsidRPr="005B2844">
        <w:rPr>
          <w:szCs w:val="22"/>
        </w:rPr>
        <w:t xml:space="preserve"> ridu</w:t>
      </w:r>
      <w:r w:rsidRPr="005B2844">
        <w:rPr>
          <w:szCs w:val="22"/>
        </w:rPr>
        <w:t>zione</w:t>
      </w:r>
      <w:r w:rsidR="00C7607B" w:rsidRPr="005B2844">
        <w:rPr>
          <w:szCs w:val="22"/>
        </w:rPr>
        <w:t xml:space="preserve"> </w:t>
      </w:r>
      <w:r w:rsidRPr="005B2844">
        <w:rPr>
          <w:szCs w:val="22"/>
        </w:rPr>
        <w:t>del</w:t>
      </w:r>
      <w:r w:rsidR="00C7607B" w:rsidRPr="005B2844">
        <w:rPr>
          <w:szCs w:val="22"/>
        </w:rPr>
        <w:t>la pressione sanguigna.</w:t>
      </w:r>
    </w:p>
    <w:p w:rsidR="00C7607B" w:rsidRPr="005B2844" w:rsidRDefault="00C7607B" w:rsidP="0072602F">
      <w:pPr>
        <w:rPr>
          <w:szCs w:val="22"/>
        </w:rPr>
      </w:pPr>
    </w:p>
    <w:p w:rsidR="00A70FCB" w:rsidRPr="005B2844" w:rsidRDefault="00A70FCB" w:rsidP="0072602F">
      <w:pPr>
        <w:rPr>
          <w:szCs w:val="22"/>
        </w:rPr>
      </w:pPr>
      <w:r w:rsidRPr="005B2844">
        <w:rPr>
          <w:szCs w:val="22"/>
        </w:rPr>
        <w:t xml:space="preserve">L'ipertensione, se non curata, può danneggiare i vasi sanguigni in molti organi ciò può </w:t>
      </w:r>
      <w:r w:rsidR="00D52AFD" w:rsidRPr="005B2844">
        <w:rPr>
          <w:szCs w:val="22"/>
        </w:rPr>
        <w:t xml:space="preserve">talvolta </w:t>
      </w:r>
      <w:r w:rsidRPr="005B2844">
        <w:rPr>
          <w:szCs w:val="22"/>
        </w:rPr>
        <w:t xml:space="preserve">causare infarto, insufficienza </w:t>
      </w:r>
      <w:r w:rsidR="00D52AFD" w:rsidRPr="005B2844">
        <w:rPr>
          <w:szCs w:val="22"/>
        </w:rPr>
        <w:t xml:space="preserve">cardiaca o </w:t>
      </w:r>
      <w:r w:rsidRPr="005B2844">
        <w:rPr>
          <w:szCs w:val="22"/>
        </w:rPr>
        <w:t xml:space="preserve">renale, ictus o cecità. </w:t>
      </w:r>
      <w:r w:rsidR="00D52AFD" w:rsidRPr="005B2844">
        <w:rPr>
          <w:szCs w:val="22"/>
        </w:rPr>
        <w:t>N</w:t>
      </w:r>
      <w:r w:rsidRPr="005B2844">
        <w:rPr>
          <w:szCs w:val="22"/>
        </w:rPr>
        <w:t>ormalmente l'ipertensione non dà sintomi prima che si verifichino tali danni</w:t>
      </w:r>
      <w:r w:rsidR="00D52AFD" w:rsidRPr="005B2844">
        <w:rPr>
          <w:szCs w:val="22"/>
        </w:rPr>
        <w:t>.</w:t>
      </w:r>
      <w:r w:rsidRPr="005B2844">
        <w:rPr>
          <w:szCs w:val="22"/>
        </w:rPr>
        <w:t xml:space="preserve"> </w:t>
      </w:r>
      <w:r w:rsidR="00D52AFD" w:rsidRPr="005B2844">
        <w:rPr>
          <w:szCs w:val="22"/>
        </w:rPr>
        <w:t xml:space="preserve">Perciò </w:t>
      </w:r>
      <w:r w:rsidRPr="005B2844">
        <w:rPr>
          <w:szCs w:val="22"/>
        </w:rPr>
        <w:t xml:space="preserve">è </w:t>
      </w:r>
      <w:r w:rsidR="00D52AFD" w:rsidRPr="005B2844">
        <w:rPr>
          <w:szCs w:val="22"/>
        </w:rPr>
        <w:t>importante</w:t>
      </w:r>
      <w:r w:rsidRPr="005B2844">
        <w:rPr>
          <w:szCs w:val="22"/>
        </w:rPr>
        <w:t xml:space="preserve"> provvedere </w:t>
      </w:r>
      <w:r w:rsidR="00D52AFD" w:rsidRPr="005B2844">
        <w:rPr>
          <w:szCs w:val="22"/>
        </w:rPr>
        <w:t xml:space="preserve">regolarmente </w:t>
      </w:r>
      <w:r w:rsidRPr="005B2844">
        <w:rPr>
          <w:szCs w:val="22"/>
        </w:rPr>
        <w:t>alla misurazione della pressione sanguigna, per verificare se è nella media.</w:t>
      </w:r>
    </w:p>
    <w:p w:rsidR="00A70FCB" w:rsidRPr="005B2844" w:rsidRDefault="00A70FCB" w:rsidP="0072602F">
      <w:pPr>
        <w:rPr>
          <w:szCs w:val="22"/>
        </w:rPr>
      </w:pPr>
    </w:p>
    <w:p w:rsidR="006D4B1A" w:rsidRPr="005B2844" w:rsidRDefault="006D4B1A" w:rsidP="0072602F">
      <w:pPr>
        <w:rPr>
          <w:szCs w:val="22"/>
        </w:rPr>
      </w:pPr>
      <w:proofErr w:type="spellStart"/>
      <w:r w:rsidRPr="005B2844">
        <w:rPr>
          <w:b/>
          <w:szCs w:val="22"/>
        </w:rPr>
        <w:t>MicardisPlus</w:t>
      </w:r>
      <w:proofErr w:type="spellEnd"/>
      <w:r w:rsidRPr="005B2844">
        <w:rPr>
          <w:b/>
          <w:szCs w:val="22"/>
        </w:rPr>
        <w:t xml:space="preserve"> è utilizzato per </w:t>
      </w:r>
      <w:r w:rsidRPr="005B2844">
        <w:rPr>
          <w:szCs w:val="22"/>
        </w:rPr>
        <w:t xml:space="preserve">trattare la pressione sanguigna elevata (ipertensione essenziale) in </w:t>
      </w:r>
      <w:r w:rsidR="00E331E7" w:rsidRPr="005B2844">
        <w:rPr>
          <w:szCs w:val="22"/>
        </w:rPr>
        <w:t>adulti</w:t>
      </w:r>
      <w:r w:rsidRPr="005B2844">
        <w:rPr>
          <w:szCs w:val="22"/>
        </w:rPr>
        <w:t xml:space="preserve"> in cui la pressione del sangue non </w:t>
      </w:r>
      <w:r w:rsidR="008F24FE" w:rsidRPr="005B2844">
        <w:rPr>
          <w:szCs w:val="22"/>
        </w:rPr>
        <w:t>è</w:t>
      </w:r>
      <w:r w:rsidRPr="005B2844">
        <w:rPr>
          <w:szCs w:val="22"/>
        </w:rPr>
        <w:t xml:space="preserve"> sufficientemente controllata da </w:t>
      </w:r>
      <w:proofErr w:type="spellStart"/>
      <w:r w:rsidRPr="005B2844">
        <w:rPr>
          <w:szCs w:val="22"/>
        </w:rPr>
        <w:t>telmisartan</w:t>
      </w:r>
      <w:proofErr w:type="spellEnd"/>
      <w:r w:rsidRPr="005B2844">
        <w:rPr>
          <w:szCs w:val="22"/>
        </w:rPr>
        <w:t xml:space="preserve"> utilizzat</w:t>
      </w:r>
      <w:r w:rsidR="00E331E7" w:rsidRPr="005B2844">
        <w:rPr>
          <w:szCs w:val="22"/>
        </w:rPr>
        <w:t>o</w:t>
      </w:r>
      <w:r w:rsidRPr="005B2844">
        <w:rPr>
          <w:szCs w:val="22"/>
        </w:rPr>
        <w:t xml:space="preserve"> singolarmente.</w:t>
      </w:r>
    </w:p>
    <w:p w:rsidR="00A70FCB" w:rsidRPr="005B2844" w:rsidRDefault="00A70FCB" w:rsidP="0072602F">
      <w:pPr>
        <w:rPr>
          <w:szCs w:val="22"/>
        </w:rPr>
      </w:pPr>
    </w:p>
    <w:p w:rsidR="00A70FCB" w:rsidRPr="005B2844" w:rsidRDefault="00A70FCB" w:rsidP="0072602F">
      <w:pPr>
        <w:rPr>
          <w:szCs w:val="22"/>
        </w:rPr>
      </w:pPr>
    </w:p>
    <w:p w:rsidR="00A70FCB" w:rsidRPr="005B2844" w:rsidRDefault="006901E8" w:rsidP="00532263">
      <w:pPr>
        <w:keepNext/>
        <w:tabs>
          <w:tab w:val="left" w:pos="567"/>
        </w:tabs>
        <w:rPr>
          <w:b/>
          <w:szCs w:val="22"/>
        </w:rPr>
      </w:pPr>
      <w:r w:rsidRPr="005B2844">
        <w:rPr>
          <w:b/>
          <w:szCs w:val="22"/>
        </w:rPr>
        <w:t>2.</w:t>
      </w:r>
      <w:r w:rsidRPr="005B2844">
        <w:rPr>
          <w:b/>
          <w:szCs w:val="22"/>
        </w:rPr>
        <w:tab/>
      </w:r>
      <w:r w:rsidR="002D22EB" w:rsidRPr="005B2844">
        <w:rPr>
          <w:b/>
          <w:szCs w:val="22"/>
        </w:rPr>
        <w:t xml:space="preserve">Cosa deve sapere prima di prendere </w:t>
      </w:r>
      <w:proofErr w:type="spellStart"/>
      <w:r w:rsidR="002D22EB" w:rsidRPr="005B2844">
        <w:rPr>
          <w:b/>
          <w:szCs w:val="22"/>
        </w:rPr>
        <w:t>MicardisPlus</w:t>
      </w:r>
      <w:proofErr w:type="spellEnd"/>
    </w:p>
    <w:p w:rsidR="00A70FCB" w:rsidRPr="005B2844" w:rsidRDefault="00A70FCB" w:rsidP="00532263">
      <w:pPr>
        <w:keepNext/>
        <w:rPr>
          <w:szCs w:val="22"/>
        </w:rPr>
      </w:pPr>
    </w:p>
    <w:p w:rsidR="00A70FCB" w:rsidRPr="005B2844" w:rsidRDefault="00A70FCB" w:rsidP="00532263">
      <w:pPr>
        <w:keepNext/>
        <w:rPr>
          <w:b/>
          <w:szCs w:val="22"/>
        </w:rPr>
      </w:pPr>
      <w:r w:rsidRPr="005B2844">
        <w:rPr>
          <w:b/>
          <w:szCs w:val="22"/>
        </w:rPr>
        <w:t xml:space="preserve">Non prenda </w:t>
      </w:r>
      <w:proofErr w:type="spellStart"/>
      <w:r w:rsidRPr="005B2844">
        <w:rPr>
          <w:b/>
          <w:szCs w:val="22"/>
        </w:rPr>
        <w:t>MicardisPlus</w:t>
      </w:r>
      <w:proofErr w:type="spellEnd"/>
    </w:p>
    <w:p w:rsidR="001111C5" w:rsidRPr="005B2844" w:rsidRDefault="001111C5" w:rsidP="00532263">
      <w:pPr>
        <w:keepNext/>
        <w:rPr>
          <w:b/>
          <w:szCs w:val="22"/>
        </w:rPr>
      </w:pPr>
    </w:p>
    <w:p w:rsidR="00A70FCB" w:rsidRPr="005B2844" w:rsidRDefault="00233618" w:rsidP="009536AB">
      <w:pPr>
        <w:numPr>
          <w:ilvl w:val="0"/>
          <w:numId w:val="4"/>
        </w:numPr>
        <w:rPr>
          <w:szCs w:val="22"/>
        </w:rPr>
      </w:pPr>
      <w:r w:rsidRPr="005B2844">
        <w:rPr>
          <w:szCs w:val="22"/>
        </w:rPr>
        <w:t xml:space="preserve">se </w:t>
      </w:r>
      <w:r w:rsidR="00CE1089" w:rsidRPr="005B2844">
        <w:rPr>
          <w:szCs w:val="22"/>
        </w:rPr>
        <w:t xml:space="preserve">è </w:t>
      </w:r>
      <w:r w:rsidRPr="005B2844">
        <w:rPr>
          <w:szCs w:val="22"/>
        </w:rPr>
        <w:t xml:space="preserve">allergico </w:t>
      </w:r>
      <w:r w:rsidR="00A70FCB" w:rsidRPr="005B2844">
        <w:rPr>
          <w:szCs w:val="22"/>
        </w:rPr>
        <w:t xml:space="preserve">a </w:t>
      </w:r>
      <w:proofErr w:type="spellStart"/>
      <w:r w:rsidR="00A70FCB" w:rsidRPr="005B2844">
        <w:rPr>
          <w:szCs w:val="22"/>
        </w:rPr>
        <w:t>telmisartan</w:t>
      </w:r>
      <w:proofErr w:type="spellEnd"/>
      <w:r w:rsidR="00A70FCB" w:rsidRPr="005B2844">
        <w:rPr>
          <w:szCs w:val="22"/>
        </w:rPr>
        <w:t xml:space="preserve"> o ad uno </w:t>
      </w:r>
      <w:r w:rsidRPr="005B2844">
        <w:rPr>
          <w:szCs w:val="22"/>
        </w:rPr>
        <w:t xml:space="preserve">qualsiasi </w:t>
      </w:r>
      <w:r w:rsidR="00A70FCB" w:rsidRPr="005B2844">
        <w:rPr>
          <w:szCs w:val="22"/>
        </w:rPr>
        <w:t xml:space="preserve">degli </w:t>
      </w:r>
      <w:r w:rsidR="00B35B8A" w:rsidRPr="005B2844">
        <w:rPr>
          <w:szCs w:val="22"/>
        </w:rPr>
        <w:t>altri componenti di questo medicinale (elencati al paragrafo 6).</w:t>
      </w:r>
    </w:p>
    <w:p w:rsidR="00604D68" w:rsidRPr="005B2844" w:rsidRDefault="00604D68" w:rsidP="009536AB">
      <w:pPr>
        <w:numPr>
          <w:ilvl w:val="0"/>
          <w:numId w:val="4"/>
        </w:numPr>
        <w:rPr>
          <w:szCs w:val="22"/>
        </w:rPr>
      </w:pPr>
      <w:r w:rsidRPr="005B2844">
        <w:rPr>
          <w:szCs w:val="22"/>
        </w:rPr>
        <w:t>se è allergico a</w:t>
      </w:r>
      <w:r w:rsidR="009F719D" w:rsidRPr="005B2844">
        <w:rPr>
          <w:szCs w:val="22"/>
        </w:rPr>
        <w:t xml:space="preserve"> </w:t>
      </w:r>
      <w:proofErr w:type="spellStart"/>
      <w:r w:rsidRPr="005B2844">
        <w:rPr>
          <w:szCs w:val="22"/>
        </w:rPr>
        <w:t>idroclorotiazide</w:t>
      </w:r>
      <w:proofErr w:type="spellEnd"/>
      <w:r w:rsidRPr="005B2844">
        <w:rPr>
          <w:szCs w:val="22"/>
        </w:rPr>
        <w:t xml:space="preserve"> o ad ogni altro medicinale derivato dalla sulfonamide</w:t>
      </w:r>
      <w:r w:rsidR="00FF163B" w:rsidRPr="005B2844">
        <w:rPr>
          <w:szCs w:val="22"/>
        </w:rPr>
        <w:t>.</w:t>
      </w:r>
    </w:p>
    <w:p w:rsidR="00A70FCB" w:rsidRPr="005B2844" w:rsidRDefault="00847C51" w:rsidP="009536AB">
      <w:pPr>
        <w:numPr>
          <w:ilvl w:val="0"/>
          <w:numId w:val="4"/>
        </w:numPr>
        <w:rPr>
          <w:szCs w:val="22"/>
        </w:rPr>
      </w:pPr>
      <w:r w:rsidRPr="005B2844">
        <w:rPr>
          <w:szCs w:val="22"/>
        </w:rPr>
        <w:t xml:space="preserve">se è in gravidanza da più di 3 mesi (è meglio evitare di prendere </w:t>
      </w:r>
      <w:proofErr w:type="spellStart"/>
      <w:r w:rsidRPr="005B2844">
        <w:rPr>
          <w:szCs w:val="22"/>
        </w:rPr>
        <w:t>MicardisPlus</w:t>
      </w:r>
      <w:proofErr w:type="spellEnd"/>
      <w:r w:rsidRPr="005B2844">
        <w:rPr>
          <w:szCs w:val="22"/>
        </w:rPr>
        <w:t xml:space="preserve"> anche nella fase iniziale della gravidanza - vedere il paragrafo </w:t>
      </w:r>
      <w:r w:rsidR="00FF163B" w:rsidRPr="005B2844">
        <w:rPr>
          <w:szCs w:val="22"/>
        </w:rPr>
        <w:t>g</w:t>
      </w:r>
      <w:r w:rsidRPr="005B2844">
        <w:rPr>
          <w:szCs w:val="22"/>
        </w:rPr>
        <w:t>ravidanza</w:t>
      </w:r>
      <w:r w:rsidR="00797E94" w:rsidRPr="005B2844">
        <w:rPr>
          <w:szCs w:val="22"/>
        </w:rPr>
        <w:t>)</w:t>
      </w:r>
      <w:r w:rsidR="00FF163B" w:rsidRPr="005B2844">
        <w:rPr>
          <w:szCs w:val="22"/>
        </w:rPr>
        <w:t>.</w:t>
      </w:r>
    </w:p>
    <w:p w:rsidR="00A70FCB" w:rsidRPr="005B2844" w:rsidRDefault="00A70FCB" w:rsidP="009536AB">
      <w:pPr>
        <w:numPr>
          <w:ilvl w:val="0"/>
          <w:numId w:val="4"/>
        </w:numPr>
        <w:rPr>
          <w:szCs w:val="22"/>
        </w:rPr>
      </w:pPr>
      <w:r w:rsidRPr="005B2844">
        <w:rPr>
          <w:szCs w:val="22"/>
        </w:rPr>
        <w:t xml:space="preserve">se </w:t>
      </w:r>
      <w:r w:rsidR="00604D68" w:rsidRPr="005B2844">
        <w:rPr>
          <w:szCs w:val="22"/>
        </w:rPr>
        <w:t>soffre di gravi problemi al fegato quali</w:t>
      </w:r>
      <w:r w:rsidRPr="005B2844">
        <w:rPr>
          <w:szCs w:val="22"/>
        </w:rPr>
        <w:t xml:space="preserve"> colestasi o un'ostruzione biliare (problemi nel drenaggio della bile </w:t>
      </w:r>
      <w:r w:rsidR="004A700A" w:rsidRPr="005B2844">
        <w:rPr>
          <w:szCs w:val="22"/>
        </w:rPr>
        <w:t xml:space="preserve">dal fegato e </w:t>
      </w:r>
      <w:r w:rsidRPr="005B2844">
        <w:rPr>
          <w:szCs w:val="22"/>
        </w:rPr>
        <w:t>dalla cistifellea)</w:t>
      </w:r>
      <w:r w:rsidR="00604D68" w:rsidRPr="005B2844">
        <w:rPr>
          <w:szCs w:val="22"/>
        </w:rPr>
        <w:t xml:space="preserve"> </w:t>
      </w:r>
      <w:r w:rsidR="000A2F23" w:rsidRPr="005B2844">
        <w:rPr>
          <w:szCs w:val="22"/>
        </w:rPr>
        <w:t xml:space="preserve">o qualsiasi altra malattia </w:t>
      </w:r>
      <w:r w:rsidR="009F719D" w:rsidRPr="005B2844">
        <w:rPr>
          <w:szCs w:val="22"/>
        </w:rPr>
        <w:t>del fegato</w:t>
      </w:r>
      <w:r w:rsidR="000A2F23" w:rsidRPr="005B2844">
        <w:rPr>
          <w:szCs w:val="22"/>
        </w:rPr>
        <w:t xml:space="preserve"> grave</w:t>
      </w:r>
      <w:r w:rsidR="00FF163B" w:rsidRPr="005B2844">
        <w:rPr>
          <w:szCs w:val="22"/>
        </w:rPr>
        <w:t>.</w:t>
      </w:r>
    </w:p>
    <w:p w:rsidR="00A70FCB" w:rsidRPr="005B2844" w:rsidRDefault="00A70FCB" w:rsidP="009536AB">
      <w:pPr>
        <w:numPr>
          <w:ilvl w:val="0"/>
          <w:numId w:val="4"/>
        </w:numPr>
        <w:rPr>
          <w:szCs w:val="22"/>
        </w:rPr>
      </w:pPr>
      <w:r w:rsidRPr="005B2844">
        <w:rPr>
          <w:szCs w:val="22"/>
        </w:rPr>
        <w:t xml:space="preserve">se </w:t>
      </w:r>
      <w:r w:rsidR="00604D68" w:rsidRPr="005B2844">
        <w:rPr>
          <w:szCs w:val="22"/>
        </w:rPr>
        <w:t xml:space="preserve">ha </w:t>
      </w:r>
      <w:r w:rsidRPr="005B2844">
        <w:rPr>
          <w:szCs w:val="22"/>
        </w:rPr>
        <w:t>malattie renali gravi</w:t>
      </w:r>
      <w:r w:rsidR="00FF163B" w:rsidRPr="005B2844">
        <w:rPr>
          <w:szCs w:val="22"/>
        </w:rPr>
        <w:t>.</w:t>
      </w:r>
    </w:p>
    <w:p w:rsidR="00604D68" w:rsidRPr="005B2844" w:rsidRDefault="00604D68" w:rsidP="009536AB">
      <w:pPr>
        <w:numPr>
          <w:ilvl w:val="0"/>
          <w:numId w:val="4"/>
        </w:numPr>
        <w:rPr>
          <w:szCs w:val="22"/>
        </w:rPr>
      </w:pPr>
      <w:r w:rsidRPr="005B2844">
        <w:rPr>
          <w:szCs w:val="22"/>
        </w:rPr>
        <w:t>se il medico determina che nel suo sangue i livelli di potassio sono bassi o i livelli di calcio sono alti e non migliorano a seguito di un trattamento.</w:t>
      </w:r>
    </w:p>
    <w:p w:rsidR="00B52636" w:rsidRPr="005B2844" w:rsidRDefault="00B52636" w:rsidP="009536AB">
      <w:pPr>
        <w:numPr>
          <w:ilvl w:val="0"/>
          <w:numId w:val="4"/>
        </w:numPr>
        <w:rPr>
          <w:szCs w:val="22"/>
        </w:rPr>
      </w:pPr>
      <w:r w:rsidRPr="005B2844">
        <w:rPr>
          <w:szCs w:val="22"/>
        </w:rPr>
        <w:t xml:space="preserve">se soffre di diabete o </w:t>
      </w:r>
      <w:r w:rsidR="008576F0" w:rsidRPr="005B2844">
        <w:rPr>
          <w:szCs w:val="22"/>
        </w:rPr>
        <w:t>la sua funzione</w:t>
      </w:r>
      <w:r w:rsidRPr="005B2844">
        <w:rPr>
          <w:szCs w:val="22"/>
        </w:rPr>
        <w:t xml:space="preserve"> renale </w:t>
      </w:r>
      <w:r w:rsidR="008576F0" w:rsidRPr="005B2844">
        <w:rPr>
          <w:szCs w:val="22"/>
        </w:rPr>
        <w:t xml:space="preserve">è </w:t>
      </w:r>
      <w:r w:rsidRPr="005B2844">
        <w:rPr>
          <w:szCs w:val="22"/>
        </w:rPr>
        <w:t xml:space="preserve">compromessa ed è in trattamento con </w:t>
      </w:r>
      <w:r w:rsidR="008576F0" w:rsidRPr="005B2844">
        <w:rPr>
          <w:szCs w:val="22"/>
        </w:rPr>
        <w:t xml:space="preserve">un medicinale che abbassa la pressione del sangue, contenente </w:t>
      </w:r>
      <w:proofErr w:type="spellStart"/>
      <w:r w:rsidR="008576F0" w:rsidRPr="005B2844">
        <w:rPr>
          <w:szCs w:val="22"/>
        </w:rPr>
        <w:t>aliskiren</w:t>
      </w:r>
      <w:proofErr w:type="spellEnd"/>
      <w:r w:rsidRPr="005B2844">
        <w:rPr>
          <w:szCs w:val="22"/>
        </w:rPr>
        <w:t>.</w:t>
      </w:r>
    </w:p>
    <w:p w:rsidR="00A70FCB" w:rsidRPr="005B2844" w:rsidRDefault="00A70FCB" w:rsidP="0072602F">
      <w:pPr>
        <w:rPr>
          <w:szCs w:val="22"/>
        </w:rPr>
      </w:pPr>
    </w:p>
    <w:p w:rsidR="00A70FCB" w:rsidRPr="005B2844" w:rsidRDefault="00A70FCB" w:rsidP="0072602F">
      <w:pPr>
        <w:rPr>
          <w:szCs w:val="22"/>
        </w:rPr>
      </w:pPr>
      <w:r w:rsidRPr="005B2844">
        <w:rPr>
          <w:szCs w:val="22"/>
        </w:rPr>
        <w:t>Se lei è in una di queste condizioni, informi il medico o il farmacista</w:t>
      </w:r>
      <w:r w:rsidR="00604D68" w:rsidRPr="005B2844">
        <w:rPr>
          <w:szCs w:val="22"/>
        </w:rPr>
        <w:t xml:space="preserve"> prima di assumere </w:t>
      </w:r>
      <w:proofErr w:type="spellStart"/>
      <w:r w:rsidR="00604D68" w:rsidRPr="005B2844">
        <w:rPr>
          <w:szCs w:val="22"/>
        </w:rPr>
        <w:t>MicardisPlus</w:t>
      </w:r>
      <w:proofErr w:type="spellEnd"/>
      <w:r w:rsidRPr="005B2844">
        <w:rPr>
          <w:szCs w:val="22"/>
        </w:rPr>
        <w:t>.</w:t>
      </w:r>
    </w:p>
    <w:p w:rsidR="00A70FCB" w:rsidRPr="005B2844" w:rsidRDefault="00A70FCB" w:rsidP="0072602F">
      <w:pPr>
        <w:rPr>
          <w:szCs w:val="22"/>
        </w:rPr>
      </w:pPr>
    </w:p>
    <w:p w:rsidR="00A70FCB" w:rsidRPr="005B2844" w:rsidRDefault="00A945D0" w:rsidP="00532263">
      <w:pPr>
        <w:keepNext/>
        <w:rPr>
          <w:b/>
          <w:szCs w:val="22"/>
        </w:rPr>
      </w:pPr>
      <w:r w:rsidRPr="005B2844">
        <w:rPr>
          <w:b/>
          <w:szCs w:val="22"/>
        </w:rPr>
        <w:t>Avvertenze e precauzioni</w:t>
      </w:r>
    </w:p>
    <w:p w:rsidR="00AF2445" w:rsidRPr="005B2844" w:rsidRDefault="00A945D0" w:rsidP="0072602F">
      <w:pPr>
        <w:rPr>
          <w:szCs w:val="22"/>
        </w:rPr>
      </w:pPr>
      <w:r w:rsidRPr="005B2844">
        <w:rPr>
          <w:szCs w:val="22"/>
        </w:rPr>
        <w:t>Si rivolga al</w:t>
      </w:r>
      <w:r w:rsidR="00AF2445" w:rsidRPr="005B2844">
        <w:rPr>
          <w:szCs w:val="22"/>
        </w:rPr>
        <w:t xml:space="preserve"> medico </w:t>
      </w:r>
      <w:r w:rsidR="005E0327" w:rsidRPr="005B2844">
        <w:rPr>
          <w:szCs w:val="22"/>
        </w:rPr>
        <w:t xml:space="preserve">prima di prendere </w:t>
      </w:r>
      <w:proofErr w:type="spellStart"/>
      <w:r w:rsidR="005E0327" w:rsidRPr="005B2844">
        <w:rPr>
          <w:szCs w:val="22"/>
        </w:rPr>
        <w:t>MicardisPlus</w:t>
      </w:r>
      <w:proofErr w:type="spellEnd"/>
      <w:r w:rsidR="005E0327" w:rsidRPr="005B2844">
        <w:rPr>
          <w:szCs w:val="22"/>
        </w:rPr>
        <w:t xml:space="preserve"> </w:t>
      </w:r>
      <w:r w:rsidR="00AF2445" w:rsidRPr="005B2844">
        <w:rPr>
          <w:szCs w:val="22"/>
        </w:rPr>
        <w:t>se soffre o ha sofferto di una delle seguenti condizioni o malattie:</w:t>
      </w:r>
    </w:p>
    <w:p w:rsidR="00AF2445" w:rsidRPr="005B2844" w:rsidRDefault="00AF2445" w:rsidP="0072602F">
      <w:pPr>
        <w:rPr>
          <w:szCs w:val="22"/>
        </w:rPr>
      </w:pPr>
    </w:p>
    <w:p w:rsidR="00AF2445" w:rsidRPr="005B2844" w:rsidRDefault="00AF2445" w:rsidP="009536AB">
      <w:pPr>
        <w:numPr>
          <w:ilvl w:val="0"/>
          <w:numId w:val="12"/>
        </w:numPr>
        <w:tabs>
          <w:tab w:val="clear" w:pos="720"/>
        </w:tabs>
        <w:ind w:left="567" w:hanging="567"/>
        <w:rPr>
          <w:szCs w:val="22"/>
        </w:rPr>
      </w:pPr>
      <w:r w:rsidRPr="005B2844">
        <w:rPr>
          <w:szCs w:val="22"/>
        </w:rPr>
        <w:t xml:space="preserve">Bassa pressione del sangue (ipotensione), che si verifica con maggior probabilità se è disidratato (perdita eccessiva di </w:t>
      </w:r>
      <w:r w:rsidR="009F719D" w:rsidRPr="005B2844">
        <w:rPr>
          <w:szCs w:val="22"/>
        </w:rPr>
        <w:t>liquidi</w:t>
      </w:r>
      <w:r w:rsidRPr="005B2844">
        <w:rPr>
          <w:szCs w:val="22"/>
        </w:rPr>
        <w:t>) o presenta carenza di sali a causa di terapia diuretica (diuretici), dieta povera di sali, diarrea, vomito o emodialisi</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Malattia renale o trapianto renale</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Stenosi della arteria renale (restringimento dei vasi sanguigni di uno o entrambi i reni)</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Malattia del fegato</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Problemi cardiaci</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Diabete</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Gotta</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Aumento dei livelli di aldosterone</w:t>
      </w:r>
      <w:r w:rsidR="00BE5E64" w:rsidRPr="005B2844">
        <w:rPr>
          <w:szCs w:val="22"/>
        </w:rPr>
        <w:t xml:space="preserve"> (ritenzione di </w:t>
      </w:r>
      <w:r w:rsidR="009F719D" w:rsidRPr="005B2844">
        <w:rPr>
          <w:szCs w:val="22"/>
        </w:rPr>
        <w:t xml:space="preserve">liquidi </w:t>
      </w:r>
      <w:r w:rsidR="00BE5E64" w:rsidRPr="005B2844">
        <w:rPr>
          <w:szCs w:val="22"/>
        </w:rPr>
        <w:t xml:space="preserve">e </w:t>
      </w:r>
      <w:r w:rsidR="009F719D" w:rsidRPr="005B2844">
        <w:rPr>
          <w:szCs w:val="22"/>
        </w:rPr>
        <w:t xml:space="preserve">di </w:t>
      </w:r>
      <w:r w:rsidR="00BE5E64" w:rsidRPr="005B2844">
        <w:rPr>
          <w:szCs w:val="22"/>
        </w:rPr>
        <w:t xml:space="preserve">sale nel corpo con squilibrio di diversi </w:t>
      </w:r>
      <w:r w:rsidR="009F719D" w:rsidRPr="005B2844">
        <w:rPr>
          <w:szCs w:val="22"/>
        </w:rPr>
        <w:t xml:space="preserve">elettroliti </w:t>
      </w:r>
      <w:r w:rsidR="00BE5E64" w:rsidRPr="005B2844">
        <w:rPr>
          <w:szCs w:val="22"/>
        </w:rPr>
        <w:t>nel sangue)</w:t>
      </w:r>
      <w:r w:rsidR="00FF163B" w:rsidRPr="005B2844">
        <w:rPr>
          <w:szCs w:val="22"/>
        </w:rPr>
        <w:t>.</w:t>
      </w:r>
    </w:p>
    <w:p w:rsidR="00AF2445" w:rsidRPr="005B2844" w:rsidRDefault="00AF2445" w:rsidP="009536AB">
      <w:pPr>
        <w:numPr>
          <w:ilvl w:val="0"/>
          <w:numId w:val="12"/>
        </w:numPr>
        <w:tabs>
          <w:tab w:val="clear" w:pos="720"/>
        </w:tabs>
        <w:ind w:left="567" w:hanging="567"/>
        <w:rPr>
          <w:szCs w:val="22"/>
        </w:rPr>
      </w:pPr>
      <w:r w:rsidRPr="005B2844">
        <w:rPr>
          <w:szCs w:val="22"/>
        </w:rPr>
        <w:t xml:space="preserve">Lupus eritematoso </w:t>
      </w:r>
      <w:r w:rsidR="00C0257B" w:rsidRPr="005B2844">
        <w:rPr>
          <w:szCs w:val="22"/>
        </w:rPr>
        <w:t xml:space="preserve">sistemico </w:t>
      </w:r>
      <w:r w:rsidRPr="005B2844">
        <w:rPr>
          <w:szCs w:val="22"/>
        </w:rPr>
        <w:t>(chiamato anche “lupus” o “LES”) una malattia a causa della quale il sistema immunitario dell’organismo attacca l’organismo stesso.</w:t>
      </w:r>
    </w:p>
    <w:p w:rsidR="00DF4856" w:rsidRPr="005B2844" w:rsidRDefault="00DF4856" w:rsidP="009536AB">
      <w:pPr>
        <w:numPr>
          <w:ilvl w:val="0"/>
          <w:numId w:val="12"/>
        </w:numPr>
        <w:tabs>
          <w:tab w:val="clear" w:pos="720"/>
        </w:tabs>
        <w:ind w:left="567" w:hanging="567"/>
        <w:rPr>
          <w:szCs w:val="22"/>
        </w:rPr>
      </w:pPr>
      <w:r w:rsidRPr="005B2844">
        <w:rPr>
          <w:szCs w:val="22"/>
        </w:rPr>
        <w:t xml:space="preserve">Il principio attivo </w:t>
      </w:r>
      <w:proofErr w:type="spellStart"/>
      <w:r w:rsidRPr="005B2844">
        <w:rPr>
          <w:szCs w:val="22"/>
        </w:rPr>
        <w:t>idroclorotiazide</w:t>
      </w:r>
      <w:proofErr w:type="spellEnd"/>
      <w:r w:rsidRPr="005B2844">
        <w:rPr>
          <w:szCs w:val="22"/>
        </w:rPr>
        <w:t xml:space="preserve"> può causare una reazione non comune, con conseguenti diminuzione della vista e dolore agli occhi. Questi potrebbero essere sintomi </w:t>
      </w:r>
      <w:r w:rsidR="00AB2D22">
        <w:rPr>
          <w:szCs w:val="22"/>
        </w:rPr>
        <w:t xml:space="preserve">dell’accumulo di liquido nello strato vascolare dell’occhio (effusione </w:t>
      </w:r>
      <w:proofErr w:type="spellStart"/>
      <w:r w:rsidR="00AB2D22">
        <w:rPr>
          <w:szCs w:val="22"/>
        </w:rPr>
        <w:t>coroidale</w:t>
      </w:r>
      <w:proofErr w:type="spellEnd"/>
      <w:r w:rsidR="00AB2D22">
        <w:rPr>
          <w:szCs w:val="22"/>
        </w:rPr>
        <w:t>) o</w:t>
      </w:r>
      <w:r w:rsidR="00AB2D22" w:rsidRPr="005B2844">
        <w:rPr>
          <w:szCs w:val="22"/>
        </w:rPr>
        <w:t xml:space="preserve"> </w:t>
      </w:r>
      <w:r w:rsidRPr="005B2844">
        <w:rPr>
          <w:szCs w:val="22"/>
        </w:rPr>
        <w:t xml:space="preserve">di un aumento della pressione nel suo occhio e possono verificarsi da ore a settimane dopo aver assunto </w:t>
      </w:r>
      <w:proofErr w:type="spellStart"/>
      <w:r w:rsidRPr="005B2844">
        <w:rPr>
          <w:szCs w:val="22"/>
        </w:rPr>
        <w:t>MicardisPlus</w:t>
      </w:r>
      <w:proofErr w:type="spellEnd"/>
      <w:r w:rsidRPr="005B2844">
        <w:rPr>
          <w:szCs w:val="22"/>
        </w:rPr>
        <w:t xml:space="preserve">. Questa condizione può portare a una </w:t>
      </w:r>
      <w:r w:rsidR="006F4554" w:rsidRPr="005B2844">
        <w:rPr>
          <w:szCs w:val="22"/>
        </w:rPr>
        <w:t>compromissione</w:t>
      </w:r>
      <w:r w:rsidRPr="005B2844">
        <w:rPr>
          <w:szCs w:val="22"/>
        </w:rPr>
        <w:t xml:space="preserve"> permanente della vista, se non </w:t>
      </w:r>
      <w:proofErr w:type="spellStart"/>
      <w:r w:rsidRPr="005B2844">
        <w:rPr>
          <w:szCs w:val="22"/>
        </w:rPr>
        <w:t>trattatta</w:t>
      </w:r>
      <w:proofErr w:type="spellEnd"/>
      <w:r w:rsidRPr="005B2844">
        <w:rPr>
          <w:szCs w:val="22"/>
        </w:rPr>
        <w:t>.</w:t>
      </w:r>
    </w:p>
    <w:p w:rsidR="00263CA9" w:rsidRPr="005B2844" w:rsidRDefault="00263CA9" w:rsidP="00263CA9">
      <w:pPr>
        <w:pStyle w:val="Default"/>
        <w:numPr>
          <w:ilvl w:val="0"/>
          <w:numId w:val="12"/>
        </w:numPr>
        <w:tabs>
          <w:tab w:val="clear" w:pos="720"/>
        </w:tabs>
        <w:ind w:left="567" w:hanging="567"/>
        <w:rPr>
          <w:rFonts w:ascii="Times New Roman" w:hAnsi="Times New Roman" w:cs="Times New Roman"/>
          <w:sz w:val="22"/>
          <w:szCs w:val="22"/>
        </w:rPr>
      </w:pPr>
      <w:r w:rsidRPr="005B2844">
        <w:rPr>
          <w:rFonts w:ascii="Times New Roman" w:hAnsi="Times New Roman" w:cs="Times New Roman"/>
          <w:sz w:val="22"/>
          <w:szCs w:val="22"/>
        </w:rPr>
        <w:t xml:space="preserve">Se ha avuto in passato il cancro della pelle o se sta sviluppando una lesione della pelle imprevista durante il trattamento. Il trattamento con </w:t>
      </w:r>
      <w:proofErr w:type="spellStart"/>
      <w:r w:rsidRPr="005B2844">
        <w:rPr>
          <w:rFonts w:ascii="Times New Roman" w:hAnsi="Times New Roman" w:cs="Times New Roman"/>
          <w:sz w:val="22"/>
          <w:szCs w:val="22"/>
        </w:rPr>
        <w:t>idroclorotiazide</w:t>
      </w:r>
      <w:proofErr w:type="spellEnd"/>
      <w:r w:rsidRPr="005B2844">
        <w:rPr>
          <w:rFonts w:ascii="Times New Roman" w:hAnsi="Times New Roman" w:cs="Times New Roman"/>
          <w:sz w:val="22"/>
          <w:szCs w:val="22"/>
        </w:rPr>
        <w:t xml:space="preserve">, in particolare un utilizzo a lungo termine con dosi elevate, può aumentare il rischio di alcuni tipi di cancro della pelle e delle labbra (cancro della pelle non melanoma). Protegga la sua pelle dall’esposizione al sole e ai raggi UV durante l’assunzione di </w:t>
      </w:r>
      <w:proofErr w:type="spellStart"/>
      <w:r w:rsidRPr="005B2844">
        <w:rPr>
          <w:rFonts w:ascii="Times New Roman" w:hAnsi="Times New Roman" w:cs="Times New Roman"/>
          <w:sz w:val="22"/>
          <w:szCs w:val="22"/>
        </w:rPr>
        <w:t>Micardis</w:t>
      </w:r>
      <w:proofErr w:type="spellEnd"/>
      <w:r w:rsidRPr="005B2844">
        <w:rPr>
          <w:rFonts w:ascii="Times New Roman" w:hAnsi="Times New Roman" w:cs="Times New Roman"/>
          <w:sz w:val="22"/>
          <w:szCs w:val="22"/>
        </w:rPr>
        <w:t xml:space="preserve"> Plus.</w:t>
      </w:r>
    </w:p>
    <w:p w:rsidR="00F03EDC" w:rsidRPr="005B2844" w:rsidRDefault="00F03EDC" w:rsidP="0072602F">
      <w:pPr>
        <w:rPr>
          <w:szCs w:val="22"/>
        </w:rPr>
      </w:pPr>
    </w:p>
    <w:p w:rsidR="00A40B2A" w:rsidRPr="005B2844" w:rsidRDefault="00A40B2A" w:rsidP="00A40B2A">
      <w:pPr>
        <w:rPr>
          <w:szCs w:val="22"/>
        </w:rPr>
      </w:pPr>
      <w:r w:rsidRPr="005B2844">
        <w:rPr>
          <w:szCs w:val="22"/>
        </w:rPr>
        <w:t xml:space="preserve">Si rivolga al medico prima di prendere </w:t>
      </w:r>
      <w:proofErr w:type="spellStart"/>
      <w:r w:rsidRPr="005B2844">
        <w:rPr>
          <w:szCs w:val="22"/>
        </w:rPr>
        <w:t>MicardisPlus</w:t>
      </w:r>
      <w:proofErr w:type="spellEnd"/>
      <w:r w:rsidRPr="005B2844">
        <w:rPr>
          <w:szCs w:val="22"/>
        </w:rPr>
        <w:t>:</w:t>
      </w:r>
    </w:p>
    <w:p w:rsidR="00A40B2A" w:rsidRPr="005B2844" w:rsidRDefault="00A40B2A" w:rsidP="00A40B2A">
      <w:pPr>
        <w:numPr>
          <w:ilvl w:val="0"/>
          <w:numId w:val="21"/>
        </w:numPr>
        <w:rPr>
          <w:szCs w:val="22"/>
        </w:rPr>
      </w:pPr>
      <w:r w:rsidRPr="005B2844">
        <w:rPr>
          <w:szCs w:val="22"/>
        </w:rPr>
        <w:t xml:space="preserve">se lei sta assumendo </w:t>
      </w:r>
      <w:r w:rsidR="00F30875" w:rsidRPr="005B2844">
        <w:rPr>
          <w:szCs w:val="22"/>
        </w:rPr>
        <w:t>uno dei seguenti medicinali</w:t>
      </w:r>
      <w:r w:rsidRPr="005B2844">
        <w:rPr>
          <w:szCs w:val="22"/>
        </w:rPr>
        <w:t xml:space="preserve"> usat</w:t>
      </w:r>
      <w:r w:rsidR="00F30875" w:rsidRPr="005B2844">
        <w:rPr>
          <w:szCs w:val="22"/>
        </w:rPr>
        <w:t>i</w:t>
      </w:r>
      <w:r w:rsidRPr="005B2844">
        <w:rPr>
          <w:szCs w:val="22"/>
        </w:rPr>
        <w:t xml:space="preserve"> per trattare la pressione </w:t>
      </w:r>
      <w:r w:rsidR="00F30875" w:rsidRPr="005B2844">
        <w:rPr>
          <w:szCs w:val="22"/>
        </w:rPr>
        <w:t xml:space="preserve">alta </w:t>
      </w:r>
      <w:r w:rsidRPr="005B2844">
        <w:rPr>
          <w:szCs w:val="22"/>
        </w:rPr>
        <w:t>del sangue</w:t>
      </w:r>
      <w:r w:rsidR="00F30875" w:rsidRPr="005B2844">
        <w:rPr>
          <w:szCs w:val="22"/>
        </w:rPr>
        <w:t>:</w:t>
      </w:r>
    </w:p>
    <w:p w:rsidR="004C1E1A" w:rsidRPr="005B2844" w:rsidRDefault="004C1E1A" w:rsidP="004C1E1A">
      <w:pPr>
        <w:ind w:left="567"/>
        <w:rPr>
          <w:szCs w:val="22"/>
        </w:rPr>
      </w:pPr>
      <w:r w:rsidRPr="005B2844">
        <w:rPr>
          <w:szCs w:val="22"/>
        </w:rPr>
        <w:t xml:space="preserve">- un ACE inibitore (per esempio enalapril, </w:t>
      </w:r>
      <w:proofErr w:type="spellStart"/>
      <w:r w:rsidRPr="005B2844">
        <w:rPr>
          <w:szCs w:val="22"/>
        </w:rPr>
        <w:t>lisinopril</w:t>
      </w:r>
      <w:proofErr w:type="spellEnd"/>
      <w:r w:rsidRPr="005B2844">
        <w:rPr>
          <w:szCs w:val="22"/>
        </w:rPr>
        <w:t xml:space="preserve">, </w:t>
      </w:r>
      <w:proofErr w:type="spellStart"/>
      <w:r w:rsidRPr="005B2844">
        <w:rPr>
          <w:szCs w:val="22"/>
        </w:rPr>
        <w:t>ramipril</w:t>
      </w:r>
      <w:proofErr w:type="spellEnd"/>
      <w:r w:rsidR="00AF1112" w:rsidRPr="005B2844">
        <w:rPr>
          <w:szCs w:val="22"/>
        </w:rPr>
        <w:t xml:space="preserve"> inibitori dell’enzima di conversione dell’angiotensina</w:t>
      </w:r>
      <w:r w:rsidRPr="005B2844">
        <w:rPr>
          <w:szCs w:val="22"/>
        </w:rPr>
        <w:t>), in particolare se soffre di problemi renali correlati al diabete.</w:t>
      </w:r>
    </w:p>
    <w:p w:rsidR="004C1E1A" w:rsidRPr="005B2844" w:rsidRDefault="004C1E1A" w:rsidP="004C1E1A">
      <w:pPr>
        <w:ind w:left="567"/>
        <w:rPr>
          <w:szCs w:val="22"/>
        </w:rPr>
      </w:pPr>
      <w:r w:rsidRPr="005B2844">
        <w:rPr>
          <w:szCs w:val="22"/>
        </w:rPr>
        <w:t xml:space="preserve">- </w:t>
      </w:r>
      <w:proofErr w:type="spellStart"/>
      <w:r w:rsidRPr="005B2844">
        <w:rPr>
          <w:szCs w:val="22"/>
        </w:rPr>
        <w:t>aliskiren</w:t>
      </w:r>
      <w:proofErr w:type="spellEnd"/>
      <w:r w:rsidRPr="005B2844">
        <w:rPr>
          <w:szCs w:val="22"/>
        </w:rPr>
        <w:t>.</w:t>
      </w:r>
    </w:p>
    <w:p w:rsidR="004C1E1A" w:rsidRPr="005B2844" w:rsidRDefault="004C1E1A" w:rsidP="004C1E1A">
      <w:pPr>
        <w:ind w:left="567"/>
        <w:rPr>
          <w:szCs w:val="22"/>
        </w:rPr>
      </w:pPr>
      <w:r w:rsidRPr="005B2844">
        <w:rPr>
          <w:szCs w:val="22"/>
        </w:rPr>
        <w:t xml:space="preserve">Il medico può controllare la sua funzionalità renale, la pressione del sangue, e la quantità di elettroliti (ad esempio il potassio) nel sangue a intervalli regolari. Vedere anche quanto riportato alla voce “Non prenda </w:t>
      </w:r>
      <w:proofErr w:type="spellStart"/>
      <w:r w:rsidRPr="005B2844">
        <w:rPr>
          <w:szCs w:val="22"/>
        </w:rPr>
        <w:t>MicardisPlus</w:t>
      </w:r>
      <w:proofErr w:type="spellEnd"/>
      <w:r w:rsidRPr="005B2844">
        <w:rPr>
          <w:szCs w:val="22"/>
        </w:rPr>
        <w:t>”.</w:t>
      </w:r>
    </w:p>
    <w:p w:rsidR="00A40B2A" w:rsidRPr="005B2844" w:rsidRDefault="00A40B2A" w:rsidP="00A40B2A">
      <w:pPr>
        <w:numPr>
          <w:ilvl w:val="0"/>
          <w:numId w:val="21"/>
        </w:numPr>
        <w:rPr>
          <w:szCs w:val="22"/>
        </w:rPr>
      </w:pPr>
      <w:r w:rsidRPr="005B2844">
        <w:rPr>
          <w:szCs w:val="22"/>
        </w:rPr>
        <w:t>se lei sta assumendo digossina.</w:t>
      </w:r>
    </w:p>
    <w:p w:rsidR="00A40B2A" w:rsidRPr="005B2844" w:rsidRDefault="00A40B2A" w:rsidP="0072602F">
      <w:pPr>
        <w:rPr>
          <w:szCs w:val="22"/>
        </w:rPr>
      </w:pPr>
    </w:p>
    <w:p w:rsidR="00C35E03" w:rsidRPr="005B2844" w:rsidRDefault="0081192C" w:rsidP="0072602F">
      <w:pPr>
        <w:rPr>
          <w:szCs w:val="22"/>
        </w:rPr>
      </w:pPr>
      <w:r w:rsidRPr="005B2844">
        <w:rPr>
          <w:noProof/>
          <w:color w:val="000000"/>
          <w:szCs w:val="22"/>
        </w:rPr>
        <w:t>Deve informare il medico se pensa di essere in gravidanza (</w:t>
      </w:r>
      <w:r w:rsidRPr="005B2844">
        <w:rPr>
          <w:noProof/>
          <w:color w:val="000000"/>
          <w:szCs w:val="22"/>
          <w:u w:val="single"/>
        </w:rPr>
        <w:t>o se vi è la possibilità di dare inizio ad una gravidanza</w:t>
      </w:r>
      <w:r w:rsidRPr="005B2844">
        <w:rPr>
          <w:noProof/>
          <w:color w:val="000000"/>
          <w:szCs w:val="22"/>
        </w:rPr>
        <w:t xml:space="preserve">). MicardisPlus non è raccomandato all’inizio della gravidanza e non deve essere assunto se lei è in </w:t>
      </w:r>
      <w:r w:rsidRPr="005B2844">
        <w:rPr>
          <w:szCs w:val="22"/>
        </w:rPr>
        <w:t>gravidanza da più di 3 mesi,</w:t>
      </w:r>
      <w:r w:rsidRPr="005B2844">
        <w:rPr>
          <w:noProof/>
          <w:color w:val="000000"/>
          <w:szCs w:val="22"/>
        </w:rPr>
        <w:t xml:space="preserve"> poiché può causare gravi danni al bambino se preso in questo periodo (vedere il paragrafo </w:t>
      </w:r>
      <w:r w:rsidR="00FF163B" w:rsidRPr="005B2844">
        <w:rPr>
          <w:noProof/>
          <w:color w:val="000000"/>
          <w:szCs w:val="22"/>
        </w:rPr>
        <w:t>g</w:t>
      </w:r>
      <w:r w:rsidRPr="005B2844">
        <w:rPr>
          <w:noProof/>
          <w:color w:val="000000"/>
          <w:szCs w:val="22"/>
        </w:rPr>
        <w:t>ravidanza)</w:t>
      </w:r>
      <w:r w:rsidR="00D45421" w:rsidRPr="005B2844">
        <w:rPr>
          <w:noProof/>
          <w:color w:val="000000"/>
          <w:szCs w:val="22"/>
        </w:rPr>
        <w:t>.</w:t>
      </w:r>
    </w:p>
    <w:p w:rsidR="00C35E03" w:rsidRPr="005B2844" w:rsidRDefault="00C35E03" w:rsidP="0072602F">
      <w:pPr>
        <w:rPr>
          <w:szCs w:val="22"/>
        </w:rPr>
      </w:pPr>
    </w:p>
    <w:p w:rsidR="000E7978" w:rsidRPr="005B2844" w:rsidRDefault="000E7978" w:rsidP="0072602F">
      <w:pPr>
        <w:rPr>
          <w:szCs w:val="22"/>
        </w:rPr>
      </w:pPr>
      <w:r w:rsidRPr="005B2844">
        <w:rPr>
          <w:szCs w:val="22"/>
        </w:rPr>
        <w:t xml:space="preserve">Il trattamento con </w:t>
      </w:r>
      <w:proofErr w:type="spellStart"/>
      <w:r w:rsidRPr="005B2844">
        <w:rPr>
          <w:szCs w:val="22"/>
        </w:rPr>
        <w:t>idroclorotiazide</w:t>
      </w:r>
      <w:proofErr w:type="spellEnd"/>
      <w:r w:rsidRPr="005B2844">
        <w:rPr>
          <w:szCs w:val="22"/>
        </w:rPr>
        <w:t xml:space="preserve"> può causare uno squilibrio elettrolitico nell’organismo. Sintomi tipici di squilibrio di liquidi o</w:t>
      </w:r>
      <w:r w:rsidR="000A5666" w:rsidRPr="005B2844">
        <w:rPr>
          <w:szCs w:val="22"/>
        </w:rPr>
        <w:t xml:space="preserve"> </w:t>
      </w:r>
      <w:r w:rsidRPr="005B2844">
        <w:rPr>
          <w:szCs w:val="22"/>
        </w:rPr>
        <w:t>d</w:t>
      </w:r>
      <w:r w:rsidR="000A5666" w:rsidRPr="005B2844">
        <w:rPr>
          <w:szCs w:val="22"/>
        </w:rPr>
        <w:t>i</w:t>
      </w:r>
      <w:r w:rsidRPr="005B2844">
        <w:rPr>
          <w:szCs w:val="22"/>
        </w:rPr>
        <w:t xml:space="preserve"> elettroliti includono secchezza della bocca, debolezza, letargia, sonnolenza, irrequietezza, dolore muscolare o crampi, nausea (sensazione di malessere), vomito, stanchezza muscolare e battito cardiaco anormalmente veloce (maggiore di 100 battiti al minuto). Se manifesta uno qualsiasi di questi sintomi, informi il medico.</w:t>
      </w:r>
    </w:p>
    <w:p w:rsidR="0064006F" w:rsidRPr="005B2844" w:rsidRDefault="0064006F" w:rsidP="0064006F">
      <w:pPr>
        <w:rPr>
          <w:szCs w:val="22"/>
        </w:rPr>
      </w:pPr>
    </w:p>
    <w:p w:rsidR="000E7978" w:rsidRPr="005B2844" w:rsidRDefault="0064006F" w:rsidP="0064006F">
      <w:pPr>
        <w:rPr>
          <w:szCs w:val="22"/>
        </w:rPr>
      </w:pPr>
      <w:r w:rsidRPr="005B2844">
        <w:rPr>
          <w:szCs w:val="22"/>
        </w:rPr>
        <w:t xml:space="preserve">Deve informare il medico anche </w:t>
      </w:r>
      <w:r w:rsidR="00A063E8" w:rsidRPr="005B2844">
        <w:rPr>
          <w:szCs w:val="22"/>
        </w:rPr>
        <w:t xml:space="preserve">se </w:t>
      </w:r>
      <w:r w:rsidRPr="005B2844">
        <w:rPr>
          <w:szCs w:val="22"/>
        </w:rPr>
        <w:t xml:space="preserve">ha riscontrato un’aumentata sensibilità della pelle al sole, che si manifesta con l’insorgenza più rapida del normale dei sintomi della scottatura (come rossore, prurito, gonfiore, </w:t>
      </w:r>
      <w:r w:rsidR="00D62955" w:rsidRPr="005B2844">
        <w:rPr>
          <w:szCs w:val="22"/>
        </w:rPr>
        <w:t>comparsa di vesciche</w:t>
      </w:r>
      <w:r w:rsidRPr="005B2844">
        <w:rPr>
          <w:szCs w:val="22"/>
        </w:rPr>
        <w:t>).</w:t>
      </w:r>
    </w:p>
    <w:p w:rsidR="0064006F" w:rsidRPr="005B2844" w:rsidRDefault="0064006F" w:rsidP="0064006F">
      <w:pPr>
        <w:rPr>
          <w:szCs w:val="22"/>
        </w:rPr>
      </w:pPr>
    </w:p>
    <w:p w:rsidR="000E7978" w:rsidRPr="005B2844" w:rsidRDefault="000E7978" w:rsidP="0072602F">
      <w:pPr>
        <w:rPr>
          <w:szCs w:val="22"/>
        </w:rPr>
      </w:pPr>
      <w:r w:rsidRPr="005B2844">
        <w:rPr>
          <w:szCs w:val="22"/>
        </w:rPr>
        <w:t xml:space="preserve">In caso di intervento chirurgico o di somministrazione di anestetici, deve informare il medico che sta assumendo </w:t>
      </w:r>
      <w:proofErr w:type="spellStart"/>
      <w:r w:rsidRPr="005B2844">
        <w:rPr>
          <w:szCs w:val="22"/>
        </w:rPr>
        <w:t>MicardisPlus</w:t>
      </w:r>
      <w:proofErr w:type="spellEnd"/>
      <w:r w:rsidRPr="005B2844">
        <w:rPr>
          <w:szCs w:val="22"/>
        </w:rPr>
        <w:t>.</w:t>
      </w:r>
    </w:p>
    <w:p w:rsidR="000E7978" w:rsidRPr="005B2844" w:rsidRDefault="000E7978" w:rsidP="0072602F">
      <w:pPr>
        <w:rPr>
          <w:szCs w:val="22"/>
        </w:rPr>
      </w:pPr>
    </w:p>
    <w:p w:rsidR="00470BC7" w:rsidRPr="005B2844" w:rsidRDefault="00470BC7" w:rsidP="00470BC7">
      <w:pPr>
        <w:rPr>
          <w:szCs w:val="22"/>
        </w:rPr>
      </w:pPr>
      <w:proofErr w:type="spellStart"/>
      <w:r w:rsidRPr="005B2844">
        <w:rPr>
          <w:szCs w:val="22"/>
        </w:rPr>
        <w:t>MicardisPlus</w:t>
      </w:r>
      <w:proofErr w:type="spellEnd"/>
      <w:r w:rsidRPr="005B2844">
        <w:rPr>
          <w:szCs w:val="22"/>
        </w:rPr>
        <w:t xml:space="preserve"> può essere meno efficace nel ridurre la pressione del sangue nei pazienti </w:t>
      </w:r>
      <w:r w:rsidR="000835D9" w:rsidRPr="005B2844">
        <w:rPr>
          <w:szCs w:val="22"/>
        </w:rPr>
        <w:t>di etnia africana</w:t>
      </w:r>
      <w:r w:rsidRPr="005B2844">
        <w:rPr>
          <w:szCs w:val="22"/>
        </w:rPr>
        <w:t>.</w:t>
      </w:r>
    </w:p>
    <w:p w:rsidR="00470BC7" w:rsidRPr="005B2844" w:rsidRDefault="00470BC7" w:rsidP="00470BC7">
      <w:pPr>
        <w:rPr>
          <w:szCs w:val="22"/>
        </w:rPr>
      </w:pPr>
    </w:p>
    <w:p w:rsidR="00470BC7" w:rsidRPr="005B2844" w:rsidRDefault="00470BC7" w:rsidP="00532263">
      <w:pPr>
        <w:keepNext/>
        <w:rPr>
          <w:b/>
          <w:szCs w:val="22"/>
        </w:rPr>
      </w:pPr>
      <w:r w:rsidRPr="005B2844">
        <w:rPr>
          <w:b/>
          <w:szCs w:val="22"/>
        </w:rPr>
        <w:t>Bambini e adolescenti</w:t>
      </w:r>
    </w:p>
    <w:p w:rsidR="000E7978" w:rsidRPr="005B2844" w:rsidRDefault="000E7978" w:rsidP="0072602F">
      <w:pPr>
        <w:rPr>
          <w:szCs w:val="22"/>
        </w:rPr>
      </w:pPr>
      <w:r w:rsidRPr="005B2844">
        <w:rPr>
          <w:szCs w:val="22"/>
        </w:rPr>
        <w:t xml:space="preserve">L’uso di </w:t>
      </w:r>
      <w:proofErr w:type="spellStart"/>
      <w:r w:rsidRPr="005B2844">
        <w:rPr>
          <w:szCs w:val="22"/>
        </w:rPr>
        <w:t>MicardisPlus</w:t>
      </w:r>
      <w:proofErr w:type="spellEnd"/>
      <w:r w:rsidRPr="005B2844">
        <w:rPr>
          <w:szCs w:val="22"/>
        </w:rPr>
        <w:t xml:space="preserve"> non è raccomandato nei bambini e negli adolescenti fino a 18 anni.</w:t>
      </w:r>
    </w:p>
    <w:p w:rsidR="000E7978" w:rsidRPr="005B2844" w:rsidRDefault="000E7978" w:rsidP="0072602F">
      <w:pPr>
        <w:rPr>
          <w:szCs w:val="22"/>
        </w:rPr>
      </w:pPr>
    </w:p>
    <w:p w:rsidR="00F03EDC" w:rsidRPr="005B2844" w:rsidRDefault="00470BC7" w:rsidP="008A1E96">
      <w:pPr>
        <w:keepNext/>
        <w:rPr>
          <w:b/>
          <w:szCs w:val="22"/>
        </w:rPr>
      </w:pPr>
      <w:r w:rsidRPr="005B2844">
        <w:rPr>
          <w:b/>
          <w:szCs w:val="22"/>
        </w:rPr>
        <w:t xml:space="preserve">Altri medicinali e </w:t>
      </w:r>
      <w:proofErr w:type="spellStart"/>
      <w:r w:rsidR="00F03EDC" w:rsidRPr="005B2844">
        <w:rPr>
          <w:b/>
          <w:szCs w:val="22"/>
        </w:rPr>
        <w:t>MicardisPlus</w:t>
      </w:r>
      <w:proofErr w:type="spellEnd"/>
    </w:p>
    <w:p w:rsidR="001111C5" w:rsidRPr="005B2844" w:rsidRDefault="001111C5" w:rsidP="008A1E96">
      <w:pPr>
        <w:keepNext/>
        <w:rPr>
          <w:b/>
          <w:szCs w:val="22"/>
        </w:rPr>
      </w:pPr>
    </w:p>
    <w:p w:rsidR="0020480F" w:rsidRPr="005B2844" w:rsidRDefault="00F03EDC" w:rsidP="0072602F">
      <w:pPr>
        <w:rPr>
          <w:szCs w:val="22"/>
        </w:rPr>
      </w:pPr>
      <w:r w:rsidRPr="005B2844">
        <w:rPr>
          <w:szCs w:val="22"/>
        </w:rPr>
        <w:t>Informi il medico o il farmacista se sta assumendo</w:t>
      </w:r>
      <w:r w:rsidR="00ED4B33" w:rsidRPr="005B2844">
        <w:rPr>
          <w:szCs w:val="22"/>
        </w:rPr>
        <w:t>,</w:t>
      </w:r>
      <w:r w:rsidRPr="005B2844">
        <w:rPr>
          <w:szCs w:val="22"/>
        </w:rPr>
        <w:t xml:space="preserve"> ha recentemente assunto </w:t>
      </w:r>
      <w:r w:rsidR="00ED4B33" w:rsidRPr="005B2844">
        <w:rPr>
          <w:szCs w:val="22"/>
        </w:rPr>
        <w:t xml:space="preserve">o potrebbe assumere </w:t>
      </w:r>
      <w:r w:rsidRPr="005B2844">
        <w:rPr>
          <w:szCs w:val="22"/>
        </w:rPr>
        <w:t>qualsiasi altro medicinale.</w:t>
      </w:r>
      <w:r w:rsidR="0020480F" w:rsidRPr="005B2844">
        <w:rPr>
          <w:szCs w:val="22"/>
        </w:rPr>
        <w:t xml:space="preserve"> Il medico può decidere di cambiare la dose di questi altri medicinali o ricorrere ad altre precauzioni. In alcuni casi può essere necessario sospendere l’assunzione di uno di questi medicinali. Ciò si riferisce soprattutto ai medicinali di seguito elencati, assunti conte</w:t>
      </w:r>
      <w:r w:rsidR="000A5666" w:rsidRPr="005B2844">
        <w:rPr>
          <w:szCs w:val="22"/>
        </w:rPr>
        <w:t>mporanea</w:t>
      </w:r>
      <w:r w:rsidR="0020480F" w:rsidRPr="005B2844">
        <w:rPr>
          <w:szCs w:val="22"/>
        </w:rPr>
        <w:t xml:space="preserve">mente a </w:t>
      </w:r>
      <w:proofErr w:type="spellStart"/>
      <w:r w:rsidR="0020480F" w:rsidRPr="005B2844">
        <w:rPr>
          <w:szCs w:val="22"/>
        </w:rPr>
        <w:t>MicardisPlus</w:t>
      </w:r>
      <w:proofErr w:type="spellEnd"/>
      <w:r w:rsidR="0020480F" w:rsidRPr="005B2844">
        <w:rPr>
          <w:szCs w:val="22"/>
        </w:rPr>
        <w:t>:</w:t>
      </w:r>
    </w:p>
    <w:p w:rsidR="0020480F" w:rsidRPr="005B2844" w:rsidRDefault="0020480F" w:rsidP="0072602F">
      <w:pPr>
        <w:rPr>
          <w:szCs w:val="22"/>
        </w:rPr>
      </w:pPr>
    </w:p>
    <w:p w:rsidR="0020480F" w:rsidRPr="005B2844" w:rsidRDefault="0020480F" w:rsidP="009536AB">
      <w:pPr>
        <w:numPr>
          <w:ilvl w:val="0"/>
          <w:numId w:val="12"/>
        </w:numPr>
        <w:tabs>
          <w:tab w:val="clear" w:pos="720"/>
        </w:tabs>
        <w:ind w:left="567" w:hanging="567"/>
        <w:rPr>
          <w:szCs w:val="22"/>
        </w:rPr>
      </w:pPr>
      <w:r w:rsidRPr="005B2844">
        <w:rPr>
          <w:szCs w:val="22"/>
        </w:rPr>
        <w:t>Medicinali contenenti litio per trattare alcuni tipi di depressione</w:t>
      </w:r>
      <w:r w:rsidR="00C94C4C" w:rsidRPr="005B2844">
        <w:rPr>
          <w:szCs w:val="22"/>
        </w:rPr>
        <w:t>.</w:t>
      </w:r>
    </w:p>
    <w:p w:rsidR="0020480F" w:rsidRPr="005B2844" w:rsidRDefault="0020480F" w:rsidP="009536AB">
      <w:pPr>
        <w:numPr>
          <w:ilvl w:val="0"/>
          <w:numId w:val="12"/>
        </w:numPr>
        <w:tabs>
          <w:tab w:val="clear" w:pos="720"/>
        </w:tabs>
        <w:ind w:left="567" w:hanging="567"/>
        <w:rPr>
          <w:szCs w:val="22"/>
        </w:rPr>
      </w:pPr>
      <w:r w:rsidRPr="005B2844">
        <w:rPr>
          <w:szCs w:val="22"/>
        </w:rPr>
        <w:t>Medicinali associati a bassi livelli di potassio nel sangue (</w:t>
      </w:r>
      <w:proofErr w:type="spellStart"/>
      <w:r w:rsidR="00A60181" w:rsidRPr="005B2844">
        <w:rPr>
          <w:szCs w:val="22"/>
        </w:rPr>
        <w:t>ipokaliemia</w:t>
      </w:r>
      <w:proofErr w:type="spellEnd"/>
      <w:r w:rsidRPr="005B2844">
        <w:rPr>
          <w:szCs w:val="22"/>
        </w:rPr>
        <w:t>) come altri diuretici, lassativi (</w:t>
      </w:r>
      <w:r w:rsidR="00096E7E" w:rsidRPr="005B2844">
        <w:rPr>
          <w:szCs w:val="22"/>
        </w:rPr>
        <w:t>ad es.</w:t>
      </w:r>
      <w:r w:rsidRPr="005B2844">
        <w:rPr>
          <w:szCs w:val="22"/>
        </w:rPr>
        <w:t xml:space="preserve"> olio di ricino), corticosteroidi (</w:t>
      </w:r>
      <w:r w:rsidR="00096E7E" w:rsidRPr="005B2844">
        <w:rPr>
          <w:szCs w:val="22"/>
        </w:rPr>
        <w:t>ad es.</w:t>
      </w:r>
      <w:r w:rsidRPr="005B2844">
        <w:rPr>
          <w:szCs w:val="22"/>
        </w:rPr>
        <w:t xml:space="preserve"> prednisone), ormone</w:t>
      </w:r>
      <w:r w:rsidR="00AF1112" w:rsidRPr="005B2844">
        <w:rPr>
          <w:szCs w:val="22"/>
        </w:rPr>
        <w:t xml:space="preserve"> adrenocorticotropo</w:t>
      </w:r>
      <w:r w:rsidR="00E4281F" w:rsidRPr="005B2844">
        <w:rPr>
          <w:szCs w:val="22"/>
        </w:rPr>
        <w:t xml:space="preserve"> (ACTH)</w:t>
      </w:r>
      <w:r w:rsidRPr="005B2844">
        <w:rPr>
          <w:szCs w:val="22"/>
        </w:rPr>
        <w:t xml:space="preserve">, </w:t>
      </w:r>
      <w:proofErr w:type="spellStart"/>
      <w:r w:rsidRPr="005B2844">
        <w:rPr>
          <w:szCs w:val="22"/>
        </w:rPr>
        <w:t>amfotericina</w:t>
      </w:r>
      <w:proofErr w:type="spellEnd"/>
      <w:r w:rsidRPr="005B2844">
        <w:rPr>
          <w:szCs w:val="22"/>
        </w:rPr>
        <w:t xml:space="preserve"> (medicinale antifungino), </w:t>
      </w:r>
      <w:proofErr w:type="spellStart"/>
      <w:r w:rsidRPr="005B2844">
        <w:rPr>
          <w:szCs w:val="22"/>
        </w:rPr>
        <w:t>carbenoxolone</w:t>
      </w:r>
      <w:proofErr w:type="spellEnd"/>
      <w:r w:rsidRPr="005B2844">
        <w:rPr>
          <w:szCs w:val="22"/>
        </w:rPr>
        <w:t xml:space="preserve"> (utilizzato per il trattamento delle ulcere della bocca), penicillina G sodica (antibiotico), acido salicilico e suoi derivati</w:t>
      </w:r>
      <w:r w:rsidR="00C94C4C" w:rsidRPr="005B2844">
        <w:rPr>
          <w:szCs w:val="22"/>
        </w:rPr>
        <w:t>.</w:t>
      </w:r>
    </w:p>
    <w:p w:rsidR="0020480F" w:rsidRPr="005B2844" w:rsidRDefault="00727737" w:rsidP="009536AB">
      <w:pPr>
        <w:numPr>
          <w:ilvl w:val="0"/>
          <w:numId w:val="12"/>
        </w:numPr>
        <w:tabs>
          <w:tab w:val="clear" w:pos="720"/>
        </w:tabs>
        <w:ind w:left="567" w:hanging="567"/>
        <w:rPr>
          <w:szCs w:val="22"/>
        </w:rPr>
      </w:pPr>
      <w:r w:rsidRPr="005B2844">
        <w:rPr>
          <w:szCs w:val="22"/>
        </w:rPr>
        <w:t xml:space="preserve">Medicinali che possono aumentare i livelli di potassio nel sangue come i </w:t>
      </w:r>
      <w:r w:rsidR="003162E2" w:rsidRPr="005B2844">
        <w:rPr>
          <w:szCs w:val="22"/>
        </w:rPr>
        <w:t>d</w:t>
      </w:r>
      <w:r w:rsidR="0020480F" w:rsidRPr="005B2844">
        <w:rPr>
          <w:szCs w:val="22"/>
        </w:rPr>
        <w:t>iuretici</w:t>
      </w:r>
      <w:r w:rsidR="009F719D" w:rsidRPr="005B2844">
        <w:rPr>
          <w:szCs w:val="22"/>
        </w:rPr>
        <w:t xml:space="preserve"> detti</w:t>
      </w:r>
      <w:r w:rsidR="0020480F" w:rsidRPr="005B2844">
        <w:rPr>
          <w:szCs w:val="22"/>
        </w:rPr>
        <w:t xml:space="preserve"> </w:t>
      </w:r>
      <w:r w:rsidR="009F719D" w:rsidRPr="005B2844">
        <w:rPr>
          <w:szCs w:val="22"/>
        </w:rPr>
        <w:t xml:space="preserve">risparmiatori di </w:t>
      </w:r>
      <w:r w:rsidR="0020480F" w:rsidRPr="005B2844">
        <w:rPr>
          <w:szCs w:val="22"/>
        </w:rPr>
        <w:t>potassio, integratori di potassio, sostituti del sale contenenti potassio, ACE inibitori</w:t>
      </w:r>
      <w:r w:rsidR="009F719D" w:rsidRPr="005B2844">
        <w:rPr>
          <w:szCs w:val="22"/>
        </w:rPr>
        <w:t>, ciclosporina (</w:t>
      </w:r>
      <w:r w:rsidR="003162E2" w:rsidRPr="005B2844">
        <w:rPr>
          <w:szCs w:val="22"/>
        </w:rPr>
        <w:t>medicinale immunosoppressore) e altri med</w:t>
      </w:r>
      <w:r w:rsidR="009F719D" w:rsidRPr="005B2844">
        <w:rPr>
          <w:szCs w:val="22"/>
        </w:rPr>
        <w:t>icinali come eparina sodica (</w:t>
      </w:r>
      <w:r w:rsidR="003162E2" w:rsidRPr="005B2844">
        <w:rPr>
          <w:szCs w:val="22"/>
        </w:rPr>
        <w:t>anticoagulante)</w:t>
      </w:r>
      <w:r w:rsidR="00C94C4C" w:rsidRPr="005B2844">
        <w:rPr>
          <w:szCs w:val="22"/>
        </w:rPr>
        <w:t>.</w:t>
      </w:r>
    </w:p>
    <w:p w:rsidR="009B7D0E" w:rsidRPr="005B2844" w:rsidRDefault="009B7D0E" w:rsidP="00513F80">
      <w:pPr>
        <w:numPr>
          <w:ilvl w:val="0"/>
          <w:numId w:val="12"/>
        </w:numPr>
        <w:tabs>
          <w:tab w:val="clear" w:pos="720"/>
        </w:tabs>
        <w:ind w:left="567" w:hanging="567"/>
        <w:rPr>
          <w:szCs w:val="22"/>
        </w:rPr>
      </w:pPr>
      <w:r w:rsidRPr="005B2844">
        <w:rPr>
          <w:szCs w:val="22"/>
        </w:rPr>
        <w:t xml:space="preserve">Medicinali che sono influenzati dalle variazioni del livello di potassio nel sangue come i medicinali per il cuore (ad es. digossina) o medicinali per controllare il ritmo del cuore (ad es. chinidina, </w:t>
      </w:r>
      <w:proofErr w:type="spellStart"/>
      <w:r w:rsidRPr="005B2844">
        <w:rPr>
          <w:szCs w:val="22"/>
        </w:rPr>
        <w:t>disopiramide</w:t>
      </w:r>
      <w:proofErr w:type="spellEnd"/>
      <w:r w:rsidR="003162E2" w:rsidRPr="005B2844">
        <w:rPr>
          <w:szCs w:val="22"/>
        </w:rPr>
        <w:t xml:space="preserve">, amiodarone, </w:t>
      </w:r>
      <w:proofErr w:type="spellStart"/>
      <w:r w:rsidR="003162E2" w:rsidRPr="005B2844">
        <w:rPr>
          <w:szCs w:val="22"/>
        </w:rPr>
        <w:t>sotalolo</w:t>
      </w:r>
      <w:proofErr w:type="spellEnd"/>
      <w:r w:rsidRPr="005B2844">
        <w:rPr>
          <w:szCs w:val="22"/>
        </w:rPr>
        <w:t xml:space="preserve">), medicinali utilizzati per disturbi mentali (ad es. </w:t>
      </w:r>
      <w:proofErr w:type="spellStart"/>
      <w:r w:rsidRPr="005B2844">
        <w:rPr>
          <w:szCs w:val="22"/>
        </w:rPr>
        <w:t>tioridazina</w:t>
      </w:r>
      <w:proofErr w:type="spellEnd"/>
      <w:r w:rsidRPr="005B2844">
        <w:rPr>
          <w:szCs w:val="22"/>
        </w:rPr>
        <w:t xml:space="preserve">, clorpromazina, </w:t>
      </w:r>
      <w:proofErr w:type="spellStart"/>
      <w:r w:rsidRPr="005B2844">
        <w:rPr>
          <w:szCs w:val="22"/>
        </w:rPr>
        <w:t>levomepromazina</w:t>
      </w:r>
      <w:proofErr w:type="spellEnd"/>
      <w:r w:rsidRPr="005B2844">
        <w:rPr>
          <w:szCs w:val="22"/>
        </w:rPr>
        <w:t xml:space="preserve">) e altri medicinali come alcuni antibiotici (ad es. </w:t>
      </w:r>
      <w:proofErr w:type="spellStart"/>
      <w:r w:rsidRPr="005B2844">
        <w:rPr>
          <w:szCs w:val="22"/>
        </w:rPr>
        <w:t>sparfloxacina</w:t>
      </w:r>
      <w:proofErr w:type="spellEnd"/>
      <w:r w:rsidRPr="005B2844">
        <w:rPr>
          <w:szCs w:val="22"/>
        </w:rPr>
        <w:t xml:space="preserve">, </w:t>
      </w:r>
      <w:proofErr w:type="spellStart"/>
      <w:r w:rsidRPr="005B2844">
        <w:rPr>
          <w:szCs w:val="22"/>
        </w:rPr>
        <w:t>pentamidina</w:t>
      </w:r>
      <w:proofErr w:type="spellEnd"/>
      <w:r w:rsidRPr="005B2844">
        <w:rPr>
          <w:szCs w:val="22"/>
        </w:rPr>
        <w:t xml:space="preserve">) o alcuni medicinali per il trattamento di reazioni allergiche (ad es. </w:t>
      </w:r>
      <w:proofErr w:type="spellStart"/>
      <w:r w:rsidRPr="005B2844">
        <w:rPr>
          <w:szCs w:val="22"/>
        </w:rPr>
        <w:t>terfenadina</w:t>
      </w:r>
      <w:proofErr w:type="spellEnd"/>
      <w:r w:rsidRPr="005B2844">
        <w:rPr>
          <w:szCs w:val="22"/>
        </w:rPr>
        <w:t>).</w:t>
      </w:r>
    </w:p>
    <w:p w:rsidR="009B7D0E" w:rsidRPr="005B2844" w:rsidRDefault="009B7D0E" w:rsidP="00513F80">
      <w:pPr>
        <w:numPr>
          <w:ilvl w:val="0"/>
          <w:numId w:val="12"/>
        </w:numPr>
        <w:tabs>
          <w:tab w:val="clear" w:pos="720"/>
        </w:tabs>
        <w:ind w:left="567" w:hanging="567"/>
        <w:rPr>
          <w:szCs w:val="22"/>
        </w:rPr>
      </w:pPr>
      <w:r w:rsidRPr="005B2844">
        <w:rPr>
          <w:szCs w:val="22"/>
        </w:rPr>
        <w:t>Medicinali per il trattamento del diabete (insulina o agenti orali come metformina).</w:t>
      </w:r>
    </w:p>
    <w:p w:rsidR="009B7D0E" w:rsidRPr="005B2844" w:rsidRDefault="009B7D0E" w:rsidP="00513F80">
      <w:pPr>
        <w:numPr>
          <w:ilvl w:val="0"/>
          <w:numId w:val="12"/>
        </w:numPr>
        <w:tabs>
          <w:tab w:val="clear" w:pos="720"/>
        </w:tabs>
        <w:ind w:left="567" w:hanging="567"/>
        <w:rPr>
          <w:szCs w:val="22"/>
        </w:rPr>
      </w:pPr>
      <w:proofErr w:type="spellStart"/>
      <w:r w:rsidRPr="005B2844">
        <w:rPr>
          <w:szCs w:val="22"/>
        </w:rPr>
        <w:t>Colestiramina</w:t>
      </w:r>
      <w:proofErr w:type="spellEnd"/>
      <w:r w:rsidRPr="005B2844">
        <w:rPr>
          <w:szCs w:val="22"/>
        </w:rPr>
        <w:t xml:space="preserve"> e </w:t>
      </w:r>
      <w:proofErr w:type="spellStart"/>
      <w:r w:rsidRPr="005B2844">
        <w:rPr>
          <w:szCs w:val="22"/>
        </w:rPr>
        <w:t>colestipolo</w:t>
      </w:r>
      <w:proofErr w:type="spellEnd"/>
      <w:r w:rsidRPr="005B2844">
        <w:rPr>
          <w:szCs w:val="22"/>
        </w:rPr>
        <w:t>, medicinali per abbassare i livelli di grassi nel sangue.</w:t>
      </w:r>
    </w:p>
    <w:p w:rsidR="009B7D0E" w:rsidRPr="005B2844" w:rsidRDefault="009B7D0E" w:rsidP="00513F80">
      <w:pPr>
        <w:numPr>
          <w:ilvl w:val="0"/>
          <w:numId w:val="12"/>
        </w:numPr>
        <w:tabs>
          <w:tab w:val="clear" w:pos="720"/>
        </w:tabs>
        <w:ind w:left="567" w:hanging="567"/>
        <w:rPr>
          <w:szCs w:val="22"/>
        </w:rPr>
      </w:pPr>
      <w:r w:rsidRPr="005B2844">
        <w:rPr>
          <w:szCs w:val="22"/>
        </w:rPr>
        <w:t>Medicinali per aumentare la pressione del sangue, come la noradrenalina.</w:t>
      </w:r>
    </w:p>
    <w:p w:rsidR="009B7D0E" w:rsidRPr="005B2844" w:rsidRDefault="009B7D0E" w:rsidP="00513F80">
      <w:pPr>
        <w:numPr>
          <w:ilvl w:val="0"/>
          <w:numId w:val="12"/>
        </w:numPr>
        <w:tabs>
          <w:tab w:val="clear" w:pos="720"/>
        </w:tabs>
        <w:ind w:left="567" w:hanging="567"/>
        <w:rPr>
          <w:szCs w:val="22"/>
        </w:rPr>
      </w:pPr>
      <w:r w:rsidRPr="005B2844">
        <w:rPr>
          <w:szCs w:val="22"/>
        </w:rPr>
        <w:t>Medicinali che rilassano la muscolatura, come ad esempio tubocurarina.</w:t>
      </w:r>
    </w:p>
    <w:p w:rsidR="009B7D0E" w:rsidRPr="005B2844" w:rsidRDefault="009B7D0E" w:rsidP="00513F80">
      <w:pPr>
        <w:numPr>
          <w:ilvl w:val="0"/>
          <w:numId w:val="12"/>
        </w:numPr>
        <w:tabs>
          <w:tab w:val="clear" w:pos="720"/>
        </w:tabs>
        <w:ind w:left="567" w:hanging="567"/>
        <w:rPr>
          <w:szCs w:val="22"/>
        </w:rPr>
      </w:pPr>
      <w:r w:rsidRPr="005B2844">
        <w:rPr>
          <w:szCs w:val="22"/>
        </w:rPr>
        <w:t>Integratori a base di calcio</w:t>
      </w:r>
      <w:r w:rsidR="00416670" w:rsidRPr="005B2844">
        <w:rPr>
          <w:szCs w:val="22"/>
        </w:rPr>
        <w:t xml:space="preserve"> e/o integratori di vitamina D</w:t>
      </w:r>
      <w:r w:rsidRPr="005B2844">
        <w:rPr>
          <w:szCs w:val="22"/>
        </w:rPr>
        <w:t>.</w:t>
      </w:r>
    </w:p>
    <w:p w:rsidR="009B7D0E" w:rsidRPr="005B2844" w:rsidRDefault="009B7D0E" w:rsidP="00513F80">
      <w:pPr>
        <w:numPr>
          <w:ilvl w:val="0"/>
          <w:numId w:val="12"/>
        </w:numPr>
        <w:tabs>
          <w:tab w:val="clear" w:pos="720"/>
        </w:tabs>
        <w:ind w:left="567" w:hanging="567"/>
        <w:rPr>
          <w:szCs w:val="22"/>
        </w:rPr>
      </w:pPr>
      <w:r w:rsidRPr="005B2844">
        <w:rPr>
          <w:szCs w:val="22"/>
        </w:rPr>
        <w:t>Medicinali anti-colinergici (farmaci usati per trattare una varietà di disturbi come crampi gastrointestinali, spasmi della vescica urinaria, asma, chinetosi</w:t>
      </w:r>
      <w:r w:rsidR="0096705E" w:rsidRPr="005B2844">
        <w:rPr>
          <w:szCs w:val="22"/>
        </w:rPr>
        <w:t xml:space="preserve"> (malessere da movimento)</w:t>
      </w:r>
      <w:r w:rsidRPr="005B2844">
        <w:rPr>
          <w:szCs w:val="22"/>
        </w:rPr>
        <w:t>, spasmi muscolari,</w:t>
      </w:r>
      <w:r w:rsidR="0096705E" w:rsidRPr="005B2844">
        <w:rPr>
          <w:szCs w:val="22"/>
        </w:rPr>
        <w:t xml:space="preserve"> il</w:t>
      </w:r>
      <w:r w:rsidRPr="005B2844">
        <w:rPr>
          <w:szCs w:val="22"/>
        </w:rPr>
        <w:t xml:space="preserve"> m</w:t>
      </w:r>
      <w:r w:rsidR="009F719D" w:rsidRPr="005B2844">
        <w:rPr>
          <w:szCs w:val="22"/>
        </w:rPr>
        <w:t>orbo</w:t>
      </w:r>
      <w:r w:rsidRPr="005B2844">
        <w:rPr>
          <w:szCs w:val="22"/>
        </w:rPr>
        <w:t xml:space="preserve"> di Parkinson e come aiuto per l’anestesia), come atropina e </w:t>
      </w:r>
      <w:proofErr w:type="spellStart"/>
      <w:r w:rsidRPr="005B2844">
        <w:rPr>
          <w:szCs w:val="22"/>
        </w:rPr>
        <w:t>biperidone</w:t>
      </w:r>
      <w:proofErr w:type="spellEnd"/>
      <w:r w:rsidRPr="005B2844">
        <w:rPr>
          <w:szCs w:val="22"/>
        </w:rPr>
        <w:t>.</w:t>
      </w:r>
    </w:p>
    <w:p w:rsidR="009B7D0E" w:rsidRPr="005B2844" w:rsidRDefault="009B7D0E" w:rsidP="00513F80">
      <w:pPr>
        <w:numPr>
          <w:ilvl w:val="0"/>
          <w:numId w:val="12"/>
        </w:numPr>
        <w:tabs>
          <w:tab w:val="clear" w:pos="720"/>
        </w:tabs>
        <w:ind w:left="567" w:hanging="567"/>
        <w:rPr>
          <w:szCs w:val="22"/>
        </w:rPr>
      </w:pPr>
      <w:proofErr w:type="spellStart"/>
      <w:r w:rsidRPr="005B2844">
        <w:rPr>
          <w:szCs w:val="22"/>
        </w:rPr>
        <w:t>Amantadina</w:t>
      </w:r>
      <w:proofErr w:type="spellEnd"/>
      <w:r w:rsidRPr="005B2844">
        <w:rPr>
          <w:szCs w:val="22"/>
        </w:rPr>
        <w:t xml:space="preserve"> (medicinale usato per </w:t>
      </w:r>
      <w:r w:rsidR="009F719D" w:rsidRPr="005B2844">
        <w:rPr>
          <w:szCs w:val="22"/>
        </w:rPr>
        <w:t>trattare</w:t>
      </w:r>
      <w:r w:rsidRPr="005B2844">
        <w:rPr>
          <w:szCs w:val="22"/>
        </w:rPr>
        <w:t xml:space="preserve"> il morbo di Parkinson e usato anche per trattare o prevenire le malattie causate da virus).</w:t>
      </w:r>
    </w:p>
    <w:p w:rsidR="0020480F" w:rsidRPr="005B2844" w:rsidRDefault="0020480F" w:rsidP="009536AB">
      <w:pPr>
        <w:numPr>
          <w:ilvl w:val="0"/>
          <w:numId w:val="12"/>
        </w:numPr>
        <w:tabs>
          <w:tab w:val="clear" w:pos="720"/>
        </w:tabs>
        <w:ind w:left="567" w:hanging="567"/>
        <w:rPr>
          <w:szCs w:val="22"/>
        </w:rPr>
      </w:pPr>
      <w:r w:rsidRPr="005B2844">
        <w:rPr>
          <w:szCs w:val="22"/>
        </w:rPr>
        <w:t xml:space="preserve">Altre sostanze utilizzate per trattare la pressione del sangue alta, </w:t>
      </w:r>
      <w:r w:rsidR="003162E2" w:rsidRPr="005B2844">
        <w:rPr>
          <w:szCs w:val="22"/>
        </w:rPr>
        <w:t>cortico</w:t>
      </w:r>
      <w:r w:rsidRPr="005B2844">
        <w:rPr>
          <w:szCs w:val="22"/>
        </w:rPr>
        <w:t>steroidi, antidolorifici</w:t>
      </w:r>
      <w:r w:rsidR="003162E2" w:rsidRPr="005B2844">
        <w:rPr>
          <w:szCs w:val="22"/>
        </w:rPr>
        <w:t xml:space="preserve"> (come ad esempio medicinali anti</w:t>
      </w:r>
      <w:r w:rsidR="00AF1112" w:rsidRPr="005B2844">
        <w:rPr>
          <w:szCs w:val="22"/>
        </w:rPr>
        <w:t xml:space="preserve"> </w:t>
      </w:r>
      <w:r w:rsidR="003162E2" w:rsidRPr="005B2844">
        <w:rPr>
          <w:szCs w:val="22"/>
        </w:rPr>
        <w:t>infiammatori non steroidei [FANS])</w:t>
      </w:r>
      <w:r w:rsidRPr="005B2844">
        <w:rPr>
          <w:szCs w:val="22"/>
        </w:rPr>
        <w:t>, medicinali per il trattamento del cancro, della gotta o artrite.</w:t>
      </w:r>
    </w:p>
    <w:p w:rsidR="00830CD2" w:rsidRPr="005B2844" w:rsidRDefault="00D43CDA" w:rsidP="00830CD2">
      <w:pPr>
        <w:numPr>
          <w:ilvl w:val="0"/>
          <w:numId w:val="12"/>
        </w:numPr>
        <w:tabs>
          <w:tab w:val="clear" w:pos="720"/>
        </w:tabs>
        <w:ind w:left="567" w:hanging="567"/>
        <w:rPr>
          <w:bCs/>
          <w:iCs/>
          <w:szCs w:val="22"/>
        </w:rPr>
      </w:pPr>
      <w:r w:rsidRPr="005B2844">
        <w:rPr>
          <w:bCs/>
          <w:iCs/>
          <w:szCs w:val="22"/>
        </w:rPr>
        <w:t xml:space="preserve">Se sta assumendo un ACE inibitore o </w:t>
      </w:r>
      <w:proofErr w:type="spellStart"/>
      <w:r w:rsidRPr="005B2844">
        <w:rPr>
          <w:bCs/>
          <w:iCs/>
          <w:szCs w:val="22"/>
        </w:rPr>
        <w:t>aliskiren</w:t>
      </w:r>
      <w:proofErr w:type="spellEnd"/>
      <w:r w:rsidRPr="005B2844">
        <w:rPr>
          <w:bCs/>
          <w:iCs/>
          <w:szCs w:val="22"/>
        </w:rPr>
        <w:t xml:space="preserve"> (vedere anche quanto riportato alla voce: “Non prenda </w:t>
      </w:r>
      <w:proofErr w:type="spellStart"/>
      <w:r w:rsidRPr="005B2844">
        <w:rPr>
          <w:bCs/>
          <w:iCs/>
          <w:szCs w:val="22"/>
        </w:rPr>
        <w:t>MicardisPlus</w:t>
      </w:r>
      <w:proofErr w:type="spellEnd"/>
      <w:r w:rsidRPr="005B2844">
        <w:rPr>
          <w:bCs/>
          <w:iCs/>
          <w:szCs w:val="22"/>
        </w:rPr>
        <w:t>” e “Avvertenze e precauzioni”).</w:t>
      </w:r>
    </w:p>
    <w:p w:rsidR="00830CD2" w:rsidRPr="005B2844" w:rsidRDefault="00830CD2" w:rsidP="00830CD2">
      <w:pPr>
        <w:numPr>
          <w:ilvl w:val="0"/>
          <w:numId w:val="12"/>
        </w:numPr>
        <w:tabs>
          <w:tab w:val="clear" w:pos="720"/>
        </w:tabs>
        <w:ind w:left="567" w:hanging="567"/>
        <w:rPr>
          <w:szCs w:val="22"/>
        </w:rPr>
      </w:pPr>
      <w:r w:rsidRPr="005B2844">
        <w:rPr>
          <w:bCs/>
          <w:iCs/>
          <w:szCs w:val="22"/>
        </w:rPr>
        <w:t>Digossina.</w:t>
      </w:r>
    </w:p>
    <w:p w:rsidR="0020480F" w:rsidRPr="005B2844" w:rsidRDefault="0020480F" w:rsidP="0072602F">
      <w:pPr>
        <w:rPr>
          <w:szCs w:val="22"/>
        </w:rPr>
      </w:pPr>
    </w:p>
    <w:p w:rsidR="0020480F" w:rsidRPr="005B2844" w:rsidRDefault="0020480F" w:rsidP="0072602F">
      <w:pPr>
        <w:rPr>
          <w:szCs w:val="22"/>
        </w:rPr>
      </w:pPr>
      <w:proofErr w:type="spellStart"/>
      <w:r w:rsidRPr="005B2844">
        <w:rPr>
          <w:szCs w:val="22"/>
        </w:rPr>
        <w:t>MicardisPlus</w:t>
      </w:r>
      <w:proofErr w:type="spellEnd"/>
      <w:r w:rsidRPr="005B2844">
        <w:rPr>
          <w:szCs w:val="22"/>
        </w:rPr>
        <w:t xml:space="preserve"> può </w:t>
      </w:r>
      <w:r w:rsidR="000A5666" w:rsidRPr="005B2844">
        <w:rPr>
          <w:szCs w:val="22"/>
        </w:rPr>
        <w:t>au</w:t>
      </w:r>
      <w:r w:rsidRPr="005B2844">
        <w:rPr>
          <w:szCs w:val="22"/>
        </w:rPr>
        <w:t xml:space="preserve">mentare l’effetto di altri medicinali </w:t>
      </w:r>
      <w:r w:rsidR="000A5666" w:rsidRPr="005B2844">
        <w:rPr>
          <w:szCs w:val="22"/>
        </w:rPr>
        <w:t>usati per</w:t>
      </w:r>
      <w:r w:rsidRPr="005B2844">
        <w:rPr>
          <w:szCs w:val="22"/>
        </w:rPr>
        <w:t xml:space="preserve"> ridurre la pressione del sangue </w:t>
      </w:r>
      <w:r w:rsidR="00F06B83" w:rsidRPr="005B2844">
        <w:rPr>
          <w:szCs w:val="22"/>
        </w:rPr>
        <w:t xml:space="preserve">o di medicinali che potenzialmente possono ridurre la pressione del sangue (ad es. </w:t>
      </w:r>
      <w:proofErr w:type="spellStart"/>
      <w:r w:rsidR="00F06B83" w:rsidRPr="005B2844">
        <w:rPr>
          <w:szCs w:val="22"/>
        </w:rPr>
        <w:t>baclofene</w:t>
      </w:r>
      <w:proofErr w:type="spellEnd"/>
      <w:r w:rsidR="00F06B83" w:rsidRPr="005B2844">
        <w:rPr>
          <w:szCs w:val="22"/>
        </w:rPr>
        <w:t xml:space="preserve">, </w:t>
      </w:r>
      <w:proofErr w:type="spellStart"/>
      <w:r w:rsidR="00F06B83" w:rsidRPr="005B2844">
        <w:rPr>
          <w:szCs w:val="22"/>
        </w:rPr>
        <w:t>amifostina</w:t>
      </w:r>
      <w:proofErr w:type="spellEnd"/>
      <w:r w:rsidR="00F06B83" w:rsidRPr="005B2844">
        <w:rPr>
          <w:szCs w:val="22"/>
        </w:rPr>
        <w:t>). Inoltre l’abbassamento della pressione del sangue può essere aggravato da alcol, barbiturici, narcotici o antidepressivi. Lei potrebbe avvertire questo abbassamento pressorio come vertigini alzandosi in piedi. Consulti</w:t>
      </w:r>
      <w:r w:rsidRPr="005B2844">
        <w:rPr>
          <w:szCs w:val="22"/>
        </w:rPr>
        <w:t xml:space="preserve"> il medico se ha la necessità di modificare la dose degli altri medicinali mentre assume </w:t>
      </w:r>
      <w:proofErr w:type="spellStart"/>
      <w:r w:rsidRPr="005B2844">
        <w:rPr>
          <w:szCs w:val="22"/>
        </w:rPr>
        <w:t>MicardisPlus</w:t>
      </w:r>
      <w:proofErr w:type="spellEnd"/>
      <w:r w:rsidRPr="005B2844">
        <w:rPr>
          <w:szCs w:val="22"/>
        </w:rPr>
        <w:t>.</w:t>
      </w:r>
    </w:p>
    <w:p w:rsidR="0020480F" w:rsidRPr="005B2844" w:rsidRDefault="0020480F" w:rsidP="0072602F">
      <w:pPr>
        <w:rPr>
          <w:szCs w:val="22"/>
        </w:rPr>
      </w:pPr>
    </w:p>
    <w:p w:rsidR="00F03EDC" w:rsidRPr="005B2844" w:rsidRDefault="00097FFC" w:rsidP="0072602F">
      <w:pPr>
        <w:rPr>
          <w:szCs w:val="22"/>
        </w:rPr>
      </w:pPr>
      <w:r w:rsidRPr="005B2844">
        <w:rPr>
          <w:szCs w:val="22"/>
        </w:rPr>
        <w:t>L</w:t>
      </w:r>
      <w:r w:rsidR="0020480F" w:rsidRPr="005B2844">
        <w:rPr>
          <w:szCs w:val="22"/>
        </w:rPr>
        <w:t xml:space="preserve">’effetto di </w:t>
      </w:r>
      <w:proofErr w:type="spellStart"/>
      <w:r w:rsidR="0020480F" w:rsidRPr="005B2844">
        <w:rPr>
          <w:szCs w:val="22"/>
        </w:rPr>
        <w:t>MicardisPlus</w:t>
      </w:r>
      <w:proofErr w:type="spellEnd"/>
      <w:r w:rsidR="0020480F" w:rsidRPr="005B2844">
        <w:rPr>
          <w:szCs w:val="22"/>
        </w:rPr>
        <w:t xml:space="preserve"> può essere ridotto quando assume FANS (</w:t>
      </w:r>
      <w:r w:rsidR="006F476C" w:rsidRPr="005B2844">
        <w:rPr>
          <w:szCs w:val="22"/>
        </w:rPr>
        <w:t>medicinali</w:t>
      </w:r>
      <w:r w:rsidR="0020480F" w:rsidRPr="005B2844">
        <w:rPr>
          <w:szCs w:val="22"/>
        </w:rPr>
        <w:t xml:space="preserve"> antiinfiammatori non steroidei, </w:t>
      </w:r>
      <w:r w:rsidR="00096E7E" w:rsidRPr="005B2844">
        <w:rPr>
          <w:szCs w:val="22"/>
        </w:rPr>
        <w:t>ad es.</w:t>
      </w:r>
      <w:r w:rsidR="0020480F" w:rsidRPr="005B2844">
        <w:rPr>
          <w:szCs w:val="22"/>
        </w:rPr>
        <w:t xml:space="preserve"> aspirina e ibuprofene).</w:t>
      </w:r>
      <w:r w:rsidR="00F03EDC" w:rsidRPr="005B2844">
        <w:rPr>
          <w:szCs w:val="22"/>
        </w:rPr>
        <w:cr/>
      </w:r>
    </w:p>
    <w:p w:rsidR="009B7D0E" w:rsidRPr="005B2844" w:rsidRDefault="009B7D0E" w:rsidP="000709BC">
      <w:pPr>
        <w:pStyle w:val="NormalWeb"/>
        <w:keepNext/>
        <w:spacing w:before="0" w:beforeAutospacing="0" w:after="0" w:afterAutospacing="0"/>
        <w:rPr>
          <w:sz w:val="22"/>
          <w:szCs w:val="22"/>
        </w:rPr>
      </w:pPr>
      <w:proofErr w:type="spellStart"/>
      <w:r w:rsidRPr="005B2844">
        <w:rPr>
          <w:b/>
          <w:bCs/>
          <w:sz w:val="22"/>
          <w:szCs w:val="22"/>
        </w:rPr>
        <w:t>MicardisPlus</w:t>
      </w:r>
      <w:proofErr w:type="spellEnd"/>
      <w:r w:rsidRPr="005B2844">
        <w:rPr>
          <w:b/>
          <w:bCs/>
          <w:sz w:val="22"/>
          <w:szCs w:val="22"/>
        </w:rPr>
        <w:t xml:space="preserve"> con cibi e alcol</w:t>
      </w:r>
    </w:p>
    <w:p w:rsidR="009B7D0E" w:rsidRPr="005B2844" w:rsidRDefault="009B7D0E" w:rsidP="000709BC">
      <w:pPr>
        <w:pStyle w:val="NormalWeb"/>
        <w:keepNext/>
        <w:spacing w:before="0" w:beforeAutospacing="0" w:after="0" w:afterAutospacing="0"/>
        <w:rPr>
          <w:sz w:val="22"/>
          <w:szCs w:val="22"/>
        </w:rPr>
      </w:pPr>
    </w:p>
    <w:p w:rsidR="009B7D0E" w:rsidRPr="005B2844" w:rsidRDefault="009B7D0E" w:rsidP="009B7D0E">
      <w:pPr>
        <w:pStyle w:val="NormalWeb"/>
        <w:spacing w:before="0" w:beforeAutospacing="0" w:after="0" w:afterAutospacing="0"/>
        <w:rPr>
          <w:sz w:val="22"/>
          <w:szCs w:val="22"/>
        </w:rPr>
      </w:pPr>
      <w:r w:rsidRPr="005B2844">
        <w:rPr>
          <w:sz w:val="22"/>
          <w:szCs w:val="22"/>
        </w:rPr>
        <w:t xml:space="preserve">Può prendere </w:t>
      </w:r>
      <w:proofErr w:type="spellStart"/>
      <w:r w:rsidRPr="005B2844">
        <w:rPr>
          <w:sz w:val="22"/>
          <w:szCs w:val="22"/>
        </w:rPr>
        <w:t>MicardisPlus</w:t>
      </w:r>
      <w:proofErr w:type="spellEnd"/>
      <w:r w:rsidRPr="005B2844">
        <w:rPr>
          <w:sz w:val="22"/>
          <w:szCs w:val="22"/>
        </w:rPr>
        <w:t xml:space="preserve"> con o senza cibo.</w:t>
      </w:r>
    </w:p>
    <w:p w:rsidR="009B7D0E" w:rsidRPr="005B2844" w:rsidRDefault="009B7D0E" w:rsidP="009B7D0E">
      <w:pPr>
        <w:pStyle w:val="NormalWeb"/>
        <w:spacing w:before="0" w:beforeAutospacing="0" w:after="0" w:afterAutospacing="0"/>
        <w:rPr>
          <w:sz w:val="22"/>
          <w:szCs w:val="22"/>
        </w:rPr>
      </w:pPr>
      <w:r w:rsidRPr="005B2844">
        <w:rPr>
          <w:sz w:val="22"/>
          <w:szCs w:val="22"/>
        </w:rPr>
        <w:t>Eviti di assumere alcol prima di averne parlato con il medico. L’a</w:t>
      </w:r>
      <w:r w:rsidR="00A744B4" w:rsidRPr="005B2844">
        <w:rPr>
          <w:sz w:val="22"/>
          <w:szCs w:val="22"/>
        </w:rPr>
        <w:t xml:space="preserve">lcol può ulteriormente ridurre la </w:t>
      </w:r>
      <w:r w:rsidRPr="005B2844">
        <w:rPr>
          <w:sz w:val="22"/>
          <w:szCs w:val="22"/>
        </w:rPr>
        <w:t xml:space="preserve">pressione del sangue e/o aumentare il rischio di </w:t>
      </w:r>
      <w:r w:rsidR="009F719D" w:rsidRPr="005B2844">
        <w:rPr>
          <w:sz w:val="22"/>
          <w:szCs w:val="22"/>
        </w:rPr>
        <w:t>giramenti di testa</w:t>
      </w:r>
      <w:r w:rsidRPr="005B2844">
        <w:rPr>
          <w:sz w:val="22"/>
          <w:szCs w:val="22"/>
        </w:rPr>
        <w:t xml:space="preserve"> o di svenimento.</w:t>
      </w:r>
    </w:p>
    <w:p w:rsidR="009B7D0E" w:rsidRPr="005B2844" w:rsidRDefault="009B7D0E" w:rsidP="0072602F">
      <w:pPr>
        <w:rPr>
          <w:szCs w:val="22"/>
        </w:rPr>
      </w:pPr>
    </w:p>
    <w:p w:rsidR="00A70FCB" w:rsidRPr="005B2844" w:rsidRDefault="00A70FCB" w:rsidP="00532263">
      <w:pPr>
        <w:keepNext/>
        <w:rPr>
          <w:b/>
          <w:szCs w:val="22"/>
        </w:rPr>
      </w:pPr>
      <w:r w:rsidRPr="005B2844">
        <w:rPr>
          <w:b/>
          <w:szCs w:val="22"/>
        </w:rPr>
        <w:t>Gravidanza</w:t>
      </w:r>
      <w:r w:rsidR="00F03EDC" w:rsidRPr="005B2844">
        <w:rPr>
          <w:b/>
          <w:szCs w:val="22"/>
        </w:rPr>
        <w:t xml:space="preserve"> e allattamento</w:t>
      </w:r>
    </w:p>
    <w:p w:rsidR="001111C5" w:rsidRPr="005B2844" w:rsidRDefault="001111C5" w:rsidP="00532263">
      <w:pPr>
        <w:keepNext/>
        <w:rPr>
          <w:b/>
          <w:szCs w:val="22"/>
        </w:rPr>
      </w:pPr>
    </w:p>
    <w:p w:rsidR="00747436" w:rsidRPr="005B2844" w:rsidRDefault="00747436" w:rsidP="00532263">
      <w:pPr>
        <w:keepNext/>
        <w:numPr>
          <w:ilvl w:val="12"/>
          <w:numId w:val="0"/>
        </w:numPr>
        <w:rPr>
          <w:noProof/>
          <w:color w:val="000000"/>
          <w:szCs w:val="22"/>
          <w:u w:val="single"/>
        </w:rPr>
      </w:pPr>
      <w:r w:rsidRPr="005B2844">
        <w:rPr>
          <w:noProof/>
          <w:color w:val="000000"/>
          <w:szCs w:val="22"/>
          <w:u w:val="single"/>
        </w:rPr>
        <w:t>Gravidanza</w:t>
      </w:r>
    </w:p>
    <w:p w:rsidR="00747436" w:rsidRPr="005B2844" w:rsidRDefault="00747436" w:rsidP="00747436">
      <w:pPr>
        <w:numPr>
          <w:ilvl w:val="12"/>
          <w:numId w:val="0"/>
        </w:numPr>
        <w:rPr>
          <w:color w:val="000000"/>
          <w:szCs w:val="22"/>
        </w:rPr>
      </w:pPr>
      <w:r w:rsidRPr="005B2844">
        <w:rPr>
          <w:noProof/>
          <w:color w:val="000000"/>
          <w:szCs w:val="22"/>
        </w:rPr>
        <w:t>Deve informare il medico se pensa di essere in stato di gravidanza (</w:t>
      </w:r>
      <w:r w:rsidRPr="005B2844">
        <w:rPr>
          <w:noProof/>
          <w:color w:val="000000"/>
          <w:szCs w:val="22"/>
          <w:u w:val="single"/>
        </w:rPr>
        <w:t>o se vi è la possibilità di dare inizio ad una gravidanza</w:t>
      </w:r>
      <w:r w:rsidRPr="005B2844">
        <w:rPr>
          <w:noProof/>
          <w:color w:val="000000"/>
          <w:szCs w:val="22"/>
        </w:rPr>
        <w:t xml:space="preserve">). Di norma il medico le consiglierà di interrompere l’assunzione di MicardisPlus prima di dare inizio alla gravidanza o appena lei verrà a conoscenza di essere in stato di gravidanza e le consiglierà di prendere un altro medicinale al posto di MicardisPlus. MicardisPlus non è raccomandato </w:t>
      </w:r>
      <w:r w:rsidR="004D1091" w:rsidRPr="005B2844">
        <w:rPr>
          <w:noProof/>
          <w:color w:val="000000"/>
          <w:szCs w:val="22"/>
        </w:rPr>
        <w:t>durante la</w:t>
      </w:r>
      <w:r w:rsidRPr="005B2844">
        <w:rPr>
          <w:noProof/>
          <w:color w:val="000000"/>
          <w:szCs w:val="22"/>
        </w:rPr>
        <w:t xml:space="preserve"> gravidanza e non deve essere assunto se lei è </w:t>
      </w:r>
      <w:r w:rsidRPr="005B2844">
        <w:rPr>
          <w:szCs w:val="22"/>
        </w:rPr>
        <w:t>in stato di gravidanza da più di 3 mesi</w:t>
      </w:r>
      <w:r w:rsidRPr="005B2844">
        <w:rPr>
          <w:noProof/>
          <w:color w:val="000000"/>
          <w:szCs w:val="22"/>
        </w:rPr>
        <w:t xml:space="preserve"> poiché può causare gravi danni al bambino se preso dopo il terzo mese di gravidanza.</w:t>
      </w:r>
    </w:p>
    <w:p w:rsidR="00747436" w:rsidRPr="005B2844" w:rsidRDefault="00747436" w:rsidP="00747436">
      <w:pPr>
        <w:rPr>
          <w:szCs w:val="22"/>
        </w:rPr>
      </w:pPr>
    </w:p>
    <w:p w:rsidR="00747436" w:rsidRPr="005B2844" w:rsidRDefault="00747436" w:rsidP="00532263">
      <w:pPr>
        <w:keepNext/>
        <w:rPr>
          <w:szCs w:val="22"/>
          <w:u w:val="single"/>
        </w:rPr>
      </w:pPr>
      <w:r w:rsidRPr="005B2844">
        <w:rPr>
          <w:szCs w:val="22"/>
          <w:u w:val="single"/>
        </w:rPr>
        <w:t>Allattamento</w:t>
      </w:r>
    </w:p>
    <w:p w:rsidR="00747436" w:rsidRPr="005B2844" w:rsidRDefault="00747436" w:rsidP="00747436">
      <w:pPr>
        <w:numPr>
          <w:ilvl w:val="12"/>
          <w:numId w:val="0"/>
        </w:numPr>
        <w:rPr>
          <w:szCs w:val="22"/>
        </w:rPr>
      </w:pPr>
      <w:r w:rsidRPr="005B2844">
        <w:rPr>
          <w:szCs w:val="22"/>
        </w:rPr>
        <w:t xml:space="preserve">Informi il medico se sta allattando o se sta per iniziare l’allattamento. </w:t>
      </w:r>
      <w:proofErr w:type="spellStart"/>
      <w:r w:rsidRPr="005B2844">
        <w:rPr>
          <w:szCs w:val="22"/>
        </w:rPr>
        <w:t>MicardisPlus</w:t>
      </w:r>
      <w:proofErr w:type="spellEnd"/>
      <w:r w:rsidRPr="005B2844">
        <w:rPr>
          <w:szCs w:val="22"/>
        </w:rPr>
        <w:t xml:space="preserve"> non è raccomandato per le donne che stanno allattando e il medico può scegliere per lei un altro trattamento se lei desidera allattare.</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Guida di v</w:t>
      </w:r>
      <w:r w:rsidR="00123B15" w:rsidRPr="005B2844">
        <w:rPr>
          <w:b/>
          <w:szCs w:val="22"/>
        </w:rPr>
        <w:t>eicoli e utilizzo di macchinari</w:t>
      </w:r>
    </w:p>
    <w:p w:rsidR="00123B15" w:rsidRPr="005B2844" w:rsidRDefault="00123B15" w:rsidP="00532263">
      <w:pPr>
        <w:keepNext/>
        <w:rPr>
          <w:b/>
          <w:szCs w:val="22"/>
        </w:rPr>
      </w:pPr>
    </w:p>
    <w:p w:rsidR="007A1B5A" w:rsidRPr="005B2844" w:rsidRDefault="007A1B5A" w:rsidP="0072602F">
      <w:pPr>
        <w:rPr>
          <w:szCs w:val="22"/>
        </w:rPr>
      </w:pPr>
      <w:r w:rsidRPr="005B2844">
        <w:rPr>
          <w:szCs w:val="22"/>
        </w:rPr>
        <w:t xml:space="preserve">Alcuni pazienti possono riportare </w:t>
      </w:r>
      <w:r w:rsidR="009F719D" w:rsidRPr="005B2844">
        <w:rPr>
          <w:szCs w:val="22"/>
        </w:rPr>
        <w:t xml:space="preserve">giramento di testa </w:t>
      </w:r>
      <w:r w:rsidRPr="005B2844">
        <w:rPr>
          <w:szCs w:val="22"/>
        </w:rPr>
        <w:t xml:space="preserve">o </w:t>
      </w:r>
      <w:r w:rsidR="009F719D" w:rsidRPr="005B2844">
        <w:rPr>
          <w:szCs w:val="22"/>
        </w:rPr>
        <w:t xml:space="preserve">stanchezza </w:t>
      </w:r>
      <w:r w:rsidR="004468FF" w:rsidRPr="005B2844">
        <w:rPr>
          <w:szCs w:val="22"/>
        </w:rPr>
        <w:t xml:space="preserve">quando assumono </w:t>
      </w:r>
      <w:proofErr w:type="spellStart"/>
      <w:r w:rsidR="004468FF" w:rsidRPr="005B2844">
        <w:rPr>
          <w:szCs w:val="22"/>
        </w:rPr>
        <w:t>MicardisPlus</w:t>
      </w:r>
      <w:proofErr w:type="spellEnd"/>
      <w:r w:rsidR="003D58CE" w:rsidRPr="005B2844">
        <w:rPr>
          <w:szCs w:val="22"/>
        </w:rPr>
        <w:t>.</w:t>
      </w:r>
      <w:r w:rsidRPr="005B2844">
        <w:rPr>
          <w:szCs w:val="22"/>
        </w:rPr>
        <w:t xml:space="preserve"> Se si verificano questi effetti, non guidi né utilizzi macchinari.</w:t>
      </w:r>
    </w:p>
    <w:p w:rsidR="00A70FCB" w:rsidRPr="005B2844" w:rsidRDefault="00A70FCB" w:rsidP="0072602F">
      <w:pPr>
        <w:rPr>
          <w:szCs w:val="22"/>
        </w:rPr>
      </w:pPr>
    </w:p>
    <w:p w:rsidR="007A1B5A" w:rsidRPr="005B2844" w:rsidRDefault="007A1B5A" w:rsidP="00532263">
      <w:pPr>
        <w:keepNext/>
        <w:rPr>
          <w:b/>
          <w:szCs w:val="22"/>
        </w:rPr>
      </w:pPr>
      <w:proofErr w:type="spellStart"/>
      <w:r w:rsidRPr="005B2844">
        <w:rPr>
          <w:b/>
          <w:szCs w:val="22"/>
        </w:rPr>
        <w:t>MicardisPlus</w:t>
      </w:r>
      <w:proofErr w:type="spellEnd"/>
      <w:r w:rsidRPr="005B2844">
        <w:rPr>
          <w:b/>
          <w:szCs w:val="22"/>
        </w:rPr>
        <w:t xml:space="preserve"> contiene lo zucchero del latte (lattosio) e sorbitolo.</w:t>
      </w:r>
    </w:p>
    <w:p w:rsidR="00A70FCB" w:rsidRPr="005B2844" w:rsidRDefault="001848C0" w:rsidP="0072602F">
      <w:pPr>
        <w:rPr>
          <w:szCs w:val="22"/>
        </w:rPr>
      </w:pPr>
      <w:r w:rsidRPr="005B2844">
        <w:rPr>
          <w:szCs w:val="22"/>
        </w:rPr>
        <w:t xml:space="preserve">Se lei </w:t>
      </w:r>
      <w:r w:rsidR="007A1B5A" w:rsidRPr="005B2844">
        <w:rPr>
          <w:szCs w:val="22"/>
        </w:rPr>
        <w:t>è</w:t>
      </w:r>
      <w:r w:rsidRPr="005B2844">
        <w:rPr>
          <w:szCs w:val="22"/>
        </w:rPr>
        <w:t xml:space="preserve"> intolleran</w:t>
      </w:r>
      <w:r w:rsidR="007A1B5A" w:rsidRPr="005B2844">
        <w:rPr>
          <w:szCs w:val="22"/>
        </w:rPr>
        <w:t>te</w:t>
      </w:r>
      <w:r w:rsidRPr="005B2844">
        <w:rPr>
          <w:szCs w:val="22"/>
        </w:rPr>
        <w:t xml:space="preserve"> a qualche zucchero, con</w:t>
      </w:r>
      <w:r w:rsidR="007A1B5A" w:rsidRPr="005B2844">
        <w:rPr>
          <w:szCs w:val="22"/>
        </w:rPr>
        <w:t>sulti</w:t>
      </w:r>
      <w:r w:rsidRPr="005B2844">
        <w:rPr>
          <w:szCs w:val="22"/>
        </w:rPr>
        <w:t xml:space="preserve"> il medico prima di assumere </w:t>
      </w:r>
      <w:proofErr w:type="spellStart"/>
      <w:r w:rsidRPr="005B2844">
        <w:rPr>
          <w:szCs w:val="22"/>
        </w:rPr>
        <w:t>MicardisPlus</w:t>
      </w:r>
      <w:proofErr w:type="spellEnd"/>
      <w:r w:rsidRPr="005B2844">
        <w:rPr>
          <w:szCs w:val="22"/>
        </w:rPr>
        <w:t>.</w:t>
      </w:r>
    </w:p>
    <w:p w:rsidR="00A70FCB" w:rsidRPr="005B2844" w:rsidRDefault="00A70FCB" w:rsidP="0072602F">
      <w:pPr>
        <w:rPr>
          <w:szCs w:val="22"/>
        </w:rPr>
      </w:pPr>
    </w:p>
    <w:p w:rsidR="00A70FCB" w:rsidRPr="005B2844" w:rsidRDefault="00A70FCB" w:rsidP="0072602F">
      <w:pPr>
        <w:rPr>
          <w:szCs w:val="22"/>
        </w:rPr>
      </w:pPr>
    </w:p>
    <w:p w:rsidR="00A70FCB" w:rsidRPr="005B2844" w:rsidRDefault="004C355D" w:rsidP="00532263">
      <w:pPr>
        <w:keepNext/>
        <w:tabs>
          <w:tab w:val="left" w:pos="567"/>
        </w:tabs>
        <w:rPr>
          <w:b/>
          <w:szCs w:val="22"/>
        </w:rPr>
      </w:pPr>
      <w:r w:rsidRPr="005B2844">
        <w:rPr>
          <w:b/>
          <w:szCs w:val="22"/>
        </w:rPr>
        <w:t>3.</w:t>
      </w:r>
      <w:r w:rsidRPr="005B2844">
        <w:rPr>
          <w:b/>
          <w:szCs w:val="22"/>
        </w:rPr>
        <w:tab/>
      </w:r>
      <w:r w:rsidR="001063FE" w:rsidRPr="005B2844">
        <w:rPr>
          <w:b/>
          <w:szCs w:val="22"/>
        </w:rPr>
        <w:t xml:space="preserve">Come prendere </w:t>
      </w:r>
      <w:proofErr w:type="spellStart"/>
      <w:r w:rsidR="001063FE" w:rsidRPr="005B2844">
        <w:rPr>
          <w:b/>
          <w:szCs w:val="22"/>
        </w:rPr>
        <w:t>MicardisPlus</w:t>
      </w:r>
      <w:proofErr w:type="spellEnd"/>
    </w:p>
    <w:p w:rsidR="00A70FCB" w:rsidRPr="005B2844" w:rsidRDefault="00A70FCB" w:rsidP="00532263">
      <w:pPr>
        <w:keepNext/>
        <w:rPr>
          <w:szCs w:val="22"/>
        </w:rPr>
      </w:pPr>
    </w:p>
    <w:p w:rsidR="00A70FCB" w:rsidRPr="005B2844" w:rsidRDefault="00A70FCB" w:rsidP="0072602F">
      <w:pPr>
        <w:rPr>
          <w:szCs w:val="22"/>
        </w:rPr>
      </w:pPr>
      <w:r w:rsidRPr="005B2844">
        <w:rPr>
          <w:szCs w:val="22"/>
        </w:rPr>
        <w:t xml:space="preserve">Prenda </w:t>
      </w:r>
      <w:r w:rsidR="005E0327" w:rsidRPr="005B2844">
        <w:rPr>
          <w:szCs w:val="22"/>
        </w:rPr>
        <w:t xml:space="preserve">questo medicinale </w:t>
      </w:r>
      <w:r w:rsidRPr="005B2844">
        <w:rPr>
          <w:szCs w:val="22"/>
        </w:rPr>
        <w:t xml:space="preserve">seguendo </w:t>
      </w:r>
      <w:r w:rsidR="0009078D" w:rsidRPr="005B2844">
        <w:rPr>
          <w:szCs w:val="22"/>
        </w:rPr>
        <w:t xml:space="preserve">sempre </w:t>
      </w:r>
      <w:r w:rsidRPr="005B2844">
        <w:rPr>
          <w:szCs w:val="22"/>
        </w:rPr>
        <w:t xml:space="preserve">esattamente le istruzioni del medico. Se </w:t>
      </w:r>
      <w:r w:rsidR="008E59C4" w:rsidRPr="005B2844">
        <w:rPr>
          <w:szCs w:val="22"/>
        </w:rPr>
        <w:t>ha dubbi</w:t>
      </w:r>
      <w:r w:rsidRPr="005B2844">
        <w:rPr>
          <w:szCs w:val="22"/>
        </w:rPr>
        <w:t xml:space="preserve"> consult</w:t>
      </w:r>
      <w:r w:rsidR="008E59C4" w:rsidRPr="005B2844">
        <w:rPr>
          <w:szCs w:val="22"/>
        </w:rPr>
        <w:t>i</w:t>
      </w:r>
      <w:r w:rsidRPr="005B2844">
        <w:rPr>
          <w:szCs w:val="22"/>
        </w:rPr>
        <w:t xml:space="preserve"> il medico o il farmacista.</w:t>
      </w:r>
    </w:p>
    <w:p w:rsidR="00A70FCB" w:rsidRPr="005B2844" w:rsidRDefault="00A70FCB" w:rsidP="0072602F">
      <w:pPr>
        <w:rPr>
          <w:szCs w:val="22"/>
        </w:rPr>
      </w:pPr>
    </w:p>
    <w:p w:rsidR="001063FE" w:rsidRPr="005B2844" w:rsidRDefault="00A70FCB" w:rsidP="0072602F">
      <w:pPr>
        <w:rPr>
          <w:szCs w:val="22"/>
        </w:rPr>
      </w:pPr>
      <w:r w:rsidRPr="005B2844">
        <w:rPr>
          <w:szCs w:val="22"/>
        </w:rPr>
        <w:t xml:space="preserve">La dose </w:t>
      </w:r>
      <w:r w:rsidR="001063FE" w:rsidRPr="005B2844">
        <w:rPr>
          <w:szCs w:val="22"/>
        </w:rPr>
        <w:t>raccomandata</w:t>
      </w:r>
      <w:r w:rsidRPr="005B2844">
        <w:rPr>
          <w:szCs w:val="22"/>
        </w:rPr>
        <w:t xml:space="preserve"> è di una compressa al giorno. </w:t>
      </w:r>
      <w:r w:rsidR="00E847EE" w:rsidRPr="005B2844">
        <w:rPr>
          <w:szCs w:val="22"/>
        </w:rPr>
        <w:t>Cerchi di prendere la compressa alla stessa ora ogni giorno.</w:t>
      </w:r>
    </w:p>
    <w:p w:rsidR="00A70FCB" w:rsidRPr="005B2844" w:rsidRDefault="00A70FCB" w:rsidP="0072602F">
      <w:pPr>
        <w:rPr>
          <w:szCs w:val="22"/>
        </w:rPr>
      </w:pPr>
      <w:r w:rsidRPr="005B2844">
        <w:rPr>
          <w:szCs w:val="22"/>
        </w:rPr>
        <w:t xml:space="preserve">Può prendere </w:t>
      </w:r>
      <w:proofErr w:type="spellStart"/>
      <w:r w:rsidRPr="005B2844">
        <w:rPr>
          <w:szCs w:val="22"/>
        </w:rPr>
        <w:t>MicardisPlus</w:t>
      </w:r>
      <w:proofErr w:type="spellEnd"/>
      <w:r w:rsidRPr="005B2844">
        <w:rPr>
          <w:szCs w:val="22"/>
        </w:rPr>
        <w:t xml:space="preserve"> con o senza cibo. Le compresse devono essere deglutite con un </w:t>
      </w:r>
      <w:r w:rsidR="00E847EE" w:rsidRPr="005B2844">
        <w:rPr>
          <w:szCs w:val="22"/>
        </w:rPr>
        <w:t xml:space="preserve">po’ d’acqua o altra bevanda non alcolica. </w:t>
      </w:r>
      <w:r w:rsidRPr="005B2844">
        <w:rPr>
          <w:szCs w:val="22"/>
        </w:rPr>
        <w:t xml:space="preserve">È importante prendere </w:t>
      </w:r>
      <w:proofErr w:type="spellStart"/>
      <w:r w:rsidRPr="005B2844">
        <w:rPr>
          <w:szCs w:val="22"/>
        </w:rPr>
        <w:t>MicardisPlus</w:t>
      </w:r>
      <w:proofErr w:type="spellEnd"/>
      <w:r w:rsidRPr="005B2844">
        <w:rPr>
          <w:szCs w:val="22"/>
        </w:rPr>
        <w:t xml:space="preserve"> ogni giorno fino a quando il medico non le dirà altrimenti.</w:t>
      </w:r>
    </w:p>
    <w:p w:rsidR="00A70FCB" w:rsidRPr="005B2844" w:rsidRDefault="00A70FCB" w:rsidP="0072602F">
      <w:pPr>
        <w:rPr>
          <w:szCs w:val="22"/>
        </w:rPr>
      </w:pPr>
    </w:p>
    <w:p w:rsidR="00A70FCB" w:rsidRPr="005B2844" w:rsidRDefault="00E847EE" w:rsidP="0072602F">
      <w:pPr>
        <w:rPr>
          <w:szCs w:val="22"/>
        </w:rPr>
      </w:pPr>
      <w:r w:rsidRPr="005B2844">
        <w:rPr>
          <w:szCs w:val="22"/>
        </w:rPr>
        <w:t xml:space="preserve">Se il suo fegato non </w:t>
      </w:r>
      <w:r w:rsidR="00345DCF" w:rsidRPr="005B2844">
        <w:rPr>
          <w:szCs w:val="22"/>
        </w:rPr>
        <w:t>funziona</w:t>
      </w:r>
      <w:r w:rsidRPr="005B2844">
        <w:rPr>
          <w:szCs w:val="22"/>
        </w:rPr>
        <w:t xml:space="preserve"> in modo adeguato, </w:t>
      </w:r>
      <w:r w:rsidR="00A70FCB" w:rsidRPr="005B2844">
        <w:rPr>
          <w:szCs w:val="22"/>
        </w:rPr>
        <w:t>non deve essere superata la dose abituale di 40</w:t>
      </w:r>
      <w:r w:rsidR="00DE2B15" w:rsidRPr="005B2844">
        <w:rPr>
          <w:szCs w:val="22"/>
        </w:rPr>
        <w:t> mg</w:t>
      </w:r>
      <w:r w:rsidR="00A70FCB" w:rsidRPr="005B2844">
        <w:rPr>
          <w:szCs w:val="22"/>
        </w:rPr>
        <w:t xml:space="preserve">/12,5 mg </w:t>
      </w:r>
      <w:r w:rsidR="00E95954" w:rsidRPr="005B2844">
        <w:rPr>
          <w:szCs w:val="22"/>
        </w:rPr>
        <w:t xml:space="preserve">una volta </w:t>
      </w:r>
      <w:r w:rsidR="00A70FCB" w:rsidRPr="005B2844">
        <w:rPr>
          <w:szCs w:val="22"/>
        </w:rPr>
        <w:t>al giorno.</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 xml:space="preserve">Se prende più </w:t>
      </w:r>
      <w:proofErr w:type="spellStart"/>
      <w:r w:rsidRPr="005B2844">
        <w:rPr>
          <w:b/>
          <w:szCs w:val="22"/>
        </w:rPr>
        <w:t>MicardisPlus</w:t>
      </w:r>
      <w:proofErr w:type="spellEnd"/>
      <w:r w:rsidRPr="005B2844">
        <w:rPr>
          <w:b/>
          <w:szCs w:val="22"/>
        </w:rPr>
        <w:t xml:space="preserve"> di quanto deve</w:t>
      </w:r>
    </w:p>
    <w:p w:rsidR="00A70FCB" w:rsidRPr="005B2844" w:rsidRDefault="00A70FCB" w:rsidP="0072602F">
      <w:pPr>
        <w:rPr>
          <w:szCs w:val="22"/>
        </w:rPr>
      </w:pPr>
      <w:r w:rsidRPr="005B2844">
        <w:rPr>
          <w:szCs w:val="22"/>
        </w:rPr>
        <w:t>In caso lei abbia preso per errore troppe compresse</w:t>
      </w:r>
      <w:r w:rsidR="009B7D0E" w:rsidRPr="005B2844">
        <w:rPr>
          <w:szCs w:val="22"/>
        </w:rPr>
        <w:t xml:space="preserve"> potrebbe avvertire sintomi quali </w:t>
      </w:r>
      <w:r w:rsidR="003162E2" w:rsidRPr="005B2844">
        <w:rPr>
          <w:szCs w:val="22"/>
        </w:rPr>
        <w:t xml:space="preserve">pressione del sangue bassa e battito del cuore accelerato. Sono stati riportati anche battito del cuore lento, </w:t>
      </w:r>
      <w:r w:rsidR="009F719D" w:rsidRPr="005B2844">
        <w:rPr>
          <w:szCs w:val="22"/>
        </w:rPr>
        <w:t>capogir</w:t>
      </w:r>
      <w:r w:rsidR="003162E2" w:rsidRPr="005B2844">
        <w:rPr>
          <w:szCs w:val="22"/>
        </w:rPr>
        <w:t xml:space="preserve">i, vomito, ridotta funzionalità renale inclusa insufficienza renale. A causa della presenza di </w:t>
      </w:r>
      <w:proofErr w:type="spellStart"/>
      <w:r w:rsidR="003162E2" w:rsidRPr="005B2844">
        <w:rPr>
          <w:szCs w:val="22"/>
        </w:rPr>
        <w:t>idroclorotiazide</w:t>
      </w:r>
      <w:proofErr w:type="spellEnd"/>
      <w:r w:rsidR="003162E2" w:rsidRPr="005B2844">
        <w:rPr>
          <w:szCs w:val="22"/>
        </w:rPr>
        <w:t>, possono anche presentarsi pressione del sangue marcatamente bassa e bassi livelli di potassio nel sangue, che possono provocare nausea, sonnolenza e crampi muscolar</w:t>
      </w:r>
      <w:r w:rsidR="00880FE1" w:rsidRPr="005B2844">
        <w:rPr>
          <w:szCs w:val="22"/>
        </w:rPr>
        <w:t xml:space="preserve">i e/o battito del cuore irregolare associato </w:t>
      </w:r>
      <w:r w:rsidR="00DE07CD" w:rsidRPr="005B2844">
        <w:rPr>
          <w:szCs w:val="22"/>
        </w:rPr>
        <w:t>al</w:t>
      </w:r>
      <w:r w:rsidR="00880FE1" w:rsidRPr="005B2844">
        <w:rPr>
          <w:szCs w:val="22"/>
        </w:rPr>
        <w:t xml:space="preserve">l’uso concomitante di farmaci come la digitale o alcuni trattamenti antiaritmici. </w:t>
      </w:r>
      <w:r w:rsidR="009B7D0E" w:rsidRPr="005B2844">
        <w:rPr>
          <w:szCs w:val="22"/>
        </w:rPr>
        <w:t>C</w:t>
      </w:r>
      <w:r w:rsidRPr="005B2844">
        <w:rPr>
          <w:szCs w:val="22"/>
        </w:rPr>
        <w:t xml:space="preserve">ontatti </w:t>
      </w:r>
      <w:r w:rsidR="003D0DE3" w:rsidRPr="005B2844">
        <w:rPr>
          <w:szCs w:val="22"/>
        </w:rPr>
        <w:t xml:space="preserve">immediatamente </w:t>
      </w:r>
      <w:r w:rsidRPr="005B2844">
        <w:rPr>
          <w:szCs w:val="22"/>
        </w:rPr>
        <w:t>il medico o il farmacista, o il pronto soccorso dell'ospedale più vicino.</w:t>
      </w:r>
    </w:p>
    <w:p w:rsidR="00A70FCB" w:rsidRPr="005B2844" w:rsidRDefault="00A70FCB" w:rsidP="0072602F">
      <w:pPr>
        <w:rPr>
          <w:szCs w:val="22"/>
        </w:rPr>
      </w:pPr>
    </w:p>
    <w:p w:rsidR="00A70FCB" w:rsidRPr="005B2844" w:rsidRDefault="00A70FCB" w:rsidP="00532263">
      <w:pPr>
        <w:keepNext/>
        <w:rPr>
          <w:b/>
          <w:szCs w:val="22"/>
        </w:rPr>
      </w:pPr>
      <w:r w:rsidRPr="005B2844">
        <w:rPr>
          <w:b/>
          <w:szCs w:val="22"/>
        </w:rPr>
        <w:t xml:space="preserve">Se dimentica di prendere </w:t>
      </w:r>
      <w:proofErr w:type="spellStart"/>
      <w:r w:rsidRPr="005B2844">
        <w:rPr>
          <w:b/>
          <w:szCs w:val="22"/>
        </w:rPr>
        <w:t>MicardisPlus</w:t>
      </w:r>
      <w:proofErr w:type="spellEnd"/>
    </w:p>
    <w:p w:rsidR="00A70FCB" w:rsidRPr="005B2844" w:rsidRDefault="00A70FCB" w:rsidP="0072602F">
      <w:pPr>
        <w:rPr>
          <w:szCs w:val="22"/>
        </w:rPr>
      </w:pPr>
      <w:r w:rsidRPr="005B2844">
        <w:rPr>
          <w:szCs w:val="22"/>
        </w:rPr>
        <w:t xml:space="preserve">Se dimentica di prendere il </w:t>
      </w:r>
      <w:r w:rsidR="0080254B" w:rsidRPr="005B2844">
        <w:rPr>
          <w:szCs w:val="22"/>
        </w:rPr>
        <w:t>medicinale</w:t>
      </w:r>
      <w:r w:rsidRPr="005B2844">
        <w:rPr>
          <w:szCs w:val="22"/>
        </w:rPr>
        <w:t xml:space="preserve">, non si preoccupi. Lo prenda non appena se ne ricorda, poi continui come prima. Se salta la dose di un giorno, prenda la dose normale il giorno successivo. </w:t>
      </w:r>
      <w:r w:rsidRPr="005B2844">
        <w:rPr>
          <w:b/>
          <w:i/>
          <w:szCs w:val="22"/>
        </w:rPr>
        <w:t xml:space="preserve">Non </w:t>
      </w:r>
      <w:r w:rsidRPr="005B2844">
        <w:rPr>
          <w:szCs w:val="22"/>
        </w:rPr>
        <w:t xml:space="preserve">prenda una dose doppia per compensare </w:t>
      </w:r>
      <w:r w:rsidR="003D0DE3" w:rsidRPr="005B2844">
        <w:rPr>
          <w:szCs w:val="22"/>
        </w:rPr>
        <w:t xml:space="preserve">la dimenticanza </w:t>
      </w:r>
      <w:r w:rsidR="00D01EC3" w:rsidRPr="005B2844">
        <w:rPr>
          <w:szCs w:val="22"/>
        </w:rPr>
        <w:t>delle dosi</w:t>
      </w:r>
      <w:r w:rsidRPr="005B2844">
        <w:rPr>
          <w:szCs w:val="22"/>
        </w:rPr>
        <w:t>.</w:t>
      </w:r>
    </w:p>
    <w:p w:rsidR="00A70FCB" w:rsidRPr="005B2844" w:rsidRDefault="00A70FCB" w:rsidP="0072602F">
      <w:pPr>
        <w:rPr>
          <w:szCs w:val="22"/>
        </w:rPr>
      </w:pPr>
    </w:p>
    <w:p w:rsidR="00FE30E8" w:rsidRPr="005B2844" w:rsidRDefault="00FE30E8" w:rsidP="0072602F">
      <w:pPr>
        <w:suppressAutoHyphens/>
        <w:rPr>
          <w:noProof/>
          <w:szCs w:val="22"/>
        </w:rPr>
      </w:pPr>
      <w:r w:rsidRPr="005B2844">
        <w:rPr>
          <w:noProof/>
          <w:szCs w:val="22"/>
        </w:rPr>
        <w:t xml:space="preserve">Se ha qualsiasi dubbio sull’uso di </w:t>
      </w:r>
      <w:r w:rsidR="00036097" w:rsidRPr="005B2844">
        <w:rPr>
          <w:noProof/>
          <w:szCs w:val="22"/>
        </w:rPr>
        <w:t>questo medicinale</w:t>
      </w:r>
      <w:r w:rsidRPr="005B2844">
        <w:rPr>
          <w:noProof/>
          <w:szCs w:val="22"/>
        </w:rPr>
        <w:t>, si rivolga al medico o al farmacista.</w:t>
      </w:r>
    </w:p>
    <w:p w:rsidR="00A70FCB" w:rsidRPr="005B2844" w:rsidRDefault="00A70FCB" w:rsidP="0072602F">
      <w:pPr>
        <w:rPr>
          <w:szCs w:val="22"/>
        </w:rPr>
      </w:pPr>
    </w:p>
    <w:p w:rsidR="00FE30E8" w:rsidRPr="005B2844" w:rsidRDefault="00FE30E8" w:rsidP="0072602F">
      <w:pPr>
        <w:rPr>
          <w:szCs w:val="22"/>
        </w:rPr>
      </w:pPr>
    </w:p>
    <w:p w:rsidR="00A70FCB" w:rsidRPr="005B2844" w:rsidRDefault="00A70FCB" w:rsidP="00532263">
      <w:pPr>
        <w:keepNext/>
        <w:ind w:left="567" w:hanging="567"/>
        <w:rPr>
          <w:b/>
          <w:szCs w:val="22"/>
        </w:rPr>
      </w:pPr>
      <w:r w:rsidRPr="005B2844">
        <w:rPr>
          <w:b/>
          <w:szCs w:val="22"/>
        </w:rPr>
        <w:t>4.</w:t>
      </w:r>
      <w:r w:rsidRPr="005B2844">
        <w:rPr>
          <w:b/>
          <w:szCs w:val="22"/>
        </w:rPr>
        <w:tab/>
      </w:r>
      <w:r w:rsidR="00036097" w:rsidRPr="005B2844">
        <w:rPr>
          <w:b/>
          <w:noProof/>
          <w:szCs w:val="22"/>
        </w:rPr>
        <w:t>Possibili effetti indesiderati</w:t>
      </w:r>
    </w:p>
    <w:p w:rsidR="00A70FCB" w:rsidRPr="005B2844" w:rsidRDefault="00A70FCB" w:rsidP="00532263">
      <w:pPr>
        <w:keepNext/>
        <w:rPr>
          <w:szCs w:val="22"/>
        </w:rPr>
      </w:pPr>
    </w:p>
    <w:p w:rsidR="00A70FCB" w:rsidRPr="005B2844" w:rsidRDefault="00A70FCB" w:rsidP="0072602F">
      <w:pPr>
        <w:rPr>
          <w:szCs w:val="22"/>
        </w:rPr>
      </w:pPr>
      <w:r w:rsidRPr="005B2844">
        <w:rPr>
          <w:szCs w:val="22"/>
        </w:rPr>
        <w:t xml:space="preserve">Come tutti i medicinali, </w:t>
      </w:r>
      <w:r w:rsidR="00036097" w:rsidRPr="005B2844">
        <w:rPr>
          <w:szCs w:val="22"/>
        </w:rPr>
        <w:t>questo medicinale</w:t>
      </w:r>
      <w:r w:rsidRPr="005B2844">
        <w:rPr>
          <w:szCs w:val="22"/>
        </w:rPr>
        <w:t xml:space="preserve"> può </w:t>
      </w:r>
      <w:r w:rsidR="00FE30E8" w:rsidRPr="005B2844">
        <w:rPr>
          <w:szCs w:val="22"/>
        </w:rPr>
        <w:t>causare</w:t>
      </w:r>
      <w:r w:rsidRPr="005B2844">
        <w:rPr>
          <w:szCs w:val="22"/>
        </w:rPr>
        <w:t xml:space="preserve"> effetti indesiderati</w:t>
      </w:r>
      <w:r w:rsidR="00FE30E8" w:rsidRPr="005B2844">
        <w:rPr>
          <w:szCs w:val="22"/>
        </w:rPr>
        <w:t xml:space="preserve"> </w:t>
      </w:r>
      <w:r w:rsidR="00FE30E8" w:rsidRPr="005B2844">
        <w:rPr>
          <w:noProof/>
          <w:szCs w:val="22"/>
        </w:rPr>
        <w:t>sebbene non tutte le persone li manifestino</w:t>
      </w:r>
      <w:r w:rsidRPr="005B2844">
        <w:rPr>
          <w:szCs w:val="22"/>
        </w:rPr>
        <w:t>.</w:t>
      </w:r>
    </w:p>
    <w:p w:rsidR="00571973" w:rsidRPr="005B2844" w:rsidRDefault="00571973" w:rsidP="00571973">
      <w:pPr>
        <w:rPr>
          <w:szCs w:val="22"/>
        </w:rPr>
      </w:pPr>
    </w:p>
    <w:p w:rsidR="00D67611" w:rsidRPr="005B2844" w:rsidRDefault="00D67611" w:rsidP="00532263">
      <w:pPr>
        <w:keepNext/>
        <w:rPr>
          <w:b/>
          <w:szCs w:val="22"/>
        </w:rPr>
      </w:pPr>
      <w:r w:rsidRPr="005B2844">
        <w:rPr>
          <w:b/>
          <w:szCs w:val="22"/>
        </w:rPr>
        <w:t>Alcuni effetti indesiderati possono essere gravi e necessitare di immediate cure mediche:</w:t>
      </w:r>
    </w:p>
    <w:p w:rsidR="00036097" w:rsidRPr="005B2844" w:rsidRDefault="00036097" w:rsidP="00532263">
      <w:pPr>
        <w:keepNext/>
        <w:rPr>
          <w:szCs w:val="22"/>
        </w:rPr>
      </w:pPr>
    </w:p>
    <w:p w:rsidR="00D67611" w:rsidRPr="005B2844" w:rsidRDefault="00D67611" w:rsidP="00D67611">
      <w:pPr>
        <w:rPr>
          <w:szCs w:val="22"/>
        </w:rPr>
      </w:pPr>
      <w:r w:rsidRPr="005B2844">
        <w:rPr>
          <w:szCs w:val="22"/>
        </w:rPr>
        <w:t>Deve recarsi immediatamente dal medico se manifesta uno qualsiasi dei seguenti sintomi:</w:t>
      </w:r>
    </w:p>
    <w:p w:rsidR="00D67611" w:rsidRPr="005B2844" w:rsidRDefault="00D67611" w:rsidP="00D67611">
      <w:pPr>
        <w:rPr>
          <w:szCs w:val="22"/>
        </w:rPr>
      </w:pPr>
    </w:p>
    <w:p w:rsidR="00D67611" w:rsidRPr="005B2844" w:rsidRDefault="00D67611" w:rsidP="00D67611">
      <w:pPr>
        <w:rPr>
          <w:szCs w:val="22"/>
        </w:rPr>
      </w:pPr>
      <w:r w:rsidRPr="005B2844">
        <w:rPr>
          <w:szCs w:val="22"/>
        </w:rPr>
        <w:t>Sepsi* (spesso chiamata "infezione del sangue"</w:t>
      </w:r>
      <w:r w:rsidR="00A70A8E" w:rsidRPr="005B2844">
        <w:rPr>
          <w:szCs w:val="22"/>
        </w:rPr>
        <w:t>)</w:t>
      </w:r>
      <w:r w:rsidRPr="005B2844">
        <w:rPr>
          <w:szCs w:val="22"/>
        </w:rPr>
        <w:t xml:space="preserve"> è una grave infezione con risposta infiammatoria dell’intero organismo, rapido gonfiore della pelle e delle mucose (angioedema)</w:t>
      </w:r>
      <w:r w:rsidR="00F9319E" w:rsidRPr="005B2844">
        <w:rPr>
          <w:szCs w:val="22"/>
        </w:rPr>
        <w:t>, comparsa di vesciche e desquamazione dello strato più esterno della pelle (</w:t>
      </w:r>
      <w:proofErr w:type="spellStart"/>
      <w:r w:rsidR="00F9319E" w:rsidRPr="005B2844">
        <w:rPr>
          <w:szCs w:val="22"/>
        </w:rPr>
        <w:t>necrolisi</w:t>
      </w:r>
      <w:proofErr w:type="spellEnd"/>
      <w:r w:rsidR="00F9319E" w:rsidRPr="005B2844">
        <w:rPr>
          <w:szCs w:val="22"/>
        </w:rPr>
        <w:t xml:space="preserve"> tossica epidermica)</w:t>
      </w:r>
      <w:r w:rsidRPr="005B2844">
        <w:rPr>
          <w:szCs w:val="22"/>
        </w:rPr>
        <w:t>; questi effetti indesiderati sono rari</w:t>
      </w:r>
      <w:r w:rsidR="00A70A8E" w:rsidRPr="005B2844">
        <w:rPr>
          <w:szCs w:val="22"/>
        </w:rPr>
        <w:t xml:space="preserve"> (possono interessare fino a 1 persona su 1.000)</w:t>
      </w:r>
      <w:r w:rsidR="00F9319E" w:rsidRPr="005B2844">
        <w:rPr>
          <w:szCs w:val="22"/>
        </w:rPr>
        <w:t xml:space="preserve"> o di frequenza non nota (</w:t>
      </w:r>
      <w:proofErr w:type="spellStart"/>
      <w:r w:rsidR="00F9319E" w:rsidRPr="005B2844">
        <w:rPr>
          <w:szCs w:val="22"/>
        </w:rPr>
        <w:t>necrolisi</w:t>
      </w:r>
      <w:proofErr w:type="spellEnd"/>
      <w:r w:rsidR="00F9319E" w:rsidRPr="005B2844">
        <w:rPr>
          <w:szCs w:val="22"/>
        </w:rPr>
        <w:t xml:space="preserve"> epidermica tossica)</w:t>
      </w:r>
      <w:r w:rsidRPr="005B2844">
        <w:rPr>
          <w:szCs w:val="22"/>
        </w:rPr>
        <w:t xml:space="preserve"> ma estremamente gravi e i pazienti devono sospendere l'assunzione del </w:t>
      </w:r>
      <w:r w:rsidR="00A70A8E" w:rsidRPr="005B2844">
        <w:rPr>
          <w:szCs w:val="22"/>
        </w:rPr>
        <w:t>medicinale</w:t>
      </w:r>
      <w:r w:rsidRPr="005B2844">
        <w:rPr>
          <w:szCs w:val="22"/>
        </w:rPr>
        <w:t xml:space="preserve"> e consultare immediatamente il medico. Se questi effetti non vengono trattati possono essere fatali.</w:t>
      </w:r>
      <w:r w:rsidR="00A70A8E" w:rsidRPr="005B2844">
        <w:rPr>
          <w:szCs w:val="22"/>
        </w:rPr>
        <w:t xml:space="preserve"> L’aumento dell’incidenza di sepsi è stato osservato con </w:t>
      </w:r>
      <w:proofErr w:type="spellStart"/>
      <w:r w:rsidR="00A70A8E" w:rsidRPr="005B2844">
        <w:rPr>
          <w:szCs w:val="22"/>
        </w:rPr>
        <w:t>telmisartan</w:t>
      </w:r>
      <w:proofErr w:type="spellEnd"/>
      <w:r w:rsidR="00A70A8E" w:rsidRPr="005B2844">
        <w:rPr>
          <w:szCs w:val="22"/>
        </w:rPr>
        <w:t xml:space="preserve"> da solo, tuttavia non può essere escluso per </w:t>
      </w:r>
      <w:proofErr w:type="spellStart"/>
      <w:r w:rsidR="00A70A8E" w:rsidRPr="005B2844">
        <w:rPr>
          <w:szCs w:val="22"/>
        </w:rPr>
        <w:t>MicardisPlus</w:t>
      </w:r>
      <w:proofErr w:type="spellEnd"/>
      <w:r w:rsidR="00A70A8E" w:rsidRPr="005B2844">
        <w:rPr>
          <w:szCs w:val="22"/>
        </w:rPr>
        <w:t>.</w:t>
      </w:r>
    </w:p>
    <w:p w:rsidR="00D67611" w:rsidRPr="005B2844" w:rsidRDefault="00D67611" w:rsidP="00D67611">
      <w:pPr>
        <w:rPr>
          <w:szCs w:val="22"/>
        </w:rPr>
      </w:pPr>
    </w:p>
    <w:p w:rsidR="00D67611" w:rsidRPr="005B2844" w:rsidRDefault="00D67611" w:rsidP="00532263">
      <w:pPr>
        <w:keepNext/>
        <w:rPr>
          <w:b/>
          <w:szCs w:val="22"/>
        </w:rPr>
      </w:pPr>
      <w:r w:rsidRPr="005B2844">
        <w:rPr>
          <w:b/>
          <w:szCs w:val="22"/>
        </w:rPr>
        <w:t xml:space="preserve">Possibili effetti indesiderati di </w:t>
      </w:r>
      <w:proofErr w:type="spellStart"/>
      <w:r w:rsidRPr="005B2844">
        <w:rPr>
          <w:b/>
          <w:szCs w:val="22"/>
        </w:rPr>
        <w:t>MicardisPlus</w:t>
      </w:r>
      <w:proofErr w:type="spellEnd"/>
      <w:r w:rsidRPr="005B2844">
        <w:rPr>
          <w:b/>
          <w:szCs w:val="22"/>
        </w:rPr>
        <w:t>:</w:t>
      </w:r>
    </w:p>
    <w:p w:rsidR="00D67611" w:rsidRPr="005B2844" w:rsidRDefault="00D67611" w:rsidP="00532263">
      <w:pPr>
        <w:keepNext/>
        <w:rPr>
          <w:szCs w:val="22"/>
          <w:u w:val="single"/>
        </w:rPr>
      </w:pPr>
    </w:p>
    <w:p w:rsidR="00F56E12" w:rsidRPr="005B2844" w:rsidRDefault="00AB2EE2" w:rsidP="00532263">
      <w:pPr>
        <w:keepNext/>
        <w:rPr>
          <w:szCs w:val="22"/>
        </w:rPr>
      </w:pPr>
      <w:r w:rsidRPr="005B2844">
        <w:rPr>
          <w:szCs w:val="22"/>
          <w:u w:val="single"/>
        </w:rPr>
        <w:t>Effetti indesiderati comuni</w:t>
      </w:r>
      <w:r w:rsidRPr="005B2844">
        <w:rPr>
          <w:szCs w:val="22"/>
        </w:rPr>
        <w:t xml:space="preserve"> </w:t>
      </w:r>
      <w:r w:rsidR="00F90C99" w:rsidRPr="005B2844">
        <w:rPr>
          <w:szCs w:val="22"/>
        </w:rPr>
        <w:t>(possono interessare fino a 1 persona su 10)</w:t>
      </w:r>
      <w:r w:rsidRPr="005B2844">
        <w:rPr>
          <w:szCs w:val="22"/>
        </w:rPr>
        <w:t>:</w:t>
      </w:r>
    </w:p>
    <w:p w:rsidR="00AB2EE2" w:rsidRPr="005B2844" w:rsidRDefault="0099187B" w:rsidP="0072602F">
      <w:pPr>
        <w:rPr>
          <w:szCs w:val="22"/>
        </w:rPr>
      </w:pPr>
      <w:r w:rsidRPr="005B2844">
        <w:rPr>
          <w:szCs w:val="22"/>
        </w:rPr>
        <w:t>Capogiro.</w:t>
      </w:r>
    </w:p>
    <w:p w:rsidR="00AB2EE2" w:rsidRPr="005B2844" w:rsidRDefault="00AB2EE2" w:rsidP="0072602F">
      <w:pPr>
        <w:rPr>
          <w:szCs w:val="22"/>
        </w:rPr>
      </w:pPr>
    </w:p>
    <w:p w:rsidR="0050242E" w:rsidRPr="005B2844" w:rsidRDefault="00AB2EE2" w:rsidP="00532263">
      <w:pPr>
        <w:keepNext/>
        <w:rPr>
          <w:szCs w:val="22"/>
        </w:rPr>
      </w:pPr>
      <w:r w:rsidRPr="005B2844">
        <w:rPr>
          <w:szCs w:val="22"/>
          <w:u w:val="single"/>
        </w:rPr>
        <w:t>Effetti indesiderati non comuni</w:t>
      </w:r>
      <w:r w:rsidRPr="005B2844">
        <w:rPr>
          <w:szCs w:val="22"/>
        </w:rPr>
        <w:t xml:space="preserve"> </w:t>
      </w:r>
      <w:r w:rsidR="00F90C99" w:rsidRPr="005B2844">
        <w:rPr>
          <w:szCs w:val="22"/>
        </w:rPr>
        <w:t>(possono interessare fino a 1 persona su 100)</w:t>
      </w:r>
      <w:r w:rsidRPr="005B2844">
        <w:rPr>
          <w:szCs w:val="22"/>
        </w:rPr>
        <w:t>:</w:t>
      </w:r>
    </w:p>
    <w:p w:rsidR="00AB2EE2" w:rsidRPr="005B2844" w:rsidRDefault="0050242E" w:rsidP="0072602F">
      <w:pPr>
        <w:rPr>
          <w:szCs w:val="22"/>
        </w:rPr>
      </w:pPr>
      <w:r w:rsidRPr="005B2844">
        <w:rPr>
          <w:szCs w:val="22"/>
        </w:rPr>
        <w:t>Livelli di potassio nel sangue ridotti</w:t>
      </w:r>
      <w:r w:rsidR="00A03BDA" w:rsidRPr="005B2844">
        <w:rPr>
          <w:szCs w:val="22"/>
        </w:rPr>
        <w:t xml:space="preserve">, </w:t>
      </w:r>
      <w:r w:rsidRPr="005B2844">
        <w:rPr>
          <w:szCs w:val="22"/>
        </w:rPr>
        <w:t>ansia</w:t>
      </w:r>
      <w:r w:rsidR="00A03BDA" w:rsidRPr="005B2844">
        <w:rPr>
          <w:szCs w:val="22"/>
        </w:rPr>
        <w:t xml:space="preserve">, </w:t>
      </w:r>
      <w:r w:rsidRPr="005B2844">
        <w:rPr>
          <w:szCs w:val="22"/>
        </w:rPr>
        <w:t>svenimento (sincope</w:t>
      </w:r>
      <w:r w:rsidR="00A03BDA" w:rsidRPr="005B2844">
        <w:rPr>
          <w:szCs w:val="22"/>
        </w:rPr>
        <w:t xml:space="preserve">), </w:t>
      </w:r>
      <w:r w:rsidRPr="005B2844">
        <w:rPr>
          <w:szCs w:val="22"/>
        </w:rPr>
        <w:t xml:space="preserve">sensazione di </w:t>
      </w:r>
      <w:r w:rsidR="0099187B" w:rsidRPr="005B2844">
        <w:rPr>
          <w:szCs w:val="22"/>
        </w:rPr>
        <w:t>intorpidimento</w:t>
      </w:r>
      <w:r w:rsidRPr="005B2844">
        <w:rPr>
          <w:szCs w:val="22"/>
        </w:rPr>
        <w:t>, sensazione di formicolio (parestesia</w:t>
      </w:r>
      <w:r w:rsidR="00A03BDA" w:rsidRPr="005B2844">
        <w:rPr>
          <w:szCs w:val="22"/>
        </w:rPr>
        <w:t xml:space="preserve">), </w:t>
      </w:r>
      <w:r w:rsidRPr="005B2844">
        <w:rPr>
          <w:szCs w:val="22"/>
        </w:rPr>
        <w:t>vertigini</w:t>
      </w:r>
      <w:r w:rsidR="00A03BDA" w:rsidRPr="005B2844">
        <w:rPr>
          <w:szCs w:val="22"/>
        </w:rPr>
        <w:t xml:space="preserve">, </w:t>
      </w:r>
      <w:r w:rsidRPr="005B2844">
        <w:rPr>
          <w:szCs w:val="22"/>
        </w:rPr>
        <w:t xml:space="preserve">battito accelerato del cuore (tachicardia), disordini del ritmo del cuore, pressione del sangue bassa, improvviso </w:t>
      </w:r>
      <w:r w:rsidR="009F719D" w:rsidRPr="005B2844">
        <w:rPr>
          <w:szCs w:val="22"/>
        </w:rPr>
        <w:t xml:space="preserve">abbassamento </w:t>
      </w:r>
      <w:r w:rsidRPr="005B2844">
        <w:rPr>
          <w:szCs w:val="22"/>
        </w:rPr>
        <w:t>della pressione del sangue alzandosi in piedi</w:t>
      </w:r>
      <w:r w:rsidR="00A03BDA" w:rsidRPr="005B2844">
        <w:rPr>
          <w:szCs w:val="22"/>
        </w:rPr>
        <w:t xml:space="preserve">, </w:t>
      </w:r>
      <w:r w:rsidRPr="005B2844">
        <w:rPr>
          <w:szCs w:val="22"/>
        </w:rPr>
        <w:t>respiro corto (dispnea</w:t>
      </w:r>
      <w:r w:rsidR="00A03BDA" w:rsidRPr="005B2844">
        <w:rPr>
          <w:szCs w:val="22"/>
        </w:rPr>
        <w:t xml:space="preserve">), </w:t>
      </w:r>
      <w:r w:rsidRPr="005B2844">
        <w:rPr>
          <w:szCs w:val="22"/>
        </w:rPr>
        <w:t>diarrea</w:t>
      </w:r>
      <w:r w:rsidR="00A03BDA" w:rsidRPr="005B2844">
        <w:rPr>
          <w:szCs w:val="22"/>
        </w:rPr>
        <w:t xml:space="preserve">, </w:t>
      </w:r>
      <w:r w:rsidRPr="005B2844">
        <w:rPr>
          <w:szCs w:val="22"/>
        </w:rPr>
        <w:t>secchezza della bocca, flatulenza</w:t>
      </w:r>
      <w:r w:rsidR="00AF1112" w:rsidRPr="005B2844">
        <w:rPr>
          <w:szCs w:val="22"/>
        </w:rPr>
        <w:t xml:space="preserve"> (presenza di gas intestinali)</w:t>
      </w:r>
      <w:r w:rsidR="00A03BDA" w:rsidRPr="005B2844">
        <w:rPr>
          <w:szCs w:val="22"/>
        </w:rPr>
        <w:t xml:space="preserve">, </w:t>
      </w:r>
      <w:r w:rsidRPr="005B2844">
        <w:rPr>
          <w:szCs w:val="22"/>
        </w:rPr>
        <w:t>dolore alla schiena, spasmo muscolare, dolore muscolare</w:t>
      </w:r>
      <w:r w:rsidR="00A03BDA" w:rsidRPr="005B2844">
        <w:rPr>
          <w:szCs w:val="22"/>
        </w:rPr>
        <w:t xml:space="preserve">, </w:t>
      </w:r>
      <w:r w:rsidRPr="005B2844">
        <w:rPr>
          <w:szCs w:val="22"/>
        </w:rPr>
        <w:t>disfunzione erettile (incapacità a raggiungere o mantenere un’erezione</w:t>
      </w:r>
      <w:r w:rsidR="00A03BDA" w:rsidRPr="005B2844">
        <w:rPr>
          <w:szCs w:val="22"/>
        </w:rPr>
        <w:t xml:space="preserve">), </w:t>
      </w:r>
      <w:r w:rsidRPr="005B2844">
        <w:rPr>
          <w:szCs w:val="22"/>
        </w:rPr>
        <w:t>dolore al torace, livelli di acido urico nel sangue aumentati.</w:t>
      </w:r>
    </w:p>
    <w:p w:rsidR="00AB2EE2" w:rsidRPr="005B2844" w:rsidRDefault="00AB2EE2" w:rsidP="0072602F">
      <w:pPr>
        <w:rPr>
          <w:szCs w:val="22"/>
        </w:rPr>
      </w:pPr>
    </w:p>
    <w:p w:rsidR="0050242E" w:rsidRPr="005B2844" w:rsidRDefault="0050242E" w:rsidP="00532263">
      <w:pPr>
        <w:keepNext/>
        <w:rPr>
          <w:szCs w:val="22"/>
        </w:rPr>
      </w:pPr>
      <w:r w:rsidRPr="005B2844">
        <w:rPr>
          <w:szCs w:val="22"/>
          <w:u w:val="single"/>
        </w:rPr>
        <w:t xml:space="preserve">Effetti indesiderati rari </w:t>
      </w:r>
      <w:r w:rsidR="00F90C99" w:rsidRPr="005B2844">
        <w:rPr>
          <w:szCs w:val="22"/>
        </w:rPr>
        <w:t>(possono interessare fino a 1 persona su 1.000)</w:t>
      </w:r>
      <w:r w:rsidRPr="005B2844">
        <w:rPr>
          <w:szCs w:val="22"/>
        </w:rPr>
        <w:t>:</w:t>
      </w:r>
    </w:p>
    <w:p w:rsidR="0050242E" w:rsidRPr="005B2844" w:rsidRDefault="0050242E" w:rsidP="0050242E">
      <w:pPr>
        <w:rPr>
          <w:szCs w:val="22"/>
        </w:rPr>
      </w:pPr>
      <w:r w:rsidRPr="005B2844">
        <w:rPr>
          <w:szCs w:val="22"/>
        </w:rPr>
        <w:t>Infiammazione dei polmoni (bronchite</w:t>
      </w:r>
      <w:r w:rsidR="00A03BDA" w:rsidRPr="005B2844">
        <w:rPr>
          <w:szCs w:val="22"/>
        </w:rPr>
        <w:t xml:space="preserve">), </w:t>
      </w:r>
      <w:r w:rsidR="00D67611" w:rsidRPr="005B2844">
        <w:rPr>
          <w:szCs w:val="22"/>
        </w:rPr>
        <w:t>attivazione o peggioramento del lupus eritematoso sistemico (una malattia a causa della quale il sistema immunitario attacca l'organismo stesso, che provoca dolore articolare, eruzione cutanea e febbre)</w:t>
      </w:r>
      <w:r w:rsidR="00AD635C" w:rsidRPr="005B2844">
        <w:rPr>
          <w:szCs w:val="22"/>
        </w:rPr>
        <w:t>,</w:t>
      </w:r>
      <w:r w:rsidR="00D67611" w:rsidRPr="005B2844">
        <w:rPr>
          <w:szCs w:val="22"/>
        </w:rPr>
        <w:t xml:space="preserve"> </w:t>
      </w:r>
      <w:r w:rsidR="00A03BDA" w:rsidRPr="005B2844">
        <w:rPr>
          <w:szCs w:val="22"/>
        </w:rPr>
        <w:t xml:space="preserve">mal di gola, sinusite, </w:t>
      </w:r>
      <w:r w:rsidRPr="005B2844">
        <w:rPr>
          <w:szCs w:val="22"/>
        </w:rPr>
        <w:t>sensazione di tristezza (depressione</w:t>
      </w:r>
      <w:r w:rsidR="00A03BDA" w:rsidRPr="005B2844">
        <w:rPr>
          <w:szCs w:val="22"/>
        </w:rPr>
        <w:t xml:space="preserve">), </w:t>
      </w:r>
      <w:r w:rsidRPr="005B2844">
        <w:rPr>
          <w:szCs w:val="22"/>
        </w:rPr>
        <w:t>difficoltà ad addormentarsi (insonnia</w:t>
      </w:r>
      <w:r w:rsidR="00A03BDA" w:rsidRPr="005B2844">
        <w:rPr>
          <w:szCs w:val="22"/>
        </w:rPr>
        <w:t xml:space="preserve">), </w:t>
      </w:r>
      <w:r w:rsidRPr="005B2844">
        <w:rPr>
          <w:szCs w:val="22"/>
        </w:rPr>
        <w:t xml:space="preserve">vista </w:t>
      </w:r>
      <w:r w:rsidR="0099187B" w:rsidRPr="005B2844">
        <w:rPr>
          <w:szCs w:val="22"/>
        </w:rPr>
        <w:t>alterata</w:t>
      </w:r>
      <w:r w:rsidR="00A03BDA" w:rsidRPr="005B2844">
        <w:rPr>
          <w:szCs w:val="22"/>
        </w:rPr>
        <w:t xml:space="preserve">, </w:t>
      </w:r>
      <w:r w:rsidRPr="005B2844">
        <w:rPr>
          <w:szCs w:val="22"/>
        </w:rPr>
        <w:t>difficoltà a respirare</w:t>
      </w:r>
      <w:r w:rsidR="00A03BDA" w:rsidRPr="005B2844">
        <w:rPr>
          <w:szCs w:val="22"/>
        </w:rPr>
        <w:t xml:space="preserve">, </w:t>
      </w:r>
      <w:r w:rsidRPr="005B2844">
        <w:rPr>
          <w:szCs w:val="22"/>
        </w:rPr>
        <w:t>dolore addominale</w:t>
      </w:r>
      <w:r w:rsidR="00A03BDA" w:rsidRPr="005B2844">
        <w:rPr>
          <w:szCs w:val="22"/>
        </w:rPr>
        <w:t xml:space="preserve">, </w:t>
      </w:r>
      <w:r w:rsidRPr="005B2844">
        <w:rPr>
          <w:szCs w:val="22"/>
        </w:rPr>
        <w:t>stitichezza</w:t>
      </w:r>
      <w:r w:rsidR="00A03BDA" w:rsidRPr="005B2844">
        <w:rPr>
          <w:szCs w:val="22"/>
        </w:rPr>
        <w:t xml:space="preserve">, </w:t>
      </w:r>
      <w:r w:rsidRPr="005B2844">
        <w:rPr>
          <w:szCs w:val="22"/>
        </w:rPr>
        <w:t>gonfiore</w:t>
      </w:r>
      <w:r w:rsidR="009F719D" w:rsidRPr="005B2844">
        <w:rPr>
          <w:szCs w:val="22"/>
        </w:rPr>
        <w:t xml:space="preserve"> addominale</w:t>
      </w:r>
      <w:r w:rsidRPr="005B2844">
        <w:rPr>
          <w:szCs w:val="22"/>
        </w:rPr>
        <w:t xml:space="preserve"> (dispepsia), sensazione di malessere</w:t>
      </w:r>
      <w:r w:rsidR="005E0327" w:rsidRPr="005B2844">
        <w:rPr>
          <w:szCs w:val="22"/>
        </w:rPr>
        <w:t xml:space="preserve"> (vomito)</w:t>
      </w:r>
      <w:r w:rsidR="00A03BDA" w:rsidRPr="005B2844">
        <w:rPr>
          <w:szCs w:val="22"/>
        </w:rPr>
        <w:t xml:space="preserve">, infiammazione dello stomaco (gastrite), </w:t>
      </w:r>
      <w:r w:rsidRPr="005B2844">
        <w:rPr>
          <w:szCs w:val="22"/>
        </w:rPr>
        <w:t>funzionalità epatica anormale</w:t>
      </w:r>
      <w:r w:rsidR="00F30355" w:rsidRPr="005B2844">
        <w:rPr>
          <w:szCs w:val="22"/>
        </w:rPr>
        <w:t xml:space="preserve"> (i pazienti giapponesi hanno maggiore probabilità di manifestare quest</w:t>
      </w:r>
      <w:r w:rsidR="00205B39" w:rsidRPr="005B2844">
        <w:rPr>
          <w:szCs w:val="22"/>
        </w:rPr>
        <w:t>o</w:t>
      </w:r>
      <w:r w:rsidR="00F30355" w:rsidRPr="005B2844">
        <w:rPr>
          <w:szCs w:val="22"/>
        </w:rPr>
        <w:t xml:space="preserve"> effett</w:t>
      </w:r>
      <w:r w:rsidR="00205B39" w:rsidRPr="005B2844">
        <w:rPr>
          <w:szCs w:val="22"/>
        </w:rPr>
        <w:t>o</w:t>
      </w:r>
      <w:r w:rsidR="00F30355" w:rsidRPr="005B2844">
        <w:rPr>
          <w:szCs w:val="22"/>
        </w:rPr>
        <w:t xml:space="preserve"> indesiderat</w:t>
      </w:r>
      <w:r w:rsidR="00205B39" w:rsidRPr="005B2844">
        <w:rPr>
          <w:szCs w:val="22"/>
        </w:rPr>
        <w:t>o</w:t>
      </w:r>
      <w:r w:rsidR="00F30355" w:rsidRPr="005B2844">
        <w:rPr>
          <w:szCs w:val="22"/>
        </w:rPr>
        <w:t>)</w:t>
      </w:r>
      <w:r w:rsidR="00A03BDA" w:rsidRPr="005B2844">
        <w:rPr>
          <w:szCs w:val="22"/>
        </w:rPr>
        <w:t xml:space="preserve">, </w:t>
      </w:r>
      <w:r w:rsidRPr="005B2844">
        <w:rPr>
          <w:szCs w:val="22"/>
        </w:rPr>
        <w:t>rossore della pelle (eritema</w:t>
      </w:r>
      <w:r w:rsidR="00A03BDA" w:rsidRPr="005B2844">
        <w:rPr>
          <w:szCs w:val="22"/>
        </w:rPr>
        <w:t xml:space="preserve">), </w:t>
      </w:r>
      <w:r w:rsidRPr="005B2844">
        <w:rPr>
          <w:szCs w:val="22"/>
        </w:rPr>
        <w:t xml:space="preserve">reazioni allergiche come prurito o </w:t>
      </w:r>
      <w:r w:rsidR="005B67D5" w:rsidRPr="005B2844">
        <w:rPr>
          <w:szCs w:val="22"/>
        </w:rPr>
        <w:t>eruzione cutanea</w:t>
      </w:r>
      <w:r w:rsidR="00A03BDA" w:rsidRPr="005B2844">
        <w:rPr>
          <w:szCs w:val="22"/>
        </w:rPr>
        <w:t xml:space="preserve">, </w:t>
      </w:r>
      <w:r w:rsidRPr="005B2844">
        <w:rPr>
          <w:szCs w:val="22"/>
        </w:rPr>
        <w:t>sudorazione aumentata, orticaria</w:t>
      </w:r>
      <w:r w:rsidR="00A03BDA" w:rsidRPr="005B2844">
        <w:rPr>
          <w:szCs w:val="22"/>
        </w:rPr>
        <w:t xml:space="preserve">, </w:t>
      </w:r>
      <w:r w:rsidRPr="005B2844">
        <w:rPr>
          <w:szCs w:val="22"/>
        </w:rPr>
        <w:t>dolore articolare (artralgia) e dolore alle estremità, crampi muscolari</w:t>
      </w:r>
      <w:r w:rsidR="00A03BDA" w:rsidRPr="005B2844">
        <w:rPr>
          <w:szCs w:val="22"/>
        </w:rPr>
        <w:t xml:space="preserve">, </w:t>
      </w:r>
      <w:r w:rsidRPr="005B2844">
        <w:rPr>
          <w:szCs w:val="22"/>
        </w:rPr>
        <w:t>malattia simile all’influenza</w:t>
      </w:r>
      <w:r w:rsidR="00A03BDA" w:rsidRPr="005B2844">
        <w:rPr>
          <w:szCs w:val="22"/>
        </w:rPr>
        <w:t xml:space="preserve">, </w:t>
      </w:r>
      <w:r w:rsidRPr="005B2844">
        <w:rPr>
          <w:szCs w:val="22"/>
        </w:rPr>
        <w:t>dolore</w:t>
      </w:r>
      <w:r w:rsidR="00A03BDA" w:rsidRPr="005B2844">
        <w:rPr>
          <w:szCs w:val="22"/>
        </w:rPr>
        <w:t xml:space="preserve">, </w:t>
      </w:r>
      <w:r w:rsidRPr="005B2844">
        <w:rPr>
          <w:szCs w:val="22"/>
        </w:rPr>
        <w:t xml:space="preserve">bassi livelli di sodio, livelli </w:t>
      </w:r>
      <w:r w:rsidR="009F719D" w:rsidRPr="005B2844">
        <w:rPr>
          <w:szCs w:val="22"/>
        </w:rPr>
        <w:t xml:space="preserve">aumentati nel sangue </w:t>
      </w:r>
      <w:r w:rsidRPr="005B2844">
        <w:rPr>
          <w:szCs w:val="22"/>
        </w:rPr>
        <w:t xml:space="preserve">di creatinina, enzimi </w:t>
      </w:r>
      <w:r w:rsidR="009F719D" w:rsidRPr="005B2844">
        <w:rPr>
          <w:szCs w:val="22"/>
        </w:rPr>
        <w:t xml:space="preserve">del fegato </w:t>
      </w:r>
      <w:r w:rsidRPr="005B2844">
        <w:rPr>
          <w:szCs w:val="22"/>
        </w:rPr>
        <w:t xml:space="preserve">o creatina </w:t>
      </w:r>
      <w:proofErr w:type="spellStart"/>
      <w:r w:rsidRPr="005B2844">
        <w:rPr>
          <w:szCs w:val="22"/>
        </w:rPr>
        <w:t>fosfochinasi</w:t>
      </w:r>
      <w:proofErr w:type="spellEnd"/>
      <w:r w:rsidRPr="005B2844">
        <w:rPr>
          <w:szCs w:val="22"/>
        </w:rPr>
        <w:t>.</w:t>
      </w:r>
    </w:p>
    <w:p w:rsidR="0050242E" w:rsidRPr="005B2844" w:rsidRDefault="0050242E" w:rsidP="0050242E">
      <w:pPr>
        <w:rPr>
          <w:szCs w:val="22"/>
        </w:rPr>
      </w:pPr>
    </w:p>
    <w:p w:rsidR="00AB2EE2" w:rsidRPr="005B2844" w:rsidRDefault="00F30355" w:rsidP="0072602F">
      <w:pPr>
        <w:rPr>
          <w:szCs w:val="22"/>
        </w:rPr>
      </w:pPr>
      <w:r w:rsidRPr="005B2844">
        <w:rPr>
          <w:szCs w:val="22"/>
        </w:rPr>
        <w:t xml:space="preserve">Le reazioni avverse riportate con uno dei singoli componenti possono essere potenziali reazioni avverse con </w:t>
      </w:r>
      <w:proofErr w:type="spellStart"/>
      <w:r w:rsidRPr="005B2844">
        <w:rPr>
          <w:szCs w:val="22"/>
        </w:rPr>
        <w:t>MicardisPlus</w:t>
      </w:r>
      <w:proofErr w:type="spellEnd"/>
      <w:r w:rsidRPr="005B2844">
        <w:rPr>
          <w:szCs w:val="22"/>
        </w:rPr>
        <w:t>, anche se non osservate negli studi clinici con questo prodotto.</w:t>
      </w:r>
    </w:p>
    <w:p w:rsidR="00F30355" w:rsidRPr="005B2844" w:rsidRDefault="00F30355" w:rsidP="0072602F">
      <w:pPr>
        <w:rPr>
          <w:szCs w:val="22"/>
        </w:rPr>
      </w:pPr>
    </w:p>
    <w:p w:rsidR="00AB2EE2" w:rsidRPr="005B2844" w:rsidRDefault="00AB2EE2" w:rsidP="00532263">
      <w:pPr>
        <w:keepNext/>
        <w:rPr>
          <w:b/>
          <w:szCs w:val="22"/>
          <w:u w:val="single"/>
        </w:rPr>
      </w:pPr>
      <w:proofErr w:type="spellStart"/>
      <w:r w:rsidRPr="005B2844">
        <w:rPr>
          <w:b/>
          <w:szCs w:val="22"/>
          <w:u w:val="single"/>
        </w:rPr>
        <w:t>Telmisartan</w:t>
      </w:r>
      <w:proofErr w:type="spellEnd"/>
    </w:p>
    <w:p w:rsidR="00AB2EE2" w:rsidRPr="005B2844" w:rsidRDefault="00A70FCB" w:rsidP="0072602F">
      <w:pPr>
        <w:rPr>
          <w:szCs w:val="22"/>
        </w:rPr>
      </w:pPr>
      <w:r w:rsidRPr="005B2844">
        <w:rPr>
          <w:szCs w:val="22"/>
        </w:rPr>
        <w:t xml:space="preserve">Nei pazienti trattati con </w:t>
      </w:r>
      <w:proofErr w:type="spellStart"/>
      <w:r w:rsidRPr="005B2844">
        <w:rPr>
          <w:szCs w:val="22"/>
        </w:rPr>
        <w:t>telmisartan</w:t>
      </w:r>
      <w:proofErr w:type="spellEnd"/>
      <w:r w:rsidRPr="005B2844">
        <w:rPr>
          <w:szCs w:val="22"/>
        </w:rPr>
        <w:t xml:space="preserve"> da solo sono stati riscontrati i seguenti ulteriori effetti indesiderati:</w:t>
      </w:r>
    </w:p>
    <w:p w:rsidR="00AB2EE2" w:rsidRPr="005B2844" w:rsidRDefault="00AB2EE2" w:rsidP="0072602F">
      <w:pPr>
        <w:rPr>
          <w:szCs w:val="22"/>
        </w:rPr>
      </w:pPr>
    </w:p>
    <w:p w:rsidR="00A03BDA" w:rsidRPr="005B2844" w:rsidRDefault="00A03BDA" w:rsidP="00532263">
      <w:pPr>
        <w:keepNext/>
        <w:rPr>
          <w:szCs w:val="22"/>
        </w:rPr>
      </w:pPr>
      <w:r w:rsidRPr="005B2844">
        <w:rPr>
          <w:szCs w:val="22"/>
          <w:u w:val="single"/>
        </w:rPr>
        <w:t>Effetti indesiderati non comuni</w:t>
      </w:r>
      <w:r w:rsidRPr="005B2844">
        <w:rPr>
          <w:szCs w:val="22"/>
        </w:rPr>
        <w:t xml:space="preserve"> </w:t>
      </w:r>
      <w:r w:rsidR="00A47BE1" w:rsidRPr="005B2844">
        <w:rPr>
          <w:szCs w:val="22"/>
        </w:rPr>
        <w:t>(possono interessare fino a 1 persona su 100)</w:t>
      </w:r>
      <w:r w:rsidRPr="005B2844">
        <w:rPr>
          <w:szCs w:val="22"/>
        </w:rPr>
        <w:t>:</w:t>
      </w:r>
    </w:p>
    <w:p w:rsidR="00A03BDA" w:rsidRPr="005B2844" w:rsidRDefault="00A03BDA" w:rsidP="00A03BDA">
      <w:pPr>
        <w:rPr>
          <w:szCs w:val="22"/>
        </w:rPr>
      </w:pPr>
      <w:r w:rsidRPr="005B2844">
        <w:rPr>
          <w:noProof/>
          <w:szCs w:val="22"/>
        </w:rPr>
        <w:t>I</w:t>
      </w:r>
      <w:proofErr w:type="spellStart"/>
      <w:r w:rsidRPr="005B2844">
        <w:rPr>
          <w:szCs w:val="22"/>
        </w:rPr>
        <w:t>nfezione</w:t>
      </w:r>
      <w:proofErr w:type="spellEnd"/>
      <w:r w:rsidRPr="005B2844">
        <w:rPr>
          <w:szCs w:val="22"/>
        </w:rPr>
        <w:t xml:space="preserve"> delle vie respiratorie superiori (ad es. mal di gola, sinusite, raffreddore comune), infezioni del tratto urinario, </w:t>
      </w:r>
      <w:r w:rsidR="00763FE8" w:rsidRPr="005B2844">
        <w:rPr>
          <w:szCs w:val="22"/>
        </w:rPr>
        <w:t>riduzione</w:t>
      </w:r>
      <w:r w:rsidRPr="005B2844">
        <w:rPr>
          <w:szCs w:val="22"/>
        </w:rPr>
        <w:t xml:space="preserve"> di globuli rossi (anemia), </w:t>
      </w:r>
      <w:r w:rsidR="00763FE8" w:rsidRPr="005B2844">
        <w:rPr>
          <w:szCs w:val="22"/>
        </w:rPr>
        <w:t>alti livelli di potassio</w:t>
      </w:r>
      <w:r w:rsidRPr="005B2844">
        <w:rPr>
          <w:szCs w:val="22"/>
        </w:rPr>
        <w:t xml:space="preserve">, battito cardiaco </w:t>
      </w:r>
      <w:r w:rsidR="00763FE8" w:rsidRPr="005B2844">
        <w:rPr>
          <w:szCs w:val="22"/>
        </w:rPr>
        <w:t>rallentato</w:t>
      </w:r>
      <w:r w:rsidRPr="005B2844">
        <w:rPr>
          <w:szCs w:val="22"/>
        </w:rPr>
        <w:t xml:space="preserve"> (bradicardia), compromissione renale inclusa insufficienza renale acuta, </w:t>
      </w:r>
      <w:r w:rsidR="00763FE8" w:rsidRPr="005B2844">
        <w:rPr>
          <w:szCs w:val="22"/>
        </w:rPr>
        <w:t xml:space="preserve">sensazione di </w:t>
      </w:r>
      <w:r w:rsidRPr="005B2844">
        <w:rPr>
          <w:szCs w:val="22"/>
        </w:rPr>
        <w:t>debolezza</w:t>
      </w:r>
      <w:r w:rsidR="008D6186" w:rsidRPr="005B2844">
        <w:rPr>
          <w:szCs w:val="22"/>
        </w:rPr>
        <w:t>, tosse</w:t>
      </w:r>
      <w:r w:rsidRPr="005B2844">
        <w:rPr>
          <w:szCs w:val="22"/>
        </w:rPr>
        <w:t>.</w:t>
      </w:r>
    </w:p>
    <w:p w:rsidR="00A03BDA" w:rsidRPr="005B2844" w:rsidRDefault="00A03BDA" w:rsidP="00A03BDA">
      <w:pPr>
        <w:rPr>
          <w:szCs w:val="22"/>
        </w:rPr>
      </w:pPr>
    </w:p>
    <w:p w:rsidR="00A03BDA" w:rsidRPr="005B2844" w:rsidRDefault="00A03BDA" w:rsidP="00532263">
      <w:pPr>
        <w:keepNext/>
        <w:rPr>
          <w:szCs w:val="22"/>
        </w:rPr>
      </w:pPr>
      <w:r w:rsidRPr="005B2844">
        <w:rPr>
          <w:szCs w:val="22"/>
          <w:u w:val="single"/>
        </w:rPr>
        <w:t xml:space="preserve">Effetti indesiderati rari </w:t>
      </w:r>
      <w:r w:rsidR="00A47BE1" w:rsidRPr="005B2844">
        <w:rPr>
          <w:szCs w:val="22"/>
        </w:rPr>
        <w:t>(possono interessare fino a 1 persona su 1.000)</w:t>
      </w:r>
      <w:r w:rsidRPr="005B2844">
        <w:rPr>
          <w:szCs w:val="22"/>
        </w:rPr>
        <w:t>:</w:t>
      </w:r>
    </w:p>
    <w:p w:rsidR="00E33903" w:rsidRPr="005B2844" w:rsidRDefault="00E63717" w:rsidP="00A03BDA">
      <w:pPr>
        <w:rPr>
          <w:szCs w:val="22"/>
        </w:rPr>
      </w:pPr>
      <w:r w:rsidRPr="005B2844">
        <w:rPr>
          <w:szCs w:val="22"/>
        </w:rPr>
        <w:t>B</w:t>
      </w:r>
      <w:r w:rsidR="00A03BDA" w:rsidRPr="005B2844">
        <w:rPr>
          <w:szCs w:val="22"/>
        </w:rPr>
        <w:t>ass</w:t>
      </w:r>
      <w:r w:rsidR="009F719D" w:rsidRPr="005B2844">
        <w:rPr>
          <w:szCs w:val="22"/>
        </w:rPr>
        <w:t>o</w:t>
      </w:r>
      <w:r w:rsidR="00A03BDA" w:rsidRPr="005B2844">
        <w:rPr>
          <w:szCs w:val="22"/>
        </w:rPr>
        <w:t xml:space="preserve"> </w:t>
      </w:r>
      <w:r w:rsidR="009F719D" w:rsidRPr="005B2844">
        <w:rPr>
          <w:szCs w:val="22"/>
        </w:rPr>
        <w:t xml:space="preserve">numero di </w:t>
      </w:r>
      <w:r w:rsidR="00A03BDA" w:rsidRPr="005B2844">
        <w:rPr>
          <w:szCs w:val="22"/>
        </w:rPr>
        <w:t>piastr</w:t>
      </w:r>
      <w:r w:rsidR="009F719D" w:rsidRPr="005B2844">
        <w:rPr>
          <w:szCs w:val="22"/>
        </w:rPr>
        <w:t>ine</w:t>
      </w:r>
      <w:r w:rsidR="00A03BDA" w:rsidRPr="005B2844">
        <w:rPr>
          <w:szCs w:val="22"/>
        </w:rPr>
        <w:t xml:space="preserve"> (trombocitopenia), aumento di alcuni globuli bianchi (eosinofilia), grave reazione allergica (ad es. ipersensibilità, reazione anafilattica, eruzione cutanea da farmaco), livelli bassi di glicemia (nei pazienti diabetici), disturbo allo stomaco, eczema (disturbo della pelle), artrosi, infiammazione dei tendini, diminuzione della emoglobina (una proteina del sangue)</w:t>
      </w:r>
      <w:r w:rsidR="00A47BE1" w:rsidRPr="005B2844">
        <w:rPr>
          <w:szCs w:val="22"/>
        </w:rPr>
        <w:t>, sonnolenza</w:t>
      </w:r>
      <w:r w:rsidR="00A03BDA" w:rsidRPr="005B2844">
        <w:rPr>
          <w:szCs w:val="22"/>
        </w:rPr>
        <w:t>.</w:t>
      </w:r>
    </w:p>
    <w:p w:rsidR="00E33903" w:rsidRPr="005B2844" w:rsidRDefault="00E33903" w:rsidP="00E33903">
      <w:pPr>
        <w:rPr>
          <w:szCs w:val="22"/>
        </w:rPr>
      </w:pPr>
    </w:p>
    <w:p w:rsidR="00F22849" w:rsidRPr="005B2844" w:rsidRDefault="00F22849" w:rsidP="00532263">
      <w:pPr>
        <w:keepNext/>
        <w:rPr>
          <w:szCs w:val="22"/>
        </w:rPr>
      </w:pPr>
      <w:r w:rsidRPr="005B2844">
        <w:rPr>
          <w:szCs w:val="22"/>
          <w:u w:val="single"/>
        </w:rPr>
        <w:t xml:space="preserve">Effetti indesiderati molto rari </w:t>
      </w:r>
      <w:r w:rsidRPr="005B2844">
        <w:rPr>
          <w:szCs w:val="22"/>
        </w:rPr>
        <w:t>(possono interessare fino a 1 persona su 10.000):</w:t>
      </w:r>
    </w:p>
    <w:p w:rsidR="00F22849" w:rsidRPr="005B2844" w:rsidRDefault="00F22849" w:rsidP="00F22849">
      <w:pPr>
        <w:rPr>
          <w:szCs w:val="22"/>
        </w:rPr>
      </w:pPr>
      <w:r w:rsidRPr="005B2844">
        <w:rPr>
          <w:szCs w:val="22"/>
        </w:rPr>
        <w:t>Progressiva cicatrizzazione del tessuto polmonare (malattia polmonare interstiziale)**.</w:t>
      </w:r>
    </w:p>
    <w:p w:rsidR="00F22849" w:rsidRPr="005B2844" w:rsidRDefault="00F22849" w:rsidP="00E33903">
      <w:pPr>
        <w:rPr>
          <w:szCs w:val="22"/>
        </w:rPr>
      </w:pPr>
    </w:p>
    <w:p w:rsidR="0050242E" w:rsidRPr="005B2844" w:rsidRDefault="00E33903" w:rsidP="00E33903">
      <w:pPr>
        <w:rPr>
          <w:szCs w:val="22"/>
        </w:rPr>
      </w:pPr>
      <w:r w:rsidRPr="005B2844">
        <w:rPr>
          <w:szCs w:val="22"/>
        </w:rPr>
        <w:t>*L’evento può essersi verificato per caso o potrebbe essere correlato ad un meccanismo attualmente sconosciuto</w:t>
      </w:r>
      <w:r w:rsidR="0050242E" w:rsidRPr="005B2844">
        <w:rPr>
          <w:szCs w:val="22"/>
        </w:rPr>
        <w:t>.</w:t>
      </w:r>
    </w:p>
    <w:p w:rsidR="00A000D8" w:rsidRPr="005B2844" w:rsidRDefault="00A000D8" w:rsidP="0072602F">
      <w:pPr>
        <w:rPr>
          <w:b/>
          <w:szCs w:val="22"/>
          <w:u w:val="single"/>
        </w:rPr>
      </w:pPr>
    </w:p>
    <w:p w:rsidR="0052691C" w:rsidRPr="005B2844" w:rsidRDefault="0052691C" w:rsidP="0052691C">
      <w:pPr>
        <w:rPr>
          <w:szCs w:val="22"/>
        </w:rPr>
      </w:pPr>
      <w:r w:rsidRPr="005B2844">
        <w:rPr>
          <w:szCs w:val="22"/>
        </w:rPr>
        <w:t xml:space="preserve">**Sono stati riportati casi di progressiva cicatrizzazione del tessuto polmonare durante l’assunzione di </w:t>
      </w:r>
      <w:proofErr w:type="spellStart"/>
      <w:r w:rsidRPr="005B2844">
        <w:rPr>
          <w:szCs w:val="22"/>
        </w:rPr>
        <w:t>telmisartan</w:t>
      </w:r>
      <w:proofErr w:type="spellEnd"/>
      <w:r w:rsidRPr="005B2844">
        <w:rPr>
          <w:szCs w:val="22"/>
        </w:rPr>
        <w:t xml:space="preserve">. Tuttavia non è noto se </w:t>
      </w:r>
      <w:proofErr w:type="spellStart"/>
      <w:r w:rsidRPr="005B2844">
        <w:rPr>
          <w:szCs w:val="22"/>
        </w:rPr>
        <w:t>telmisartan</w:t>
      </w:r>
      <w:proofErr w:type="spellEnd"/>
      <w:r w:rsidRPr="005B2844">
        <w:rPr>
          <w:szCs w:val="22"/>
        </w:rPr>
        <w:t xml:space="preserve"> ne sia stato la causa.</w:t>
      </w:r>
    </w:p>
    <w:p w:rsidR="00F22849" w:rsidRPr="005B2844" w:rsidRDefault="00F22849" w:rsidP="0072602F">
      <w:pPr>
        <w:rPr>
          <w:b/>
          <w:szCs w:val="22"/>
          <w:u w:val="single"/>
        </w:rPr>
      </w:pPr>
    </w:p>
    <w:p w:rsidR="00A70FCB" w:rsidRPr="005B2844" w:rsidRDefault="00177ED5" w:rsidP="00532263">
      <w:pPr>
        <w:keepNext/>
        <w:rPr>
          <w:b/>
          <w:szCs w:val="22"/>
          <w:u w:val="single"/>
        </w:rPr>
      </w:pPr>
      <w:proofErr w:type="spellStart"/>
      <w:r w:rsidRPr="005B2844">
        <w:rPr>
          <w:b/>
          <w:szCs w:val="22"/>
          <w:u w:val="single"/>
        </w:rPr>
        <w:t>Idroclorotiazide</w:t>
      </w:r>
      <w:proofErr w:type="spellEnd"/>
    </w:p>
    <w:p w:rsidR="00177ED5" w:rsidRPr="005B2844" w:rsidRDefault="00177ED5" w:rsidP="0072602F">
      <w:pPr>
        <w:rPr>
          <w:szCs w:val="22"/>
        </w:rPr>
      </w:pPr>
      <w:r w:rsidRPr="005B2844">
        <w:rPr>
          <w:szCs w:val="22"/>
        </w:rPr>
        <w:t xml:space="preserve">Nei pazienti trattati con </w:t>
      </w:r>
      <w:proofErr w:type="spellStart"/>
      <w:r w:rsidR="008844FB" w:rsidRPr="005B2844">
        <w:rPr>
          <w:szCs w:val="22"/>
        </w:rPr>
        <w:t>idroclorotiazide</w:t>
      </w:r>
      <w:proofErr w:type="spellEnd"/>
      <w:r w:rsidRPr="005B2844">
        <w:rPr>
          <w:szCs w:val="22"/>
        </w:rPr>
        <w:t xml:space="preserve"> da sol</w:t>
      </w:r>
      <w:r w:rsidR="008844FB" w:rsidRPr="005B2844">
        <w:rPr>
          <w:szCs w:val="22"/>
        </w:rPr>
        <w:t>a</w:t>
      </w:r>
      <w:r w:rsidRPr="005B2844">
        <w:rPr>
          <w:szCs w:val="22"/>
        </w:rPr>
        <w:t xml:space="preserve"> sono stati riscontrati i seguenti ulteriori effetti indesiderati:</w:t>
      </w:r>
    </w:p>
    <w:p w:rsidR="00CA68C0" w:rsidRPr="005B2844" w:rsidRDefault="00CA68C0" w:rsidP="00CA68C0">
      <w:pPr>
        <w:rPr>
          <w:szCs w:val="22"/>
        </w:rPr>
      </w:pPr>
    </w:p>
    <w:p w:rsidR="00CA68C0" w:rsidRPr="005B2844" w:rsidRDefault="00CA68C0" w:rsidP="00CA68C0">
      <w:pPr>
        <w:rPr>
          <w:szCs w:val="22"/>
          <w:u w:val="single"/>
        </w:rPr>
      </w:pPr>
      <w:r w:rsidRPr="005B2844">
        <w:rPr>
          <w:szCs w:val="22"/>
          <w:u w:val="single"/>
        </w:rPr>
        <w:t>Effetti indesiderati comuni (possono interessare fino a 1 persona su 10):</w:t>
      </w:r>
    </w:p>
    <w:p w:rsidR="00CA68C0" w:rsidRPr="005B2844" w:rsidRDefault="00D74677" w:rsidP="00CA68C0">
      <w:pPr>
        <w:rPr>
          <w:szCs w:val="22"/>
        </w:rPr>
      </w:pPr>
      <w:r w:rsidRPr="005B2844">
        <w:rPr>
          <w:szCs w:val="22"/>
        </w:rPr>
        <w:t>Malessere (n</w:t>
      </w:r>
      <w:r w:rsidR="00CA68C0" w:rsidRPr="005B2844">
        <w:rPr>
          <w:szCs w:val="22"/>
        </w:rPr>
        <w:t>ausea</w:t>
      </w:r>
      <w:r w:rsidRPr="005B2844">
        <w:rPr>
          <w:szCs w:val="22"/>
        </w:rPr>
        <w:t>)</w:t>
      </w:r>
      <w:r w:rsidR="00CA68C0" w:rsidRPr="005B2844">
        <w:rPr>
          <w:szCs w:val="22"/>
        </w:rPr>
        <w:t>, basso livello di magnesio nel sangue.</w:t>
      </w:r>
    </w:p>
    <w:p w:rsidR="00CA68C0" w:rsidRPr="005B2844" w:rsidRDefault="00CA68C0" w:rsidP="00CA68C0">
      <w:pPr>
        <w:rPr>
          <w:szCs w:val="22"/>
        </w:rPr>
      </w:pPr>
    </w:p>
    <w:p w:rsidR="00CA68C0" w:rsidRPr="005B2844" w:rsidRDefault="00CA68C0" w:rsidP="00CA68C0">
      <w:pPr>
        <w:rPr>
          <w:szCs w:val="22"/>
          <w:u w:val="single"/>
        </w:rPr>
      </w:pPr>
      <w:r w:rsidRPr="005B2844">
        <w:rPr>
          <w:szCs w:val="22"/>
          <w:u w:val="single"/>
        </w:rPr>
        <w:t>Effetti indesiderati rari (possono interessare fino a 1 persona su 1.000):</w:t>
      </w:r>
    </w:p>
    <w:p w:rsidR="00CA68C0" w:rsidRPr="005B2844" w:rsidRDefault="00CA68C0" w:rsidP="00CA68C0">
      <w:pPr>
        <w:rPr>
          <w:szCs w:val="22"/>
        </w:rPr>
      </w:pPr>
      <w:r w:rsidRPr="005B2844">
        <w:rPr>
          <w:szCs w:val="22"/>
        </w:rPr>
        <w:t>Riduzione delle piastrine, che aumenta il rischio di sanguinamento o formazione di lividi (piccoli segni viola-rossi sulla pelle o altri tessuti causati dal sanguinamento), alto livello di calcio nel sangue, cefalea.</w:t>
      </w:r>
    </w:p>
    <w:p w:rsidR="00CA68C0" w:rsidRPr="005B2844" w:rsidRDefault="00CA68C0" w:rsidP="00CA68C0">
      <w:pPr>
        <w:rPr>
          <w:szCs w:val="22"/>
        </w:rPr>
      </w:pPr>
    </w:p>
    <w:p w:rsidR="00CA68C0" w:rsidRPr="005B2844" w:rsidRDefault="00CA68C0" w:rsidP="000709BC">
      <w:pPr>
        <w:keepNext/>
        <w:rPr>
          <w:szCs w:val="22"/>
          <w:u w:val="single"/>
        </w:rPr>
      </w:pPr>
      <w:r w:rsidRPr="005B2844">
        <w:rPr>
          <w:szCs w:val="22"/>
          <w:u w:val="single"/>
        </w:rPr>
        <w:t>Effetti indesiderati molto rari (possono interessare fino a 1 persona su 10.000):</w:t>
      </w:r>
    </w:p>
    <w:p w:rsidR="00CA68C0" w:rsidRPr="005B2844" w:rsidRDefault="00CA68C0" w:rsidP="00CA68C0">
      <w:pPr>
        <w:rPr>
          <w:szCs w:val="22"/>
        </w:rPr>
      </w:pPr>
      <w:r w:rsidRPr="005B2844">
        <w:rPr>
          <w:szCs w:val="22"/>
        </w:rPr>
        <w:t>Aumento del pH (equilibrio acido-base alterato) dovuto a un basso livello di cloro nel sangue.</w:t>
      </w:r>
    </w:p>
    <w:p w:rsidR="00177ED5" w:rsidRPr="005B2844" w:rsidRDefault="00177ED5" w:rsidP="0072602F">
      <w:pPr>
        <w:rPr>
          <w:szCs w:val="22"/>
        </w:rPr>
      </w:pPr>
    </w:p>
    <w:p w:rsidR="00177ED5" w:rsidRPr="005B2844" w:rsidRDefault="00177ED5" w:rsidP="00532263">
      <w:pPr>
        <w:keepNext/>
        <w:rPr>
          <w:szCs w:val="22"/>
        </w:rPr>
      </w:pPr>
      <w:r w:rsidRPr="005B2844">
        <w:rPr>
          <w:szCs w:val="22"/>
          <w:u w:val="single"/>
        </w:rPr>
        <w:t>Effetti indesiderati di frequenza non nota</w:t>
      </w:r>
      <w:r w:rsidRPr="005B2844">
        <w:rPr>
          <w:szCs w:val="22"/>
        </w:rPr>
        <w:t xml:space="preserve"> </w:t>
      </w:r>
      <w:r w:rsidR="004D2273" w:rsidRPr="005B2844">
        <w:rPr>
          <w:szCs w:val="22"/>
        </w:rPr>
        <w:t>(la frequenza non può essere definita sulla base dei dati disponibili)</w:t>
      </w:r>
      <w:r w:rsidRPr="005B2844">
        <w:rPr>
          <w:szCs w:val="22"/>
        </w:rPr>
        <w:t>:</w:t>
      </w:r>
      <w:r w:rsidRPr="005B2844">
        <w:rPr>
          <w:szCs w:val="22"/>
          <w:u w:val="single"/>
        </w:rPr>
        <w:t xml:space="preserve"> </w:t>
      </w:r>
      <w:r w:rsidRPr="005B2844">
        <w:rPr>
          <w:szCs w:val="22"/>
          <w:u w:val="single"/>
        </w:rPr>
        <w:br/>
      </w:r>
      <w:r w:rsidR="0050242E" w:rsidRPr="005B2844">
        <w:rPr>
          <w:szCs w:val="22"/>
        </w:rPr>
        <w:t>I</w:t>
      </w:r>
      <w:r w:rsidRPr="005B2844">
        <w:rPr>
          <w:szCs w:val="22"/>
        </w:rPr>
        <w:t>nfiammazione dell</w:t>
      </w:r>
      <w:r w:rsidR="008844FB" w:rsidRPr="005B2844">
        <w:rPr>
          <w:szCs w:val="22"/>
        </w:rPr>
        <w:t>e</w:t>
      </w:r>
      <w:r w:rsidRPr="005B2844">
        <w:rPr>
          <w:szCs w:val="22"/>
        </w:rPr>
        <w:t xml:space="preserve"> ghiandol</w:t>
      </w:r>
      <w:r w:rsidR="008844FB" w:rsidRPr="005B2844">
        <w:rPr>
          <w:szCs w:val="22"/>
        </w:rPr>
        <w:t>e</w:t>
      </w:r>
      <w:r w:rsidRPr="005B2844">
        <w:rPr>
          <w:szCs w:val="22"/>
        </w:rPr>
        <w:t xml:space="preserve"> salivar</w:t>
      </w:r>
      <w:r w:rsidR="008844FB" w:rsidRPr="005B2844">
        <w:rPr>
          <w:szCs w:val="22"/>
        </w:rPr>
        <w:t>i</w:t>
      </w:r>
      <w:r w:rsidR="00A03BDA" w:rsidRPr="005B2844">
        <w:rPr>
          <w:szCs w:val="22"/>
        </w:rPr>
        <w:t xml:space="preserve">, </w:t>
      </w:r>
      <w:r w:rsidR="00263CA9" w:rsidRPr="005B2844">
        <w:rPr>
          <w:szCs w:val="22"/>
        </w:rPr>
        <w:t>cancro della pelle e delle labbra (cancro della pelle non melanoma),</w:t>
      </w:r>
      <w:r w:rsidR="00263CA9" w:rsidRPr="005B2844">
        <w:rPr>
          <w:sz w:val="18"/>
          <w:szCs w:val="18"/>
          <w:u w:val="single"/>
        </w:rPr>
        <w:t xml:space="preserve"> </w:t>
      </w:r>
      <w:r w:rsidRPr="005B2844">
        <w:rPr>
          <w:szCs w:val="22"/>
        </w:rPr>
        <w:t xml:space="preserve">diminuzione del numero </w:t>
      </w:r>
      <w:r w:rsidR="0083483B" w:rsidRPr="005B2844">
        <w:rPr>
          <w:szCs w:val="22"/>
        </w:rPr>
        <w:t xml:space="preserve">(o persino mancanza) </w:t>
      </w:r>
      <w:r w:rsidRPr="005B2844">
        <w:rPr>
          <w:szCs w:val="22"/>
        </w:rPr>
        <w:t xml:space="preserve">delle cellule del sangue, incluso calo della conta dei globuli rossi </w:t>
      </w:r>
      <w:r w:rsidR="0050242E" w:rsidRPr="005B2844">
        <w:rPr>
          <w:szCs w:val="22"/>
        </w:rPr>
        <w:t>e dei globuli bianchi</w:t>
      </w:r>
      <w:r w:rsidR="00AA216C" w:rsidRPr="005B2844">
        <w:rPr>
          <w:szCs w:val="22"/>
        </w:rPr>
        <w:t xml:space="preserve">, </w:t>
      </w:r>
      <w:r w:rsidRPr="005B2844">
        <w:rPr>
          <w:szCs w:val="22"/>
        </w:rPr>
        <w:t>gravi reazioni allergiche</w:t>
      </w:r>
      <w:r w:rsidR="0050242E" w:rsidRPr="005B2844">
        <w:rPr>
          <w:szCs w:val="22"/>
        </w:rPr>
        <w:t xml:space="preserve"> (ad es. ipersensibilità, reazione anafilattica), </w:t>
      </w:r>
      <w:r w:rsidRPr="005B2844">
        <w:rPr>
          <w:szCs w:val="22"/>
        </w:rPr>
        <w:t>calo o perdita di appetito</w:t>
      </w:r>
      <w:r w:rsidR="00A03BDA" w:rsidRPr="005B2844">
        <w:rPr>
          <w:szCs w:val="22"/>
        </w:rPr>
        <w:t xml:space="preserve">, </w:t>
      </w:r>
      <w:r w:rsidRPr="005B2844">
        <w:rPr>
          <w:szCs w:val="22"/>
        </w:rPr>
        <w:t>irrequietezza</w:t>
      </w:r>
      <w:r w:rsidR="00A03BDA" w:rsidRPr="005B2844">
        <w:rPr>
          <w:szCs w:val="22"/>
        </w:rPr>
        <w:t xml:space="preserve">, </w:t>
      </w:r>
      <w:r w:rsidR="00113DEE" w:rsidRPr="005B2844">
        <w:rPr>
          <w:szCs w:val="22"/>
        </w:rPr>
        <w:t>stordimento</w:t>
      </w:r>
      <w:r w:rsidR="00A03BDA" w:rsidRPr="005B2844">
        <w:rPr>
          <w:szCs w:val="22"/>
        </w:rPr>
        <w:t xml:space="preserve">, </w:t>
      </w:r>
      <w:r w:rsidR="0029675A" w:rsidRPr="005B2844">
        <w:rPr>
          <w:szCs w:val="22"/>
        </w:rPr>
        <w:t xml:space="preserve">visione offuscata o giallognola, </w:t>
      </w:r>
      <w:r w:rsidR="005D68E6" w:rsidRPr="005B2844">
        <w:rPr>
          <w:szCs w:val="22"/>
        </w:rPr>
        <w:t xml:space="preserve">diminuzione della vista e dolore agli occhi (possibili segni </w:t>
      </w:r>
      <w:r w:rsidR="00AB2D22">
        <w:rPr>
          <w:szCs w:val="22"/>
        </w:rPr>
        <w:t xml:space="preserve">dell’accumulo di liquido nello strato vascolare dell’occhio (effusione </w:t>
      </w:r>
      <w:proofErr w:type="spellStart"/>
      <w:r w:rsidR="00AB2D22">
        <w:rPr>
          <w:szCs w:val="22"/>
        </w:rPr>
        <w:t>coroidale</w:t>
      </w:r>
      <w:proofErr w:type="spellEnd"/>
      <w:r w:rsidR="00713E25">
        <w:rPr>
          <w:szCs w:val="22"/>
        </w:rPr>
        <w:t>)</w:t>
      </w:r>
      <w:r w:rsidR="00AB2D22">
        <w:rPr>
          <w:szCs w:val="22"/>
        </w:rPr>
        <w:t xml:space="preserve"> o</w:t>
      </w:r>
      <w:r w:rsidR="00AB2D22" w:rsidRPr="005B2844">
        <w:rPr>
          <w:szCs w:val="22"/>
        </w:rPr>
        <w:t xml:space="preserve"> </w:t>
      </w:r>
      <w:r w:rsidR="005D68E6" w:rsidRPr="005B2844">
        <w:rPr>
          <w:szCs w:val="22"/>
        </w:rPr>
        <w:t xml:space="preserve">di </w:t>
      </w:r>
      <w:r w:rsidR="006F4554" w:rsidRPr="005B2844">
        <w:rPr>
          <w:szCs w:val="22"/>
        </w:rPr>
        <w:t xml:space="preserve">miopia acuta o </w:t>
      </w:r>
      <w:r w:rsidR="005D68E6" w:rsidRPr="005B2844">
        <w:rPr>
          <w:szCs w:val="22"/>
        </w:rPr>
        <w:t xml:space="preserve">glaucoma </w:t>
      </w:r>
      <w:r w:rsidR="00AB5B92" w:rsidRPr="005B2844">
        <w:rPr>
          <w:szCs w:val="22"/>
        </w:rPr>
        <w:t xml:space="preserve">acuto </w:t>
      </w:r>
      <w:r w:rsidR="005D68E6" w:rsidRPr="005B2844">
        <w:rPr>
          <w:szCs w:val="22"/>
        </w:rPr>
        <w:t xml:space="preserve">ad angolo chiuso), </w:t>
      </w:r>
      <w:r w:rsidR="0029675A" w:rsidRPr="005B2844">
        <w:rPr>
          <w:szCs w:val="22"/>
        </w:rPr>
        <w:t xml:space="preserve">infiammazione dei vasi sanguigni (vasculite necrotizzante), </w:t>
      </w:r>
      <w:r w:rsidRPr="005B2844">
        <w:rPr>
          <w:szCs w:val="22"/>
        </w:rPr>
        <w:t xml:space="preserve">infiammazione del pancreas, </w:t>
      </w:r>
      <w:r w:rsidR="0050242E" w:rsidRPr="005B2844">
        <w:rPr>
          <w:szCs w:val="22"/>
        </w:rPr>
        <w:t>disturbo di stomaco</w:t>
      </w:r>
      <w:r w:rsidR="00A03BDA" w:rsidRPr="005B2844">
        <w:rPr>
          <w:szCs w:val="22"/>
        </w:rPr>
        <w:t xml:space="preserve">, </w:t>
      </w:r>
      <w:r w:rsidRPr="005B2844">
        <w:rPr>
          <w:szCs w:val="22"/>
        </w:rPr>
        <w:t>ingiallimento della pelle o degli occhi (ittero</w:t>
      </w:r>
      <w:r w:rsidR="00A03BDA" w:rsidRPr="005B2844">
        <w:rPr>
          <w:szCs w:val="22"/>
        </w:rPr>
        <w:t xml:space="preserve">), </w:t>
      </w:r>
      <w:r w:rsidR="004A2428" w:rsidRPr="005B2844">
        <w:rPr>
          <w:szCs w:val="22"/>
        </w:rPr>
        <w:t xml:space="preserve">sindrome simil lupus (una condizione </w:t>
      </w:r>
      <w:r w:rsidR="009F719D" w:rsidRPr="005B2844">
        <w:rPr>
          <w:szCs w:val="22"/>
        </w:rPr>
        <w:t>simile ad</w:t>
      </w:r>
      <w:r w:rsidR="004A2428" w:rsidRPr="005B2844">
        <w:rPr>
          <w:szCs w:val="22"/>
        </w:rPr>
        <w:t xml:space="preserve"> una malattia chiamata lupus eritematoso sistemico a causa della quale il sistema immunitario attacca l'organismo stesso); </w:t>
      </w:r>
      <w:r w:rsidRPr="005B2844">
        <w:rPr>
          <w:szCs w:val="22"/>
        </w:rPr>
        <w:t>disturbi della pelle come infiammazione dei vasi sanguigni della pelle</w:t>
      </w:r>
      <w:r w:rsidR="0050242E" w:rsidRPr="005B2844">
        <w:rPr>
          <w:szCs w:val="22"/>
        </w:rPr>
        <w:t>,</w:t>
      </w:r>
      <w:r w:rsidRPr="005B2844">
        <w:rPr>
          <w:szCs w:val="22"/>
        </w:rPr>
        <w:t xml:space="preserve"> aumentata sensibilità alla luce del sole</w:t>
      </w:r>
      <w:r w:rsidR="00A03BDA" w:rsidRPr="005B2844">
        <w:rPr>
          <w:szCs w:val="22"/>
        </w:rPr>
        <w:t xml:space="preserve">, </w:t>
      </w:r>
      <w:r w:rsidR="005E0327" w:rsidRPr="005B2844">
        <w:rPr>
          <w:szCs w:val="22"/>
        </w:rPr>
        <w:t xml:space="preserve">eruzione cutanea, arrossamento della pelle, formazione di vesciche su labbra, occhi o bocca, desquamazione della pelle, febbre (possibili segni di eritema multiforme), </w:t>
      </w:r>
      <w:r w:rsidR="00763FE8" w:rsidRPr="005B2844">
        <w:rPr>
          <w:szCs w:val="22"/>
        </w:rPr>
        <w:t xml:space="preserve">sensazione di </w:t>
      </w:r>
      <w:r w:rsidR="0029675A" w:rsidRPr="005B2844">
        <w:rPr>
          <w:szCs w:val="22"/>
        </w:rPr>
        <w:t xml:space="preserve">debolezza, </w:t>
      </w:r>
      <w:r w:rsidRPr="005B2844">
        <w:rPr>
          <w:szCs w:val="22"/>
        </w:rPr>
        <w:t>infiammazione dei reni o funzionalità renale alterata</w:t>
      </w:r>
      <w:r w:rsidR="00A03BDA" w:rsidRPr="005B2844">
        <w:rPr>
          <w:szCs w:val="22"/>
        </w:rPr>
        <w:t xml:space="preserve">, </w:t>
      </w:r>
      <w:r w:rsidR="0029675A" w:rsidRPr="005B2844">
        <w:rPr>
          <w:szCs w:val="22"/>
        </w:rPr>
        <w:t xml:space="preserve">glucosio presente nell’urina (glicosuria), </w:t>
      </w:r>
      <w:r w:rsidRPr="005B2844">
        <w:rPr>
          <w:szCs w:val="22"/>
        </w:rPr>
        <w:t>febbre</w:t>
      </w:r>
      <w:r w:rsidR="00A03BDA" w:rsidRPr="005B2844">
        <w:rPr>
          <w:szCs w:val="22"/>
        </w:rPr>
        <w:t xml:space="preserve">, </w:t>
      </w:r>
      <w:r w:rsidR="006954C3" w:rsidRPr="005B2844">
        <w:rPr>
          <w:szCs w:val="22"/>
        </w:rPr>
        <w:t xml:space="preserve">squilibrio elettrolitico, livelli elevati di colesterolo nel sangue, volume di sangue ridotto, </w:t>
      </w:r>
      <w:r w:rsidR="003162E2" w:rsidRPr="005B2844">
        <w:rPr>
          <w:szCs w:val="22"/>
        </w:rPr>
        <w:t>aumentati livelli di glucosio nel sangue</w:t>
      </w:r>
      <w:r w:rsidR="00880FE1" w:rsidRPr="005B2844">
        <w:rPr>
          <w:szCs w:val="22"/>
        </w:rPr>
        <w:t>, difficoltà nel controllare i livelli di glucosio nel sangue</w:t>
      </w:r>
      <w:r w:rsidR="003162E2" w:rsidRPr="005B2844">
        <w:rPr>
          <w:szCs w:val="22"/>
        </w:rPr>
        <w:t>/</w:t>
      </w:r>
      <w:r w:rsidR="00674374" w:rsidRPr="005B2844">
        <w:rPr>
          <w:szCs w:val="22"/>
        </w:rPr>
        <w:t xml:space="preserve">nelle </w:t>
      </w:r>
      <w:r w:rsidR="003162E2" w:rsidRPr="005B2844">
        <w:rPr>
          <w:szCs w:val="22"/>
        </w:rPr>
        <w:t xml:space="preserve">urine in pazienti con diagnosi di diabete mellito, </w:t>
      </w:r>
      <w:r w:rsidR="006954C3" w:rsidRPr="005B2844">
        <w:rPr>
          <w:szCs w:val="22"/>
        </w:rPr>
        <w:t>o</w:t>
      </w:r>
      <w:r w:rsidRPr="005B2844">
        <w:rPr>
          <w:szCs w:val="22"/>
        </w:rPr>
        <w:t xml:space="preserve"> </w:t>
      </w:r>
      <w:r w:rsidR="005D6A0D" w:rsidRPr="005B2844">
        <w:rPr>
          <w:szCs w:val="22"/>
        </w:rPr>
        <w:t xml:space="preserve">di </w:t>
      </w:r>
      <w:r w:rsidR="00B85C04" w:rsidRPr="005B2844">
        <w:rPr>
          <w:szCs w:val="22"/>
        </w:rPr>
        <w:t>grassi nel sangue.</w:t>
      </w:r>
    </w:p>
    <w:p w:rsidR="00A70FCB" w:rsidRPr="005B2844" w:rsidRDefault="00A70FCB" w:rsidP="0072602F">
      <w:pPr>
        <w:rPr>
          <w:szCs w:val="22"/>
        </w:rPr>
      </w:pPr>
    </w:p>
    <w:p w:rsidR="00E97B2C" w:rsidRPr="005B2844" w:rsidRDefault="00E97B2C" w:rsidP="00E97B2C">
      <w:pPr>
        <w:tabs>
          <w:tab w:val="left" w:pos="6300"/>
        </w:tabs>
        <w:ind w:right="-2"/>
        <w:rPr>
          <w:b/>
          <w:noProof/>
          <w:szCs w:val="22"/>
        </w:rPr>
      </w:pPr>
      <w:r w:rsidRPr="005B2844">
        <w:rPr>
          <w:b/>
          <w:noProof/>
          <w:szCs w:val="22"/>
        </w:rPr>
        <w:t>Segnalazione degli effetti indesiderati</w:t>
      </w:r>
    </w:p>
    <w:p w:rsidR="00A70FCB" w:rsidRPr="005B2844" w:rsidRDefault="00E97B2C" w:rsidP="00C90BD9">
      <w:pPr>
        <w:suppressAutoHyphens/>
        <w:rPr>
          <w:noProof/>
          <w:szCs w:val="22"/>
        </w:rPr>
      </w:pPr>
      <w:r w:rsidRPr="005B2844">
        <w:rPr>
          <w:szCs w:val="22"/>
        </w:rPr>
        <w:t>Se manifesta un qualsiasi effetto indesiderato, compresi quelli non elencati in questo foglio, si rivolga al medico o al farmacista.</w:t>
      </w:r>
      <w:r w:rsidRPr="005B2844">
        <w:rPr>
          <w:noProof/>
          <w:szCs w:val="22"/>
        </w:rPr>
        <w:t xml:space="preserve"> </w:t>
      </w:r>
      <w:r w:rsidR="00D01EC3" w:rsidRPr="005B2844">
        <w:rPr>
          <w:noProof/>
          <w:szCs w:val="22"/>
        </w:rPr>
        <w:t>P</w:t>
      </w:r>
      <w:r w:rsidRPr="005B2844">
        <w:rPr>
          <w:noProof/>
          <w:szCs w:val="22"/>
        </w:rPr>
        <w:t xml:space="preserve">uò inoltre segnalare gli effetti indesiderati direttamente tramite </w:t>
      </w:r>
      <w:r w:rsidRPr="005B2844">
        <w:rPr>
          <w:noProof/>
          <w:szCs w:val="22"/>
          <w:highlight w:val="lightGray"/>
        </w:rPr>
        <w:t>il sistema nazionale di segnalazione riportato nell’</w:t>
      </w:r>
      <w:hyperlink r:id="rId16" w:history="1">
        <w:r w:rsidR="00D01EC3" w:rsidRPr="005B2844">
          <w:rPr>
            <w:rStyle w:val="Hyperlink"/>
            <w:noProof/>
            <w:szCs w:val="22"/>
            <w:highlight w:val="lightGray"/>
          </w:rPr>
          <w:t>a</w:t>
        </w:r>
        <w:r w:rsidRPr="005B2844">
          <w:rPr>
            <w:rStyle w:val="Hyperlink"/>
            <w:noProof/>
            <w:szCs w:val="22"/>
            <w:highlight w:val="lightGray"/>
          </w:rPr>
          <w:t>lleg</w:t>
        </w:r>
        <w:r w:rsidRPr="005B2844">
          <w:rPr>
            <w:rStyle w:val="Hyperlink"/>
            <w:noProof/>
            <w:szCs w:val="22"/>
            <w:highlight w:val="lightGray"/>
          </w:rPr>
          <w:t>a</w:t>
        </w:r>
        <w:r w:rsidRPr="005B2844">
          <w:rPr>
            <w:rStyle w:val="Hyperlink"/>
            <w:noProof/>
            <w:szCs w:val="22"/>
            <w:highlight w:val="lightGray"/>
          </w:rPr>
          <w:t>to V</w:t>
        </w:r>
      </w:hyperlink>
      <w:r w:rsidRPr="005B2844">
        <w:rPr>
          <w:noProof/>
          <w:szCs w:val="22"/>
        </w:rPr>
        <w:t>.</w:t>
      </w:r>
      <w:r w:rsidR="00D01EC3" w:rsidRPr="005B2844">
        <w:rPr>
          <w:noProof/>
          <w:szCs w:val="22"/>
        </w:rPr>
        <w:t xml:space="preserve"> </w:t>
      </w:r>
      <w:r w:rsidRPr="005B2844">
        <w:rPr>
          <w:noProof/>
          <w:szCs w:val="22"/>
        </w:rPr>
        <w:t>Segnalando gli effetti indesiderati può contribuire a fornire maggiori informazioni sulla sicurezza di questo medicinale.</w:t>
      </w:r>
    </w:p>
    <w:p w:rsidR="000C6CBB" w:rsidRPr="005B2844" w:rsidRDefault="000C6CBB" w:rsidP="0072602F">
      <w:pPr>
        <w:rPr>
          <w:szCs w:val="22"/>
        </w:rPr>
      </w:pPr>
    </w:p>
    <w:p w:rsidR="00A70FCB" w:rsidRPr="005B2844" w:rsidRDefault="00A70FCB" w:rsidP="0072602F">
      <w:pPr>
        <w:rPr>
          <w:szCs w:val="22"/>
        </w:rPr>
      </w:pPr>
    </w:p>
    <w:p w:rsidR="00A70FCB" w:rsidRPr="005B2844" w:rsidRDefault="00A70FCB" w:rsidP="008A1E96">
      <w:pPr>
        <w:keepNext/>
        <w:tabs>
          <w:tab w:val="left" w:pos="567"/>
        </w:tabs>
        <w:ind w:left="567" w:hanging="567"/>
        <w:rPr>
          <w:b/>
          <w:szCs w:val="22"/>
        </w:rPr>
      </w:pPr>
      <w:r w:rsidRPr="005B2844">
        <w:rPr>
          <w:b/>
          <w:szCs w:val="22"/>
        </w:rPr>
        <w:t>5.</w:t>
      </w:r>
      <w:r w:rsidRPr="005B2844">
        <w:rPr>
          <w:b/>
          <w:szCs w:val="22"/>
        </w:rPr>
        <w:tab/>
      </w:r>
      <w:r w:rsidR="004D2273" w:rsidRPr="005B2844">
        <w:rPr>
          <w:b/>
          <w:szCs w:val="22"/>
        </w:rPr>
        <w:t xml:space="preserve">Come conservare </w:t>
      </w:r>
      <w:proofErr w:type="spellStart"/>
      <w:r w:rsidR="004D2273" w:rsidRPr="005B2844">
        <w:rPr>
          <w:b/>
          <w:szCs w:val="22"/>
        </w:rPr>
        <w:t>MicardisPlus</w:t>
      </w:r>
      <w:proofErr w:type="spellEnd"/>
    </w:p>
    <w:p w:rsidR="00A70FCB" w:rsidRPr="005B2844" w:rsidRDefault="00A70FCB" w:rsidP="008A1E96">
      <w:pPr>
        <w:keepNext/>
        <w:rPr>
          <w:szCs w:val="22"/>
        </w:rPr>
      </w:pPr>
    </w:p>
    <w:p w:rsidR="00A70FCB" w:rsidRPr="005B2844" w:rsidRDefault="00D01EC3" w:rsidP="0072602F">
      <w:pPr>
        <w:rPr>
          <w:szCs w:val="22"/>
        </w:rPr>
      </w:pPr>
      <w:r w:rsidRPr="005B2844">
        <w:rPr>
          <w:szCs w:val="22"/>
        </w:rPr>
        <w:t xml:space="preserve">Conservi </w:t>
      </w:r>
      <w:r w:rsidR="00293033" w:rsidRPr="005B2844">
        <w:rPr>
          <w:szCs w:val="22"/>
        </w:rPr>
        <w:t>questo medicinale</w:t>
      </w:r>
      <w:r w:rsidR="00165D3E" w:rsidRPr="005B2844">
        <w:rPr>
          <w:szCs w:val="22"/>
        </w:rPr>
        <w:t xml:space="preserve"> </w:t>
      </w:r>
      <w:r w:rsidR="00A70FCB" w:rsidRPr="005B2844">
        <w:rPr>
          <w:szCs w:val="22"/>
        </w:rPr>
        <w:t>fuori d</w:t>
      </w:r>
      <w:r w:rsidR="009260C1" w:rsidRPr="005B2844">
        <w:rPr>
          <w:szCs w:val="22"/>
        </w:rPr>
        <w:t>a</w:t>
      </w:r>
      <w:r w:rsidR="00A70FCB" w:rsidRPr="005B2844">
        <w:rPr>
          <w:szCs w:val="22"/>
        </w:rPr>
        <w:t xml:space="preserve">lla </w:t>
      </w:r>
      <w:r w:rsidR="00293033" w:rsidRPr="005B2844">
        <w:rPr>
          <w:szCs w:val="22"/>
        </w:rPr>
        <w:t>vista</w:t>
      </w:r>
      <w:r w:rsidR="00A70FCB" w:rsidRPr="005B2844">
        <w:rPr>
          <w:szCs w:val="22"/>
        </w:rPr>
        <w:t xml:space="preserve"> e d</w:t>
      </w:r>
      <w:r w:rsidR="009260C1" w:rsidRPr="005B2844">
        <w:rPr>
          <w:szCs w:val="22"/>
        </w:rPr>
        <w:t>a</w:t>
      </w:r>
      <w:r w:rsidR="00A70FCB" w:rsidRPr="005B2844">
        <w:rPr>
          <w:szCs w:val="22"/>
        </w:rPr>
        <w:t xml:space="preserve">lla </w:t>
      </w:r>
      <w:r w:rsidR="00293033" w:rsidRPr="005B2844">
        <w:rPr>
          <w:szCs w:val="22"/>
        </w:rPr>
        <w:t>portata</w:t>
      </w:r>
      <w:r w:rsidR="00A70FCB" w:rsidRPr="005B2844">
        <w:rPr>
          <w:szCs w:val="22"/>
        </w:rPr>
        <w:t xml:space="preserve"> dei bambini.</w:t>
      </w:r>
    </w:p>
    <w:p w:rsidR="00165D3E" w:rsidRPr="005B2844" w:rsidRDefault="00165D3E" w:rsidP="0072602F">
      <w:pPr>
        <w:rPr>
          <w:szCs w:val="22"/>
        </w:rPr>
      </w:pPr>
    </w:p>
    <w:p w:rsidR="00165D3E" w:rsidRPr="005B2844" w:rsidRDefault="00165D3E" w:rsidP="0072602F">
      <w:pPr>
        <w:suppressAutoHyphens/>
        <w:rPr>
          <w:noProof/>
          <w:szCs w:val="22"/>
        </w:rPr>
      </w:pPr>
      <w:r w:rsidRPr="005B2844">
        <w:rPr>
          <w:noProof/>
          <w:szCs w:val="22"/>
        </w:rPr>
        <w:t xml:space="preserve">Non usi </w:t>
      </w:r>
      <w:r w:rsidR="00293033" w:rsidRPr="005B2844">
        <w:rPr>
          <w:szCs w:val="22"/>
        </w:rPr>
        <w:t>questo medicinale</w:t>
      </w:r>
      <w:r w:rsidRPr="005B2844">
        <w:rPr>
          <w:szCs w:val="22"/>
        </w:rPr>
        <w:t xml:space="preserve"> </w:t>
      </w:r>
      <w:r w:rsidRPr="005B2844">
        <w:rPr>
          <w:noProof/>
          <w:szCs w:val="22"/>
        </w:rPr>
        <w:t xml:space="preserve">dopo la data di scadenza che è riportata </w:t>
      </w:r>
      <w:r w:rsidR="00293033" w:rsidRPr="005B2844">
        <w:rPr>
          <w:noProof/>
          <w:szCs w:val="22"/>
        </w:rPr>
        <w:t>sulla scatola</w:t>
      </w:r>
      <w:r w:rsidRPr="005B2844">
        <w:rPr>
          <w:noProof/>
          <w:szCs w:val="22"/>
        </w:rPr>
        <w:t xml:space="preserve"> dopo Scad. La data di scadenza si riferisce all’ultimo giorno </w:t>
      </w:r>
      <w:r w:rsidR="00971E74" w:rsidRPr="005B2844">
        <w:rPr>
          <w:noProof/>
          <w:szCs w:val="22"/>
        </w:rPr>
        <w:t>di quel</w:t>
      </w:r>
      <w:r w:rsidRPr="005B2844">
        <w:rPr>
          <w:noProof/>
          <w:szCs w:val="22"/>
        </w:rPr>
        <w:t xml:space="preserve"> mese.</w:t>
      </w:r>
    </w:p>
    <w:p w:rsidR="00165D3E" w:rsidRPr="005B2844" w:rsidRDefault="00165D3E" w:rsidP="0072602F">
      <w:pPr>
        <w:rPr>
          <w:szCs w:val="22"/>
        </w:rPr>
      </w:pPr>
    </w:p>
    <w:p w:rsidR="00A70FCB" w:rsidRPr="005B2844" w:rsidRDefault="0011676C" w:rsidP="0072602F">
      <w:pPr>
        <w:rPr>
          <w:szCs w:val="22"/>
        </w:rPr>
      </w:pPr>
      <w:r w:rsidRPr="005B2844">
        <w:rPr>
          <w:noProof/>
          <w:szCs w:val="22"/>
        </w:rPr>
        <w:t xml:space="preserve">Questo medicinale non richiede alcuna </w:t>
      </w:r>
      <w:r w:rsidR="00971E74" w:rsidRPr="005B2844">
        <w:rPr>
          <w:noProof/>
          <w:szCs w:val="22"/>
        </w:rPr>
        <w:t>temperatura</w:t>
      </w:r>
      <w:r w:rsidRPr="005B2844">
        <w:rPr>
          <w:noProof/>
          <w:szCs w:val="22"/>
        </w:rPr>
        <w:t xml:space="preserve"> particolare di conservazione. </w:t>
      </w:r>
      <w:r w:rsidR="00177ED5" w:rsidRPr="005B2844">
        <w:rPr>
          <w:szCs w:val="22"/>
        </w:rPr>
        <w:t>Deve c</w:t>
      </w:r>
      <w:r w:rsidR="00A70FCB" w:rsidRPr="005B2844">
        <w:rPr>
          <w:szCs w:val="22"/>
        </w:rPr>
        <w:t xml:space="preserve">onservare </w:t>
      </w:r>
      <w:r w:rsidR="00177ED5" w:rsidRPr="005B2844">
        <w:rPr>
          <w:szCs w:val="22"/>
        </w:rPr>
        <w:t xml:space="preserve">il medicinale </w:t>
      </w:r>
      <w:r w:rsidR="00A70FCB" w:rsidRPr="005B2844">
        <w:rPr>
          <w:szCs w:val="22"/>
        </w:rPr>
        <w:t>nella confezione originale per tener</w:t>
      </w:r>
      <w:r w:rsidR="00177ED5" w:rsidRPr="005B2844">
        <w:rPr>
          <w:szCs w:val="22"/>
        </w:rPr>
        <w:t xml:space="preserve">e </w:t>
      </w:r>
      <w:r w:rsidR="00A70FCB" w:rsidRPr="005B2844">
        <w:rPr>
          <w:szCs w:val="22"/>
        </w:rPr>
        <w:t>l</w:t>
      </w:r>
      <w:r w:rsidR="00177ED5" w:rsidRPr="005B2844">
        <w:rPr>
          <w:szCs w:val="22"/>
        </w:rPr>
        <w:t>e</w:t>
      </w:r>
      <w:r w:rsidR="00A70FCB" w:rsidRPr="005B2844">
        <w:rPr>
          <w:szCs w:val="22"/>
        </w:rPr>
        <w:t xml:space="preserve"> </w:t>
      </w:r>
      <w:r w:rsidR="00177ED5" w:rsidRPr="005B2844">
        <w:rPr>
          <w:szCs w:val="22"/>
        </w:rPr>
        <w:t xml:space="preserve">compresse </w:t>
      </w:r>
      <w:r w:rsidR="00A70FCB" w:rsidRPr="005B2844">
        <w:rPr>
          <w:szCs w:val="22"/>
        </w:rPr>
        <w:t>al riparo dall’umidità.</w:t>
      </w:r>
      <w:r w:rsidR="000B7626" w:rsidRPr="005B2844">
        <w:rPr>
          <w:szCs w:val="22"/>
        </w:rPr>
        <w:t xml:space="preserve"> Estragga la compressa di </w:t>
      </w:r>
      <w:proofErr w:type="spellStart"/>
      <w:r w:rsidR="000B7626" w:rsidRPr="005B2844">
        <w:rPr>
          <w:szCs w:val="22"/>
        </w:rPr>
        <w:t>MicardisPlus</w:t>
      </w:r>
      <w:proofErr w:type="spellEnd"/>
      <w:r w:rsidR="000B7626" w:rsidRPr="005B2844">
        <w:rPr>
          <w:szCs w:val="22"/>
        </w:rPr>
        <w:t xml:space="preserve"> dal blister solo immediatamente prima dell’assunzione.</w:t>
      </w:r>
    </w:p>
    <w:p w:rsidR="00A70FCB" w:rsidRPr="005B2844" w:rsidRDefault="00A70FCB" w:rsidP="0072602F">
      <w:pPr>
        <w:rPr>
          <w:szCs w:val="22"/>
        </w:rPr>
      </w:pPr>
    </w:p>
    <w:p w:rsidR="00A70FCB" w:rsidRPr="005B2844" w:rsidRDefault="00A70FCB" w:rsidP="0072602F">
      <w:pPr>
        <w:rPr>
          <w:szCs w:val="22"/>
        </w:rPr>
      </w:pPr>
      <w:r w:rsidRPr="005B2844">
        <w:rPr>
          <w:szCs w:val="22"/>
        </w:rPr>
        <w:t xml:space="preserve">Occasionalmente lo strato esterno del blister </w:t>
      </w:r>
      <w:r w:rsidR="00500AF7" w:rsidRPr="005B2844">
        <w:rPr>
          <w:szCs w:val="22"/>
        </w:rPr>
        <w:t xml:space="preserve">si </w:t>
      </w:r>
      <w:r w:rsidRPr="005B2844">
        <w:rPr>
          <w:szCs w:val="22"/>
        </w:rPr>
        <w:t xml:space="preserve">separa dallo strato interno tra gli alveoli. Se ciò si verificasse, non è necessario </w:t>
      </w:r>
      <w:r w:rsidR="00500AF7" w:rsidRPr="005B2844">
        <w:rPr>
          <w:szCs w:val="22"/>
        </w:rPr>
        <w:t xml:space="preserve">che </w:t>
      </w:r>
      <w:r w:rsidRPr="005B2844">
        <w:rPr>
          <w:szCs w:val="22"/>
        </w:rPr>
        <w:t>prend</w:t>
      </w:r>
      <w:r w:rsidR="00500AF7" w:rsidRPr="005B2844">
        <w:rPr>
          <w:szCs w:val="22"/>
        </w:rPr>
        <w:t>a</w:t>
      </w:r>
      <w:r w:rsidRPr="005B2844">
        <w:rPr>
          <w:szCs w:val="22"/>
        </w:rPr>
        <w:t xml:space="preserve"> alcuna precauzione.</w:t>
      </w:r>
    </w:p>
    <w:p w:rsidR="00A70FCB" w:rsidRPr="005B2844" w:rsidRDefault="00A70FCB" w:rsidP="0072602F">
      <w:pPr>
        <w:rPr>
          <w:szCs w:val="22"/>
        </w:rPr>
      </w:pPr>
    </w:p>
    <w:p w:rsidR="00990D13" w:rsidRPr="005B2844" w:rsidRDefault="00971E74" w:rsidP="0072602F">
      <w:pPr>
        <w:suppressAutoHyphens/>
        <w:rPr>
          <w:noProof/>
          <w:szCs w:val="22"/>
        </w:rPr>
      </w:pPr>
      <w:r w:rsidRPr="005B2844">
        <w:rPr>
          <w:noProof/>
          <w:szCs w:val="22"/>
        </w:rPr>
        <w:t>Non getti alcun medicinale</w:t>
      </w:r>
      <w:r w:rsidR="00990D13" w:rsidRPr="005B2844">
        <w:rPr>
          <w:noProof/>
          <w:szCs w:val="22"/>
        </w:rPr>
        <w:t xml:space="preserve"> nell’acqua di scarico e nei rifiuti domestici. Chieda al farmacista come eliminare i medicinali che non utilizza più. Questo aiuterà a proteggere l’ambiente.</w:t>
      </w:r>
    </w:p>
    <w:p w:rsidR="0016222F" w:rsidRPr="005B2844" w:rsidRDefault="0016222F" w:rsidP="0072602F">
      <w:pPr>
        <w:rPr>
          <w:szCs w:val="22"/>
        </w:rPr>
      </w:pPr>
    </w:p>
    <w:p w:rsidR="0016222F" w:rsidRPr="005B2844" w:rsidRDefault="0016222F" w:rsidP="0072602F">
      <w:pPr>
        <w:rPr>
          <w:szCs w:val="22"/>
        </w:rPr>
      </w:pPr>
    </w:p>
    <w:p w:rsidR="00A70FCB" w:rsidRPr="005B2844" w:rsidRDefault="00A70FCB" w:rsidP="00532263">
      <w:pPr>
        <w:keepNext/>
        <w:ind w:left="567" w:hanging="567"/>
        <w:rPr>
          <w:b/>
          <w:szCs w:val="22"/>
        </w:rPr>
      </w:pPr>
      <w:r w:rsidRPr="005B2844">
        <w:rPr>
          <w:b/>
          <w:szCs w:val="22"/>
        </w:rPr>
        <w:t>6.</w:t>
      </w:r>
      <w:r w:rsidRPr="005B2844">
        <w:rPr>
          <w:b/>
          <w:szCs w:val="22"/>
        </w:rPr>
        <w:tab/>
      </w:r>
      <w:r w:rsidR="00971E74" w:rsidRPr="005B2844">
        <w:rPr>
          <w:b/>
          <w:szCs w:val="22"/>
        </w:rPr>
        <w:t>Contenuto della confezione e altre informazioni</w:t>
      </w:r>
    </w:p>
    <w:p w:rsidR="00A70FCB" w:rsidRPr="005B2844" w:rsidRDefault="00A70FCB" w:rsidP="00532263">
      <w:pPr>
        <w:pStyle w:val="BodyText30"/>
        <w:keepNext/>
        <w:widowControl/>
        <w:rPr>
          <w:szCs w:val="22"/>
          <w:lang w:val="it-IT"/>
        </w:rPr>
      </w:pPr>
    </w:p>
    <w:p w:rsidR="0016222F" w:rsidRPr="005B2844" w:rsidRDefault="0016222F" w:rsidP="00532263">
      <w:pPr>
        <w:keepNext/>
        <w:tabs>
          <w:tab w:val="left" w:pos="426"/>
        </w:tabs>
        <w:rPr>
          <w:b/>
          <w:szCs w:val="22"/>
        </w:rPr>
      </w:pPr>
      <w:r w:rsidRPr="005B2844">
        <w:rPr>
          <w:b/>
          <w:szCs w:val="22"/>
        </w:rPr>
        <w:t xml:space="preserve">Cosa contiene </w:t>
      </w:r>
      <w:proofErr w:type="spellStart"/>
      <w:r w:rsidRPr="005B2844">
        <w:rPr>
          <w:b/>
          <w:szCs w:val="22"/>
        </w:rPr>
        <w:t>MicardisPlus</w:t>
      </w:r>
      <w:proofErr w:type="spellEnd"/>
    </w:p>
    <w:p w:rsidR="009904EA" w:rsidRPr="005B2844" w:rsidRDefault="009904EA" w:rsidP="00532263">
      <w:pPr>
        <w:keepNext/>
        <w:tabs>
          <w:tab w:val="left" w:pos="426"/>
        </w:tabs>
        <w:rPr>
          <w:b/>
          <w:szCs w:val="22"/>
        </w:rPr>
      </w:pPr>
    </w:p>
    <w:p w:rsidR="0016222F" w:rsidRPr="005B2844" w:rsidRDefault="0016222F" w:rsidP="0072602F">
      <w:pPr>
        <w:rPr>
          <w:szCs w:val="22"/>
        </w:rPr>
      </w:pPr>
      <w:r w:rsidRPr="005B2844">
        <w:rPr>
          <w:szCs w:val="22"/>
        </w:rPr>
        <w:t xml:space="preserve">I principi attivi sono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00177ED5" w:rsidRPr="005B2844">
        <w:rPr>
          <w:szCs w:val="22"/>
        </w:rPr>
        <w:t xml:space="preserve">. Ogni compressa contiene 80 mg di </w:t>
      </w:r>
      <w:proofErr w:type="spellStart"/>
      <w:r w:rsidR="00177ED5" w:rsidRPr="005B2844">
        <w:rPr>
          <w:szCs w:val="22"/>
        </w:rPr>
        <w:t>telmisartan</w:t>
      </w:r>
      <w:proofErr w:type="spellEnd"/>
      <w:r w:rsidR="00177ED5" w:rsidRPr="005B2844">
        <w:rPr>
          <w:szCs w:val="22"/>
        </w:rPr>
        <w:t xml:space="preserve"> e </w:t>
      </w:r>
      <w:r w:rsidR="00244055" w:rsidRPr="005B2844">
        <w:rPr>
          <w:szCs w:val="22"/>
        </w:rPr>
        <w:t>1</w:t>
      </w:r>
      <w:r w:rsidR="00177ED5" w:rsidRPr="005B2844">
        <w:rPr>
          <w:szCs w:val="22"/>
        </w:rPr>
        <w:t>2</w:t>
      </w:r>
      <w:r w:rsidR="00244055" w:rsidRPr="005B2844">
        <w:rPr>
          <w:szCs w:val="22"/>
        </w:rPr>
        <w:t>,</w:t>
      </w:r>
      <w:r w:rsidR="00177ED5" w:rsidRPr="005B2844">
        <w:rPr>
          <w:szCs w:val="22"/>
        </w:rPr>
        <w:t xml:space="preserve">5 mg di </w:t>
      </w:r>
      <w:proofErr w:type="spellStart"/>
      <w:r w:rsidR="00177ED5" w:rsidRPr="005B2844">
        <w:rPr>
          <w:szCs w:val="22"/>
        </w:rPr>
        <w:t>idroclorotiazide</w:t>
      </w:r>
      <w:proofErr w:type="spellEnd"/>
      <w:r w:rsidR="00177ED5" w:rsidRPr="005B2844">
        <w:rPr>
          <w:szCs w:val="22"/>
        </w:rPr>
        <w:t>.</w:t>
      </w:r>
    </w:p>
    <w:p w:rsidR="0016222F" w:rsidRPr="005B2844" w:rsidRDefault="0016222F" w:rsidP="0072602F">
      <w:pPr>
        <w:tabs>
          <w:tab w:val="left" w:pos="567"/>
        </w:tabs>
        <w:rPr>
          <w:szCs w:val="22"/>
        </w:rPr>
      </w:pPr>
      <w:r w:rsidRPr="005B2844">
        <w:rPr>
          <w:szCs w:val="22"/>
        </w:rPr>
        <w:t xml:space="preserve">Gli </w:t>
      </w:r>
      <w:r w:rsidR="00F72BE7" w:rsidRPr="005B2844">
        <w:rPr>
          <w:szCs w:val="22"/>
        </w:rPr>
        <w:t>altri componenti</w:t>
      </w:r>
      <w:r w:rsidRPr="005B2844">
        <w:rPr>
          <w:szCs w:val="22"/>
        </w:rPr>
        <w:t xml:space="preserve"> sono lattosio monoidrato, magnesio stearato, amido di mais, </w:t>
      </w:r>
      <w:proofErr w:type="spellStart"/>
      <w:r w:rsidRPr="005B2844">
        <w:rPr>
          <w:szCs w:val="22"/>
        </w:rPr>
        <w:t>meglumina</w:t>
      </w:r>
      <w:proofErr w:type="spellEnd"/>
      <w:r w:rsidRPr="005B2844">
        <w:rPr>
          <w:szCs w:val="22"/>
        </w:rPr>
        <w:t xml:space="preserve">, cellulosa microcristallina, povidone, ferro ossido rosso (E172), sodio idrossido, </w:t>
      </w:r>
      <w:proofErr w:type="spellStart"/>
      <w:r w:rsidRPr="005B2844">
        <w:rPr>
          <w:szCs w:val="22"/>
        </w:rPr>
        <w:t>carbossimetilamido</w:t>
      </w:r>
      <w:proofErr w:type="spellEnd"/>
      <w:r w:rsidRPr="005B2844">
        <w:rPr>
          <w:szCs w:val="22"/>
        </w:rPr>
        <w:t xml:space="preserve"> sodico (Tipo A)</w:t>
      </w:r>
      <w:r w:rsidR="00244055" w:rsidRPr="005B2844">
        <w:rPr>
          <w:szCs w:val="22"/>
        </w:rPr>
        <w:t>,</w:t>
      </w:r>
      <w:r w:rsidRPr="005B2844">
        <w:rPr>
          <w:szCs w:val="22"/>
        </w:rPr>
        <w:t xml:space="preserve"> sorbitolo (E420)</w:t>
      </w:r>
      <w:r w:rsidR="005E0327" w:rsidRPr="005B2844">
        <w:rPr>
          <w:szCs w:val="22"/>
        </w:rPr>
        <w:t>.</w:t>
      </w:r>
    </w:p>
    <w:p w:rsidR="0016222F" w:rsidRPr="005B2844" w:rsidRDefault="0016222F" w:rsidP="0072602F">
      <w:pPr>
        <w:tabs>
          <w:tab w:val="left" w:pos="426"/>
        </w:tabs>
        <w:rPr>
          <w:szCs w:val="22"/>
        </w:rPr>
      </w:pPr>
    </w:p>
    <w:p w:rsidR="0016222F" w:rsidRPr="005B2844" w:rsidRDefault="0016222F" w:rsidP="00532263">
      <w:pPr>
        <w:keepNext/>
        <w:numPr>
          <w:ilvl w:val="12"/>
          <w:numId w:val="0"/>
        </w:numPr>
        <w:ind w:right="-2"/>
        <w:rPr>
          <w:b/>
          <w:noProof/>
          <w:szCs w:val="22"/>
        </w:rPr>
      </w:pPr>
      <w:r w:rsidRPr="005B2844">
        <w:rPr>
          <w:b/>
          <w:noProof/>
          <w:szCs w:val="22"/>
        </w:rPr>
        <w:t xml:space="preserve">Descrizione dell’aspetto di </w:t>
      </w:r>
      <w:proofErr w:type="spellStart"/>
      <w:r w:rsidRPr="005B2844">
        <w:rPr>
          <w:b/>
          <w:szCs w:val="22"/>
        </w:rPr>
        <w:t>M</w:t>
      </w:r>
      <w:r w:rsidR="00C1581D" w:rsidRPr="005B2844">
        <w:rPr>
          <w:b/>
          <w:szCs w:val="22"/>
        </w:rPr>
        <w:t>i</w:t>
      </w:r>
      <w:r w:rsidRPr="005B2844">
        <w:rPr>
          <w:b/>
          <w:szCs w:val="22"/>
        </w:rPr>
        <w:t>cardisPlus</w:t>
      </w:r>
      <w:proofErr w:type="spellEnd"/>
      <w:r w:rsidRPr="005B2844">
        <w:rPr>
          <w:b/>
          <w:noProof/>
          <w:szCs w:val="22"/>
        </w:rPr>
        <w:t xml:space="preserve"> e contenuto della confezione</w:t>
      </w:r>
    </w:p>
    <w:p w:rsidR="009904EA" w:rsidRPr="005B2844" w:rsidRDefault="009904EA" w:rsidP="00532263">
      <w:pPr>
        <w:keepNext/>
        <w:numPr>
          <w:ilvl w:val="12"/>
          <w:numId w:val="0"/>
        </w:numPr>
        <w:ind w:right="-2"/>
        <w:rPr>
          <w:b/>
          <w:bCs/>
          <w:noProof/>
          <w:szCs w:val="22"/>
        </w:rPr>
      </w:pPr>
    </w:p>
    <w:p w:rsidR="0016222F" w:rsidRPr="005B2844" w:rsidRDefault="00177ED5" w:rsidP="0072602F">
      <w:pPr>
        <w:rPr>
          <w:szCs w:val="22"/>
        </w:rPr>
      </w:pPr>
      <w:r w:rsidRPr="005B2844">
        <w:rPr>
          <w:szCs w:val="22"/>
        </w:rPr>
        <w:t>Le c</w:t>
      </w:r>
      <w:r w:rsidR="0016222F" w:rsidRPr="005B2844">
        <w:rPr>
          <w:szCs w:val="22"/>
        </w:rPr>
        <w:t>ompress</w:t>
      </w:r>
      <w:r w:rsidRPr="005B2844">
        <w:rPr>
          <w:szCs w:val="22"/>
        </w:rPr>
        <w:t>e</w:t>
      </w:r>
      <w:r w:rsidR="0016222F" w:rsidRPr="005B2844">
        <w:rPr>
          <w:szCs w:val="22"/>
        </w:rPr>
        <w:t xml:space="preserve"> </w:t>
      </w:r>
      <w:r w:rsidRPr="005B2844">
        <w:rPr>
          <w:szCs w:val="22"/>
        </w:rPr>
        <w:t xml:space="preserve">di </w:t>
      </w:r>
      <w:proofErr w:type="spellStart"/>
      <w:r w:rsidRPr="005B2844">
        <w:rPr>
          <w:szCs w:val="22"/>
        </w:rPr>
        <w:t>MicardisPlus</w:t>
      </w:r>
      <w:proofErr w:type="spellEnd"/>
      <w:r w:rsidRPr="005B2844">
        <w:rPr>
          <w:szCs w:val="22"/>
        </w:rPr>
        <w:t xml:space="preserve"> </w:t>
      </w:r>
      <w:r w:rsidR="009D7574" w:rsidRPr="005B2844">
        <w:rPr>
          <w:szCs w:val="22"/>
        </w:rPr>
        <w:t xml:space="preserve">80 mg/12,5 mg sono rosse e </w:t>
      </w:r>
      <w:r w:rsidR="0016222F" w:rsidRPr="005B2844">
        <w:rPr>
          <w:szCs w:val="22"/>
        </w:rPr>
        <w:t>bianc</w:t>
      </w:r>
      <w:r w:rsidR="009D7574" w:rsidRPr="005B2844">
        <w:rPr>
          <w:szCs w:val="22"/>
        </w:rPr>
        <w:t>he</w:t>
      </w:r>
      <w:r w:rsidR="0016222F" w:rsidRPr="005B2844">
        <w:rPr>
          <w:szCs w:val="22"/>
        </w:rPr>
        <w:t xml:space="preserve"> di forma </w:t>
      </w:r>
      <w:r w:rsidR="002F79D9" w:rsidRPr="002F79D9">
        <w:rPr>
          <w:szCs w:val="22"/>
        </w:rPr>
        <w:t>oblunga</w:t>
      </w:r>
      <w:r w:rsidR="0016222F" w:rsidRPr="005B2844">
        <w:rPr>
          <w:szCs w:val="22"/>
        </w:rPr>
        <w:t xml:space="preserve"> a due strati, con impresso il logo dell’azienda ed il codice </w:t>
      </w:r>
      <w:r w:rsidR="00112B2C" w:rsidRPr="005B2844">
        <w:rPr>
          <w:szCs w:val="22"/>
        </w:rPr>
        <w:t>‘</w:t>
      </w:r>
      <w:r w:rsidR="0016222F" w:rsidRPr="005B2844">
        <w:rPr>
          <w:szCs w:val="22"/>
        </w:rPr>
        <w:t>H8</w:t>
      </w:r>
      <w:r w:rsidR="00112B2C" w:rsidRPr="005B2844">
        <w:rPr>
          <w:szCs w:val="22"/>
        </w:rPr>
        <w:t>’</w:t>
      </w:r>
      <w:r w:rsidR="0016222F" w:rsidRPr="005B2844">
        <w:rPr>
          <w:szCs w:val="22"/>
        </w:rPr>
        <w:t>.</w:t>
      </w:r>
    </w:p>
    <w:p w:rsidR="00D252CC" w:rsidRPr="005B2844" w:rsidRDefault="0016222F" w:rsidP="0072602F">
      <w:pPr>
        <w:rPr>
          <w:szCs w:val="22"/>
        </w:rPr>
      </w:pPr>
      <w:proofErr w:type="spellStart"/>
      <w:r w:rsidRPr="005B2844">
        <w:rPr>
          <w:szCs w:val="22"/>
        </w:rPr>
        <w:t>MicardisPlus</w:t>
      </w:r>
      <w:proofErr w:type="spellEnd"/>
      <w:r w:rsidRPr="005B2844">
        <w:rPr>
          <w:szCs w:val="22"/>
        </w:rPr>
        <w:t xml:space="preserve"> è </w:t>
      </w:r>
      <w:r w:rsidR="00D252CC" w:rsidRPr="005B2844">
        <w:rPr>
          <w:szCs w:val="22"/>
        </w:rPr>
        <w:t xml:space="preserve">disponibile </w:t>
      </w:r>
      <w:r w:rsidRPr="005B2844">
        <w:rPr>
          <w:szCs w:val="22"/>
        </w:rPr>
        <w:t>in blister, in confezioni da 14, 28, 56, 84 o 98 compresse</w:t>
      </w:r>
      <w:r w:rsidR="00D252CC" w:rsidRPr="005B2844">
        <w:rPr>
          <w:szCs w:val="22"/>
        </w:rPr>
        <w:t xml:space="preserve"> o in blister divisibile per dose unitaria con 28 x 1</w:t>
      </w:r>
      <w:r w:rsidR="00AA0919" w:rsidRPr="005B2844">
        <w:rPr>
          <w:szCs w:val="22"/>
        </w:rPr>
        <w:t>, 30 x 1 o 90 x 1</w:t>
      </w:r>
      <w:r w:rsidR="00D252CC" w:rsidRPr="005B2844">
        <w:rPr>
          <w:szCs w:val="22"/>
        </w:rPr>
        <w:t xml:space="preserve"> compresse.</w:t>
      </w:r>
    </w:p>
    <w:p w:rsidR="00D252CC" w:rsidRPr="005B2844" w:rsidRDefault="00D252CC" w:rsidP="0072602F">
      <w:pPr>
        <w:rPr>
          <w:szCs w:val="22"/>
        </w:rPr>
      </w:pPr>
    </w:p>
    <w:p w:rsidR="0016222F" w:rsidRPr="005B2844" w:rsidRDefault="00D252CC" w:rsidP="0072602F">
      <w:pPr>
        <w:rPr>
          <w:szCs w:val="22"/>
        </w:rPr>
      </w:pPr>
      <w:r w:rsidRPr="005B2844">
        <w:rPr>
          <w:szCs w:val="22"/>
        </w:rPr>
        <w:t>È possibile che</w:t>
      </w:r>
      <w:r w:rsidR="0016222F" w:rsidRPr="005B2844">
        <w:rPr>
          <w:szCs w:val="22"/>
        </w:rPr>
        <w:t xml:space="preserve"> non tutte le confezioni </w:t>
      </w:r>
      <w:r w:rsidRPr="005B2844">
        <w:rPr>
          <w:szCs w:val="22"/>
        </w:rPr>
        <w:t>siano commercializzate</w:t>
      </w:r>
      <w:r w:rsidR="0016222F" w:rsidRPr="005B2844">
        <w:rPr>
          <w:szCs w:val="22"/>
        </w:rPr>
        <w:t>.</w:t>
      </w:r>
    </w:p>
    <w:p w:rsidR="0016222F" w:rsidRPr="005B2844" w:rsidRDefault="0016222F" w:rsidP="0072602F">
      <w:pPr>
        <w:rPr>
          <w:szCs w:val="22"/>
        </w:rPr>
      </w:pPr>
    </w:p>
    <w:tbl>
      <w:tblPr>
        <w:tblW w:w="0" w:type="auto"/>
        <w:tblLook w:val="01E0" w:firstRow="1" w:lastRow="1" w:firstColumn="1" w:lastColumn="1" w:noHBand="0" w:noVBand="0"/>
      </w:tblPr>
      <w:tblGrid>
        <w:gridCol w:w="4428"/>
        <w:gridCol w:w="4858"/>
      </w:tblGrid>
      <w:tr w:rsidR="00C57F31" w:rsidRPr="005B2844" w:rsidTr="00453785">
        <w:tc>
          <w:tcPr>
            <w:tcW w:w="4428" w:type="dxa"/>
          </w:tcPr>
          <w:p w:rsidR="00C57F31" w:rsidRPr="005B2844" w:rsidRDefault="00C57F31" w:rsidP="000E5D8C">
            <w:pPr>
              <w:pStyle w:val="BodyText30"/>
              <w:keepNext/>
              <w:keepLines/>
              <w:tabs>
                <w:tab w:val="left" w:pos="567"/>
              </w:tabs>
              <w:spacing w:line="260" w:lineRule="exact"/>
              <w:rPr>
                <w:b/>
                <w:szCs w:val="22"/>
                <w:lang w:val="it-IT" w:eastAsia="en-US"/>
              </w:rPr>
            </w:pPr>
            <w:r w:rsidRPr="005B2844">
              <w:rPr>
                <w:b/>
                <w:szCs w:val="22"/>
                <w:lang w:val="it-IT"/>
              </w:rPr>
              <w:t>Titolare dell’autorizzazione all’immissione in commercio</w:t>
            </w:r>
          </w:p>
        </w:tc>
        <w:tc>
          <w:tcPr>
            <w:tcW w:w="4858" w:type="dxa"/>
          </w:tcPr>
          <w:p w:rsidR="00C57F31" w:rsidRPr="005B2844" w:rsidRDefault="00C57F31" w:rsidP="000E5D8C">
            <w:pPr>
              <w:pStyle w:val="BodyText30"/>
              <w:keepNext/>
              <w:keepLines/>
              <w:tabs>
                <w:tab w:val="left" w:pos="567"/>
              </w:tabs>
              <w:spacing w:line="260" w:lineRule="exact"/>
              <w:rPr>
                <w:b/>
                <w:szCs w:val="22"/>
                <w:lang w:val="it-IT" w:eastAsia="en-US"/>
              </w:rPr>
            </w:pPr>
            <w:r w:rsidRPr="005B2844">
              <w:rPr>
                <w:b/>
                <w:szCs w:val="22"/>
                <w:lang w:val="it-IT"/>
              </w:rPr>
              <w:t>Produttore</w:t>
            </w:r>
          </w:p>
        </w:tc>
      </w:tr>
      <w:tr w:rsidR="00C57F31" w:rsidRPr="005B2844" w:rsidTr="00453785">
        <w:tc>
          <w:tcPr>
            <w:tcW w:w="4428" w:type="dxa"/>
          </w:tcPr>
          <w:p w:rsidR="00C57F31" w:rsidRPr="005B2844" w:rsidRDefault="00C57F31" w:rsidP="000E5D8C">
            <w:pPr>
              <w:pStyle w:val="BodyText30"/>
              <w:keepNext/>
              <w:keepLines/>
              <w:tabs>
                <w:tab w:val="left" w:pos="567"/>
              </w:tabs>
              <w:spacing w:line="260" w:lineRule="exact"/>
              <w:rPr>
                <w:szCs w:val="22"/>
                <w:lang w:val="it-IT" w:eastAsia="en-US"/>
              </w:rPr>
            </w:pPr>
            <w:r w:rsidRPr="005B2844">
              <w:rPr>
                <w:szCs w:val="22"/>
                <w:lang w:val="it-IT"/>
              </w:rPr>
              <w:t xml:space="preserve">Boehringer </w:t>
            </w:r>
            <w:proofErr w:type="spellStart"/>
            <w:r w:rsidRPr="005B2844">
              <w:rPr>
                <w:szCs w:val="22"/>
                <w:lang w:val="it-IT"/>
              </w:rPr>
              <w:t>Ingelheim</w:t>
            </w:r>
            <w:proofErr w:type="spellEnd"/>
            <w:r w:rsidRPr="005B2844">
              <w:rPr>
                <w:szCs w:val="22"/>
                <w:lang w:val="it-IT"/>
              </w:rPr>
              <w:t xml:space="preserve"> International GmbH</w:t>
            </w:r>
          </w:p>
          <w:p w:rsidR="00C57F31" w:rsidRPr="005B2844" w:rsidRDefault="00C57F31" w:rsidP="000E5D8C">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0E5D8C">
            <w:pPr>
              <w:pStyle w:val="BodyText30"/>
              <w:keepNext/>
              <w:keepLines/>
              <w:tabs>
                <w:tab w:val="left" w:pos="567"/>
              </w:tabs>
              <w:spacing w:line="260" w:lineRule="exact"/>
              <w:rPr>
                <w:szCs w:val="22"/>
                <w:lang w:val="it-IT"/>
              </w:rPr>
            </w:pPr>
            <w:r w:rsidRPr="005B2844">
              <w:rPr>
                <w:szCs w:val="22"/>
                <w:lang w:val="it-IT"/>
              </w:rPr>
              <w:t xml:space="preserve">D-55216 </w:t>
            </w:r>
            <w:proofErr w:type="spellStart"/>
            <w:r w:rsidRPr="005B2844">
              <w:rPr>
                <w:szCs w:val="22"/>
                <w:lang w:val="it-IT"/>
              </w:rPr>
              <w:t>Ingelheim</w:t>
            </w:r>
            <w:proofErr w:type="spellEnd"/>
            <w:r w:rsidRPr="005B2844">
              <w:rPr>
                <w:szCs w:val="22"/>
                <w:lang w:val="it-IT"/>
              </w:rPr>
              <w:t xml:space="preserve"> </w:t>
            </w:r>
            <w:proofErr w:type="spellStart"/>
            <w:r w:rsidRPr="005B2844">
              <w:rPr>
                <w:szCs w:val="22"/>
                <w:lang w:val="it-IT"/>
              </w:rPr>
              <w:t>am</w:t>
            </w:r>
            <w:proofErr w:type="spellEnd"/>
            <w:r w:rsidRPr="005B2844">
              <w:rPr>
                <w:szCs w:val="22"/>
                <w:lang w:val="it-IT"/>
              </w:rPr>
              <w:t xml:space="preserve"> </w:t>
            </w:r>
            <w:proofErr w:type="spellStart"/>
            <w:r w:rsidRPr="005B2844">
              <w:rPr>
                <w:szCs w:val="22"/>
                <w:lang w:val="it-IT"/>
              </w:rPr>
              <w:t>Rhein</w:t>
            </w:r>
            <w:proofErr w:type="spellEnd"/>
          </w:p>
          <w:p w:rsidR="00C57F31" w:rsidRPr="005B2844" w:rsidRDefault="00C57F31" w:rsidP="000E5D8C">
            <w:pPr>
              <w:pStyle w:val="BodyText30"/>
              <w:keepNext/>
              <w:keepLines/>
              <w:tabs>
                <w:tab w:val="left" w:pos="567"/>
              </w:tabs>
              <w:spacing w:line="260" w:lineRule="exact"/>
              <w:rPr>
                <w:szCs w:val="22"/>
                <w:lang w:val="it-IT" w:eastAsia="en-US"/>
              </w:rPr>
            </w:pPr>
            <w:r w:rsidRPr="005B2844">
              <w:rPr>
                <w:szCs w:val="22"/>
                <w:lang w:val="it-IT"/>
              </w:rPr>
              <w:t>Germania</w:t>
            </w:r>
          </w:p>
        </w:tc>
        <w:tc>
          <w:tcPr>
            <w:tcW w:w="4858" w:type="dxa"/>
          </w:tcPr>
          <w:p w:rsidR="00C57F31" w:rsidRPr="005B2844" w:rsidRDefault="00C57F31" w:rsidP="000E5D8C">
            <w:pPr>
              <w:pStyle w:val="BodyText30"/>
              <w:keepNext/>
              <w:keepLines/>
              <w:tabs>
                <w:tab w:val="left" w:pos="567"/>
              </w:tabs>
              <w:spacing w:line="260" w:lineRule="exact"/>
              <w:rPr>
                <w:color w:val="000000"/>
                <w:szCs w:val="22"/>
                <w:lang w:val="it-IT" w:eastAsia="en-US"/>
              </w:rPr>
            </w:pPr>
            <w:r w:rsidRPr="005B2844">
              <w:rPr>
                <w:color w:val="000000"/>
                <w:szCs w:val="22"/>
                <w:lang w:val="it-IT"/>
              </w:rPr>
              <w:t xml:space="preserve">Boehringer </w:t>
            </w:r>
            <w:proofErr w:type="spellStart"/>
            <w:r w:rsidRPr="005B2844">
              <w:rPr>
                <w:color w:val="000000"/>
                <w:szCs w:val="22"/>
                <w:lang w:val="it-IT"/>
              </w:rPr>
              <w:t>Ingelheim</w:t>
            </w:r>
            <w:proofErr w:type="spellEnd"/>
            <w:r w:rsidRPr="005B2844">
              <w:rPr>
                <w:color w:val="000000"/>
                <w:szCs w:val="22"/>
                <w:lang w:val="it-IT"/>
              </w:rPr>
              <w:t xml:space="preserve"> Pharma GmbH &amp; Co. KG</w:t>
            </w:r>
          </w:p>
          <w:p w:rsidR="00C57F31" w:rsidRPr="005B2844" w:rsidRDefault="00C57F31" w:rsidP="000E5D8C">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0E5D8C">
            <w:pPr>
              <w:pStyle w:val="BodyText30"/>
              <w:keepNext/>
              <w:keepLines/>
              <w:tabs>
                <w:tab w:val="left" w:pos="567"/>
              </w:tabs>
              <w:spacing w:line="260" w:lineRule="exact"/>
              <w:rPr>
                <w:color w:val="000000"/>
                <w:szCs w:val="22"/>
                <w:lang w:val="it-IT"/>
              </w:rPr>
            </w:pPr>
            <w:r w:rsidRPr="005B2844">
              <w:rPr>
                <w:color w:val="000000"/>
                <w:szCs w:val="22"/>
                <w:lang w:val="it-IT"/>
              </w:rPr>
              <w:t xml:space="preserve">D-55216 </w:t>
            </w:r>
            <w:proofErr w:type="spellStart"/>
            <w:r w:rsidRPr="005B2844">
              <w:rPr>
                <w:color w:val="000000"/>
                <w:szCs w:val="22"/>
                <w:lang w:val="it-IT"/>
              </w:rPr>
              <w:t>Ingelheim</w:t>
            </w:r>
            <w:proofErr w:type="spellEnd"/>
            <w:r w:rsidRPr="005B2844">
              <w:rPr>
                <w:color w:val="000000"/>
                <w:szCs w:val="22"/>
                <w:lang w:val="it-IT"/>
              </w:rPr>
              <w:t xml:space="preserve"> </w:t>
            </w:r>
            <w:proofErr w:type="spellStart"/>
            <w:r w:rsidRPr="005B2844">
              <w:rPr>
                <w:color w:val="000000"/>
                <w:szCs w:val="22"/>
                <w:lang w:val="it-IT"/>
              </w:rPr>
              <w:t>am</w:t>
            </w:r>
            <w:proofErr w:type="spellEnd"/>
            <w:r w:rsidRPr="005B2844">
              <w:rPr>
                <w:color w:val="000000"/>
                <w:szCs w:val="22"/>
                <w:lang w:val="it-IT"/>
              </w:rPr>
              <w:t xml:space="preserve"> </w:t>
            </w:r>
            <w:proofErr w:type="spellStart"/>
            <w:r w:rsidRPr="005B2844">
              <w:rPr>
                <w:color w:val="000000"/>
                <w:szCs w:val="22"/>
                <w:lang w:val="it-IT"/>
              </w:rPr>
              <w:t>Rhein</w:t>
            </w:r>
            <w:proofErr w:type="spellEnd"/>
          </w:p>
          <w:p w:rsidR="00C57F31" w:rsidRPr="005B2844" w:rsidRDefault="00C57F31" w:rsidP="000E5D8C">
            <w:pPr>
              <w:pStyle w:val="BodyText30"/>
              <w:keepNext/>
              <w:keepLines/>
              <w:tabs>
                <w:tab w:val="left" w:pos="567"/>
              </w:tabs>
              <w:spacing w:line="260" w:lineRule="exact"/>
              <w:rPr>
                <w:color w:val="000000"/>
                <w:szCs w:val="22"/>
                <w:lang w:val="it-IT"/>
              </w:rPr>
            </w:pPr>
            <w:r w:rsidRPr="005B2844">
              <w:rPr>
                <w:color w:val="000000"/>
                <w:szCs w:val="22"/>
                <w:lang w:val="it-IT"/>
              </w:rPr>
              <w:t>Germania</w:t>
            </w:r>
          </w:p>
          <w:p w:rsidR="00074281" w:rsidRPr="005B2844" w:rsidRDefault="00074281" w:rsidP="000E5D8C">
            <w:pPr>
              <w:pStyle w:val="BodyText30"/>
              <w:keepNext/>
              <w:keepLines/>
              <w:tabs>
                <w:tab w:val="left" w:pos="567"/>
              </w:tabs>
              <w:spacing w:line="260" w:lineRule="exact"/>
              <w:rPr>
                <w:color w:val="000000"/>
                <w:szCs w:val="22"/>
                <w:lang w:val="it-IT"/>
              </w:rPr>
            </w:pPr>
          </w:p>
          <w:p w:rsidR="00074281" w:rsidRPr="005B2844" w:rsidRDefault="00074281" w:rsidP="000E5D8C">
            <w:pPr>
              <w:pStyle w:val="BodyText30"/>
              <w:keepNext/>
              <w:keepLines/>
              <w:tabs>
                <w:tab w:val="left" w:pos="567"/>
              </w:tabs>
              <w:spacing w:line="260" w:lineRule="exact"/>
              <w:rPr>
                <w:color w:val="000000"/>
                <w:szCs w:val="22"/>
                <w:lang w:val="it-IT"/>
              </w:rPr>
            </w:pPr>
            <w:r w:rsidRPr="005B2844">
              <w:rPr>
                <w:color w:val="000000"/>
                <w:szCs w:val="22"/>
                <w:lang w:val="it-IT"/>
              </w:rPr>
              <w:t>e</w:t>
            </w:r>
          </w:p>
          <w:p w:rsidR="00074281" w:rsidRPr="005B2844" w:rsidRDefault="00074281" w:rsidP="000E5D8C">
            <w:pPr>
              <w:pStyle w:val="BodyText30"/>
              <w:keepNext/>
              <w:keepLines/>
              <w:tabs>
                <w:tab w:val="left" w:pos="567"/>
              </w:tabs>
              <w:spacing w:line="260" w:lineRule="exact"/>
              <w:rPr>
                <w:szCs w:val="22"/>
                <w:lang w:val="it-IT" w:eastAsia="en-US"/>
              </w:rPr>
            </w:pPr>
          </w:p>
        </w:tc>
      </w:tr>
      <w:tr w:rsidR="00453785" w:rsidRPr="005B2844" w:rsidTr="00453785">
        <w:tc>
          <w:tcPr>
            <w:tcW w:w="4428" w:type="dxa"/>
          </w:tcPr>
          <w:p w:rsidR="00453785" w:rsidRPr="005B2844" w:rsidRDefault="00453785" w:rsidP="004B5150">
            <w:pPr>
              <w:pStyle w:val="BodyText30"/>
              <w:keepNext/>
              <w:keepLines/>
              <w:tabs>
                <w:tab w:val="left" w:pos="567"/>
              </w:tabs>
              <w:spacing w:line="260" w:lineRule="exact"/>
              <w:rPr>
                <w:szCs w:val="22"/>
                <w:lang w:val="it-IT"/>
              </w:rPr>
            </w:pPr>
          </w:p>
        </w:tc>
        <w:tc>
          <w:tcPr>
            <w:tcW w:w="4858" w:type="dxa"/>
          </w:tcPr>
          <w:p w:rsidR="00453785" w:rsidRPr="00453785" w:rsidRDefault="00453785" w:rsidP="00453785">
            <w:pPr>
              <w:pStyle w:val="BodyText30"/>
              <w:tabs>
                <w:tab w:val="left" w:pos="567"/>
              </w:tabs>
              <w:spacing w:line="260" w:lineRule="exact"/>
              <w:rPr>
                <w:color w:val="000000"/>
                <w:szCs w:val="22"/>
                <w:lang w:val="it-IT"/>
              </w:rPr>
            </w:pPr>
            <w:r w:rsidRPr="00453785">
              <w:rPr>
                <w:color w:val="000000"/>
                <w:szCs w:val="22"/>
                <w:lang w:val="it-IT"/>
              </w:rPr>
              <w:t xml:space="preserve">Boehringer </w:t>
            </w:r>
            <w:proofErr w:type="spellStart"/>
            <w:r w:rsidRPr="00453785">
              <w:rPr>
                <w:color w:val="000000"/>
                <w:szCs w:val="22"/>
                <w:lang w:val="it-IT"/>
              </w:rPr>
              <w:t>Ingelheim</w:t>
            </w:r>
            <w:proofErr w:type="spellEnd"/>
            <w:r w:rsidRPr="00453785">
              <w:rPr>
                <w:color w:val="000000"/>
                <w:szCs w:val="22"/>
                <w:lang w:val="it-IT"/>
              </w:rPr>
              <w:t xml:space="preserve"> </w:t>
            </w:r>
            <w:proofErr w:type="spellStart"/>
            <w:r w:rsidRPr="00453785">
              <w:rPr>
                <w:color w:val="000000"/>
                <w:szCs w:val="22"/>
                <w:lang w:val="it-IT"/>
              </w:rPr>
              <w:t>Ellas</w:t>
            </w:r>
            <w:proofErr w:type="spellEnd"/>
            <w:r w:rsidRPr="00453785">
              <w:rPr>
                <w:color w:val="000000"/>
                <w:szCs w:val="22"/>
                <w:lang w:val="it-IT"/>
              </w:rPr>
              <w:t xml:space="preserve"> A.E.</w:t>
            </w:r>
          </w:p>
          <w:p w:rsidR="00453785" w:rsidRPr="00453785" w:rsidRDefault="00453785" w:rsidP="00453785">
            <w:pPr>
              <w:pStyle w:val="BodyText30"/>
              <w:tabs>
                <w:tab w:val="left" w:pos="567"/>
              </w:tabs>
              <w:spacing w:line="260" w:lineRule="exact"/>
              <w:rPr>
                <w:color w:val="000000"/>
                <w:szCs w:val="22"/>
                <w:lang w:val="it-IT"/>
              </w:rPr>
            </w:pPr>
            <w:r w:rsidRPr="00453785">
              <w:rPr>
                <w:color w:val="000000"/>
                <w:szCs w:val="22"/>
                <w:lang w:val="it-IT"/>
              </w:rPr>
              <w:t xml:space="preserve">5th km </w:t>
            </w:r>
            <w:proofErr w:type="spellStart"/>
            <w:r w:rsidRPr="00453785">
              <w:rPr>
                <w:color w:val="000000"/>
                <w:szCs w:val="22"/>
                <w:lang w:val="it-IT"/>
              </w:rPr>
              <w:t>Paiania</w:t>
            </w:r>
            <w:proofErr w:type="spellEnd"/>
            <w:r w:rsidRPr="00453785">
              <w:rPr>
                <w:color w:val="000000"/>
                <w:szCs w:val="22"/>
                <w:lang w:val="it-IT"/>
              </w:rPr>
              <w:t xml:space="preserve"> – </w:t>
            </w:r>
            <w:proofErr w:type="spellStart"/>
            <w:r w:rsidRPr="00453785">
              <w:rPr>
                <w:color w:val="000000"/>
                <w:szCs w:val="22"/>
                <w:lang w:val="it-IT"/>
              </w:rPr>
              <w:t>Markopoulo</w:t>
            </w:r>
            <w:proofErr w:type="spellEnd"/>
          </w:p>
          <w:p w:rsidR="00453785" w:rsidRPr="00453785" w:rsidRDefault="00453785" w:rsidP="00453785">
            <w:pPr>
              <w:pStyle w:val="BodyText30"/>
              <w:tabs>
                <w:tab w:val="left" w:pos="567"/>
              </w:tabs>
              <w:spacing w:line="260" w:lineRule="exact"/>
              <w:rPr>
                <w:color w:val="000000"/>
                <w:szCs w:val="22"/>
                <w:lang w:val="it-IT"/>
              </w:rPr>
            </w:pPr>
            <w:proofErr w:type="spellStart"/>
            <w:r w:rsidRPr="00453785">
              <w:rPr>
                <w:color w:val="000000"/>
                <w:szCs w:val="22"/>
                <w:lang w:val="it-IT"/>
              </w:rPr>
              <w:t>Koropi</w:t>
            </w:r>
            <w:proofErr w:type="spellEnd"/>
            <w:r w:rsidRPr="00453785">
              <w:rPr>
                <w:color w:val="000000"/>
                <w:szCs w:val="22"/>
                <w:lang w:val="it-IT"/>
              </w:rPr>
              <w:t xml:space="preserve"> </w:t>
            </w:r>
            <w:proofErr w:type="spellStart"/>
            <w:r w:rsidRPr="00453785">
              <w:rPr>
                <w:color w:val="000000"/>
                <w:szCs w:val="22"/>
                <w:lang w:val="it-IT"/>
              </w:rPr>
              <w:t>Attiki</w:t>
            </w:r>
            <w:proofErr w:type="spellEnd"/>
            <w:r w:rsidRPr="00453785">
              <w:rPr>
                <w:color w:val="000000"/>
                <w:szCs w:val="22"/>
                <w:lang w:val="it-IT"/>
              </w:rPr>
              <w:t>, 194 00</w:t>
            </w:r>
          </w:p>
          <w:p w:rsidR="00453785" w:rsidRDefault="00453785" w:rsidP="004B5150">
            <w:pPr>
              <w:pStyle w:val="BodyText30"/>
              <w:keepNext/>
              <w:keepLines/>
              <w:tabs>
                <w:tab w:val="left" w:pos="567"/>
              </w:tabs>
              <w:spacing w:line="260" w:lineRule="exact"/>
              <w:rPr>
                <w:color w:val="000000"/>
                <w:szCs w:val="22"/>
                <w:lang w:val="it-IT"/>
              </w:rPr>
            </w:pPr>
            <w:r w:rsidRPr="005B2844">
              <w:rPr>
                <w:color w:val="000000"/>
                <w:szCs w:val="22"/>
                <w:lang w:val="it-IT"/>
              </w:rPr>
              <w:t>Grecia</w:t>
            </w:r>
          </w:p>
          <w:p w:rsidR="00453785" w:rsidRDefault="00453785" w:rsidP="004B5150">
            <w:pPr>
              <w:pStyle w:val="BodyText30"/>
              <w:keepNext/>
              <w:keepLines/>
              <w:tabs>
                <w:tab w:val="left" w:pos="567"/>
              </w:tabs>
              <w:spacing w:line="260" w:lineRule="exact"/>
              <w:rPr>
                <w:color w:val="000000"/>
                <w:szCs w:val="22"/>
                <w:lang w:val="it-IT"/>
              </w:rPr>
            </w:pPr>
          </w:p>
          <w:p w:rsidR="00453785" w:rsidRDefault="00453785" w:rsidP="004B5150">
            <w:pPr>
              <w:pStyle w:val="BodyText30"/>
              <w:keepNext/>
              <w:keepLines/>
              <w:tabs>
                <w:tab w:val="left" w:pos="567"/>
              </w:tabs>
              <w:spacing w:line="260" w:lineRule="exact"/>
              <w:rPr>
                <w:color w:val="000000"/>
                <w:szCs w:val="22"/>
                <w:lang w:val="it-IT"/>
              </w:rPr>
            </w:pPr>
            <w:r>
              <w:rPr>
                <w:color w:val="000000"/>
                <w:szCs w:val="22"/>
                <w:lang w:val="it-IT"/>
              </w:rPr>
              <w:t>e</w:t>
            </w:r>
          </w:p>
          <w:p w:rsidR="00453785" w:rsidRPr="005B2844" w:rsidRDefault="00453785" w:rsidP="004B5150">
            <w:pPr>
              <w:pStyle w:val="BodyText30"/>
              <w:keepNext/>
              <w:keepLines/>
              <w:tabs>
                <w:tab w:val="left" w:pos="567"/>
              </w:tabs>
              <w:spacing w:line="260" w:lineRule="exact"/>
              <w:rPr>
                <w:color w:val="000000"/>
                <w:szCs w:val="22"/>
                <w:lang w:val="it-IT"/>
              </w:rPr>
            </w:pPr>
          </w:p>
        </w:tc>
      </w:tr>
      <w:tr w:rsidR="00453785" w:rsidRPr="005B2844" w:rsidTr="00453785">
        <w:tc>
          <w:tcPr>
            <w:tcW w:w="4428" w:type="dxa"/>
          </w:tcPr>
          <w:p w:rsidR="00453785" w:rsidRPr="005B2844" w:rsidRDefault="00453785" w:rsidP="004B5150">
            <w:pPr>
              <w:pStyle w:val="BodyText30"/>
              <w:keepNext/>
              <w:keepLines/>
              <w:tabs>
                <w:tab w:val="left" w:pos="567"/>
              </w:tabs>
              <w:spacing w:line="260" w:lineRule="exact"/>
              <w:rPr>
                <w:szCs w:val="22"/>
                <w:lang w:val="it-IT"/>
              </w:rPr>
            </w:pPr>
          </w:p>
        </w:tc>
        <w:tc>
          <w:tcPr>
            <w:tcW w:w="4858" w:type="dxa"/>
          </w:tcPr>
          <w:p w:rsidR="00453785" w:rsidRPr="00453785" w:rsidRDefault="00453785" w:rsidP="00453785">
            <w:pPr>
              <w:pStyle w:val="BodyText30"/>
              <w:tabs>
                <w:tab w:val="left" w:pos="567"/>
              </w:tabs>
              <w:spacing w:line="260" w:lineRule="exact"/>
              <w:rPr>
                <w:color w:val="000000"/>
                <w:szCs w:val="22"/>
                <w:lang w:val="it-IT"/>
              </w:rPr>
            </w:pPr>
            <w:proofErr w:type="spellStart"/>
            <w:r w:rsidRPr="00453785">
              <w:rPr>
                <w:color w:val="000000"/>
                <w:szCs w:val="22"/>
                <w:lang w:val="it-IT"/>
              </w:rPr>
              <w:t>Rottendorf</w:t>
            </w:r>
            <w:proofErr w:type="spellEnd"/>
            <w:r w:rsidRPr="00453785">
              <w:rPr>
                <w:color w:val="000000"/>
                <w:szCs w:val="22"/>
                <w:lang w:val="it-IT"/>
              </w:rPr>
              <w:t xml:space="preserve"> Pharma GmbH</w:t>
            </w:r>
          </w:p>
          <w:p w:rsidR="00453785" w:rsidRPr="00453785" w:rsidRDefault="00453785" w:rsidP="00453785">
            <w:pPr>
              <w:pStyle w:val="BodyText30"/>
              <w:tabs>
                <w:tab w:val="left" w:pos="567"/>
              </w:tabs>
              <w:spacing w:line="260" w:lineRule="exact"/>
              <w:rPr>
                <w:color w:val="000000"/>
                <w:szCs w:val="22"/>
                <w:lang w:val="it-IT"/>
              </w:rPr>
            </w:pPr>
            <w:proofErr w:type="spellStart"/>
            <w:r w:rsidRPr="00453785">
              <w:rPr>
                <w:color w:val="000000"/>
                <w:szCs w:val="22"/>
                <w:lang w:val="it-IT"/>
              </w:rPr>
              <w:t>Ostenfelder</w:t>
            </w:r>
            <w:proofErr w:type="spellEnd"/>
            <w:r w:rsidRPr="00453785">
              <w:rPr>
                <w:color w:val="000000"/>
                <w:szCs w:val="22"/>
                <w:lang w:val="it-IT"/>
              </w:rPr>
              <w:t xml:space="preserve"> </w:t>
            </w:r>
            <w:proofErr w:type="spellStart"/>
            <w:r w:rsidRPr="00453785">
              <w:rPr>
                <w:color w:val="000000"/>
                <w:szCs w:val="22"/>
                <w:lang w:val="it-IT"/>
              </w:rPr>
              <w:t>Straße</w:t>
            </w:r>
            <w:proofErr w:type="spellEnd"/>
            <w:r w:rsidRPr="00453785">
              <w:rPr>
                <w:color w:val="000000"/>
                <w:szCs w:val="22"/>
                <w:lang w:val="it-IT"/>
              </w:rPr>
              <w:t xml:space="preserve"> 51 - 61</w:t>
            </w:r>
          </w:p>
          <w:p w:rsidR="00453785" w:rsidRPr="00453785" w:rsidRDefault="00453785" w:rsidP="00453785">
            <w:pPr>
              <w:pStyle w:val="BodyText30"/>
              <w:tabs>
                <w:tab w:val="left" w:pos="567"/>
              </w:tabs>
              <w:spacing w:line="260" w:lineRule="exact"/>
              <w:rPr>
                <w:color w:val="000000"/>
                <w:szCs w:val="22"/>
                <w:lang w:val="it-IT"/>
              </w:rPr>
            </w:pPr>
            <w:r w:rsidRPr="00453785">
              <w:rPr>
                <w:color w:val="000000"/>
                <w:szCs w:val="22"/>
                <w:lang w:val="it-IT"/>
              </w:rPr>
              <w:t xml:space="preserve">D-59320 </w:t>
            </w:r>
            <w:proofErr w:type="spellStart"/>
            <w:r w:rsidRPr="00453785">
              <w:rPr>
                <w:color w:val="000000"/>
                <w:szCs w:val="22"/>
                <w:lang w:val="it-IT"/>
              </w:rPr>
              <w:t>Ennigerloh</w:t>
            </w:r>
            <w:proofErr w:type="spellEnd"/>
          </w:p>
          <w:p w:rsidR="00453785" w:rsidRPr="00453785" w:rsidRDefault="00453785" w:rsidP="00453785">
            <w:pPr>
              <w:pStyle w:val="BodyText30"/>
              <w:tabs>
                <w:tab w:val="left" w:pos="567"/>
              </w:tabs>
              <w:spacing w:line="260" w:lineRule="exact"/>
              <w:rPr>
                <w:color w:val="000000"/>
                <w:szCs w:val="22"/>
                <w:lang w:val="it-IT"/>
              </w:rPr>
            </w:pPr>
            <w:r w:rsidRPr="00453785">
              <w:rPr>
                <w:color w:val="000000"/>
                <w:szCs w:val="22"/>
                <w:lang w:val="it-IT"/>
              </w:rPr>
              <w:t>Germania</w:t>
            </w:r>
          </w:p>
        </w:tc>
      </w:tr>
    </w:tbl>
    <w:p w:rsidR="00A70FCB" w:rsidRPr="005B2844" w:rsidRDefault="00C57F31" w:rsidP="0072602F">
      <w:pPr>
        <w:pStyle w:val="BodyText30"/>
        <w:widowControl/>
        <w:rPr>
          <w:szCs w:val="22"/>
          <w:lang w:val="it-IT"/>
        </w:rPr>
      </w:pPr>
      <w:r w:rsidRPr="005B2844">
        <w:rPr>
          <w:szCs w:val="22"/>
          <w:lang w:val="it-IT"/>
        </w:rPr>
        <w:br w:type="page"/>
      </w:r>
      <w:r w:rsidR="00A70FCB" w:rsidRPr="005B2844">
        <w:rPr>
          <w:szCs w:val="22"/>
          <w:lang w:val="it-IT"/>
        </w:rPr>
        <w:t xml:space="preserve">Per ulteriori informazioni su </w:t>
      </w:r>
      <w:r w:rsidR="00825513" w:rsidRPr="005B2844">
        <w:rPr>
          <w:szCs w:val="22"/>
          <w:lang w:val="it-IT"/>
        </w:rPr>
        <w:t>questo medicinale</w:t>
      </w:r>
      <w:r w:rsidR="00A70FCB" w:rsidRPr="005B2844">
        <w:rPr>
          <w:szCs w:val="22"/>
          <w:lang w:val="it-IT"/>
        </w:rPr>
        <w:t>, contatt</w:t>
      </w:r>
      <w:r w:rsidR="0016222F" w:rsidRPr="005B2844">
        <w:rPr>
          <w:szCs w:val="22"/>
          <w:lang w:val="it-IT"/>
        </w:rPr>
        <w:t>i</w:t>
      </w:r>
      <w:r w:rsidR="00A70FCB" w:rsidRPr="005B2844">
        <w:rPr>
          <w:szCs w:val="22"/>
          <w:lang w:val="it-IT"/>
        </w:rPr>
        <w:t xml:space="preserve"> il rappresentante locale del titolare dell</w:t>
      </w:r>
      <w:r w:rsidR="002C4BE9" w:rsidRPr="005B2844">
        <w:rPr>
          <w:szCs w:val="22"/>
          <w:lang w:val="it-IT"/>
        </w:rPr>
        <w:t>’</w:t>
      </w:r>
      <w:r w:rsidR="00A70FCB" w:rsidRPr="005B2844">
        <w:rPr>
          <w:szCs w:val="22"/>
          <w:lang w:val="it-IT"/>
        </w:rPr>
        <w:t>autorizzazione all</w:t>
      </w:r>
      <w:r w:rsidR="002C4BE9" w:rsidRPr="005B2844">
        <w:rPr>
          <w:szCs w:val="22"/>
          <w:lang w:val="it-IT"/>
        </w:rPr>
        <w:t>’</w:t>
      </w:r>
      <w:r w:rsidR="00A70FCB" w:rsidRPr="005B2844">
        <w:rPr>
          <w:szCs w:val="22"/>
          <w:lang w:val="it-IT"/>
        </w:rPr>
        <w:t>immissione in commercio</w:t>
      </w:r>
      <w:r w:rsidR="00FC5178" w:rsidRPr="005B2844">
        <w:rPr>
          <w:szCs w:val="22"/>
          <w:lang w:val="it-IT"/>
        </w:rPr>
        <w:t>:</w:t>
      </w:r>
    </w:p>
    <w:p w:rsidR="00A70FCB" w:rsidRPr="005B2844" w:rsidRDefault="00A70FCB" w:rsidP="0072602F">
      <w:pPr>
        <w:tabs>
          <w:tab w:val="left" w:pos="567"/>
        </w:tabs>
        <w:rPr>
          <w:b/>
          <w:szCs w:val="22"/>
        </w:rPr>
      </w:pPr>
    </w:p>
    <w:tbl>
      <w:tblPr>
        <w:tblW w:w="9356" w:type="dxa"/>
        <w:tblInd w:w="108" w:type="dxa"/>
        <w:tblLayout w:type="fixed"/>
        <w:tblLook w:val="01E0" w:firstRow="1" w:lastRow="1" w:firstColumn="1" w:lastColumn="1" w:noHBand="0" w:noVBand="0"/>
      </w:tblPr>
      <w:tblGrid>
        <w:gridCol w:w="4644"/>
        <w:gridCol w:w="34"/>
        <w:gridCol w:w="4644"/>
        <w:gridCol w:w="34"/>
      </w:tblGrid>
      <w:tr w:rsidR="000C709B" w:rsidRPr="005B2844" w:rsidTr="009536AB">
        <w:trPr>
          <w:gridAfter w:val="1"/>
          <w:wAfter w:w="34" w:type="dxa"/>
        </w:trPr>
        <w:tc>
          <w:tcPr>
            <w:tcW w:w="4644" w:type="dxa"/>
          </w:tcPr>
          <w:p w:rsidR="000C709B" w:rsidRPr="005B2844" w:rsidRDefault="000C709B" w:rsidP="009536AB">
            <w:pPr>
              <w:ind w:left="567" w:hanging="567"/>
              <w:rPr>
                <w:noProof/>
                <w:szCs w:val="22"/>
              </w:rPr>
            </w:pPr>
            <w:r w:rsidRPr="005B2844">
              <w:rPr>
                <w:b/>
                <w:noProof/>
                <w:szCs w:val="22"/>
              </w:rPr>
              <w:t>België/Belgique/Belgien</w:t>
            </w:r>
          </w:p>
          <w:p w:rsidR="000C709B" w:rsidRPr="005B2844" w:rsidRDefault="000C709B" w:rsidP="009536AB">
            <w:pPr>
              <w:ind w:right="34"/>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0C709B" w:rsidRPr="005B2844" w:rsidRDefault="000C709B" w:rsidP="009536AB">
            <w:pPr>
              <w:ind w:right="34"/>
              <w:rPr>
                <w:szCs w:val="22"/>
                <w:lang w:eastAsia="ja-JP"/>
              </w:rPr>
            </w:pPr>
            <w:proofErr w:type="spellStart"/>
            <w:r w:rsidRPr="005B2844">
              <w:rPr>
                <w:szCs w:val="22"/>
                <w:lang w:eastAsia="ja-JP"/>
              </w:rPr>
              <w:t>Tél</w:t>
            </w:r>
            <w:proofErr w:type="spellEnd"/>
            <w:r w:rsidRPr="005B2844">
              <w:rPr>
                <w:szCs w:val="22"/>
                <w:lang w:eastAsia="ja-JP"/>
              </w:rPr>
              <w:t>/Tel: +32 2 773 33 11</w:t>
            </w:r>
          </w:p>
          <w:p w:rsidR="000C709B" w:rsidRPr="005B2844" w:rsidRDefault="000C709B" w:rsidP="009536AB">
            <w:pPr>
              <w:ind w:right="34"/>
              <w:rPr>
                <w:noProof/>
                <w:szCs w:val="22"/>
              </w:rPr>
            </w:pPr>
          </w:p>
        </w:tc>
        <w:tc>
          <w:tcPr>
            <w:tcW w:w="4678" w:type="dxa"/>
            <w:gridSpan w:val="2"/>
          </w:tcPr>
          <w:p w:rsidR="000C709B" w:rsidRPr="005B2844" w:rsidRDefault="000C709B" w:rsidP="000C709B">
            <w:pPr>
              <w:ind w:left="567" w:hanging="567"/>
              <w:rPr>
                <w:noProof/>
                <w:szCs w:val="22"/>
              </w:rPr>
            </w:pPr>
            <w:r w:rsidRPr="005B2844">
              <w:rPr>
                <w:b/>
                <w:noProof/>
                <w:szCs w:val="22"/>
              </w:rPr>
              <w:t>Lietuva</w:t>
            </w:r>
          </w:p>
          <w:p w:rsidR="000C709B" w:rsidRPr="005B2844" w:rsidRDefault="000C709B" w:rsidP="000C709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 </w:t>
            </w:r>
          </w:p>
          <w:p w:rsidR="000C709B" w:rsidRPr="005B2844" w:rsidRDefault="000C709B" w:rsidP="000C709B">
            <w:pPr>
              <w:tabs>
                <w:tab w:val="left" w:pos="-720"/>
              </w:tabs>
              <w:suppressAutoHyphens/>
              <w:ind w:left="567" w:hanging="567"/>
              <w:rPr>
                <w:szCs w:val="22"/>
                <w:lang w:eastAsia="ja-JP"/>
              </w:rPr>
            </w:pPr>
            <w:proofErr w:type="spellStart"/>
            <w:r w:rsidRPr="005B2844">
              <w:rPr>
                <w:szCs w:val="22"/>
                <w:lang w:eastAsia="ja-JP"/>
              </w:rPr>
              <w:t>Lietuvos</w:t>
            </w:r>
            <w:proofErr w:type="spellEnd"/>
            <w:r w:rsidRPr="005B2844">
              <w:rPr>
                <w:szCs w:val="22"/>
                <w:lang w:eastAsia="ja-JP"/>
              </w:rPr>
              <w:t xml:space="preserve"> </w:t>
            </w:r>
            <w:proofErr w:type="spellStart"/>
            <w:r w:rsidRPr="005B2844">
              <w:rPr>
                <w:szCs w:val="22"/>
                <w:lang w:eastAsia="ja-JP"/>
              </w:rPr>
              <w:t>filialas</w:t>
            </w:r>
            <w:proofErr w:type="spellEnd"/>
          </w:p>
          <w:p w:rsidR="000C709B" w:rsidRPr="005B2844" w:rsidRDefault="000C709B" w:rsidP="000C709B">
            <w:pPr>
              <w:autoSpaceDE w:val="0"/>
              <w:autoSpaceDN w:val="0"/>
              <w:adjustRightInd w:val="0"/>
              <w:ind w:left="567" w:hanging="567"/>
              <w:rPr>
                <w:szCs w:val="22"/>
                <w:lang w:eastAsia="ja-JP"/>
              </w:rPr>
            </w:pPr>
            <w:r w:rsidRPr="005B2844">
              <w:rPr>
                <w:szCs w:val="22"/>
                <w:lang w:eastAsia="ja-JP"/>
              </w:rPr>
              <w:t>Tel.: +370 37 473922</w:t>
            </w:r>
          </w:p>
          <w:p w:rsidR="000C709B" w:rsidRPr="005B2844" w:rsidRDefault="000C709B" w:rsidP="000C709B">
            <w:pPr>
              <w:autoSpaceDE w:val="0"/>
              <w:autoSpaceDN w:val="0"/>
              <w:adjustRightInd w:val="0"/>
              <w:ind w:left="567" w:hanging="567"/>
              <w:rPr>
                <w:noProof/>
                <w:szCs w:val="22"/>
              </w:rPr>
            </w:pPr>
          </w:p>
        </w:tc>
      </w:tr>
      <w:tr w:rsidR="000C709B" w:rsidRPr="005B2844" w:rsidTr="009536AB">
        <w:trPr>
          <w:gridAfter w:val="1"/>
          <w:wAfter w:w="34" w:type="dxa"/>
        </w:trPr>
        <w:tc>
          <w:tcPr>
            <w:tcW w:w="4644" w:type="dxa"/>
          </w:tcPr>
          <w:p w:rsidR="000C709B" w:rsidRPr="005B2844" w:rsidRDefault="000C709B" w:rsidP="002123EA">
            <w:pPr>
              <w:autoSpaceDE w:val="0"/>
              <w:autoSpaceDN w:val="0"/>
              <w:adjustRightInd w:val="0"/>
              <w:rPr>
                <w:b/>
                <w:bCs/>
                <w:szCs w:val="22"/>
              </w:rPr>
            </w:pPr>
            <w:proofErr w:type="spellStart"/>
            <w:r w:rsidRPr="005B2844">
              <w:rPr>
                <w:b/>
                <w:bCs/>
                <w:szCs w:val="22"/>
              </w:rPr>
              <w:t>България</w:t>
            </w:r>
            <w:proofErr w:type="spellEnd"/>
          </w:p>
          <w:p w:rsidR="000C709B" w:rsidRPr="005B2844" w:rsidRDefault="000C709B" w:rsidP="002123EA">
            <w:pPr>
              <w:rPr>
                <w:szCs w:val="22"/>
              </w:rPr>
            </w:pPr>
            <w:proofErr w:type="spellStart"/>
            <w:r w:rsidRPr="005B2844">
              <w:rPr>
                <w:rFonts w:eastAsia="MS Mincho"/>
                <w:szCs w:val="22"/>
                <w:lang w:eastAsia="ja-JP"/>
              </w:rPr>
              <w:t>Бьорингер</w:t>
            </w:r>
            <w:proofErr w:type="spellEnd"/>
            <w:r w:rsidRPr="005B2844">
              <w:rPr>
                <w:rFonts w:eastAsia="MS Mincho"/>
                <w:szCs w:val="22"/>
                <w:lang w:eastAsia="ja-JP"/>
              </w:rPr>
              <w:t xml:space="preserve"> </w:t>
            </w:r>
            <w:proofErr w:type="spellStart"/>
            <w:r w:rsidRPr="005B2844">
              <w:rPr>
                <w:rFonts w:eastAsia="MS Mincho"/>
                <w:szCs w:val="22"/>
                <w:lang w:eastAsia="ja-JP"/>
              </w:rPr>
              <w:t>Ингелхайм</w:t>
            </w:r>
            <w:proofErr w:type="spellEnd"/>
            <w:r w:rsidRPr="005B2844">
              <w:rPr>
                <w:rFonts w:eastAsia="MS Mincho"/>
                <w:szCs w:val="22"/>
                <w:lang w:eastAsia="ja-JP"/>
              </w:rPr>
              <w:t xml:space="preserve"> РЦВ </w:t>
            </w:r>
            <w:proofErr w:type="spellStart"/>
            <w:r w:rsidRPr="005B2844">
              <w:rPr>
                <w:rFonts w:eastAsia="MS Mincho"/>
                <w:szCs w:val="22"/>
                <w:lang w:eastAsia="ja-JP"/>
              </w:rPr>
              <w:t>ГмбХ</w:t>
            </w:r>
            <w:proofErr w:type="spellEnd"/>
            <w:r w:rsidRPr="005B2844">
              <w:rPr>
                <w:rFonts w:eastAsia="MS Mincho"/>
                <w:szCs w:val="22"/>
                <w:lang w:eastAsia="ja-JP"/>
              </w:rPr>
              <w:t xml:space="preserve"> и </w:t>
            </w:r>
            <w:proofErr w:type="spellStart"/>
            <w:r w:rsidRPr="005B2844">
              <w:rPr>
                <w:rFonts w:eastAsia="MS Mincho"/>
                <w:szCs w:val="22"/>
                <w:lang w:eastAsia="ja-JP"/>
              </w:rPr>
              <w:t>Ко</w:t>
            </w:r>
            <w:proofErr w:type="spellEnd"/>
            <w:r w:rsidRPr="005B2844">
              <w:rPr>
                <w:rFonts w:eastAsia="MS Mincho"/>
                <w:szCs w:val="22"/>
                <w:lang w:eastAsia="ja-JP"/>
              </w:rPr>
              <w:t xml:space="preserve">. КГ - </w:t>
            </w:r>
            <w:proofErr w:type="spellStart"/>
            <w:r w:rsidRPr="005B2844">
              <w:rPr>
                <w:rFonts w:eastAsia="MS Mincho"/>
                <w:szCs w:val="22"/>
                <w:lang w:eastAsia="ja-JP"/>
              </w:rPr>
              <w:t>клон</w:t>
            </w:r>
            <w:proofErr w:type="spellEnd"/>
            <w:r w:rsidRPr="005B2844">
              <w:rPr>
                <w:rFonts w:eastAsia="MS Mincho"/>
                <w:szCs w:val="22"/>
                <w:lang w:eastAsia="ja-JP"/>
              </w:rPr>
              <w:t xml:space="preserve"> </w:t>
            </w:r>
            <w:proofErr w:type="spellStart"/>
            <w:r w:rsidRPr="005B2844">
              <w:rPr>
                <w:rFonts w:eastAsia="MS Mincho"/>
                <w:szCs w:val="22"/>
                <w:lang w:eastAsia="ja-JP"/>
              </w:rPr>
              <w:t>България</w:t>
            </w:r>
            <w:proofErr w:type="spellEnd"/>
          </w:p>
          <w:p w:rsidR="000C709B" w:rsidRPr="005B2844" w:rsidRDefault="000C709B" w:rsidP="002123EA">
            <w:pPr>
              <w:autoSpaceDE w:val="0"/>
              <w:autoSpaceDN w:val="0"/>
              <w:adjustRightInd w:val="0"/>
              <w:ind w:left="567" w:hanging="567"/>
              <w:rPr>
                <w:szCs w:val="22"/>
              </w:rPr>
            </w:pPr>
            <w:proofErr w:type="spellStart"/>
            <w:r w:rsidRPr="005B2844">
              <w:rPr>
                <w:rFonts w:eastAsia="MS Mincho"/>
                <w:szCs w:val="22"/>
                <w:lang w:eastAsia="ja-JP"/>
              </w:rPr>
              <w:t>Тел</w:t>
            </w:r>
            <w:proofErr w:type="spellEnd"/>
            <w:r w:rsidRPr="005B2844">
              <w:rPr>
                <w:rFonts w:eastAsia="MS Mincho"/>
                <w:szCs w:val="22"/>
                <w:lang w:eastAsia="ja-JP"/>
              </w:rPr>
              <w:t>: +359 2 958 79 98</w:t>
            </w:r>
          </w:p>
          <w:p w:rsidR="000C709B" w:rsidRPr="005B2844" w:rsidRDefault="000C709B" w:rsidP="002123EA">
            <w:pPr>
              <w:tabs>
                <w:tab w:val="left" w:pos="-720"/>
              </w:tabs>
              <w:suppressAutoHyphens/>
              <w:ind w:left="567" w:hanging="567"/>
              <w:rPr>
                <w:noProof/>
                <w:szCs w:val="22"/>
              </w:rPr>
            </w:pPr>
          </w:p>
        </w:tc>
        <w:tc>
          <w:tcPr>
            <w:tcW w:w="4678" w:type="dxa"/>
            <w:gridSpan w:val="2"/>
          </w:tcPr>
          <w:p w:rsidR="000C709B" w:rsidRPr="005B2844" w:rsidRDefault="000C709B" w:rsidP="009536AB">
            <w:pPr>
              <w:ind w:left="567" w:hanging="567"/>
              <w:rPr>
                <w:noProof/>
                <w:szCs w:val="22"/>
              </w:rPr>
            </w:pPr>
            <w:r w:rsidRPr="005B2844">
              <w:rPr>
                <w:b/>
                <w:noProof/>
                <w:szCs w:val="22"/>
              </w:rPr>
              <w:t>Luxembourg/Luxemburg</w:t>
            </w:r>
          </w:p>
          <w:p w:rsidR="000C709B" w:rsidRPr="005B2844" w:rsidRDefault="000C709B" w:rsidP="0072602F">
            <w:pPr>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0C709B" w:rsidRPr="005B2844" w:rsidRDefault="000C709B" w:rsidP="0072602F">
            <w:pPr>
              <w:rPr>
                <w:szCs w:val="22"/>
                <w:lang w:eastAsia="ja-JP"/>
              </w:rPr>
            </w:pPr>
            <w:proofErr w:type="spellStart"/>
            <w:r w:rsidRPr="005B2844">
              <w:rPr>
                <w:szCs w:val="22"/>
                <w:lang w:eastAsia="ja-JP"/>
              </w:rPr>
              <w:t>Tél</w:t>
            </w:r>
            <w:proofErr w:type="spellEnd"/>
            <w:r w:rsidRPr="005B2844">
              <w:rPr>
                <w:szCs w:val="22"/>
                <w:lang w:eastAsia="ja-JP"/>
              </w:rPr>
              <w:t>/Tel: +32 2 773 33 11</w:t>
            </w:r>
          </w:p>
          <w:p w:rsidR="000C709B" w:rsidRPr="005B2844" w:rsidRDefault="000C709B" w:rsidP="009536AB">
            <w:pPr>
              <w:autoSpaceDE w:val="0"/>
              <w:autoSpaceDN w:val="0"/>
              <w:adjustRightInd w:val="0"/>
              <w:ind w:left="567" w:hanging="567"/>
              <w:rPr>
                <w:noProof/>
                <w:szCs w:val="22"/>
              </w:rPr>
            </w:pPr>
          </w:p>
        </w:tc>
      </w:tr>
      <w:tr w:rsidR="000C709B" w:rsidRPr="005B2844" w:rsidTr="009536AB">
        <w:trPr>
          <w:gridAfter w:val="1"/>
          <w:wAfter w:w="34" w:type="dxa"/>
          <w:trHeight w:val="1031"/>
        </w:trPr>
        <w:tc>
          <w:tcPr>
            <w:tcW w:w="4644" w:type="dxa"/>
          </w:tcPr>
          <w:p w:rsidR="000C709B" w:rsidRPr="005B2844" w:rsidRDefault="000C709B" w:rsidP="009536AB">
            <w:pPr>
              <w:tabs>
                <w:tab w:val="left" w:pos="-720"/>
              </w:tabs>
              <w:suppressAutoHyphens/>
              <w:ind w:left="567" w:hanging="567"/>
              <w:rPr>
                <w:noProof/>
                <w:szCs w:val="22"/>
              </w:rPr>
            </w:pPr>
            <w:r w:rsidRPr="005B2844">
              <w:rPr>
                <w:b/>
                <w:noProof/>
                <w:szCs w:val="22"/>
              </w:rPr>
              <w:t>Česká republika</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spol</w:t>
            </w:r>
            <w:proofErr w:type="spellEnd"/>
            <w:r w:rsidRPr="005B2844">
              <w:rPr>
                <w:szCs w:val="22"/>
                <w:lang w:eastAsia="ja-JP"/>
              </w:rPr>
              <w:t xml:space="preserve">. s </w:t>
            </w:r>
            <w:proofErr w:type="spellStart"/>
            <w:r w:rsidRPr="005B2844">
              <w:rPr>
                <w:szCs w:val="22"/>
                <w:lang w:eastAsia="ja-JP"/>
              </w:rPr>
              <w:t>r.o.</w:t>
            </w:r>
            <w:proofErr w:type="spellEnd"/>
          </w:p>
          <w:p w:rsidR="000C709B" w:rsidRPr="005B2844" w:rsidRDefault="000C709B" w:rsidP="009536AB">
            <w:pPr>
              <w:tabs>
                <w:tab w:val="left" w:pos="-720"/>
              </w:tabs>
              <w:suppressAutoHyphens/>
              <w:ind w:left="567" w:hanging="567"/>
              <w:rPr>
                <w:szCs w:val="22"/>
                <w:lang w:eastAsia="ja-JP"/>
              </w:rPr>
            </w:pPr>
            <w:r w:rsidRPr="005B2844">
              <w:rPr>
                <w:szCs w:val="22"/>
                <w:lang w:eastAsia="ja-JP"/>
              </w:rPr>
              <w:t>Tel: +420 234 655 111</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ind w:left="567" w:hanging="567"/>
              <w:rPr>
                <w:b/>
                <w:noProof/>
                <w:szCs w:val="22"/>
              </w:rPr>
            </w:pPr>
            <w:r w:rsidRPr="005B2844">
              <w:rPr>
                <w:b/>
                <w:noProof/>
                <w:szCs w:val="22"/>
              </w:rPr>
              <w:t>Magyarország</w:t>
            </w:r>
          </w:p>
          <w:p w:rsidR="000C709B" w:rsidRPr="005B2844" w:rsidRDefault="000C709B" w:rsidP="000B27DB">
            <w:pPr>
              <w:tabs>
                <w:tab w:val="left" w:pos="-720"/>
              </w:tabs>
              <w:suppressAutoHyphens/>
              <w:rPr>
                <w:szCs w:val="22"/>
                <w:lang w:eastAsia="de-DE"/>
              </w:rPr>
            </w:pPr>
            <w:r w:rsidRPr="005B2844">
              <w:rPr>
                <w:szCs w:val="22"/>
                <w:lang w:eastAsia="de-DE"/>
              </w:rPr>
              <w:t xml:space="preserve">Boehringer </w:t>
            </w:r>
            <w:proofErr w:type="spellStart"/>
            <w:r w:rsidRPr="005B2844">
              <w:rPr>
                <w:szCs w:val="22"/>
                <w:lang w:eastAsia="de-DE"/>
              </w:rPr>
              <w:t>Ingelheim</w:t>
            </w:r>
            <w:proofErr w:type="spellEnd"/>
            <w:r w:rsidRPr="005B2844">
              <w:rPr>
                <w:szCs w:val="22"/>
                <w:lang w:eastAsia="de-DE"/>
              </w:rPr>
              <w:t xml:space="preserve"> RCV GmbH &amp; Co KG </w:t>
            </w:r>
            <w:r w:rsidRPr="005B2844">
              <w:rPr>
                <w:noProof/>
                <w:szCs w:val="22"/>
              </w:rPr>
              <w:t>Magyarországi</w:t>
            </w:r>
            <w:r w:rsidRPr="005B2844">
              <w:rPr>
                <w:szCs w:val="22"/>
                <w:lang w:eastAsia="de-DE"/>
              </w:rPr>
              <w:t xml:space="preserve"> </w:t>
            </w:r>
            <w:proofErr w:type="spellStart"/>
            <w:r w:rsidRPr="005B2844">
              <w:rPr>
                <w:szCs w:val="22"/>
                <w:lang w:eastAsia="de-DE"/>
              </w:rPr>
              <w:t>Fióktelepe</w:t>
            </w:r>
            <w:proofErr w:type="spellEnd"/>
          </w:p>
          <w:p w:rsidR="000C709B" w:rsidRPr="005B2844" w:rsidRDefault="000C709B" w:rsidP="009536AB">
            <w:pPr>
              <w:tabs>
                <w:tab w:val="left" w:pos="-720"/>
              </w:tabs>
              <w:suppressAutoHyphens/>
              <w:ind w:left="68" w:hanging="68"/>
              <w:rPr>
                <w:szCs w:val="22"/>
              </w:rPr>
            </w:pPr>
            <w:r w:rsidRPr="005B2844">
              <w:rPr>
                <w:szCs w:val="22"/>
                <w:lang w:eastAsia="de-DE"/>
              </w:rPr>
              <w:t>Tel.: +</w:t>
            </w:r>
            <w:r w:rsidRPr="005B2844">
              <w:rPr>
                <w:szCs w:val="22"/>
              </w:rPr>
              <w:t>36 1 299 8900</w:t>
            </w:r>
          </w:p>
          <w:p w:rsidR="000C709B" w:rsidRPr="005B2844" w:rsidRDefault="000C709B" w:rsidP="009536AB">
            <w:pPr>
              <w:tabs>
                <w:tab w:val="left" w:pos="-720"/>
              </w:tabs>
              <w:suppressAutoHyphens/>
              <w:ind w:left="68" w:hanging="68"/>
              <w:rPr>
                <w:noProof/>
                <w:szCs w:val="22"/>
              </w:rPr>
            </w:pPr>
          </w:p>
        </w:tc>
      </w:tr>
      <w:tr w:rsidR="000C709B" w:rsidRPr="005B2844" w:rsidTr="009536AB">
        <w:trPr>
          <w:gridAfter w:val="1"/>
          <w:wAfter w:w="34" w:type="dxa"/>
        </w:trPr>
        <w:tc>
          <w:tcPr>
            <w:tcW w:w="4644" w:type="dxa"/>
          </w:tcPr>
          <w:p w:rsidR="000C709B" w:rsidRPr="005B2844" w:rsidRDefault="000C709B" w:rsidP="009536AB">
            <w:pPr>
              <w:ind w:left="567" w:hanging="567"/>
              <w:rPr>
                <w:noProof/>
                <w:szCs w:val="22"/>
              </w:rPr>
            </w:pPr>
            <w:r w:rsidRPr="005B2844">
              <w:rPr>
                <w:b/>
                <w:noProof/>
                <w:szCs w:val="22"/>
              </w:rPr>
              <w:t>Danmark</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Danmark</w:t>
            </w:r>
            <w:proofErr w:type="spellEnd"/>
            <w:r w:rsidRPr="005B2844">
              <w:rPr>
                <w:szCs w:val="22"/>
                <w:lang w:eastAsia="ja-JP"/>
              </w:rPr>
              <w:t xml:space="preserve"> A/S</w:t>
            </w:r>
          </w:p>
          <w:p w:rsidR="000C709B" w:rsidRPr="005B2844" w:rsidRDefault="000C709B" w:rsidP="00A61A92">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xml:space="preserve">: +45 39 15 88 </w:t>
            </w:r>
            <w:r w:rsidR="003D0FFF" w:rsidRPr="005B2844">
              <w:rPr>
                <w:szCs w:val="22"/>
                <w:lang w:eastAsia="ja-JP"/>
              </w:rPr>
              <w:t>88</w:t>
            </w:r>
          </w:p>
          <w:p w:rsidR="000C709B" w:rsidRPr="005B2844" w:rsidRDefault="000C709B" w:rsidP="00A61A92">
            <w:pPr>
              <w:tabs>
                <w:tab w:val="left" w:pos="-720"/>
              </w:tabs>
              <w:suppressAutoHyphens/>
              <w:ind w:left="567" w:hanging="567"/>
              <w:rPr>
                <w:noProof/>
                <w:szCs w:val="22"/>
              </w:rPr>
            </w:pPr>
          </w:p>
        </w:tc>
        <w:tc>
          <w:tcPr>
            <w:tcW w:w="4678" w:type="dxa"/>
            <w:gridSpan w:val="2"/>
          </w:tcPr>
          <w:p w:rsidR="000C709B" w:rsidRPr="005B2844" w:rsidRDefault="000C709B" w:rsidP="009536AB">
            <w:pPr>
              <w:tabs>
                <w:tab w:val="left" w:pos="-720"/>
                <w:tab w:val="left" w:pos="4536"/>
              </w:tabs>
              <w:suppressAutoHyphens/>
              <w:ind w:left="567" w:hanging="567"/>
              <w:rPr>
                <w:b/>
                <w:noProof/>
                <w:szCs w:val="22"/>
              </w:rPr>
            </w:pPr>
            <w:r w:rsidRPr="005B2844">
              <w:rPr>
                <w:b/>
                <w:noProof/>
                <w:szCs w:val="22"/>
              </w:rPr>
              <w:t>Malta</w:t>
            </w:r>
          </w:p>
          <w:p w:rsidR="00C76DD4" w:rsidRPr="005B2844" w:rsidRDefault="00C76DD4" w:rsidP="00C76DD4">
            <w:pPr>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0C709B" w:rsidRPr="005B2844" w:rsidRDefault="00C76DD4" w:rsidP="009536AB">
            <w:pPr>
              <w:ind w:left="567" w:hanging="567"/>
              <w:rPr>
                <w:szCs w:val="22"/>
                <w:lang w:eastAsia="ja-JP"/>
              </w:rPr>
            </w:pPr>
            <w:r w:rsidRPr="005B2844">
              <w:rPr>
                <w:szCs w:val="22"/>
                <w:lang w:eastAsia="ja-JP"/>
              </w:rPr>
              <w:t>Tel: +353 1 295 9620</w:t>
            </w:r>
          </w:p>
          <w:p w:rsidR="000C709B" w:rsidRPr="005B2844" w:rsidRDefault="000C709B" w:rsidP="009536AB">
            <w:pPr>
              <w:ind w:left="567" w:hanging="567"/>
              <w:rPr>
                <w:noProof/>
                <w:szCs w:val="22"/>
              </w:rPr>
            </w:pPr>
          </w:p>
        </w:tc>
      </w:tr>
      <w:tr w:rsidR="000C709B" w:rsidRPr="005B2844" w:rsidTr="009536AB">
        <w:trPr>
          <w:gridAfter w:val="1"/>
          <w:wAfter w:w="34" w:type="dxa"/>
        </w:trPr>
        <w:tc>
          <w:tcPr>
            <w:tcW w:w="4644" w:type="dxa"/>
          </w:tcPr>
          <w:p w:rsidR="000C709B" w:rsidRPr="005B2844" w:rsidRDefault="000C709B" w:rsidP="009536AB">
            <w:pPr>
              <w:ind w:left="567" w:hanging="567"/>
              <w:rPr>
                <w:noProof/>
                <w:szCs w:val="22"/>
              </w:rPr>
            </w:pPr>
            <w:r w:rsidRPr="005B2844">
              <w:rPr>
                <w:b/>
                <w:noProof/>
                <w:szCs w:val="22"/>
              </w:rPr>
              <w:t>Deutschland</w:t>
            </w:r>
          </w:p>
          <w:p w:rsidR="000C709B" w:rsidRPr="005B2844" w:rsidRDefault="000C709B" w:rsidP="009536A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Pharma GmbH &amp; Co. KG</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Tel: +49 (0) 800 / 77 90 900</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suppressAutoHyphens/>
              <w:ind w:left="567" w:hanging="567"/>
              <w:rPr>
                <w:noProof/>
                <w:szCs w:val="22"/>
              </w:rPr>
            </w:pPr>
            <w:r w:rsidRPr="005B2844">
              <w:rPr>
                <w:b/>
                <w:noProof/>
                <w:szCs w:val="22"/>
              </w:rPr>
              <w:t>Nederland</w:t>
            </w:r>
          </w:p>
          <w:p w:rsidR="000C709B" w:rsidRPr="005B2844" w:rsidRDefault="000C709B"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b.v.</w:t>
            </w:r>
          </w:p>
          <w:p w:rsidR="000C709B" w:rsidRPr="005B2844" w:rsidRDefault="000C709B" w:rsidP="009536AB">
            <w:pPr>
              <w:ind w:left="567" w:hanging="567"/>
              <w:rPr>
                <w:szCs w:val="22"/>
                <w:lang w:eastAsia="ja-JP"/>
              </w:rPr>
            </w:pPr>
            <w:r w:rsidRPr="005B2844">
              <w:rPr>
                <w:szCs w:val="22"/>
                <w:lang w:eastAsia="ja-JP"/>
              </w:rPr>
              <w:t xml:space="preserve">Tel: +31 </w:t>
            </w:r>
            <w:r w:rsidRPr="005B2844">
              <w:rPr>
                <w:szCs w:val="22"/>
              </w:rPr>
              <w:t>(0) 800 22 55 889</w:t>
            </w:r>
          </w:p>
          <w:p w:rsidR="000C709B" w:rsidRPr="005B2844" w:rsidRDefault="000C709B" w:rsidP="009536AB">
            <w:pPr>
              <w:ind w:left="567" w:hanging="567"/>
              <w:rPr>
                <w:noProof/>
                <w:szCs w:val="22"/>
              </w:rPr>
            </w:pPr>
          </w:p>
        </w:tc>
      </w:tr>
      <w:tr w:rsidR="000C709B" w:rsidRPr="005B2844" w:rsidTr="009536AB">
        <w:trPr>
          <w:gridAfter w:val="1"/>
          <w:wAfter w:w="34" w:type="dxa"/>
        </w:trPr>
        <w:tc>
          <w:tcPr>
            <w:tcW w:w="4644" w:type="dxa"/>
          </w:tcPr>
          <w:p w:rsidR="000C709B" w:rsidRPr="005B2844" w:rsidRDefault="000C709B" w:rsidP="006F7672">
            <w:pPr>
              <w:tabs>
                <w:tab w:val="left" w:pos="-720"/>
              </w:tabs>
              <w:suppressAutoHyphens/>
              <w:ind w:left="567" w:hanging="567"/>
              <w:rPr>
                <w:b/>
                <w:bCs/>
                <w:szCs w:val="22"/>
                <w:lang w:eastAsia="ja-JP"/>
              </w:rPr>
            </w:pPr>
            <w:proofErr w:type="spellStart"/>
            <w:r w:rsidRPr="005B2844">
              <w:rPr>
                <w:b/>
                <w:bCs/>
                <w:szCs w:val="22"/>
                <w:lang w:eastAsia="ja-JP"/>
              </w:rPr>
              <w:t>Eesti</w:t>
            </w:r>
            <w:proofErr w:type="spellEnd"/>
          </w:p>
          <w:p w:rsidR="000C709B" w:rsidRPr="005B2844" w:rsidRDefault="000C709B" w:rsidP="006F7672">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w:t>
            </w:r>
          </w:p>
          <w:p w:rsidR="000C709B" w:rsidRPr="005B2844" w:rsidRDefault="000C709B" w:rsidP="006F7672">
            <w:pPr>
              <w:tabs>
                <w:tab w:val="left" w:pos="-720"/>
              </w:tabs>
              <w:suppressAutoHyphens/>
              <w:ind w:left="567" w:hanging="567"/>
              <w:rPr>
                <w:szCs w:val="22"/>
                <w:lang w:eastAsia="ja-JP"/>
              </w:rPr>
            </w:pPr>
            <w:proofErr w:type="spellStart"/>
            <w:r w:rsidRPr="005B2844">
              <w:rPr>
                <w:szCs w:val="22"/>
                <w:lang w:eastAsia="ja-JP"/>
              </w:rPr>
              <w:t>Eesti</w:t>
            </w:r>
            <w:proofErr w:type="spellEnd"/>
            <w:r w:rsidRPr="005B2844">
              <w:rPr>
                <w:szCs w:val="22"/>
                <w:lang w:eastAsia="ja-JP"/>
              </w:rPr>
              <w:t xml:space="preserve"> </w:t>
            </w:r>
            <w:proofErr w:type="spellStart"/>
            <w:r w:rsidRPr="005B2844">
              <w:rPr>
                <w:szCs w:val="22"/>
                <w:lang w:eastAsia="ja-JP"/>
              </w:rPr>
              <w:t>Filiaal</w:t>
            </w:r>
            <w:proofErr w:type="spellEnd"/>
          </w:p>
          <w:p w:rsidR="000C709B" w:rsidRPr="005B2844" w:rsidRDefault="000C709B" w:rsidP="006F7672">
            <w:pPr>
              <w:tabs>
                <w:tab w:val="left" w:pos="-720"/>
              </w:tabs>
              <w:suppressAutoHyphens/>
              <w:ind w:left="567" w:hanging="567"/>
              <w:rPr>
                <w:szCs w:val="22"/>
                <w:lang w:eastAsia="ja-JP"/>
              </w:rPr>
            </w:pPr>
            <w:r w:rsidRPr="005B2844">
              <w:rPr>
                <w:szCs w:val="22"/>
                <w:lang w:eastAsia="ja-JP"/>
              </w:rPr>
              <w:t>Tel: +372 612 8000</w:t>
            </w:r>
          </w:p>
          <w:p w:rsidR="000C709B" w:rsidRPr="005B2844" w:rsidRDefault="000C709B" w:rsidP="006F7672">
            <w:pPr>
              <w:tabs>
                <w:tab w:val="left" w:pos="-720"/>
              </w:tabs>
              <w:suppressAutoHyphens/>
              <w:ind w:left="567" w:hanging="567"/>
              <w:rPr>
                <w:noProof/>
                <w:szCs w:val="22"/>
              </w:rPr>
            </w:pPr>
          </w:p>
        </w:tc>
        <w:tc>
          <w:tcPr>
            <w:tcW w:w="4678" w:type="dxa"/>
            <w:gridSpan w:val="2"/>
          </w:tcPr>
          <w:p w:rsidR="000C709B" w:rsidRPr="005B2844" w:rsidRDefault="000C709B" w:rsidP="009536AB">
            <w:pPr>
              <w:ind w:left="567" w:hanging="567"/>
              <w:rPr>
                <w:noProof/>
                <w:szCs w:val="22"/>
              </w:rPr>
            </w:pPr>
            <w:r w:rsidRPr="005B2844">
              <w:rPr>
                <w:b/>
                <w:noProof/>
                <w:szCs w:val="22"/>
              </w:rPr>
              <w:t>Norge</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Norway KS</w:t>
            </w:r>
          </w:p>
          <w:p w:rsidR="000C709B" w:rsidRPr="005B2844" w:rsidRDefault="000C709B" w:rsidP="009536AB">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+47 66 76 13 00</w:t>
            </w:r>
          </w:p>
          <w:p w:rsidR="000C709B" w:rsidRPr="005B2844" w:rsidRDefault="000C709B" w:rsidP="009536AB">
            <w:pPr>
              <w:tabs>
                <w:tab w:val="left" w:pos="-720"/>
              </w:tabs>
              <w:suppressAutoHyphens/>
              <w:ind w:left="567" w:hanging="567"/>
              <w:rPr>
                <w:noProof/>
                <w:szCs w:val="22"/>
              </w:rPr>
            </w:pPr>
          </w:p>
        </w:tc>
      </w:tr>
      <w:tr w:rsidR="000C709B" w:rsidRPr="005B2844" w:rsidTr="009536AB">
        <w:trPr>
          <w:gridAfter w:val="1"/>
          <w:wAfter w:w="34" w:type="dxa"/>
        </w:trPr>
        <w:tc>
          <w:tcPr>
            <w:tcW w:w="4644" w:type="dxa"/>
          </w:tcPr>
          <w:p w:rsidR="000C709B" w:rsidRPr="005B2844" w:rsidRDefault="000C709B" w:rsidP="009536AB">
            <w:pPr>
              <w:ind w:left="567" w:hanging="567"/>
              <w:rPr>
                <w:noProof/>
                <w:szCs w:val="22"/>
              </w:rPr>
            </w:pPr>
            <w:r w:rsidRPr="005B2844">
              <w:rPr>
                <w:b/>
                <w:noProof/>
                <w:szCs w:val="22"/>
              </w:rPr>
              <w:t>Ελλάδα</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0C709B" w:rsidRPr="005B2844" w:rsidRDefault="000C709B" w:rsidP="009536AB">
            <w:pPr>
              <w:tabs>
                <w:tab w:val="left" w:pos="-720"/>
              </w:tabs>
              <w:suppressAutoHyphens/>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ind w:left="567" w:hanging="567"/>
              <w:rPr>
                <w:noProof/>
                <w:szCs w:val="22"/>
              </w:rPr>
            </w:pPr>
            <w:r w:rsidRPr="005B2844">
              <w:rPr>
                <w:b/>
                <w:noProof/>
                <w:szCs w:val="22"/>
              </w:rPr>
              <w:t>Österreich</w:t>
            </w:r>
          </w:p>
          <w:p w:rsidR="000C709B" w:rsidRPr="005B2844" w:rsidRDefault="000C709B" w:rsidP="008948E1">
            <w:pPr>
              <w:autoSpaceDE w:val="0"/>
              <w:autoSpaceDN w:val="0"/>
              <w:adjustRightInd w:val="0"/>
              <w:rPr>
                <w:szCs w:val="22"/>
                <w:lang w:eastAsia="de-DE"/>
              </w:rPr>
            </w:pPr>
            <w:r w:rsidRPr="005B2844">
              <w:rPr>
                <w:szCs w:val="22"/>
                <w:lang w:eastAsia="de-DE"/>
              </w:rPr>
              <w:t xml:space="preserve">Boehringer </w:t>
            </w:r>
            <w:proofErr w:type="spellStart"/>
            <w:r w:rsidRPr="005B2844">
              <w:rPr>
                <w:szCs w:val="22"/>
                <w:lang w:eastAsia="de-DE"/>
              </w:rPr>
              <w:t>Ingelheim</w:t>
            </w:r>
            <w:proofErr w:type="spellEnd"/>
            <w:r w:rsidRPr="005B2844">
              <w:rPr>
                <w:szCs w:val="22"/>
                <w:lang w:eastAsia="de-DE"/>
              </w:rPr>
              <w:t xml:space="preserve"> RCV GmbH &amp; Co KG</w:t>
            </w:r>
          </w:p>
          <w:p w:rsidR="000C709B" w:rsidRPr="005B2844" w:rsidRDefault="000C709B" w:rsidP="00DE527C">
            <w:pPr>
              <w:ind w:left="567" w:hanging="567"/>
              <w:rPr>
                <w:szCs w:val="22"/>
              </w:rPr>
            </w:pPr>
            <w:r w:rsidRPr="005B2844">
              <w:rPr>
                <w:szCs w:val="22"/>
              </w:rPr>
              <w:t>Tel: +</w:t>
            </w:r>
            <w:r w:rsidR="00DE527C" w:rsidRPr="005B2844">
              <w:rPr>
                <w:szCs w:val="22"/>
              </w:rPr>
              <w:t>43 1 80 105-7870</w:t>
            </w:r>
          </w:p>
          <w:p w:rsidR="000C709B" w:rsidRPr="005B2844" w:rsidRDefault="000C709B" w:rsidP="008948E1">
            <w:pPr>
              <w:ind w:left="567" w:hanging="567"/>
              <w:rPr>
                <w:noProof/>
                <w:szCs w:val="22"/>
              </w:rPr>
            </w:pPr>
          </w:p>
        </w:tc>
      </w:tr>
      <w:tr w:rsidR="000C709B" w:rsidRPr="005B2844" w:rsidTr="009536AB">
        <w:tc>
          <w:tcPr>
            <w:tcW w:w="4678" w:type="dxa"/>
            <w:gridSpan w:val="2"/>
          </w:tcPr>
          <w:p w:rsidR="000C709B" w:rsidRPr="005B2844" w:rsidRDefault="000C709B" w:rsidP="009536AB">
            <w:pPr>
              <w:tabs>
                <w:tab w:val="left" w:pos="-720"/>
                <w:tab w:val="left" w:pos="4536"/>
              </w:tabs>
              <w:suppressAutoHyphens/>
              <w:ind w:left="567" w:hanging="567"/>
              <w:rPr>
                <w:b/>
                <w:noProof/>
                <w:szCs w:val="22"/>
              </w:rPr>
            </w:pPr>
            <w:r w:rsidRPr="005B2844">
              <w:rPr>
                <w:b/>
                <w:noProof/>
                <w:szCs w:val="22"/>
              </w:rPr>
              <w:t>España</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España</w:t>
            </w:r>
            <w:proofErr w:type="spellEnd"/>
            <w:r w:rsidR="0008548D" w:rsidRPr="005B2844">
              <w:rPr>
                <w:szCs w:val="22"/>
                <w:lang w:eastAsia="ja-JP"/>
              </w:rPr>
              <w:t>,</w:t>
            </w:r>
            <w:r w:rsidRPr="005B2844">
              <w:rPr>
                <w:szCs w:val="22"/>
                <w:lang w:eastAsia="ja-JP"/>
              </w:rPr>
              <w:t xml:space="preserve"> S.A.</w:t>
            </w:r>
          </w:p>
          <w:p w:rsidR="000C709B" w:rsidRPr="005B2844" w:rsidRDefault="000C709B" w:rsidP="009536AB">
            <w:pPr>
              <w:tabs>
                <w:tab w:val="left" w:pos="-720"/>
              </w:tabs>
              <w:suppressAutoHyphens/>
              <w:ind w:left="567" w:hanging="567"/>
              <w:rPr>
                <w:noProof/>
                <w:szCs w:val="22"/>
              </w:rPr>
            </w:pPr>
            <w:r w:rsidRPr="005B2844">
              <w:rPr>
                <w:szCs w:val="22"/>
                <w:lang w:eastAsia="ja-JP"/>
              </w:rPr>
              <w:t>Tel: +34 93 404 51 00</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tabs>
                <w:tab w:val="left" w:pos="-720"/>
                <w:tab w:val="left" w:pos="4536"/>
              </w:tabs>
              <w:suppressAutoHyphens/>
              <w:ind w:left="567" w:hanging="567"/>
              <w:rPr>
                <w:b/>
                <w:bCs/>
                <w:i/>
                <w:iCs/>
                <w:noProof/>
                <w:szCs w:val="22"/>
              </w:rPr>
            </w:pPr>
            <w:r w:rsidRPr="005B2844">
              <w:rPr>
                <w:b/>
                <w:noProof/>
                <w:szCs w:val="22"/>
              </w:rPr>
              <w:t>Polska</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Sp.zo.o</w:t>
            </w:r>
            <w:proofErr w:type="spellEnd"/>
            <w:r w:rsidRPr="005B2844">
              <w:rPr>
                <w:szCs w:val="22"/>
                <w:lang w:eastAsia="ja-JP"/>
              </w:rPr>
              <w:t>.</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Tel.: +48 22 699 0 699</w:t>
            </w:r>
          </w:p>
          <w:p w:rsidR="000C709B" w:rsidRPr="005B2844" w:rsidRDefault="000C709B" w:rsidP="009536AB">
            <w:pPr>
              <w:tabs>
                <w:tab w:val="left" w:pos="-720"/>
              </w:tabs>
              <w:suppressAutoHyphens/>
              <w:ind w:left="567" w:hanging="567"/>
              <w:rPr>
                <w:noProof/>
                <w:szCs w:val="22"/>
              </w:rPr>
            </w:pPr>
          </w:p>
        </w:tc>
      </w:tr>
      <w:tr w:rsidR="000C709B" w:rsidRPr="005B2844" w:rsidTr="009536AB">
        <w:tc>
          <w:tcPr>
            <w:tcW w:w="4678" w:type="dxa"/>
            <w:gridSpan w:val="2"/>
          </w:tcPr>
          <w:p w:rsidR="000C709B" w:rsidRPr="005B2844" w:rsidRDefault="000C709B" w:rsidP="009536AB">
            <w:pPr>
              <w:tabs>
                <w:tab w:val="left" w:pos="-720"/>
                <w:tab w:val="left" w:pos="4536"/>
              </w:tabs>
              <w:suppressAutoHyphens/>
              <w:ind w:left="567" w:hanging="567"/>
              <w:rPr>
                <w:b/>
                <w:noProof/>
                <w:szCs w:val="22"/>
              </w:rPr>
            </w:pPr>
            <w:r w:rsidRPr="005B2844">
              <w:rPr>
                <w:b/>
                <w:noProof/>
                <w:szCs w:val="22"/>
              </w:rPr>
              <w:t>France</w:t>
            </w:r>
          </w:p>
          <w:p w:rsidR="000C709B" w:rsidRPr="005B2844" w:rsidRDefault="000C709B"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France S.A.S.</w:t>
            </w:r>
          </w:p>
          <w:p w:rsidR="000C709B" w:rsidRPr="005B2844" w:rsidRDefault="000C709B" w:rsidP="009536AB">
            <w:pPr>
              <w:ind w:left="567" w:hanging="567"/>
              <w:rPr>
                <w:szCs w:val="22"/>
                <w:lang w:eastAsia="ja-JP"/>
              </w:rPr>
            </w:pPr>
            <w:proofErr w:type="spellStart"/>
            <w:r w:rsidRPr="005B2844">
              <w:rPr>
                <w:szCs w:val="22"/>
                <w:lang w:eastAsia="ja-JP"/>
              </w:rPr>
              <w:t>Tél</w:t>
            </w:r>
            <w:proofErr w:type="spellEnd"/>
            <w:r w:rsidRPr="005B2844">
              <w:rPr>
                <w:szCs w:val="22"/>
                <w:lang w:eastAsia="ja-JP"/>
              </w:rPr>
              <w:t>: +33 3 26 50 45 33</w:t>
            </w:r>
          </w:p>
          <w:p w:rsidR="000C709B" w:rsidRPr="005B2844" w:rsidRDefault="000C709B" w:rsidP="009536AB">
            <w:pPr>
              <w:ind w:left="567" w:hanging="567"/>
              <w:rPr>
                <w:b/>
                <w:noProof/>
                <w:szCs w:val="22"/>
              </w:rPr>
            </w:pPr>
          </w:p>
        </w:tc>
        <w:tc>
          <w:tcPr>
            <w:tcW w:w="4678" w:type="dxa"/>
            <w:gridSpan w:val="2"/>
          </w:tcPr>
          <w:p w:rsidR="000C709B" w:rsidRPr="005B2844" w:rsidRDefault="000C709B" w:rsidP="009536AB">
            <w:pPr>
              <w:ind w:left="567" w:hanging="567"/>
              <w:rPr>
                <w:noProof/>
                <w:szCs w:val="22"/>
              </w:rPr>
            </w:pPr>
            <w:r w:rsidRPr="005B2844">
              <w:rPr>
                <w:b/>
                <w:noProof/>
                <w:szCs w:val="22"/>
              </w:rPr>
              <w:t>Portugal</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005E0327" w:rsidRPr="005B2844">
              <w:rPr>
                <w:szCs w:val="22"/>
                <w:lang w:eastAsia="ja-JP"/>
              </w:rPr>
              <w:t>Unipessoal</w:t>
            </w:r>
            <w:proofErr w:type="spellEnd"/>
            <w:r w:rsidR="005E0327" w:rsidRPr="005B2844">
              <w:rPr>
                <w:szCs w:val="22"/>
                <w:lang w:eastAsia="ja-JP"/>
              </w:rPr>
              <w:t xml:space="preserve">, </w:t>
            </w:r>
            <w:proofErr w:type="spellStart"/>
            <w:r w:rsidRPr="005B2844">
              <w:rPr>
                <w:szCs w:val="22"/>
                <w:lang w:eastAsia="ja-JP"/>
              </w:rPr>
              <w:t>Lda</w:t>
            </w:r>
            <w:proofErr w:type="spellEnd"/>
            <w:r w:rsidRPr="005B2844">
              <w:rPr>
                <w:szCs w:val="22"/>
                <w:lang w:eastAsia="ja-JP"/>
              </w:rPr>
              <w:t>.</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Tel: +351 21 313 53 00</w:t>
            </w:r>
          </w:p>
          <w:p w:rsidR="000C709B" w:rsidRPr="005B2844" w:rsidRDefault="000C709B" w:rsidP="009536AB">
            <w:pPr>
              <w:tabs>
                <w:tab w:val="left" w:pos="-720"/>
              </w:tabs>
              <w:suppressAutoHyphens/>
              <w:ind w:left="567" w:hanging="567"/>
              <w:rPr>
                <w:noProof/>
                <w:szCs w:val="22"/>
              </w:rPr>
            </w:pPr>
          </w:p>
        </w:tc>
      </w:tr>
      <w:tr w:rsidR="000C709B" w:rsidRPr="005B2844" w:rsidTr="009536AB">
        <w:tc>
          <w:tcPr>
            <w:tcW w:w="4678" w:type="dxa"/>
            <w:gridSpan w:val="2"/>
          </w:tcPr>
          <w:p w:rsidR="000C709B" w:rsidRPr="005B2844" w:rsidRDefault="000C709B" w:rsidP="000C709B">
            <w:pPr>
              <w:pStyle w:val="HeadNoNum1"/>
              <w:rPr>
                <w:noProof w:val="0"/>
                <w:szCs w:val="22"/>
                <w:lang w:val="it-IT"/>
              </w:rPr>
            </w:pPr>
            <w:proofErr w:type="spellStart"/>
            <w:r w:rsidRPr="005B2844">
              <w:rPr>
                <w:noProof w:val="0"/>
                <w:szCs w:val="22"/>
                <w:lang w:val="it-IT"/>
              </w:rPr>
              <w:t>Hrvatska</w:t>
            </w:r>
            <w:proofErr w:type="spellEnd"/>
          </w:p>
          <w:p w:rsidR="000C709B" w:rsidRPr="005B2844" w:rsidRDefault="000C709B" w:rsidP="000C709B">
            <w:pPr>
              <w:pStyle w:val="HeadNoNum1"/>
              <w:rPr>
                <w:b w:val="0"/>
                <w:noProof w:val="0"/>
                <w:szCs w:val="22"/>
                <w:lang w:val="it-IT"/>
              </w:rPr>
            </w:pPr>
            <w:r w:rsidRPr="005B2844">
              <w:rPr>
                <w:b w:val="0"/>
                <w:noProof w:val="0"/>
                <w:szCs w:val="22"/>
                <w:lang w:val="it-IT"/>
              </w:rPr>
              <w:t xml:space="preserve">Boehringer </w:t>
            </w:r>
            <w:proofErr w:type="spellStart"/>
            <w:r w:rsidRPr="005B2844">
              <w:rPr>
                <w:b w:val="0"/>
                <w:noProof w:val="0"/>
                <w:szCs w:val="22"/>
                <w:lang w:val="it-IT"/>
              </w:rPr>
              <w:t>Ingelheim</w:t>
            </w:r>
            <w:proofErr w:type="spellEnd"/>
            <w:r w:rsidRPr="005B2844">
              <w:rPr>
                <w:b w:val="0"/>
                <w:noProof w:val="0"/>
                <w:szCs w:val="22"/>
                <w:lang w:val="it-IT"/>
              </w:rPr>
              <w:t xml:space="preserve"> </w:t>
            </w:r>
            <w:proofErr w:type="spellStart"/>
            <w:r w:rsidRPr="005B2844">
              <w:rPr>
                <w:b w:val="0"/>
                <w:noProof w:val="0"/>
                <w:szCs w:val="22"/>
                <w:lang w:val="it-IT"/>
              </w:rPr>
              <w:t>Zagreb</w:t>
            </w:r>
            <w:proofErr w:type="spellEnd"/>
            <w:r w:rsidRPr="005B2844">
              <w:rPr>
                <w:b w:val="0"/>
                <w:noProof w:val="0"/>
                <w:szCs w:val="22"/>
                <w:lang w:val="it-IT"/>
              </w:rPr>
              <w:t xml:space="preserve"> </w:t>
            </w:r>
            <w:proofErr w:type="spellStart"/>
            <w:r w:rsidRPr="005B2844">
              <w:rPr>
                <w:b w:val="0"/>
                <w:noProof w:val="0"/>
                <w:szCs w:val="22"/>
                <w:lang w:val="it-IT"/>
              </w:rPr>
              <w:t>d.o.o</w:t>
            </w:r>
            <w:proofErr w:type="spellEnd"/>
            <w:r w:rsidRPr="005B2844">
              <w:rPr>
                <w:b w:val="0"/>
                <w:noProof w:val="0"/>
                <w:szCs w:val="22"/>
                <w:lang w:val="it-IT"/>
              </w:rPr>
              <w:t>.</w:t>
            </w:r>
          </w:p>
          <w:p w:rsidR="000C709B" w:rsidRPr="005B2844" w:rsidRDefault="000C709B" w:rsidP="000C709B">
            <w:pPr>
              <w:pStyle w:val="HeadNoNum1"/>
              <w:rPr>
                <w:b w:val="0"/>
                <w:noProof w:val="0"/>
                <w:szCs w:val="22"/>
                <w:lang w:val="it-IT"/>
              </w:rPr>
            </w:pPr>
            <w:r w:rsidRPr="005B2844">
              <w:rPr>
                <w:b w:val="0"/>
                <w:noProof w:val="0"/>
                <w:szCs w:val="22"/>
                <w:lang w:val="it-IT"/>
              </w:rPr>
              <w:t>Tel: +385 1 2444 600</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tabs>
                <w:tab w:val="left" w:pos="-720"/>
                <w:tab w:val="left" w:pos="4536"/>
              </w:tabs>
              <w:suppressAutoHyphens/>
              <w:ind w:left="567" w:hanging="567"/>
              <w:rPr>
                <w:b/>
                <w:noProof/>
                <w:szCs w:val="22"/>
              </w:rPr>
            </w:pPr>
            <w:r w:rsidRPr="005B2844">
              <w:rPr>
                <w:b/>
                <w:noProof/>
                <w:szCs w:val="22"/>
              </w:rPr>
              <w:t>România</w:t>
            </w:r>
          </w:p>
          <w:p w:rsidR="000C709B" w:rsidRPr="005B2844" w:rsidRDefault="000C709B" w:rsidP="00971E74">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lang w:eastAsia="de-DE"/>
              </w:rPr>
              <w:t xml:space="preserve">RCV GmbH &amp; Co KG Viena – </w:t>
            </w:r>
            <w:proofErr w:type="spellStart"/>
            <w:r w:rsidRPr="005B2844">
              <w:rPr>
                <w:szCs w:val="22"/>
                <w:lang w:eastAsia="de-DE"/>
              </w:rPr>
              <w:t>Sucursala</w:t>
            </w:r>
            <w:proofErr w:type="spellEnd"/>
            <w:r w:rsidRPr="005B2844">
              <w:rPr>
                <w:szCs w:val="22"/>
                <w:lang w:eastAsia="de-DE"/>
              </w:rPr>
              <w:t xml:space="preserve"> Bucuresti</w:t>
            </w:r>
          </w:p>
          <w:p w:rsidR="000C709B" w:rsidRPr="005B2844" w:rsidRDefault="000C709B" w:rsidP="009536AB">
            <w:pPr>
              <w:ind w:left="567" w:hanging="567"/>
              <w:rPr>
                <w:szCs w:val="22"/>
              </w:rPr>
            </w:pPr>
            <w:r w:rsidRPr="005B2844">
              <w:rPr>
                <w:szCs w:val="22"/>
              </w:rPr>
              <w:t>Tel: +40 21 3022800</w:t>
            </w:r>
          </w:p>
          <w:p w:rsidR="000C709B" w:rsidRPr="005B2844" w:rsidRDefault="000C709B" w:rsidP="009536AB">
            <w:pPr>
              <w:tabs>
                <w:tab w:val="left" w:pos="-720"/>
              </w:tabs>
              <w:suppressAutoHyphens/>
              <w:ind w:left="567" w:hanging="567"/>
              <w:rPr>
                <w:noProof/>
                <w:szCs w:val="22"/>
              </w:rPr>
            </w:pPr>
          </w:p>
        </w:tc>
      </w:tr>
      <w:tr w:rsidR="000C709B" w:rsidRPr="005B2844" w:rsidTr="009536AB">
        <w:tc>
          <w:tcPr>
            <w:tcW w:w="4678" w:type="dxa"/>
            <w:gridSpan w:val="2"/>
          </w:tcPr>
          <w:p w:rsidR="000C709B" w:rsidRPr="005B2844" w:rsidRDefault="000C709B" w:rsidP="009536AB">
            <w:pPr>
              <w:ind w:left="567" w:hanging="567"/>
              <w:rPr>
                <w:noProof/>
                <w:szCs w:val="22"/>
              </w:rPr>
            </w:pPr>
            <w:r w:rsidRPr="005B2844">
              <w:rPr>
                <w:noProof/>
                <w:szCs w:val="22"/>
              </w:rPr>
              <w:br w:type="page"/>
            </w:r>
            <w:r w:rsidRPr="005B2844">
              <w:rPr>
                <w:b/>
                <w:noProof/>
                <w:szCs w:val="22"/>
              </w:rPr>
              <w:t>Ireland</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Tel: +353 1 295 9620</w:t>
            </w:r>
          </w:p>
          <w:p w:rsidR="000C709B" w:rsidRPr="005B2844" w:rsidRDefault="000C709B" w:rsidP="009536AB">
            <w:pPr>
              <w:tabs>
                <w:tab w:val="left" w:pos="-720"/>
              </w:tabs>
              <w:suppressAutoHyphens/>
              <w:ind w:left="567" w:hanging="567"/>
              <w:rPr>
                <w:noProof/>
                <w:szCs w:val="22"/>
              </w:rPr>
            </w:pPr>
          </w:p>
        </w:tc>
        <w:tc>
          <w:tcPr>
            <w:tcW w:w="4678" w:type="dxa"/>
            <w:gridSpan w:val="2"/>
          </w:tcPr>
          <w:p w:rsidR="000C709B" w:rsidRPr="005B2844" w:rsidRDefault="000C709B" w:rsidP="009536AB">
            <w:pPr>
              <w:ind w:left="567" w:hanging="567"/>
              <w:rPr>
                <w:noProof/>
                <w:szCs w:val="22"/>
              </w:rPr>
            </w:pPr>
            <w:r w:rsidRPr="005B2844">
              <w:rPr>
                <w:b/>
                <w:noProof/>
                <w:szCs w:val="22"/>
              </w:rPr>
              <w:t>Slovenija</w:t>
            </w:r>
          </w:p>
          <w:p w:rsidR="000C709B" w:rsidRPr="005B2844" w:rsidRDefault="000C709B" w:rsidP="009536A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0C709B" w:rsidRPr="005B2844" w:rsidRDefault="000C709B" w:rsidP="009536AB">
            <w:pPr>
              <w:tabs>
                <w:tab w:val="left" w:pos="-720"/>
              </w:tabs>
              <w:suppressAutoHyphens/>
              <w:ind w:left="567" w:hanging="567"/>
              <w:rPr>
                <w:szCs w:val="22"/>
                <w:lang w:eastAsia="ja-JP"/>
              </w:rPr>
            </w:pPr>
            <w:proofErr w:type="spellStart"/>
            <w:r w:rsidRPr="005B2844">
              <w:rPr>
                <w:szCs w:val="22"/>
                <w:lang w:eastAsia="ja-JP"/>
              </w:rPr>
              <w:t>Podružnica</w:t>
            </w:r>
            <w:proofErr w:type="spellEnd"/>
            <w:r w:rsidRPr="005B2844">
              <w:rPr>
                <w:szCs w:val="22"/>
                <w:lang w:eastAsia="ja-JP"/>
              </w:rPr>
              <w:t xml:space="preserve"> </w:t>
            </w:r>
            <w:proofErr w:type="spellStart"/>
            <w:r w:rsidRPr="005B2844">
              <w:rPr>
                <w:szCs w:val="22"/>
                <w:lang w:eastAsia="ja-JP"/>
              </w:rPr>
              <w:t>Ljubljana</w:t>
            </w:r>
            <w:proofErr w:type="spellEnd"/>
          </w:p>
          <w:p w:rsidR="000C709B" w:rsidRPr="005B2844" w:rsidRDefault="000C709B" w:rsidP="009536AB">
            <w:pPr>
              <w:tabs>
                <w:tab w:val="left" w:pos="-720"/>
              </w:tabs>
              <w:suppressAutoHyphens/>
              <w:ind w:left="567" w:hanging="567"/>
              <w:rPr>
                <w:szCs w:val="22"/>
                <w:lang w:eastAsia="ja-JP"/>
              </w:rPr>
            </w:pPr>
            <w:r w:rsidRPr="005B2844">
              <w:rPr>
                <w:szCs w:val="22"/>
                <w:lang w:eastAsia="ja-JP"/>
              </w:rPr>
              <w:t>Tel: +386 1 586 40 00</w:t>
            </w:r>
          </w:p>
          <w:p w:rsidR="000C709B" w:rsidRPr="005B2844" w:rsidRDefault="000C709B" w:rsidP="009536AB">
            <w:pPr>
              <w:tabs>
                <w:tab w:val="left" w:pos="-720"/>
              </w:tabs>
              <w:suppressAutoHyphens/>
              <w:ind w:left="567" w:hanging="567"/>
              <w:rPr>
                <w:noProof/>
                <w:szCs w:val="22"/>
              </w:rPr>
            </w:pPr>
          </w:p>
        </w:tc>
      </w:tr>
      <w:tr w:rsidR="000C709B" w:rsidRPr="005B2844" w:rsidTr="009536AB">
        <w:tc>
          <w:tcPr>
            <w:tcW w:w="4678" w:type="dxa"/>
            <w:gridSpan w:val="2"/>
          </w:tcPr>
          <w:p w:rsidR="000C709B" w:rsidRPr="005B2844" w:rsidRDefault="000C709B" w:rsidP="00F07F15">
            <w:pPr>
              <w:keepNext/>
              <w:keepLines/>
              <w:ind w:left="567" w:hanging="567"/>
              <w:rPr>
                <w:b/>
                <w:noProof/>
                <w:szCs w:val="22"/>
              </w:rPr>
            </w:pPr>
            <w:r w:rsidRPr="005B2844">
              <w:rPr>
                <w:b/>
                <w:noProof/>
                <w:szCs w:val="22"/>
              </w:rPr>
              <w:t>Ísland</w:t>
            </w:r>
          </w:p>
          <w:p w:rsidR="000C709B" w:rsidRPr="005B2844" w:rsidRDefault="000C709B" w:rsidP="00F07F15">
            <w:pPr>
              <w:keepNext/>
              <w:keepLines/>
              <w:tabs>
                <w:tab w:val="left" w:pos="-720"/>
              </w:tabs>
              <w:suppressAutoHyphens/>
              <w:ind w:left="567" w:hanging="567"/>
              <w:rPr>
                <w:szCs w:val="22"/>
                <w:lang w:eastAsia="ja-JP"/>
              </w:rPr>
            </w:pPr>
            <w:proofErr w:type="spellStart"/>
            <w:r w:rsidRPr="005B2844">
              <w:rPr>
                <w:szCs w:val="22"/>
                <w:lang w:eastAsia="ja-JP"/>
              </w:rPr>
              <w:t>Vistor</w:t>
            </w:r>
            <w:proofErr w:type="spellEnd"/>
            <w:r w:rsidRPr="005B2844">
              <w:rPr>
                <w:szCs w:val="22"/>
                <w:lang w:eastAsia="ja-JP"/>
              </w:rPr>
              <w:t xml:space="preserve"> </w:t>
            </w:r>
            <w:proofErr w:type="spellStart"/>
            <w:r w:rsidRPr="005B2844">
              <w:rPr>
                <w:szCs w:val="22"/>
                <w:lang w:eastAsia="ja-JP"/>
              </w:rPr>
              <w:t>hf</w:t>
            </w:r>
            <w:proofErr w:type="spellEnd"/>
            <w:r w:rsidRPr="005B2844">
              <w:rPr>
                <w:szCs w:val="22"/>
                <w:lang w:eastAsia="ja-JP"/>
              </w:rPr>
              <w:t>.</w:t>
            </w:r>
          </w:p>
          <w:p w:rsidR="000C709B" w:rsidRPr="005B2844" w:rsidRDefault="000C709B" w:rsidP="00F07F15">
            <w:pPr>
              <w:keepNext/>
              <w:keepLines/>
              <w:tabs>
                <w:tab w:val="left" w:pos="-720"/>
              </w:tabs>
              <w:suppressAutoHyphens/>
              <w:ind w:left="567" w:hanging="567"/>
              <w:rPr>
                <w:noProof/>
                <w:szCs w:val="22"/>
              </w:rPr>
            </w:pPr>
            <w:proofErr w:type="spellStart"/>
            <w:r w:rsidRPr="005B2844">
              <w:rPr>
                <w:szCs w:val="22"/>
              </w:rPr>
              <w:t>Sími</w:t>
            </w:r>
            <w:proofErr w:type="spellEnd"/>
            <w:r w:rsidR="00253C66" w:rsidRPr="005B2844">
              <w:rPr>
                <w:szCs w:val="22"/>
              </w:rPr>
              <w:t>/</w:t>
            </w:r>
            <w:r w:rsidRPr="005B2844">
              <w:rPr>
                <w:szCs w:val="22"/>
              </w:rPr>
              <w:t>Tel</w:t>
            </w:r>
            <w:r w:rsidRPr="005B2844">
              <w:rPr>
                <w:szCs w:val="22"/>
                <w:lang w:eastAsia="ja-JP"/>
              </w:rPr>
              <w:t>: +354 535 7000</w:t>
            </w:r>
          </w:p>
          <w:p w:rsidR="000C709B" w:rsidRPr="005B2844" w:rsidRDefault="000C709B" w:rsidP="00F07F15">
            <w:pPr>
              <w:keepNext/>
              <w:keepLines/>
              <w:tabs>
                <w:tab w:val="left" w:pos="-720"/>
              </w:tabs>
              <w:suppressAutoHyphens/>
              <w:ind w:left="567" w:hanging="567"/>
              <w:rPr>
                <w:noProof/>
                <w:szCs w:val="22"/>
              </w:rPr>
            </w:pPr>
          </w:p>
        </w:tc>
        <w:tc>
          <w:tcPr>
            <w:tcW w:w="4678" w:type="dxa"/>
            <w:gridSpan w:val="2"/>
          </w:tcPr>
          <w:p w:rsidR="000C709B" w:rsidRPr="005B2844" w:rsidRDefault="000C709B" w:rsidP="00F07F15">
            <w:pPr>
              <w:keepNext/>
              <w:keepLines/>
              <w:tabs>
                <w:tab w:val="left" w:pos="-720"/>
              </w:tabs>
              <w:suppressAutoHyphens/>
              <w:ind w:left="567" w:hanging="567"/>
              <w:rPr>
                <w:b/>
                <w:noProof/>
                <w:szCs w:val="22"/>
              </w:rPr>
            </w:pPr>
            <w:r w:rsidRPr="005B2844">
              <w:rPr>
                <w:b/>
                <w:noProof/>
                <w:szCs w:val="22"/>
              </w:rPr>
              <w:t>Slovenská republika</w:t>
            </w:r>
          </w:p>
          <w:p w:rsidR="000C709B" w:rsidRPr="005B2844" w:rsidRDefault="000C709B" w:rsidP="00F07F15">
            <w:pPr>
              <w:keepNext/>
              <w:keepLines/>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0C709B" w:rsidRPr="005B2844" w:rsidRDefault="000C709B" w:rsidP="00F07F15">
            <w:pPr>
              <w:keepNext/>
              <w:keepLines/>
              <w:tabs>
                <w:tab w:val="left" w:pos="-720"/>
              </w:tabs>
              <w:suppressAutoHyphens/>
              <w:ind w:left="567" w:hanging="567"/>
              <w:rPr>
                <w:szCs w:val="22"/>
                <w:lang w:eastAsia="de-DE"/>
              </w:rPr>
            </w:pPr>
            <w:proofErr w:type="spellStart"/>
            <w:r w:rsidRPr="005B2844">
              <w:rPr>
                <w:szCs w:val="22"/>
                <w:lang w:eastAsia="de-DE"/>
              </w:rPr>
              <w:t>organizačná</w:t>
            </w:r>
            <w:proofErr w:type="spellEnd"/>
            <w:r w:rsidRPr="005B2844">
              <w:rPr>
                <w:szCs w:val="22"/>
                <w:lang w:eastAsia="de-DE"/>
              </w:rPr>
              <w:t xml:space="preserve"> </w:t>
            </w:r>
            <w:proofErr w:type="spellStart"/>
            <w:r w:rsidRPr="005B2844">
              <w:rPr>
                <w:szCs w:val="22"/>
                <w:lang w:eastAsia="de-DE"/>
              </w:rPr>
              <w:t>zložka</w:t>
            </w:r>
            <w:proofErr w:type="spellEnd"/>
          </w:p>
          <w:p w:rsidR="000C709B" w:rsidRPr="005B2844" w:rsidRDefault="000C709B" w:rsidP="00F07F15">
            <w:pPr>
              <w:keepNext/>
              <w:keepLines/>
              <w:tabs>
                <w:tab w:val="left" w:pos="-720"/>
              </w:tabs>
              <w:suppressAutoHyphens/>
              <w:ind w:left="567" w:hanging="567"/>
              <w:rPr>
                <w:szCs w:val="22"/>
                <w:lang w:eastAsia="de-DE"/>
              </w:rPr>
            </w:pPr>
            <w:r w:rsidRPr="005B2844">
              <w:rPr>
                <w:szCs w:val="22"/>
                <w:lang w:eastAsia="de-DE"/>
              </w:rPr>
              <w:t>Tel: +421 2 5810 1211</w:t>
            </w:r>
          </w:p>
          <w:p w:rsidR="000C709B" w:rsidRPr="005B2844" w:rsidRDefault="000C709B" w:rsidP="00F07F15">
            <w:pPr>
              <w:keepNext/>
              <w:keepLines/>
              <w:tabs>
                <w:tab w:val="left" w:pos="-720"/>
              </w:tabs>
              <w:suppressAutoHyphens/>
              <w:ind w:left="567" w:hanging="567"/>
              <w:rPr>
                <w:b/>
                <w:noProof/>
                <w:szCs w:val="22"/>
              </w:rPr>
            </w:pPr>
          </w:p>
        </w:tc>
      </w:tr>
      <w:tr w:rsidR="000C709B" w:rsidRPr="005B2844" w:rsidTr="009536AB">
        <w:tc>
          <w:tcPr>
            <w:tcW w:w="4678" w:type="dxa"/>
            <w:gridSpan w:val="2"/>
          </w:tcPr>
          <w:p w:rsidR="000C709B" w:rsidRPr="005B2844" w:rsidRDefault="000C709B" w:rsidP="009536AB">
            <w:pPr>
              <w:ind w:left="567" w:hanging="567"/>
              <w:rPr>
                <w:noProof/>
                <w:szCs w:val="22"/>
              </w:rPr>
            </w:pPr>
            <w:r w:rsidRPr="005B2844">
              <w:rPr>
                <w:b/>
                <w:noProof/>
                <w:szCs w:val="22"/>
              </w:rPr>
              <w:t>Italia</w:t>
            </w:r>
          </w:p>
          <w:p w:rsidR="000C709B" w:rsidRPr="005B2844" w:rsidRDefault="000C709B"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Italia S.p.A.</w:t>
            </w:r>
          </w:p>
          <w:p w:rsidR="000C709B" w:rsidRPr="005B2844" w:rsidRDefault="000C709B" w:rsidP="009536AB">
            <w:pPr>
              <w:ind w:left="567" w:hanging="567"/>
              <w:rPr>
                <w:szCs w:val="22"/>
                <w:lang w:eastAsia="ja-JP"/>
              </w:rPr>
            </w:pPr>
            <w:r w:rsidRPr="005B2844">
              <w:rPr>
                <w:szCs w:val="22"/>
                <w:lang w:eastAsia="ja-JP"/>
              </w:rPr>
              <w:t>Tel: +39 02 5355 1</w:t>
            </w:r>
          </w:p>
          <w:p w:rsidR="00261CD2" w:rsidRPr="005B2844" w:rsidRDefault="00261CD2" w:rsidP="009536AB">
            <w:pPr>
              <w:ind w:left="567" w:hanging="567"/>
              <w:rPr>
                <w:b/>
                <w:noProof/>
                <w:szCs w:val="22"/>
              </w:rPr>
            </w:pPr>
          </w:p>
        </w:tc>
        <w:tc>
          <w:tcPr>
            <w:tcW w:w="4678" w:type="dxa"/>
            <w:gridSpan w:val="2"/>
          </w:tcPr>
          <w:p w:rsidR="000C709B" w:rsidRPr="005B2844" w:rsidRDefault="000C709B" w:rsidP="009536AB">
            <w:pPr>
              <w:tabs>
                <w:tab w:val="left" w:pos="-720"/>
                <w:tab w:val="left" w:pos="4536"/>
              </w:tabs>
              <w:suppressAutoHyphens/>
              <w:ind w:left="567" w:hanging="567"/>
              <w:rPr>
                <w:noProof/>
                <w:szCs w:val="22"/>
              </w:rPr>
            </w:pPr>
            <w:r w:rsidRPr="005B2844">
              <w:rPr>
                <w:b/>
                <w:noProof/>
                <w:szCs w:val="22"/>
              </w:rPr>
              <w:t>Suomi/Finland</w:t>
            </w:r>
          </w:p>
          <w:p w:rsidR="000C709B" w:rsidRPr="005B2844" w:rsidRDefault="000C709B"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Finland </w:t>
            </w:r>
            <w:proofErr w:type="spellStart"/>
            <w:r w:rsidRPr="005B2844">
              <w:rPr>
                <w:szCs w:val="22"/>
                <w:lang w:eastAsia="ja-JP"/>
              </w:rPr>
              <w:t>Ky</w:t>
            </w:r>
            <w:proofErr w:type="spellEnd"/>
          </w:p>
          <w:p w:rsidR="000C709B" w:rsidRPr="005B2844" w:rsidRDefault="000C709B" w:rsidP="009536AB">
            <w:pPr>
              <w:tabs>
                <w:tab w:val="left" w:pos="-720"/>
              </w:tabs>
              <w:suppressAutoHyphens/>
              <w:ind w:left="567" w:hanging="567"/>
              <w:jc w:val="both"/>
              <w:rPr>
                <w:noProof/>
                <w:szCs w:val="22"/>
              </w:rPr>
            </w:pPr>
            <w:r w:rsidRPr="005B2844">
              <w:rPr>
                <w:szCs w:val="22"/>
                <w:lang w:eastAsia="ja-JP"/>
              </w:rPr>
              <w:t>Puh/Tel: +358 10 3102 800</w:t>
            </w:r>
          </w:p>
          <w:p w:rsidR="000C709B" w:rsidRPr="005B2844" w:rsidRDefault="000C709B" w:rsidP="009536AB">
            <w:pPr>
              <w:tabs>
                <w:tab w:val="left" w:pos="-720"/>
              </w:tabs>
              <w:suppressAutoHyphens/>
              <w:ind w:left="567" w:hanging="567"/>
              <w:rPr>
                <w:noProof/>
                <w:szCs w:val="22"/>
              </w:rPr>
            </w:pPr>
          </w:p>
        </w:tc>
      </w:tr>
      <w:tr w:rsidR="007B3BC3" w:rsidRPr="005B2844" w:rsidTr="009536AB">
        <w:tc>
          <w:tcPr>
            <w:tcW w:w="4678" w:type="dxa"/>
            <w:gridSpan w:val="2"/>
          </w:tcPr>
          <w:p w:rsidR="007B3BC3" w:rsidRPr="005B2844" w:rsidRDefault="008B08F9" w:rsidP="009536AB">
            <w:pPr>
              <w:ind w:left="567" w:hanging="567"/>
              <w:rPr>
                <w:b/>
                <w:noProof/>
                <w:szCs w:val="22"/>
              </w:rPr>
            </w:pPr>
            <w:r w:rsidRPr="005B2844">
              <w:rPr>
                <w:szCs w:val="22"/>
              </w:rPr>
              <w:br w:type="page"/>
            </w:r>
            <w:r w:rsidR="007B3BC3" w:rsidRPr="005B2844">
              <w:rPr>
                <w:b/>
                <w:noProof/>
                <w:szCs w:val="22"/>
              </w:rPr>
              <w:t>Κύπρος</w:t>
            </w:r>
          </w:p>
          <w:p w:rsidR="007B3BC3" w:rsidRPr="005B2844" w:rsidRDefault="007B3BC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7B3BC3" w:rsidRPr="005B2844" w:rsidRDefault="007B3BC3" w:rsidP="009536AB">
            <w:pPr>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261CD2" w:rsidRPr="005B2844" w:rsidRDefault="00261CD2" w:rsidP="009536AB">
            <w:pPr>
              <w:ind w:left="567" w:hanging="567"/>
              <w:rPr>
                <w:b/>
                <w:noProof/>
                <w:szCs w:val="22"/>
              </w:rPr>
            </w:pPr>
          </w:p>
        </w:tc>
        <w:tc>
          <w:tcPr>
            <w:tcW w:w="4678" w:type="dxa"/>
            <w:gridSpan w:val="2"/>
          </w:tcPr>
          <w:p w:rsidR="007B3BC3" w:rsidRPr="005B2844" w:rsidRDefault="007B3BC3" w:rsidP="009536AB">
            <w:pPr>
              <w:tabs>
                <w:tab w:val="left" w:pos="-720"/>
                <w:tab w:val="left" w:pos="4536"/>
              </w:tabs>
              <w:suppressAutoHyphens/>
              <w:ind w:left="567" w:hanging="567"/>
              <w:rPr>
                <w:b/>
                <w:noProof/>
                <w:szCs w:val="22"/>
              </w:rPr>
            </w:pPr>
            <w:r w:rsidRPr="005B2844">
              <w:rPr>
                <w:b/>
                <w:noProof/>
                <w:szCs w:val="22"/>
              </w:rPr>
              <w:t>Sverige</w:t>
            </w:r>
          </w:p>
          <w:p w:rsidR="007B3BC3" w:rsidRPr="005B2844" w:rsidRDefault="007B3BC3" w:rsidP="009536AB">
            <w:pPr>
              <w:tabs>
                <w:tab w:val="left" w:pos="-720"/>
                <w:tab w:val="left" w:pos="4536"/>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AB</w:t>
            </w:r>
          </w:p>
          <w:p w:rsidR="007B3BC3" w:rsidRPr="005B2844" w:rsidRDefault="007B3BC3" w:rsidP="009536AB">
            <w:pPr>
              <w:tabs>
                <w:tab w:val="left" w:pos="-720"/>
                <w:tab w:val="left" w:pos="4536"/>
              </w:tabs>
              <w:suppressAutoHyphens/>
              <w:ind w:left="567" w:hanging="567"/>
              <w:rPr>
                <w:szCs w:val="22"/>
                <w:lang w:eastAsia="ja-JP"/>
              </w:rPr>
            </w:pPr>
            <w:r w:rsidRPr="005B2844">
              <w:rPr>
                <w:szCs w:val="22"/>
                <w:lang w:eastAsia="ja-JP"/>
              </w:rPr>
              <w:t>Tel: +46 8 721 21 00</w:t>
            </w:r>
          </w:p>
          <w:p w:rsidR="007B3BC3" w:rsidRPr="005B2844" w:rsidRDefault="007B3BC3" w:rsidP="009536AB">
            <w:pPr>
              <w:tabs>
                <w:tab w:val="left" w:pos="-720"/>
                <w:tab w:val="left" w:pos="4536"/>
              </w:tabs>
              <w:suppressAutoHyphens/>
              <w:ind w:left="567" w:hanging="567"/>
              <w:rPr>
                <w:b/>
                <w:noProof/>
                <w:szCs w:val="22"/>
              </w:rPr>
            </w:pPr>
          </w:p>
        </w:tc>
      </w:tr>
      <w:tr w:rsidR="007B3BC3" w:rsidRPr="005B2844" w:rsidTr="009536AB">
        <w:tc>
          <w:tcPr>
            <w:tcW w:w="4678" w:type="dxa"/>
            <w:gridSpan w:val="2"/>
          </w:tcPr>
          <w:p w:rsidR="007B3BC3" w:rsidRPr="005B2844" w:rsidRDefault="007B3BC3" w:rsidP="009536AB">
            <w:pPr>
              <w:ind w:left="567" w:hanging="567"/>
              <w:rPr>
                <w:b/>
                <w:noProof/>
                <w:szCs w:val="22"/>
              </w:rPr>
            </w:pPr>
            <w:r w:rsidRPr="005B2844">
              <w:rPr>
                <w:b/>
                <w:noProof/>
                <w:szCs w:val="22"/>
              </w:rPr>
              <w:t>Latvija</w:t>
            </w:r>
          </w:p>
          <w:p w:rsidR="007B3BC3" w:rsidRPr="005B2844" w:rsidRDefault="007B3BC3" w:rsidP="00C576B0">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00C576B0" w:rsidRPr="005B2844">
              <w:rPr>
                <w:szCs w:val="22"/>
              </w:rPr>
              <w:t>RCV GmbH &amp; Co KG</w:t>
            </w:r>
          </w:p>
          <w:p w:rsidR="007B3BC3" w:rsidRPr="005B2844" w:rsidRDefault="00C576B0" w:rsidP="009536AB">
            <w:pPr>
              <w:tabs>
                <w:tab w:val="left" w:pos="-720"/>
              </w:tabs>
              <w:suppressAutoHyphens/>
              <w:ind w:left="567" w:hanging="567"/>
              <w:rPr>
                <w:szCs w:val="22"/>
                <w:lang w:eastAsia="ja-JP"/>
              </w:rPr>
            </w:pPr>
            <w:proofErr w:type="spellStart"/>
            <w:r w:rsidRPr="005B2844">
              <w:rPr>
                <w:szCs w:val="22"/>
              </w:rPr>
              <w:t>Latvijas</w:t>
            </w:r>
            <w:proofErr w:type="spellEnd"/>
            <w:r w:rsidRPr="005B2844">
              <w:rPr>
                <w:szCs w:val="22"/>
              </w:rPr>
              <w:t xml:space="preserve"> </w:t>
            </w:r>
            <w:proofErr w:type="spellStart"/>
            <w:r w:rsidRPr="005B2844">
              <w:rPr>
                <w:szCs w:val="22"/>
              </w:rPr>
              <w:t>filiāle</w:t>
            </w:r>
            <w:proofErr w:type="spellEnd"/>
          </w:p>
          <w:p w:rsidR="007B3BC3" w:rsidRPr="005B2844" w:rsidRDefault="007B3BC3" w:rsidP="009536AB">
            <w:pPr>
              <w:tabs>
                <w:tab w:val="left" w:pos="-720"/>
              </w:tabs>
              <w:suppressAutoHyphens/>
              <w:ind w:left="567" w:hanging="567"/>
              <w:rPr>
                <w:noProof/>
                <w:szCs w:val="22"/>
              </w:rPr>
            </w:pPr>
            <w:r w:rsidRPr="005B2844">
              <w:rPr>
                <w:szCs w:val="22"/>
                <w:lang w:eastAsia="ja-JP"/>
              </w:rPr>
              <w:t xml:space="preserve">Tel: +371 </w:t>
            </w:r>
            <w:r w:rsidR="00C05561" w:rsidRPr="005B2844">
              <w:rPr>
                <w:szCs w:val="22"/>
                <w:lang w:eastAsia="ja-JP"/>
              </w:rPr>
              <w:t>6</w:t>
            </w:r>
            <w:r w:rsidRPr="005B2844">
              <w:rPr>
                <w:szCs w:val="22"/>
                <w:lang w:eastAsia="ja-JP"/>
              </w:rPr>
              <w:t>7 240 0</w:t>
            </w:r>
            <w:r w:rsidR="00C576B0" w:rsidRPr="005B2844">
              <w:rPr>
                <w:szCs w:val="22"/>
                <w:lang w:eastAsia="ja-JP"/>
              </w:rPr>
              <w:t>11</w:t>
            </w:r>
          </w:p>
          <w:p w:rsidR="007B3BC3" w:rsidRPr="005B2844" w:rsidRDefault="007B3BC3" w:rsidP="009536AB">
            <w:pPr>
              <w:tabs>
                <w:tab w:val="left" w:pos="-720"/>
              </w:tabs>
              <w:suppressAutoHyphens/>
              <w:ind w:left="567" w:hanging="567"/>
              <w:rPr>
                <w:noProof/>
                <w:szCs w:val="22"/>
              </w:rPr>
            </w:pPr>
          </w:p>
        </w:tc>
        <w:tc>
          <w:tcPr>
            <w:tcW w:w="4678" w:type="dxa"/>
            <w:gridSpan w:val="2"/>
          </w:tcPr>
          <w:p w:rsidR="007B3BC3" w:rsidRPr="005B2844" w:rsidRDefault="007B3BC3" w:rsidP="009536AB">
            <w:pPr>
              <w:tabs>
                <w:tab w:val="left" w:pos="-720"/>
                <w:tab w:val="left" w:pos="4536"/>
              </w:tabs>
              <w:suppressAutoHyphens/>
              <w:ind w:left="567" w:hanging="567"/>
              <w:rPr>
                <w:b/>
                <w:noProof/>
                <w:szCs w:val="22"/>
              </w:rPr>
            </w:pPr>
            <w:r w:rsidRPr="005B2844">
              <w:rPr>
                <w:b/>
                <w:noProof/>
                <w:szCs w:val="22"/>
              </w:rPr>
              <w:t>United Kingdom</w:t>
            </w:r>
          </w:p>
          <w:p w:rsidR="007B3BC3" w:rsidRPr="005B2844" w:rsidRDefault="007B3BC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Ltd.</w:t>
            </w:r>
          </w:p>
          <w:p w:rsidR="007B3BC3" w:rsidRPr="005B2844" w:rsidRDefault="007B3BC3" w:rsidP="009536AB">
            <w:pPr>
              <w:ind w:left="567" w:hanging="567"/>
              <w:rPr>
                <w:szCs w:val="22"/>
                <w:lang w:eastAsia="ja-JP"/>
              </w:rPr>
            </w:pPr>
            <w:r w:rsidRPr="005B2844">
              <w:rPr>
                <w:szCs w:val="22"/>
                <w:lang w:eastAsia="ja-JP"/>
              </w:rPr>
              <w:t>Tel: +44 1344 424 600</w:t>
            </w:r>
          </w:p>
          <w:p w:rsidR="00261CD2" w:rsidRPr="005B2844" w:rsidRDefault="00261CD2" w:rsidP="009536AB">
            <w:pPr>
              <w:ind w:left="567" w:hanging="567"/>
              <w:rPr>
                <w:noProof/>
                <w:szCs w:val="22"/>
              </w:rPr>
            </w:pPr>
          </w:p>
        </w:tc>
      </w:tr>
    </w:tbl>
    <w:p w:rsidR="00A70FCB" w:rsidRPr="005B2844" w:rsidRDefault="00A70FCB" w:rsidP="0072602F">
      <w:pPr>
        <w:tabs>
          <w:tab w:val="left" w:pos="567"/>
        </w:tabs>
        <w:rPr>
          <w:b/>
          <w:szCs w:val="22"/>
        </w:rPr>
      </w:pPr>
      <w:r w:rsidRPr="005B2844">
        <w:rPr>
          <w:b/>
          <w:szCs w:val="22"/>
        </w:rPr>
        <w:t xml:space="preserve">Questo foglio </w:t>
      </w:r>
      <w:r w:rsidR="00373844" w:rsidRPr="005B2844">
        <w:rPr>
          <w:b/>
          <w:szCs w:val="22"/>
        </w:rPr>
        <w:t xml:space="preserve">illustrativo </w:t>
      </w:r>
      <w:r w:rsidRPr="005B2844">
        <w:rPr>
          <w:b/>
          <w:szCs w:val="22"/>
        </w:rPr>
        <w:t xml:space="preserve">è stato </w:t>
      </w:r>
      <w:r w:rsidR="00C576B0" w:rsidRPr="005B2844">
        <w:rPr>
          <w:b/>
          <w:szCs w:val="22"/>
        </w:rPr>
        <w:t>aggiornato</w:t>
      </w:r>
      <w:r w:rsidRPr="005B2844">
        <w:rPr>
          <w:b/>
          <w:szCs w:val="22"/>
        </w:rPr>
        <w:t xml:space="preserve"> il</w:t>
      </w:r>
    </w:p>
    <w:p w:rsidR="00373844" w:rsidRPr="005B2844" w:rsidRDefault="00373844" w:rsidP="0072602F">
      <w:pPr>
        <w:tabs>
          <w:tab w:val="left" w:pos="567"/>
        </w:tabs>
        <w:rPr>
          <w:b/>
          <w:szCs w:val="22"/>
        </w:rPr>
      </w:pPr>
    </w:p>
    <w:p w:rsidR="00D01EC3" w:rsidRPr="005B2844" w:rsidRDefault="00D01EC3" w:rsidP="0072602F">
      <w:pPr>
        <w:rPr>
          <w:b/>
          <w:noProof/>
          <w:szCs w:val="22"/>
        </w:rPr>
      </w:pPr>
      <w:r w:rsidRPr="005B2844">
        <w:rPr>
          <w:b/>
          <w:noProof/>
          <w:szCs w:val="22"/>
        </w:rPr>
        <w:t>Altre fonti d’</w:t>
      </w:r>
      <w:r w:rsidR="005E0327" w:rsidRPr="005B2844">
        <w:rPr>
          <w:b/>
          <w:noProof/>
          <w:szCs w:val="22"/>
        </w:rPr>
        <w:t>informazioni</w:t>
      </w:r>
    </w:p>
    <w:p w:rsidR="00373844" w:rsidRPr="005B2844" w:rsidRDefault="00373844" w:rsidP="0072602F">
      <w:pPr>
        <w:rPr>
          <w:noProof/>
          <w:color w:val="0000FF"/>
          <w:szCs w:val="22"/>
        </w:rPr>
      </w:pPr>
      <w:r w:rsidRPr="005B2844">
        <w:rPr>
          <w:noProof/>
          <w:szCs w:val="22"/>
        </w:rPr>
        <w:t>Informazioni più dettagliate su questo medicinale sono disponibili sul sito web dell</w:t>
      </w:r>
      <w:r w:rsidR="0009078D" w:rsidRPr="005B2844">
        <w:rPr>
          <w:noProof/>
          <w:szCs w:val="22"/>
        </w:rPr>
        <w:t>’</w:t>
      </w:r>
      <w:r w:rsidRPr="005B2844">
        <w:rPr>
          <w:noProof/>
          <w:szCs w:val="22"/>
        </w:rPr>
        <w:t xml:space="preserve">Agenzia </w:t>
      </w:r>
      <w:r w:rsidR="00180EA4" w:rsidRPr="005B2844">
        <w:rPr>
          <w:noProof/>
          <w:szCs w:val="22"/>
        </w:rPr>
        <w:t>e</w:t>
      </w:r>
      <w:r w:rsidRPr="005B2844">
        <w:rPr>
          <w:noProof/>
          <w:szCs w:val="22"/>
        </w:rPr>
        <w:t xml:space="preserve">uropea dei </w:t>
      </w:r>
      <w:r w:rsidR="00180EA4" w:rsidRPr="005B2844">
        <w:rPr>
          <w:noProof/>
          <w:szCs w:val="22"/>
        </w:rPr>
        <w:t>m</w:t>
      </w:r>
      <w:r w:rsidRPr="005B2844">
        <w:rPr>
          <w:noProof/>
          <w:szCs w:val="22"/>
        </w:rPr>
        <w:t>edicinali</w:t>
      </w:r>
      <w:r w:rsidR="00D01EC3" w:rsidRPr="005B2844">
        <w:rPr>
          <w:noProof/>
          <w:szCs w:val="22"/>
        </w:rPr>
        <w:t>,</w:t>
      </w:r>
      <w:r w:rsidRPr="005B2844">
        <w:rPr>
          <w:noProof/>
          <w:szCs w:val="22"/>
        </w:rPr>
        <w:t xml:space="preserve"> </w:t>
      </w:r>
      <w:hyperlink r:id="rId17" w:history="1">
        <w:r w:rsidR="00FC5178" w:rsidRPr="005B2844">
          <w:rPr>
            <w:rStyle w:val="Hyperlink"/>
            <w:noProof/>
            <w:szCs w:val="22"/>
          </w:rPr>
          <w:t>http://www</w:t>
        </w:r>
        <w:r w:rsidR="00FC5178" w:rsidRPr="005B2844">
          <w:rPr>
            <w:rStyle w:val="Hyperlink"/>
            <w:noProof/>
            <w:szCs w:val="22"/>
          </w:rPr>
          <w:t>.</w:t>
        </w:r>
        <w:r w:rsidR="00FC5178" w:rsidRPr="005B2844">
          <w:rPr>
            <w:rStyle w:val="Hyperlink"/>
            <w:noProof/>
            <w:szCs w:val="22"/>
          </w:rPr>
          <w:t>ema.europa.eu</w:t>
        </w:r>
      </w:hyperlink>
      <w:r w:rsidRPr="005B2844">
        <w:rPr>
          <w:noProof/>
          <w:color w:val="0000FF"/>
          <w:szCs w:val="22"/>
        </w:rPr>
        <w:t>.</w:t>
      </w:r>
    </w:p>
    <w:p w:rsidR="00FC5178" w:rsidRPr="005B2844" w:rsidRDefault="00FC5178" w:rsidP="0072602F">
      <w:pPr>
        <w:suppressAutoHyphens/>
        <w:jc w:val="center"/>
        <w:rPr>
          <w:b/>
          <w:szCs w:val="22"/>
        </w:rPr>
      </w:pPr>
      <w:r w:rsidRPr="005B2844">
        <w:rPr>
          <w:szCs w:val="22"/>
        </w:rPr>
        <w:br w:type="page"/>
      </w:r>
      <w:r w:rsidR="00D45615" w:rsidRPr="005B2844">
        <w:rPr>
          <w:b/>
          <w:szCs w:val="22"/>
        </w:rPr>
        <w:t>Foglio illustrativo: informazioni per l’utilizzatore</w:t>
      </w:r>
    </w:p>
    <w:p w:rsidR="00FC5178" w:rsidRPr="005B2844" w:rsidRDefault="00FC5178" w:rsidP="0072602F">
      <w:pPr>
        <w:suppressAutoHyphens/>
        <w:jc w:val="center"/>
        <w:rPr>
          <w:b/>
          <w:szCs w:val="22"/>
        </w:rPr>
      </w:pPr>
    </w:p>
    <w:p w:rsidR="00FC5178" w:rsidRPr="005B2844" w:rsidRDefault="00FC5178" w:rsidP="0072602F">
      <w:pPr>
        <w:suppressAutoHyphens/>
        <w:jc w:val="center"/>
        <w:rPr>
          <w:szCs w:val="22"/>
        </w:rPr>
      </w:pPr>
      <w:proofErr w:type="spellStart"/>
      <w:r w:rsidRPr="005B2844">
        <w:rPr>
          <w:b/>
          <w:szCs w:val="22"/>
        </w:rPr>
        <w:t>MicardisPlus</w:t>
      </w:r>
      <w:proofErr w:type="spellEnd"/>
      <w:r w:rsidRPr="005B2844">
        <w:rPr>
          <w:b/>
          <w:szCs w:val="22"/>
        </w:rPr>
        <w:t xml:space="preserve"> 80 mg</w:t>
      </w:r>
      <w:r w:rsidR="00E23927" w:rsidRPr="005B2844">
        <w:rPr>
          <w:b/>
          <w:szCs w:val="22"/>
        </w:rPr>
        <w:t>/</w:t>
      </w:r>
      <w:r w:rsidRPr="005B2844">
        <w:rPr>
          <w:b/>
          <w:szCs w:val="22"/>
        </w:rPr>
        <w:t>25 mg compresse</w:t>
      </w:r>
    </w:p>
    <w:p w:rsidR="00FC5178" w:rsidRPr="005B2844" w:rsidRDefault="00FC5178" w:rsidP="0072602F">
      <w:pPr>
        <w:pStyle w:val="BodyText20"/>
        <w:spacing w:line="240" w:lineRule="auto"/>
        <w:jc w:val="center"/>
        <w:rPr>
          <w:szCs w:val="22"/>
        </w:rPr>
      </w:pPr>
      <w:proofErr w:type="spellStart"/>
      <w:r w:rsidRPr="005B2844">
        <w:rPr>
          <w:szCs w:val="22"/>
        </w:rPr>
        <w:t>telmisartan</w:t>
      </w:r>
      <w:proofErr w:type="spellEnd"/>
      <w:r w:rsidRPr="005B2844">
        <w:rPr>
          <w:szCs w:val="22"/>
        </w:rPr>
        <w:t>/</w:t>
      </w:r>
      <w:proofErr w:type="spellStart"/>
      <w:r w:rsidRPr="005B2844">
        <w:rPr>
          <w:szCs w:val="22"/>
        </w:rPr>
        <w:t>idroclorotiazide</w:t>
      </w:r>
      <w:proofErr w:type="spellEnd"/>
    </w:p>
    <w:p w:rsidR="00B923AB" w:rsidRPr="005B2844" w:rsidRDefault="00B923AB" w:rsidP="0072602F">
      <w:pPr>
        <w:pStyle w:val="BodyText20"/>
        <w:spacing w:line="240" w:lineRule="auto"/>
        <w:jc w:val="center"/>
        <w:rPr>
          <w:szCs w:val="22"/>
        </w:rPr>
      </w:pPr>
    </w:p>
    <w:p w:rsidR="003D4FA8" w:rsidRPr="005B2844" w:rsidRDefault="00FC5178" w:rsidP="0072602F">
      <w:pPr>
        <w:rPr>
          <w:b/>
          <w:szCs w:val="22"/>
        </w:rPr>
      </w:pPr>
      <w:r w:rsidRPr="005B2844">
        <w:rPr>
          <w:b/>
          <w:szCs w:val="22"/>
        </w:rPr>
        <w:t>Legga attentamente questo foglio prima di prendere questo medicinale</w:t>
      </w:r>
      <w:r w:rsidR="00D45615" w:rsidRPr="005B2844">
        <w:rPr>
          <w:rFonts w:eastAsia="SimSun"/>
          <w:b/>
          <w:noProof/>
          <w:snapToGrid w:val="0"/>
          <w:szCs w:val="22"/>
          <w:lang w:eastAsia="zh-CN"/>
        </w:rPr>
        <w:t xml:space="preserve"> </w:t>
      </w:r>
      <w:r w:rsidR="00D45615" w:rsidRPr="005B2844">
        <w:rPr>
          <w:b/>
          <w:szCs w:val="22"/>
        </w:rPr>
        <w:t>perché contiene importanti informazioni per lei</w:t>
      </w:r>
      <w:r w:rsidRPr="005B2844">
        <w:rPr>
          <w:b/>
          <w:szCs w:val="22"/>
        </w:rPr>
        <w:t>.</w:t>
      </w:r>
    </w:p>
    <w:p w:rsidR="00FC5178" w:rsidRPr="005B2844" w:rsidRDefault="00FC5178" w:rsidP="0072602F">
      <w:pPr>
        <w:tabs>
          <w:tab w:val="left" w:pos="567"/>
        </w:tabs>
        <w:rPr>
          <w:szCs w:val="22"/>
        </w:rPr>
      </w:pPr>
      <w:r w:rsidRPr="005B2844">
        <w:rPr>
          <w:szCs w:val="22"/>
        </w:rPr>
        <w:t>-</w:t>
      </w:r>
      <w:r w:rsidRPr="005B2844">
        <w:rPr>
          <w:szCs w:val="22"/>
        </w:rPr>
        <w:tab/>
        <w:t>Conservi questo foglio. Potrebbe aver bisogno di leggerlo di nuovo.</w:t>
      </w:r>
    </w:p>
    <w:p w:rsidR="00FC5178" w:rsidRPr="005B2844" w:rsidRDefault="00FC5178" w:rsidP="0072602F">
      <w:pPr>
        <w:tabs>
          <w:tab w:val="left" w:pos="567"/>
        </w:tabs>
        <w:rPr>
          <w:szCs w:val="22"/>
        </w:rPr>
      </w:pPr>
      <w:r w:rsidRPr="005B2844">
        <w:rPr>
          <w:szCs w:val="22"/>
        </w:rPr>
        <w:t>-</w:t>
      </w:r>
      <w:r w:rsidRPr="005B2844">
        <w:rPr>
          <w:szCs w:val="22"/>
        </w:rPr>
        <w:tab/>
        <w:t>Se ha qualsiasi dubbio, si rivolga al medico o al farmacista.</w:t>
      </w:r>
    </w:p>
    <w:p w:rsidR="00FC5178" w:rsidRPr="005B2844" w:rsidRDefault="00FC5178" w:rsidP="0072602F">
      <w:pPr>
        <w:tabs>
          <w:tab w:val="left" w:pos="567"/>
        </w:tabs>
        <w:ind w:left="567" w:hanging="567"/>
        <w:rPr>
          <w:szCs w:val="22"/>
        </w:rPr>
      </w:pPr>
      <w:r w:rsidRPr="005B2844">
        <w:rPr>
          <w:szCs w:val="22"/>
        </w:rPr>
        <w:t>-</w:t>
      </w:r>
      <w:r w:rsidRPr="005B2844">
        <w:rPr>
          <w:szCs w:val="22"/>
        </w:rPr>
        <w:tab/>
        <w:t xml:space="preserve">Questo medicinale è stato prescritto </w:t>
      </w:r>
      <w:r w:rsidR="00D45615" w:rsidRPr="005B2844">
        <w:rPr>
          <w:szCs w:val="22"/>
        </w:rPr>
        <w:t xml:space="preserve">soltanto </w:t>
      </w:r>
      <w:r w:rsidRPr="005B2844">
        <w:rPr>
          <w:szCs w:val="22"/>
        </w:rPr>
        <w:t xml:space="preserve">per lei. Non lo dia ad </w:t>
      </w:r>
      <w:r w:rsidR="008747FC" w:rsidRPr="005B2844">
        <w:rPr>
          <w:szCs w:val="22"/>
        </w:rPr>
        <w:t>altre persone</w:t>
      </w:r>
      <w:r w:rsidRPr="005B2844">
        <w:rPr>
          <w:szCs w:val="22"/>
        </w:rPr>
        <w:t xml:space="preserve">, anche se i sintomi </w:t>
      </w:r>
      <w:r w:rsidR="00D45615" w:rsidRPr="005B2844">
        <w:rPr>
          <w:szCs w:val="22"/>
        </w:rPr>
        <w:t xml:space="preserve">della malattia </w:t>
      </w:r>
      <w:r w:rsidRPr="005B2844">
        <w:rPr>
          <w:szCs w:val="22"/>
        </w:rPr>
        <w:t>sono uguali ai suoi</w:t>
      </w:r>
      <w:r w:rsidR="008747FC" w:rsidRPr="005B2844">
        <w:rPr>
          <w:szCs w:val="22"/>
        </w:rPr>
        <w:t>, perché potrebbe essere pericoloso</w:t>
      </w:r>
      <w:r w:rsidRPr="005B2844">
        <w:rPr>
          <w:szCs w:val="22"/>
        </w:rPr>
        <w:t>.</w:t>
      </w:r>
    </w:p>
    <w:p w:rsidR="00FC5178" w:rsidRPr="005B2844" w:rsidRDefault="00FC5178" w:rsidP="0072602F">
      <w:pPr>
        <w:tabs>
          <w:tab w:val="left" w:pos="567"/>
        </w:tabs>
        <w:ind w:left="567" w:hanging="567"/>
        <w:rPr>
          <w:szCs w:val="22"/>
        </w:rPr>
      </w:pPr>
      <w:r w:rsidRPr="005B2844">
        <w:rPr>
          <w:noProof/>
          <w:szCs w:val="22"/>
        </w:rPr>
        <w:t>-</w:t>
      </w:r>
      <w:r w:rsidRPr="005B2844">
        <w:rPr>
          <w:noProof/>
          <w:szCs w:val="22"/>
        </w:rPr>
        <w:tab/>
        <w:t xml:space="preserve">Se </w:t>
      </w:r>
      <w:r w:rsidR="00D45615" w:rsidRPr="005B2844">
        <w:rPr>
          <w:noProof/>
          <w:szCs w:val="22"/>
        </w:rPr>
        <w:t>si manifesta</w:t>
      </w:r>
      <w:r w:rsidRPr="005B2844">
        <w:rPr>
          <w:noProof/>
          <w:szCs w:val="22"/>
        </w:rPr>
        <w:t xml:space="preserve"> un qualsiasi effetto indesiderato</w:t>
      </w:r>
      <w:r w:rsidR="00D45615" w:rsidRPr="005B2844">
        <w:rPr>
          <w:noProof/>
          <w:szCs w:val="22"/>
        </w:rPr>
        <w:t>,</w:t>
      </w:r>
      <w:r w:rsidRPr="005B2844">
        <w:rPr>
          <w:noProof/>
          <w:szCs w:val="22"/>
        </w:rPr>
        <w:t xml:space="preserve"> </w:t>
      </w:r>
      <w:r w:rsidR="00D45615" w:rsidRPr="005B2844">
        <w:rPr>
          <w:noProof/>
          <w:szCs w:val="22"/>
        </w:rPr>
        <w:t xml:space="preserve">compresi quelli </w:t>
      </w:r>
      <w:r w:rsidRPr="005B2844">
        <w:rPr>
          <w:noProof/>
          <w:szCs w:val="22"/>
        </w:rPr>
        <w:t xml:space="preserve">non </w:t>
      </w:r>
      <w:r w:rsidR="00D45615" w:rsidRPr="005B2844">
        <w:rPr>
          <w:noProof/>
          <w:szCs w:val="22"/>
        </w:rPr>
        <w:t>elencati</w:t>
      </w:r>
      <w:r w:rsidRPr="005B2844">
        <w:rPr>
          <w:noProof/>
          <w:szCs w:val="22"/>
        </w:rPr>
        <w:t xml:space="preserve"> in questo foglio, </w:t>
      </w:r>
      <w:r w:rsidR="00D45615" w:rsidRPr="005B2844">
        <w:rPr>
          <w:noProof/>
          <w:szCs w:val="22"/>
        </w:rPr>
        <w:t>si rivolga al</w:t>
      </w:r>
      <w:r w:rsidRPr="005B2844">
        <w:rPr>
          <w:noProof/>
          <w:szCs w:val="22"/>
        </w:rPr>
        <w:t xml:space="preserve"> medico o </w:t>
      </w:r>
      <w:r w:rsidR="00D45615" w:rsidRPr="005B2844">
        <w:rPr>
          <w:noProof/>
          <w:szCs w:val="22"/>
        </w:rPr>
        <w:t>al</w:t>
      </w:r>
      <w:r w:rsidRPr="005B2844">
        <w:rPr>
          <w:noProof/>
          <w:szCs w:val="22"/>
        </w:rPr>
        <w:t xml:space="preserve"> farmacista.</w:t>
      </w:r>
      <w:r w:rsidR="005F796E" w:rsidRPr="005B2844">
        <w:rPr>
          <w:noProof/>
          <w:szCs w:val="22"/>
        </w:rPr>
        <w:t xml:space="preserve"> Vedere paragrafo 4.</w:t>
      </w:r>
    </w:p>
    <w:p w:rsidR="00FC5178" w:rsidRPr="005B2844" w:rsidRDefault="00FC5178" w:rsidP="0072602F">
      <w:pPr>
        <w:rPr>
          <w:b/>
          <w:szCs w:val="22"/>
        </w:rPr>
      </w:pPr>
      <w:r w:rsidRPr="005B2844">
        <w:rPr>
          <w:szCs w:val="22"/>
        </w:rPr>
        <w:cr/>
      </w:r>
      <w:r w:rsidRPr="005B2844">
        <w:rPr>
          <w:b/>
          <w:szCs w:val="22"/>
        </w:rPr>
        <w:t>Contenuto di questo foglio</w:t>
      </w:r>
    </w:p>
    <w:p w:rsidR="003D49E4" w:rsidRPr="005B2844" w:rsidRDefault="003D49E4" w:rsidP="0072602F">
      <w:pPr>
        <w:rPr>
          <w:b/>
          <w:szCs w:val="22"/>
        </w:rPr>
      </w:pPr>
    </w:p>
    <w:p w:rsidR="00FC5178" w:rsidRPr="005B2844" w:rsidRDefault="003D49E4" w:rsidP="003D49E4">
      <w:pPr>
        <w:rPr>
          <w:szCs w:val="22"/>
        </w:rPr>
      </w:pPr>
      <w:r w:rsidRPr="005B2844">
        <w:rPr>
          <w:szCs w:val="22"/>
        </w:rPr>
        <w:t>1.</w:t>
      </w:r>
      <w:r w:rsidRPr="005B2844">
        <w:rPr>
          <w:szCs w:val="22"/>
        </w:rPr>
        <w:tab/>
      </w:r>
      <w:r w:rsidR="00FC5178" w:rsidRPr="005B2844">
        <w:rPr>
          <w:szCs w:val="22"/>
        </w:rPr>
        <w:t>Cos</w:t>
      </w:r>
      <w:r w:rsidR="00825513" w:rsidRPr="005B2844">
        <w:rPr>
          <w:szCs w:val="22"/>
        </w:rPr>
        <w:t>’</w:t>
      </w:r>
      <w:r w:rsidR="00FC5178" w:rsidRPr="005B2844">
        <w:rPr>
          <w:szCs w:val="22"/>
        </w:rPr>
        <w:t xml:space="preserve">è </w:t>
      </w:r>
      <w:proofErr w:type="spellStart"/>
      <w:r w:rsidR="00FC5178" w:rsidRPr="005B2844">
        <w:rPr>
          <w:szCs w:val="22"/>
        </w:rPr>
        <w:t>MicardisPlus</w:t>
      </w:r>
      <w:proofErr w:type="spellEnd"/>
      <w:r w:rsidR="00FC5178" w:rsidRPr="005B2844">
        <w:rPr>
          <w:szCs w:val="22"/>
        </w:rPr>
        <w:t xml:space="preserve"> e a cosa serve</w:t>
      </w:r>
    </w:p>
    <w:p w:rsidR="00FC5178" w:rsidRPr="005B2844" w:rsidRDefault="003D49E4" w:rsidP="003D49E4">
      <w:pPr>
        <w:rPr>
          <w:szCs w:val="22"/>
        </w:rPr>
      </w:pPr>
      <w:r w:rsidRPr="005B2844">
        <w:rPr>
          <w:szCs w:val="22"/>
        </w:rPr>
        <w:t>2.</w:t>
      </w:r>
      <w:r w:rsidRPr="005B2844">
        <w:rPr>
          <w:szCs w:val="22"/>
        </w:rPr>
        <w:tab/>
      </w:r>
      <w:r w:rsidR="00D45615" w:rsidRPr="005B2844">
        <w:rPr>
          <w:szCs w:val="22"/>
        </w:rPr>
        <w:t>Cosa deve sapere p</w:t>
      </w:r>
      <w:r w:rsidR="00FC5178" w:rsidRPr="005B2844">
        <w:rPr>
          <w:szCs w:val="22"/>
        </w:rPr>
        <w:t xml:space="preserve">rima di prendere </w:t>
      </w:r>
      <w:proofErr w:type="spellStart"/>
      <w:r w:rsidR="00FC5178" w:rsidRPr="005B2844">
        <w:rPr>
          <w:szCs w:val="22"/>
        </w:rPr>
        <w:t>MicardisPlus</w:t>
      </w:r>
      <w:proofErr w:type="spellEnd"/>
    </w:p>
    <w:p w:rsidR="00FC5178" w:rsidRPr="005B2844" w:rsidRDefault="003D49E4" w:rsidP="003D49E4">
      <w:pPr>
        <w:rPr>
          <w:szCs w:val="22"/>
        </w:rPr>
      </w:pPr>
      <w:r w:rsidRPr="005B2844">
        <w:rPr>
          <w:szCs w:val="22"/>
        </w:rPr>
        <w:t>3.</w:t>
      </w:r>
      <w:r w:rsidRPr="005B2844">
        <w:rPr>
          <w:szCs w:val="22"/>
        </w:rPr>
        <w:tab/>
      </w:r>
      <w:r w:rsidR="00FC5178" w:rsidRPr="005B2844">
        <w:rPr>
          <w:szCs w:val="22"/>
        </w:rPr>
        <w:t xml:space="preserve">Come prendere </w:t>
      </w:r>
      <w:proofErr w:type="spellStart"/>
      <w:r w:rsidR="00FC5178" w:rsidRPr="005B2844">
        <w:rPr>
          <w:szCs w:val="22"/>
        </w:rPr>
        <w:t>MicardisPlus</w:t>
      </w:r>
      <w:proofErr w:type="spellEnd"/>
    </w:p>
    <w:p w:rsidR="00FC5178" w:rsidRPr="005B2844" w:rsidRDefault="003D49E4" w:rsidP="003D49E4">
      <w:pPr>
        <w:rPr>
          <w:szCs w:val="22"/>
        </w:rPr>
      </w:pPr>
      <w:r w:rsidRPr="005B2844">
        <w:rPr>
          <w:szCs w:val="22"/>
        </w:rPr>
        <w:t>4.</w:t>
      </w:r>
      <w:r w:rsidRPr="005B2844">
        <w:rPr>
          <w:szCs w:val="22"/>
        </w:rPr>
        <w:tab/>
      </w:r>
      <w:r w:rsidR="00FC5178" w:rsidRPr="005B2844">
        <w:rPr>
          <w:szCs w:val="22"/>
        </w:rPr>
        <w:t>Possibili effetti indesiderati</w:t>
      </w:r>
    </w:p>
    <w:p w:rsidR="00FC5178" w:rsidRPr="005B2844" w:rsidRDefault="003D49E4" w:rsidP="003D49E4">
      <w:pPr>
        <w:rPr>
          <w:szCs w:val="22"/>
        </w:rPr>
      </w:pPr>
      <w:r w:rsidRPr="005B2844">
        <w:rPr>
          <w:szCs w:val="22"/>
        </w:rPr>
        <w:t>5.</w:t>
      </w:r>
      <w:r w:rsidRPr="005B2844">
        <w:rPr>
          <w:szCs w:val="22"/>
        </w:rPr>
        <w:tab/>
      </w:r>
      <w:r w:rsidR="00FC5178" w:rsidRPr="005B2844">
        <w:rPr>
          <w:szCs w:val="22"/>
        </w:rPr>
        <w:t xml:space="preserve">Come conservare </w:t>
      </w:r>
      <w:proofErr w:type="spellStart"/>
      <w:r w:rsidR="00FC5178" w:rsidRPr="005B2844">
        <w:rPr>
          <w:szCs w:val="22"/>
        </w:rPr>
        <w:t>MicardisPlus</w:t>
      </w:r>
      <w:proofErr w:type="spellEnd"/>
    </w:p>
    <w:p w:rsidR="00FC5178" w:rsidRPr="005B2844" w:rsidRDefault="003D49E4" w:rsidP="003D49E4">
      <w:pPr>
        <w:suppressAutoHyphens/>
        <w:rPr>
          <w:szCs w:val="22"/>
        </w:rPr>
      </w:pPr>
      <w:r w:rsidRPr="005B2844">
        <w:rPr>
          <w:szCs w:val="22"/>
        </w:rPr>
        <w:t>6.</w:t>
      </w:r>
      <w:r w:rsidRPr="005B2844">
        <w:rPr>
          <w:szCs w:val="22"/>
        </w:rPr>
        <w:tab/>
      </w:r>
      <w:r w:rsidR="00D45615" w:rsidRPr="005B2844">
        <w:rPr>
          <w:szCs w:val="22"/>
        </w:rPr>
        <w:t>Contenuto della confezione e a</w:t>
      </w:r>
      <w:r w:rsidR="00FC5178" w:rsidRPr="005B2844">
        <w:rPr>
          <w:szCs w:val="22"/>
        </w:rPr>
        <w:t>ltre informazioni</w:t>
      </w:r>
    </w:p>
    <w:p w:rsidR="00FC5178" w:rsidRPr="005B2844" w:rsidRDefault="00FC5178" w:rsidP="0072602F">
      <w:pPr>
        <w:rPr>
          <w:szCs w:val="22"/>
        </w:rPr>
      </w:pPr>
    </w:p>
    <w:p w:rsidR="00FC5178" w:rsidRPr="005B2844" w:rsidRDefault="00FC5178" w:rsidP="0072602F">
      <w:pPr>
        <w:pStyle w:val="BodyText20"/>
        <w:tabs>
          <w:tab w:val="clear" w:pos="567"/>
        </w:tabs>
        <w:spacing w:line="240" w:lineRule="auto"/>
        <w:rPr>
          <w:szCs w:val="22"/>
        </w:rPr>
      </w:pPr>
    </w:p>
    <w:p w:rsidR="00FC5178" w:rsidRPr="005B2844" w:rsidRDefault="00FC5178" w:rsidP="0072602F">
      <w:pPr>
        <w:tabs>
          <w:tab w:val="left" w:pos="567"/>
        </w:tabs>
        <w:rPr>
          <w:b/>
          <w:szCs w:val="22"/>
        </w:rPr>
      </w:pPr>
      <w:r w:rsidRPr="005B2844">
        <w:rPr>
          <w:b/>
          <w:szCs w:val="22"/>
        </w:rPr>
        <w:t>1.</w:t>
      </w:r>
      <w:r w:rsidRPr="005B2844">
        <w:rPr>
          <w:b/>
          <w:szCs w:val="22"/>
        </w:rPr>
        <w:tab/>
      </w:r>
      <w:r w:rsidR="00D45615" w:rsidRPr="005B2844">
        <w:rPr>
          <w:b/>
          <w:szCs w:val="22"/>
        </w:rPr>
        <w:t xml:space="preserve">Cos’è </w:t>
      </w:r>
      <w:proofErr w:type="spellStart"/>
      <w:r w:rsidR="00D45615" w:rsidRPr="005B2844">
        <w:rPr>
          <w:b/>
          <w:szCs w:val="22"/>
        </w:rPr>
        <w:t>MicardisPlus</w:t>
      </w:r>
      <w:proofErr w:type="spellEnd"/>
      <w:r w:rsidR="00D45615" w:rsidRPr="005B2844">
        <w:rPr>
          <w:b/>
          <w:szCs w:val="22"/>
        </w:rPr>
        <w:t xml:space="preserve"> e a cosa serve</w:t>
      </w:r>
    </w:p>
    <w:p w:rsidR="00FC5178" w:rsidRPr="005B2844" w:rsidRDefault="00FC5178" w:rsidP="0072602F">
      <w:pPr>
        <w:rPr>
          <w:szCs w:val="22"/>
        </w:rPr>
      </w:pPr>
    </w:p>
    <w:p w:rsidR="00FC5178" w:rsidRPr="005B2844" w:rsidRDefault="00FC5178" w:rsidP="00535EFE">
      <w:pPr>
        <w:rPr>
          <w:szCs w:val="22"/>
        </w:rPr>
      </w:pPr>
      <w:proofErr w:type="spellStart"/>
      <w:r w:rsidRPr="005B2844">
        <w:rPr>
          <w:szCs w:val="22"/>
        </w:rPr>
        <w:t>MicardisPlus</w:t>
      </w:r>
      <w:proofErr w:type="spellEnd"/>
      <w:r w:rsidRPr="005B2844">
        <w:rPr>
          <w:szCs w:val="22"/>
        </w:rPr>
        <w:t xml:space="preserve"> è un’associazione dei due principi attivi,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w:t>
      </w:r>
      <w:r w:rsidR="00173319" w:rsidRPr="005B2844">
        <w:rPr>
          <w:szCs w:val="22"/>
        </w:rPr>
        <w:t>in un’unica compressa. Ognuna di queste sostanze facilita il controllo d</w:t>
      </w:r>
      <w:r w:rsidR="00863537" w:rsidRPr="005B2844">
        <w:rPr>
          <w:szCs w:val="22"/>
        </w:rPr>
        <w:t>i un</w:t>
      </w:r>
      <w:r w:rsidR="00173319" w:rsidRPr="005B2844">
        <w:rPr>
          <w:szCs w:val="22"/>
        </w:rPr>
        <w:t xml:space="preserve">a </w:t>
      </w:r>
      <w:r w:rsidR="00863537" w:rsidRPr="005B2844">
        <w:rPr>
          <w:szCs w:val="22"/>
        </w:rPr>
        <w:t xml:space="preserve">elevata </w:t>
      </w:r>
      <w:r w:rsidR="00173319" w:rsidRPr="005B2844">
        <w:rPr>
          <w:szCs w:val="22"/>
        </w:rPr>
        <w:t>pressione del sangue.</w:t>
      </w:r>
    </w:p>
    <w:p w:rsidR="00FC5178" w:rsidRPr="005B2844" w:rsidRDefault="00FC5178" w:rsidP="0072602F">
      <w:pPr>
        <w:rPr>
          <w:szCs w:val="22"/>
        </w:rPr>
      </w:pPr>
    </w:p>
    <w:p w:rsidR="00FC5178" w:rsidRPr="005B2844" w:rsidRDefault="00FC5178" w:rsidP="0072602F">
      <w:pPr>
        <w:ind w:left="567" w:hanging="567"/>
        <w:rPr>
          <w:szCs w:val="22"/>
        </w:rPr>
      </w:pPr>
      <w:r w:rsidRPr="005B2844">
        <w:rPr>
          <w:szCs w:val="22"/>
        </w:rPr>
        <w:t>-</w:t>
      </w:r>
      <w:r w:rsidRPr="005B2844">
        <w:rPr>
          <w:szCs w:val="22"/>
        </w:rPr>
        <w:tab/>
      </w:r>
      <w:proofErr w:type="spellStart"/>
      <w:r w:rsidRPr="005B2844">
        <w:rPr>
          <w:szCs w:val="22"/>
        </w:rPr>
        <w:t>telmisartan</w:t>
      </w:r>
      <w:proofErr w:type="spellEnd"/>
      <w:r w:rsidRPr="005B2844">
        <w:rPr>
          <w:szCs w:val="22"/>
        </w:rPr>
        <w:t xml:space="preserve"> appartiene ad un gruppo di medicinali conosciuti come antagonisti del recettore dell'angiotensina II. L'angiotensina II è una sostanza presente nel corpo che </w:t>
      </w:r>
      <w:r w:rsidR="00470472" w:rsidRPr="005B2844">
        <w:rPr>
          <w:szCs w:val="22"/>
        </w:rPr>
        <w:t xml:space="preserve">provoca </w:t>
      </w:r>
      <w:r w:rsidRPr="005B2844">
        <w:rPr>
          <w:szCs w:val="22"/>
        </w:rPr>
        <w:t>la costrizione dei vasi sanguigni</w:t>
      </w:r>
      <w:r w:rsidR="00173319" w:rsidRPr="005B2844">
        <w:rPr>
          <w:szCs w:val="22"/>
        </w:rPr>
        <w:t>, aumentando così la pressione del sangue.</w:t>
      </w:r>
      <w:r w:rsidRPr="005B2844">
        <w:rPr>
          <w:szCs w:val="22"/>
        </w:rPr>
        <w:t xml:space="preserve"> </w:t>
      </w:r>
      <w:proofErr w:type="spellStart"/>
      <w:r w:rsidR="009F719D" w:rsidRPr="005B2844">
        <w:rPr>
          <w:szCs w:val="22"/>
        </w:rPr>
        <w:t>T</w:t>
      </w:r>
      <w:r w:rsidRPr="005B2844">
        <w:rPr>
          <w:szCs w:val="22"/>
        </w:rPr>
        <w:t>elmisartan</w:t>
      </w:r>
      <w:proofErr w:type="spellEnd"/>
      <w:r w:rsidRPr="005B2844">
        <w:rPr>
          <w:szCs w:val="22"/>
        </w:rPr>
        <w:t xml:space="preserve"> blocca questo effetto dell'angiotensina II, causando </w:t>
      </w:r>
      <w:r w:rsidR="009F719D" w:rsidRPr="005B2844">
        <w:rPr>
          <w:szCs w:val="22"/>
        </w:rPr>
        <w:t xml:space="preserve">il </w:t>
      </w:r>
      <w:r w:rsidRPr="005B2844">
        <w:rPr>
          <w:szCs w:val="22"/>
        </w:rPr>
        <w:t xml:space="preserve">rilasciamento dei vasi sanguigni e riducendo così la pressione sanguigna. </w:t>
      </w:r>
    </w:p>
    <w:p w:rsidR="00FC5178" w:rsidRPr="005B2844" w:rsidRDefault="00FC5178" w:rsidP="0072602F">
      <w:pPr>
        <w:rPr>
          <w:b/>
          <w:i/>
          <w:szCs w:val="22"/>
        </w:rPr>
      </w:pPr>
    </w:p>
    <w:p w:rsidR="00FC5178" w:rsidRPr="005B2844" w:rsidRDefault="00FC5178" w:rsidP="0072602F">
      <w:pPr>
        <w:ind w:left="567" w:hanging="567"/>
        <w:rPr>
          <w:szCs w:val="22"/>
        </w:rPr>
      </w:pPr>
      <w:r w:rsidRPr="005B2844">
        <w:rPr>
          <w:szCs w:val="22"/>
        </w:rPr>
        <w:t>-</w:t>
      </w:r>
      <w:r w:rsidRPr="005B2844">
        <w:rPr>
          <w:szCs w:val="22"/>
        </w:rPr>
        <w:tab/>
      </w:r>
      <w:proofErr w:type="spellStart"/>
      <w:r w:rsidRPr="005B2844">
        <w:rPr>
          <w:szCs w:val="22"/>
        </w:rPr>
        <w:t>idroclorotiazide</w:t>
      </w:r>
      <w:proofErr w:type="spellEnd"/>
      <w:r w:rsidRPr="005B2844">
        <w:rPr>
          <w:szCs w:val="22"/>
        </w:rPr>
        <w:t xml:space="preserve"> appartiene ad un gruppo di medicinali conosciut</w:t>
      </w:r>
      <w:r w:rsidR="00FF287E" w:rsidRPr="005B2844">
        <w:rPr>
          <w:szCs w:val="22"/>
        </w:rPr>
        <w:t xml:space="preserve">i come diuretici tiazidici che </w:t>
      </w:r>
      <w:r w:rsidRPr="005B2844">
        <w:rPr>
          <w:szCs w:val="22"/>
        </w:rPr>
        <w:t>provoca</w:t>
      </w:r>
      <w:r w:rsidR="00FF287E" w:rsidRPr="005B2844">
        <w:rPr>
          <w:szCs w:val="22"/>
        </w:rPr>
        <w:t>no</w:t>
      </w:r>
      <w:r w:rsidRPr="005B2844">
        <w:rPr>
          <w:szCs w:val="22"/>
        </w:rPr>
        <w:t xml:space="preserve"> un aumento del flusso di urina,</w:t>
      </w:r>
      <w:r w:rsidR="00FF287E" w:rsidRPr="005B2844">
        <w:rPr>
          <w:szCs w:val="22"/>
        </w:rPr>
        <w:t xml:space="preserve"> </w:t>
      </w:r>
      <w:r w:rsidRPr="005B2844">
        <w:rPr>
          <w:szCs w:val="22"/>
        </w:rPr>
        <w:t>contribu</w:t>
      </w:r>
      <w:r w:rsidR="00FF287E" w:rsidRPr="005B2844">
        <w:rPr>
          <w:szCs w:val="22"/>
        </w:rPr>
        <w:t>endo</w:t>
      </w:r>
      <w:r w:rsidRPr="005B2844">
        <w:rPr>
          <w:szCs w:val="22"/>
        </w:rPr>
        <w:t xml:space="preserve"> </w:t>
      </w:r>
      <w:r w:rsidR="00FF287E" w:rsidRPr="005B2844">
        <w:rPr>
          <w:szCs w:val="22"/>
        </w:rPr>
        <w:t xml:space="preserve">così </w:t>
      </w:r>
      <w:r w:rsidRPr="005B2844">
        <w:rPr>
          <w:szCs w:val="22"/>
        </w:rPr>
        <w:t>a</w:t>
      </w:r>
      <w:r w:rsidR="00FF287E" w:rsidRPr="005B2844">
        <w:rPr>
          <w:szCs w:val="22"/>
        </w:rPr>
        <w:t>lla</w:t>
      </w:r>
      <w:r w:rsidRPr="005B2844">
        <w:rPr>
          <w:szCs w:val="22"/>
        </w:rPr>
        <w:t xml:space="preserve"> ridu</w:t>
      </w:r>
      <w:r w:rsidR="00335470" w:rsidRPr="005B2844">
        <w:rPr>
          <w:szCs w:val="22"/>
        </w:rPr>
        <w:t>zione</w:t>
      </w:r>
      <w:r w:rsidRPr="005B2844">
        <w:rPr>
          <w:szCs w:val="22"/>
        </w:rPr>
        <w:t xml:space="preserve"> </w:t>
      </w:r>
      <w:r w:rsidR="00335470" w:rsidRPr="005B2844">
        <w:rPr>
          <w:szCs w:val="22"/>
        </w:rPr>
        <w:t>del</w:t>
      </w:r>
      <w:r w:rsidRPr="005B2844">
        <w:rPr>
          <w:szCs w:val="22"/>
        </w:rPr>
        <w:t>la pressione sanguigna.</w:t>
      </w:r>
    </w:p>
    <w:p w:rsidR="00FC5178" w:rsidRPr="005B2844" w:rsidRDefault="00FC5178" w:rsidP="0072602F">
      <w:pPr>
        <w:rPr>
          <w:szCs w:val="22"/>
        </w:rPr>
      </w:pPr>
    </w:p>
    <w:p w:rsidR="00DD5207" w:rsidRPr="005B2844" w:rsidRDefault="00DD5207" w:rsidP="0072602F">
      <w:pPr>
        <w:rPr>
          <w:szCs w:val="22"/>
        </w:rPr>
      </w:pPr>
      <w:r w:rsidRPr="005B2844">
        <w:rPr>
          <w:szCs w:val="22"/>
        </w:rPr>
        <w:t>L'ipertensione, se non curata, può danneggiare i vasi sanguigni in molti organi ciò può talvolta causare infarto, insufficienza cardiaca o renale, ictus o cecità. Normalmente l'ipertensione non dà sintomi prima che si verifichino tali danni. Perciò è importante provvedere regolarmente alla misurazione della pressione sanguigna, per verificare se è nella media.</w:t>
      </w:r>
    </w:p>
    <w:p w:rsidR="00651E87" w:rsidRPr="005B2844" w:rsidRDefault="00651E87" w:rsidP="0072602F">
      <w:pPr>
        <w:rPr>
          <w:szCs w:val="22"/>
        </w:rPr>
      </w:pPr>
    </w:p>
    <w:p w:rsidR="00651E87" w:rsidRPr="005B2844" w:rsidRDefault="00651E87" w:rsidP="0072602F">
      <w:pPr>
        <w:rPr>
          <w:szCs w:val="22"/>
        </w:rPr>
      </w:pPr>
      <w:proofErr w:type="spellStart"/>
      <w:r w:rsidRPr="005B2844">
        <w:rPr>
          <w:b/>
          <w:szCs w:val="22"/>
        </w:rPr>
        <w:t>MicardisPlus</w:t>
      </w:r>
      <w:proofErr w:type="spellEnd"/>
      <w:r w:rsidRPr="005B2844">
        <w:rPr>
          <w:b/>
          <w:szCs w:val="22"/>
        </w:rPr>
        <w:t xml:space="preserve"> è utilizzato per </w:t>
      </w:r>
      <w:r w:rsidRPr="005B2844">
        <w:rPr>
          <w:szCs w:val="22"/>
        </w:rPr>
        <w:t xml:space="preserve">trattare la pressione sanguigna elevata (ipertensione essenziale) in </w:t>
      </w:r>
      <w:r w:rsidR="00E331E7" w:rsidRPr="005B2844">
        <w:rPr>
          <w:szCs w:val="22"/>
        </w:rPr>
        <w:t>adulti</w:t>
      </w:r>
      <w:r w:rsidRPr="005B2844">
        <w:rPr>
          <w:szCs w:val="22"/>
        </w:rPr>
        <w:t xml:space="preserve"> in cui la pressione del sangue non </w:t>
      </w:r>
      <w:r w:rsidR="00B36354" w:rsidRPr="005B2844">
        <w:rPr>
          <w:szCs w:val="22"/>
        </w:rPr>
        <w:t>è</w:t>
      </w:r>
      <w:r w:rsidRPr="005B2844">
        <w:rPr>
          <w:szCs w:val="22"/>
        </w:rPr>
        <w:t xml:space="preserve"> </w:t>
      </w:r>
      <w:r w:rsidR="00E331E7" w:rsidRPr="005B2844">
        <w:rPr>
          <w:szCs w:val="22"/>
        </w:rPr>
        <w:t>adeguatamente</w:t>
      </w:r>
      <w:r w:rsidRPr="005B2844">
        <w:rPr>
          <w:szCs w:val="22"/>
        </w:rPr>
        <w:t xml:space="preserve"> controllata da </w:t>
      </w:r>
      <w:proofErr w:type="spellStart"/>
      <w:r w:rsidR="00E331E7" w:rsidRPr="005B2844">
        <w:rPr>
          <w:szCs w:val="22"/>
        </w:rPr>
        <w:t>MicardisPlus</w:t>
      </w:r>
      <w:proofErr w:type="spellEnd"/>
      <w:r w:rsidR="00E331E7" w:rsidRPr="005B2844">
        <w:rPr>
          <w:szCs w:val="22"/>
        </w:rPr>
        <w:t xml:space="preserve"> 80/12,5 mg o in pazienti </w:t>
      </w:r>
      <w:r w:rsidR="00541934" w:rsidRPr="005B2844">
        <w:rPr>
          <w:szCs w:val="22"/>
        </w:rPr>
        <w:t xml:space="preserve">la cui pressione sia stata </w:t>
      </w:r>
      <w:r w:rsidR="00E331E7" w:rsidRPr="005B2844">
        <w:rPr>
          <w:szCs w:val="22"/>
        </w:rPr>
        <w:t>precedentemente stabilizzat</w:t>
      </w:r>
      <w:r w:rsidR="00541934" w:rsidRPr="005B2844">
        <w:rPr>
          <w:szCs w:val="22"/>
        </w:rPr>
        <w:t>a</w:t>
      </w:r>
      <w:r w:rsidR="00E331E7" w:rsidRPr="005B2844">
        <w:rPr>
          <w:szCs w:val="22"/>
        </w:rPr>
        <w:t xml:space="preserve"> </w:t>
      </w:r>
      <w:r w:rsidR="00541934" w:rsidRPr="005B2844">
        <w:rPr>
          <w:szCs w:val="22"/>
        </w:rPr>
        <w:t>da</w:t>
      </w:r>
      <w:r w:rsidR="00E331E7" w:rsidRPr="005B2844">
        <w:rPr>
          <w:szCs w:val="22"/>
        </w:rPr>
        <w:t xml:space="preserve"> </w:t>
      </w:r>
      <w:proofErr w:type="spellStart"/>
      <w:r w:rsidR="00E331E7" w:rsidRPr="005B2844">
        <w:rPr>
          <w:szCs w:val="22"/>
        </w:rPr>
        <w:t>telmisartan</w:t>
      </w:r>
      <w:proofErr w:type="spellEnd"/>
      <w:r w:rsidR="00E331E7" w:rsidRPr="005B2844">
        <w:rPr>
          <w:szCs w:val="22"/>
        </w:rPr>
        <w:t xml:space="preserve"> e </w:t>
      </w:r>
      <w:proofErr w:type="spellStart"/>
      <w:r w:rsidR="00E331E7" w:rsidRPr="005B2844">
        <w:rPr>
          <w:szCs w:val="22"/>
        </w:rPr>
        <w:t>idroclorotiazide</w:t>
      </w:r>
      <w:proofErr w:type="spellEnd"/>
      <w:r w:rsidR="00E331E7" w:rsidRPr="005B2844">
        <w:rPr>
          <w:szCs w:val="22"/>
        </w:rPr>
        <w:t xml:space="preserve"> somministrati s</w:t>
      </w:r>
      <w:r w:rsidR="00541934" w:rsidRPr="005B2844">
        <w:rPr>
          <w:szCs w:val="22"/>
        </w:rPr>
        <w:t>ingolar</w:t>
      </w:r>
      <w:r w:rsidR="00E331E7" w:rsidRPr="005B2844">
        <w:rPr>
          <w:szCs w:val="22"/>
        </w:rPr>
        <w:t>mente</w:t>
      </w:r>
      <w:r w:rsidRPr="005B2844">
        <w:rPr>
          <w:szCs w:val="22"/>
        </w:rPr>
        <w:t>.</w:t>
      </w:r>
    </w:p>
    <w:p w:rsidR="00FC5178" w:rsidRPr="005B2844" w:rsidRDefault="00FC5178" w:rsidP="0072602F">
      <w:pPr>
        <w:rPr>
          <w:szCs w:val="22"/>
        </w:rPr>
      </w:pPr>
    </w:p>
    <w:p w:rsidR="00FC5178" w:rsidRPr="005B2844" w:rsidRDefault="00FC5178" w:rsidP="0072602F">
      <w:pPr>
        <w:rPr>
          <w:szCs w:val="22"/>
        </w:rPr>
      </w:pPr>
    </w:p>
    <w:p w:rsidR="00FC5178" w:rsidRPr="005B2844" w:rsidRDefault="00E76106" w:rsidP="00532263">
      <w:pPr>
        <w:keepNext/>
        <w:tabs>
          <w:tab w:val="left" w:pos="567"/>
        </w:tabs>
        <w:rPr>
          <w:b/>
          <w:szCs w:val="22"/>
        </w:rPr>
      </w:pPr>
      <w:r w:rsidRPr="005B2844">
        <w:rPr>
          <w:b/>
          <w:szCs w:val="22"/>
        </w:rPr>
        <w:t>2.</w:t>
      </w:r>
      <w:r w:rsidRPr="005B2844">
        <w:rPr>
          <w:b/>
          <w:szCs w:val="22"/>
        </w:rPr>
        <w:tab/>
      </w:r>
      <w:r w:rsidR="002D22EB" w:rsidRPr="005B2844">
        <w:rPr>
          <w:b/>
          <w:szCs w:val="22"/>
        </w:rPr>
        <w:t xml:space="preserve">Cosa deve sapere prima di prendere </w:t>
      </w:r>
      <w:proofErr w:type="spellStart"/>
      <w:r w:rsidR="002D22EB" w:rsidRPr="005B2844">
        <w:rPr>
          <w:b/>
          <w:szCs w:val="22"/>
        </w:rPr>
        <w:t>MicardisPlus</w:t>
      </w:r>
      <w:proofErr w:type="spellEnd"/>
    </w:p>
    <w:p w:rsidR="00FC5178" w:rsidRPr="005B2844" w:rsidRDefault="00FC5178" w:rsidP="00532263">
      <w:pPr>
        <w:keepNext/>
        <w:rPr>
          <w:szCs w:val="22"/>
        </w:rPr>
      </w:pPr>
    </w:p>
    <w:p w:rsidR="00FC5178" w:rsidRPr="005B2844" w:rsidRDefault="00FC5178" w:rsidP="00532263">
      <w:pPr>
        <w:keepNext/>
        <w:rPr>
          <w:b/>
          <w:szCs w:val="22"/>
        </w:rPr>
      </w:pPr>
      <w:r w:rsidRPr="005B2844">
        <w:rPr>
          <w:b/>
          <w:szCs w:val="22"/>
        </w:rPr>
        <w:t xml:space="preserve">Non prenda </w:t>
      </w:r>
      <w:proofErr w:type="spellStart"/>
      <w:r w:rsidRPr="005B2844">
        <w:rPr>
          <w:b/>
          <w:szCs w:val="22"/>
        </w:rPr>
        <w:t>MicardisPlus</w:t>
      </w:r>
      <w:proofErr w:type="spellEnd"/>
    </w:p>
    <w:p w:rsidR="003D4FA8" w:rsidRPr="005B2844" w:rsidRDefault="003D4FA8" w:rsidP="00532263">
      <w:pPr>
        <w:keepNext/>
        <w:rPr>
          <w:szCs w:val="22"/>
        </w:rPr>
      </w:pPr>
    </w:p>
    <w:p w:rsidR="00E76106" w:rsidRPr="005B2844" w:rsidRDefault="00E76106" w:rsidP="009536AB">
      <w:pPr>
        <w:numPr>
          <w:ilvl w:val="0"/>
          <w:numId w:val="4"/>
        </w:numPr>
        <w:rPr>
          <w:szCs w:val="22"/>
        </w:rPr>
      </w:pPr>
      <w:r w:rsidRPr="005B2844">
        <w:rPr>
          <w:szCs w:val="22"/>
        </w:rPr>
        <w:t xml:space="preserve">se è allergico a </w:t>
      </w:r>
      <w:proofErr w:type="spellStart"/>
      <w:r w:rsidRPr="005B2844">
        <w:rPr>
          <w:szCs w:val="22"/>
        </w:rPr>
        <w:t>telmisartan</w:t>
      </w:r>
      <w:proofErr w:type="spellEnd"/>
      <w:r w:rsidRPr="005B2844">
        <w:rPr>
          <w:szCs w:val="22"/>
        </w:rPr>
        <w:t xml:space="preserve"> o ad uno qualsiasi degli </w:t>
      </w:r>
      <w:r w:rsidR="00B35B8A" w:rsidRPr="005B2844">
        <w:rPr>
          <w:szCs w:val="22"/>
        </w:rPr>
        <w:t>altri componenti di questo medicinale (elencati al paragrafo 6).</w:t>
      </w:r>
    </w:p>
    <w:p w:rsidR="00E76106" w:rsidRPr="005B2844" w:rsidRDefault="00E76106" w:rsidP="009536AB">
      <w:pPr>
        <w:numPr>
          <w:ilvl w:val="0"/>
          <w:numId w:val="4"/>
        </w:numPr>
        <w:rPr>
          <w:szCs w:val="22"/>
        </w:rPr>
      </w:pPr>
      <w:r w:rsidRPr="005B2844">
        <w:rPr>
          <w:szCs w:val="22"/>
        </w:rPr>
        <w:t>se è allergico a</w:t>
      </w:r>
      <w:r w:rsidR="009F719D" w:rsidRPr="005B2844">
        <w:rPr>
          <w:szCs w:val="22"/>
        </w:rPr>
        <w:t xml:space="preserve"> </w:t>
      </w:r>
      <w:proofErr w:type="spellStart"/>
      <w:r w:rsidRPr="005B2844">
        <w:rPr>
          <w:szCs w:val="22"/>
        </w:rPr>
        <w:t>idroclorotiazide</w:t>
      </w:r>
      <w:proofErr w:type="spellEnd"/>
      <w:r w:rsidRPr="005B2844">
        <w:rPr>
          <w:szCs w:val="22"/>
        </w:rPr>
        <w:t xml:space="preserve"> o ad ogni altro medicinale derivato dalla sulfonamide</w:t>
      </w:r>
      <w:r w:rsidR="007A1AD4" w:rsidRPr="005B2844">
        <w:rPr>
          <w:szCs w:val="22"/>
        </w:rPr>
        <w:t>.</w:t>
      </w:r>
    </w:p>
    <w:p w:rsidR="00E76106" w:rsidRPr="005B2844" w:rsidRDefault="00306806" w:rsidP="009536AB">
      <w:pPr>
        <w:numPr>
          <w:ilvl w:val="0"/>
          <w:numId w:val="4"/>
        </w:numPr>
        <w:rPr>
          <w:szCs w:val="22"/>
        </w:rPr>
      </w:pPr>
      <w:r w:rsidRPr="005B2844">
        <w:rPr>
          <w:szCs w:val="22"/>
        </w:rPr>
        <w:t xml:space="preserve">se è in gravidanza da più di 3 mesi (è meglio evitare di prendere </w:t>
      </w:r>
      <w:proofErr w:type="spellStart"/>
      <w:r w:rsidRPr="005B2844">
        <w:rPr>
          <w:szCs w:val="22"/>
        </w:rPr>
        <w:t>MicardisPlus</w:t>
      </w:r>
      <w:proofErr w:type="spellEnd"/>
      <w:r w:rsidRPr="005B2844">
        <w:rPr>
          <w:szCs w:val="22"/>
        </w:rPr>
        <w:t xml:space="preserve"> anche nella fase iniziale della gravidanza - vedere il paragrafo </w:t>
      </w:r>
      <w:r w:rsidR="007A1AD4" w:rsidRPr="005B2844">
        <w:rPr>
          <w:szCs w:val="22"/>
        </w:rPr>
        <w:t>g</w:t>
      </w:r>
      <w:r w:rsidRPr="005B2844">
        <w:rPr>
          <w:szCs w:val="22"/>
        </w:rPr>
        <w:t>ravidanza)</w:t>
      </w:r>
      <w:r w:rsidR="007A1AD4" w:rsidRPr="005B2844">
        <w:rPr>
          <w:szCs w:val="22"/>
        </w:rPr>
        <w:t>.</w:t>
      </w:r>
    </w:p>
    <w:p w:rsidR="00E76106" w:rsidRPr="005B2844" w:rsidRDefault="00E76106" w:rsidP="009536AB">
      <w:pPr>
        <w:numPr>
          <w:ilvl w:val="0"/>
          <w:numId w:val="4"/>
        </w:numPr>
        <w:rPr>
          <w:szCs w:val="22"/>
        </w:rPr>
      </w:pPr>
      <w:r w:rsidRPr="005B2844">
        <w:rPr>
          <w:szCs w:val="22"/>
        </w:rPr>
        <w:t xml:space="preserve">se soffre di gravi problemi al fegato quali colestasi o un'ostruzione biliare (problemi nel drenaggio della bile </w:t>
      </w:r>
      <w:r w:rsidR="004A700A" w:rsidRPr="005B2844">
        <w:rPr>
          <w:szCs w:val="22"/>
        </w:rPr>
        <w:t xml:space="preserve">dal fegato e </w:t>
      </w:r>
      <w:r w:rsidRPr="005B2844">
        <w:rPr>
          <w:szCs w:val="22"/>
        </w:rPr>
        <w:t xml:space="preserve">dalla cistifellea) </w:t>
      </w:r>
      <w:r w:rsidR="00387458" w:rsidRPr="005B2844">
        <w:rPr>
          <w:szCs w:val="22"/>
        </w:rPr>
        <w:t xml:space="preserve">o qualsiasi altra malattia </w:t>
      </w:r>
      <w:r w:rsidR="009F719D" w:rsidRPr="005B2844">
        <w:rPr>
          <w:szCs w:val="22"/>
        </w:rPr>
        <w:t xml:space="preserve">del fegato </w:t>
      </w:r>
      <w:r w:rsidR="00387458" w:rsidRPr="005B2844">
        <w:rPr>
          <w:szCs w:val="22"/>
        </w:rPr>
        <w:t>grave</w:t>
      </w:r>
      <w:r w:rsidR="007A1AD4" w:rsidRPr="005B2844">
        <w:rPr>
          <w:szCs w:val="22"/>
        </w:rPr>
        <w:t>.</w:t>
      </w:r>
    </w:p>
    <w:p w:rsidR="00E76106" w:rsidRPr="005B2844" w:rsidRDefault="00E76106" w:rsidP="009536AB">
      <w:pPr>
        <w:numPr>
          <w:ilvl w:val="0"/>
          <w:numId w:val="4"/>
        </w:numPr>
        <w:rPr>
          <w:szCs w:val="22"/>
        </w:rPr>
      </w:pPr>
      <w:r w:rsidRPr="005B2844">
        <w:rPr>
          <w:szCs w:val="22"/>
        </w:rPr>
        <w:t>se ha malattie renali gravi</w:t>
      </w:r>
      <w:r w:rsidR="007A1AD4" w:rsidRPr="005B2844">
        <w:rPr>
          <w:szCs w:val="22"/>
        </w:rPr>
        <w:t>.</w:t>
      </w:r>
    </w:p>
    <w:p w:rsidR="00E76106" w:rsidRPr="005B2844" w:rsidRDefault="00E76106" w:rsidP="009536AB">
      <w:pPr>
        <w:numPr>
          <w:ilvl w:val="0"/>
          <w:numId w:val="4"/>
        </w:numPr>
        <w:rPr>
          <w:szCs w:val="22"/>
        </w:rPr>
      </w:pPr>
      <w:r w:rsidRPr="005B2844">
        <w:rPr>
          <w:szCs w:val="22"/>
        </w:rPr>
        <w:t>se il medico determina che nel suo sangue i livelli di potassio sono bassi o i livelli di calcio sono alti e non migliorano a seguito di un trattamento.</w:t>
      </w:r>
    </w:p>
    <w:p w:rsidR="00B52636" w:rsidRPr="005B2844" w:rsidRDefault="00B52636" w:rsidP="009536AB">
      <w:pPr>
        <w:numPr>
          <w:ilvl w:val="0"/>
          <w:numId w:val="4"/>
        </w:numPr>
        <w:rPr>
          <w:szCs w:val="22"/>
        </w:rPr>
      </w:pPr>
      <w:r w:rsidRPr="005B2844">
        <w:rPr>
          <w:szCs w:val="22"/>
        </w:rPr>
        <w:t xml:space="preserve">se soffre di diabete o </w:t>
      </w:r>
      <w:r w:rsidR="008576F0" w:rsidRPr="005B2844">
        <w:rPr>
          <w:szCs w:val="22"/>
        </w:rPr>
        <w:t>la sua funzione</w:t>
      </w:r>
      <w:r w:rsidRPr="005B2844">
        <w:rPr>
          <w:szCs w:val="22"/>
        </w:rPr>
        <w:t xml:space="preserve"> renale </w:t>
      </w:r>
      <w:r w:rsidR="008576F0" w:rsidRPr="005B2844">
        <w:rPr>
          <w:szCs w:val="22"/>
        </w:rPr>
        <w:t xml:space="preserve">è </w:t>
      </w:r>
      <w:r w:rsidRPr="005B2844">
        <w:rPr>
          <w:szCs w:val="22"/>
        </w:rPr>
        <w:t xml:space="preserve">compromessa ed è in trattamento con </w:t>
      </w:r>
      <w:r w:rsidR="008576F0" w:rsidRPr="005B2844">
        <w:rPr>
          <w:szCs w:val="22"/>
        </w:rPr>
        <w:t xml:space="preserve">un medicinale che abbassa la pressione del sangue, contenente </w:t>
      </w:r>
      <w:proofErr w:type="spellStart"/>
      <w:r w:rsidR="008576F0" w:rsidRPr="005B2844">
        <w:rPr>
          <w:szCs w:val="22"/>
        </w:rPr>
        <w:t>aliskiren</w:t>
      </w:r>
      <w:proofErr w:type="spellEnd"/>
      <w:r w:rsidRPr="005B2844">
        <w:rPr>
          <w:szCs w:val="22"/>
        </w:rPr>
        <w:t>.</w:t>
      </w:r>
    </w:p>
    <w:p w:rsidR="00FC5178" w:rsidRPr="005B2844" w:rsidRDefault="00FC5178" w:rsidP="0072602F">
      <w:pPr>
        <w:rPr>
          <w:szCs w:val="22"/>
        </w:rPr>
      </w:pPr>
    </w:p>
    <w:p w:rsidR="00FC5178" w:rsidRPr="005B2844" w:rsidRDefault="00FC5178" w:rsidP="0072602F">
      <w:pPr>
        <w:rPr>
          <w:szCs w:val="22"/>
        </w:rPr>
      </w:pPr>
      <w:r w:rsidRPr="005B2844">
        <w:rPr>
          <w:szCs w:val="22"/>
        </w:rPr>
        <w:t xml:space="preserve">Se lei è in una di queste condizioni, informi il medico o il farmacista </w:t>
      </w:r>
      <w:r w:rsidR="00E76106" w:rsidRPr="005B2844">
        <w:rPr>
          <w:szCs w:val="22"/>
        </w:rPr>
        <w:t xml:space="preserve">prima di assumere </w:t>
      </w:r>
      <w:proofErr w:type="spellStart"/>
      <w:r w:rsidR="00E76106" w:rsidRPr="005B2844">
        <w:rPr>
          <w:szCs w:val="22"/>
        </w:rPr>
        <w:t>MicardisPlus</w:t>
      </w:r>
      <w:proofErr w:type="spellEnd"/>
      <w:r w:rsidR="00E76106" w:rsidRPr="005B2844">
        <w:rPr>
          <w:szCs w:val="22"/>
        </w:rPr>
        <w:t>.</w:t>
      </w:r>
    </w:p>
    <w:p w:rsidR="00FC5178" w:rsidRPr="005B2844" w:rsidRDefault="00FC5178" w:rsidP="0072602F">
      <w:pPr>
        <w:rPr>
          <w:szCs w:val="22"/>
        </w:rPr>
      </w:pPr>
    </w:p>
    <w:p w:rsidR="00FC5178" w:rsidRPr="005B2844" w:rsidRDefault="00A945D0" w:rsidP="00532263">
      <w:pPr>
        <w:keepNext/>
        <w:rPr>
          <w:b/>
          <w:szCs w:val="22"/>
        </w:rPr>
      </w:pPr>
      <w:r w:rsidRPr="005B2844">
        <w:rPr>
          <w:b/>
          <w:szCs w:val="22"/>
        </w:rPr>
        <w:t>Avvertenze e precauzioni</w:t>
      </w:r>
    </w:p>
    <w:p w:rsidR="00DC33B2" w:rsidRPr="005B2844" w:rsidRDefault="00A945D0" w:rsidP="0072602F">
      <w:pPr>
        <w:rPr>
          <w:szCs w:val="22"/>
        </w:rPr>
      </w:pPr>
      <w:r w:rsidRPr="005B2844">
        <w:rPr>
          <w:szCs w:val="22"/>
        </w:rPr>
        <w:t>Si rivolga al</w:t>
      </w:r>
      <w:r w:rsidR="00DC33B2" w:rsidRPr="005B2844">
        <w:rPr>
          <w:szCs w:val="22"/>
        </w:rPr>
        <w:t xml:space="preserve"> medico </w:t>
      </w:r>
      <w:r w:rsidR="005F796E" w:rsidRPr="005B2844">
        <w:rPr>
          <w:szCs w:val="22"/>
        </w:rPr>
        <w:t xml:space="preserve">prima di prendere </w:t>
      </w:r>
      <w:proofErr w:type="spellStart"/>
      <w:r w:rsidR="005F796E" w:rsidRPr="005B2844">
        <w:rPr>
          <w:szCs w:val="22"/>
        </w:rPr>
        <w:t>MicardisPlus</w:t>
      </w:r>
      <w:proofErr w:type="spellEnd"/>
      <w:r w:rsidR="005F796E" w:rsidRPr="005B2844">
        <w:rPr>
          <w:szCs w:val="22"/>
        </w:rPr>
        <w:t xml:space="preserve"> </w:t>
      </w:r>
      <w:r w:rsidR="00DC33B2" w:rsidRPr="005B2844">
        <w:rPr>
          <w:szCs w:val="22"/>
        </w:rPr>
        <w:t>se soffre o ha sofferto di una delle seguenti condizioni o malattie:</w:t>
      </w:r>
    </w:p>
    <w:p w:rsidR="00DC33B2" w:rsidRPr="005B2844" w:rsidRDefault="00DC33B2" w:rsidP="0072602F">
      <w:pPr>
        <w:rPr>
          <w:szCs w:val="22"/>
        </w:rPr>
      </w:pPr>
    </w:p>
    <w:p w:rsidR="00DC33B2" w:rsidRPr="005B2844" w:rsidRDefault="00DC33B2" w:rsidP="009536AB">
      <w:pPr>
        <w:numPr>
          <w:ilvl w:val="0"/>
          <w:numId w:val="12"/>
        </w:numPr>
        <w:tabs>
          <w:tab w:val="clear" w:pos="720"/>
        </w:tabs>
        <w:ind w:left="567" w:hanging="567"/>
        <w:rPr>
          <w:szCs w:val="22"/>
        </w:rPr>
      </w:pPr>
      <w:r w:rsidRPr="005B2844">
        <w:rPr>
          <w:szCs w:val="22"/>
        </w:rPr>
        <w:t xml:space="preserve">Bassa pressione del sangue (ipotensione), che si verifica con maggior probabilità se è disidratato (perdita eccessiva di </w:t>
      </w:r>
      <w:r w:rsidR="009F719D" w:rsidRPr="005B2844">
        <w:rPr>
          <w:szCs w:val="22"/>
        </w:rPr>
        <w:t>liquidi</w:t>
      </w:r>
      <w:r w:rsidRPr="005B2844">
        <w:rPr>
          <w:szCs w:val="22"/>
        </w:rPr>
        <w:t>) o presenta carenza di sali a causa di terapia diuretica (diuretici), dieta povera di sali, diarrea, vomito o emodialisi</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Malattia renale o trapianto renale</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Stenosi della arteria renale (restringimento dei vasi sanguigni di uno o entrambi i reni)</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Malattia del fegato</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Problemi cardiaci</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Diabete</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Gotta</w:t>
      </w:r>
      <w:r w:rsidR="007A1AD4"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Aumento dei livelli di aldosterone</w:t>
      </w:r>
      <w:r w:rsidR="003D49E4" w:rsidRPr="005B2844">
        <w:rPr>
          <w:szCs w:val="22"/>
        </w:rPr>
        <w:t xml:space="preserve"> (ritenzione di </w:t>
      </w:r>
      <w:r w:rsidR="009F719D" w:rsidRPr="005B2844">
        <w:rPr>
          <w:szCs w:val="22"/>
        </w:rPr>
        <w:t xml:space="preserve">liquidi </w:t>
      </w:r>
      <w:r w:rsidR="003D49E4" w:rsidRPr="005B2844">
        <w:rPr>
          <w:szCs w:val="22"/>
        </w:rPr>
        <w:t xml:space="preserve">e </w:t>
      </w:r>
      <w:r w:rsidR="009F719D" w:rsidRPr="005B2844">
        <w:rPr>
          <w:szCs w:val="22"/>
        </w:rPr>
        <w:t xml:space="preserve">di </w:t>
      </w:r>
      <w:r w:rsidR="003D49E4" w:rsidRPr="005B2844">
        <w:rPr>
          <w:szCs w:val="22"/>
        </w:rPr>
        <w:t xml:space="preserve">sale nel corpo con squilibrio di diversi </w:t>
      </w:r>
      <w:r w:rsidR="009F719D" w:rsidRPr="005B2844">
        <w:rPr>
          <w:szCs w:val="22"/>
        </w:rPr>
        <w:t xml:space="preserve">elettroliti </w:t>
      </w:r>
      <w:r w:rsidR="003D49E4" w:rsidRPr="005B2844">
        <w:rPr>
          <w:szCs w:val="22"/>
        </w:rPr>
        <w:t>nel sangue)</w:t>
      </w:r>
      <w:r w:rsidR="00257BAF"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 xml:space="preserve">Lupus eritematoso </w:t>
      </w:r>
      <w:r w:rsidR="00927CB9" w:rsidRPr="005B2844">
        <w:rPr>
          <w:szCs w:val="22"/>
        </w:rPr>
        <w:t xml:space="preserve">sistemico </w:t>
      </w:r>
      <w:r w:rsidRPr="005B2844">
        <w:rPr>
          <w:szCs w:val="22"/>
        </w:rPr>
        <w:t>(chiamato anche “lupus” o “LES”) una malattia a causa della quale il sistema immunitario dell’organismo attacca l’organismo stesso.</w:t>
      </w:r>
    </w:p>
    <w:p w:rsidR="00DF4856" w:rsidRPr="005B2844" w:rsidRDefault="00DF4856" w:rsidP="009536AB">
      <w:pPr>
        <w:numPr>
          <w:ilvl w:val="0"/>
          <w:numId w:val="12"/>
        </w:numPr>
        <w:tabs>
          <w:tab w:val="clear" w:pos="720"/>
        </w:tabs>
        <w:ind w:left="567" w:hanging="567"/>
        <w:rPr>
          <w:szCs w:val="22"/>
        </w:rPr>
      </w:pPr>
      <w:r w:rsidRPr="005B2844">
        <w:rPr>
          <w:szCs w:val="22"/>
        </w:rPr>
        <w:t xml:space="preserve">Il principio attivo </w:t>
      </w:r>
      <w:proofErr w:type="spellStart"/>
      <w:r w:rsidRPr="005B2844">
        <w:rPr>
          <w:szCs w:val="22"/>
        </w:rPr>
        <w:t>idroclorotiazide</w:t>
      </w:r>
      <w:proofErr w:type="spellEnd"/>
      <w:r w:rsidRPr="005B2844">
        <w:rPr>
          <w:szCs w:val="22"/>
        </w:rPr>
        <w:t xml:space="preserve"> può causare una reazione non comune, con conseguenti diminuzione della vista e dolore agli occhi. Questi potrebbero essere sintomi </w:t>
      </w:r>
      <w:r w:rsidR="00713E25">
        <w:rPr>
          <w:szCs w:val="22"/>
        </w:rPr>
        <w:t xml:space="preserve">dell’accumulo di liquido nello strato vascolare dell’occhio (effusione </w:t>
      </w:r>
      <w:proofErr w:type="spellStart"/>
      <w:r w:rsidR="00713E25">
        <w:rPr>
          <w:szCs w:val="22"/>
        </w:rPr>
        <w:t>coroidale</w:t>
      </w:r>
      <w:proofErr w:type="spellEnd"/>
      <w:r w:rsidR="00713E25">
        <w:rPr>
          <w:szCs w:val="22"/>
        </w:rPr>
        <w:t>) o</w:t>
      </w:r>
      <w:r w:rsidR="00713E25" w:rsidRPr="005B2844">
        <w:rPr>
          <w:szCs w:val="22"/>
        </w:rPr>
        <w:t xml:space="preserve"> </w:t>
      </w:r>
      <w:r w:rsidRPr="005B2844">
        <w:rPr>
          <w:szCs w:val="22"/>
        </w:rPr>
        <w:t xml:space="preserve">di un aumento della pressione nel suo occhio e possono verificarsi da ore a settimane dopo aver assunto </w:t>
      </w:r>
      <w:proofErr w:type="spellStart"/>
      <w:r w:rsidRPr="005B2844">
        <w:rPr>
          <w:szCs w:val="22"/>
        </w:rPr>
        <w:t>MicardisPlus</w:t>
      </w:r>
      <w:proofErr w:type="spellEnd"/>
      <w:r w:rsidRPr="005B2844">
        <w:rPr>
          <w:szCs w:val="22"/>
        </w:rPr>
        <w:t xml:space="preserve">. Questa condizione può portare a una </w:t>
      </w:r>
      <w:r w:rsidR="006F4554" w:rsidRPr="005B2844">
        <w:rPr>
          <w:szCs w:val="22"/>
        </w:rPr>
        <w:t>compromissione</w:t>
      </w:r>
      <w:r w:rsidRPr="005B2844">
        <w:rPr>
          <w:szCs w:val="22"/>
        </w:rPr>
        <w:t xml:space="preserve"> permanente della vista, se non </w:t>
      </w:r>
      <w:proofErr w:type="spellStart"/>
      <w:r w:rsidRPr="005B2844">
        <w:rPr>
          <w:szCs w:val="22"/>
        </w:rPr>
        <w:t>trattatta</w:t>
      </w:r>
      <w:proofErr w:type="spellEnd"/>
      <w:r w:rsidRPr="005B2844">
        <w:rPr>
          <w:szCs w:val="22"/>
        </w:rPr>
        <w:t>.</w:t>
      </w:r>
    </w:p>
    <w:p w:rsidR="00263CA9" w:rsidRPr="005B2844" w:rsidRDefault="00263CA9" w:rsidP="00263CA9">
      <w:pPr>
        <w:pStyle w:val="Default"/>
        <w:numPr>
          <w:ilvl w:val="0"/>
          <w:numId w:val="12"/>
        </w:numPr>
        <w:tabs>
          <w:tab w:val="clear" w:pos="720"/>
        </w:tabs>
        <w:ind w:left="567" w:hanging="567"/>
        <w:rPr>
          <w:rFonts w:ascii="Times New Roman" w:hAnsi="Times New Roman" w:cs="Times New Roman"/>
          <w:sz w:val="22"/>
          <w:szCs w:val="22"/>
        </w:rPr>
      </w:pPr>
      <w:r w:rsidRPr="005B2844">
        <w:rPr>
          <w:rFonts w:ascii="Times New Roman" w:hAnsi="Times New Roman" w:cs="Times New Roman"/>
          <w:sz w:val="22"/>
          <w:szCs w:val="22"/>
        </w:rPr>
        <w:t xml:space="preserve">Se ha avuto in passato il cancro della pelle o se sta sviluppando una lesione della pelle imprevista durante il trattamento. Il trattamento con </w:t>
      </w:r>
      <w:proofErr w:type="spellStart"/>
      <w:r w:rsidRPr="005B2844">
        <w:rPr>
          <w:rFonts w:ascii="Times New Roman" w:hAnsi="Times New Roman" w:cs="Times New Roman"/>
          <w:sz w:val="22"/>
          <w:szCs w:val="22"/>
        </w:rPr>
        <w:t>idroclorotiazide</w:t>
      </w:r>
      <w:proofErr w:type="spellEnd"/>
      <w:r w:rsidRPr="005B2844">
        <w:rPr>
          <w:rFonts w:ascii="Times New Roman" w:hAnsi="Times New Roman" w:cs="Times New Roman"/>
          <w:sz w:val="22"/>
          <w:szCs w:val="22"/>
        </w:rPr>
        <w:t xml:space="preserve">, in particolare un utilizzo a lungo termine con dosi elevate, può aumentare il rischio di alcuni tipi di cancro della pelle e delle labbra (cancro della pelle non melanoma). Protegga la sua pelle dall’esposizione al sole e ai raggi UV durante l’assunzione di </w:t>
      </w:r>
      <w:proofErr w:type="spellStart"/>
      <w:r w:rsidRPr="005B2844">
        <w:rPr>
          <w:rFonts w:ascii="Times New Roman" w:hAnsi="Times New Roman" w:cs="Times New Roman"/>
          <w:sz w:val="22"/>
          <w:szCs w:val="22"/>
        </w:rPr>
        <w:t>Micardis</w:t>
      </w:r>
      <w:proofErr w:type="spellEnd"/>
      <w:r w:rsidRPr="005B2844">
        <w:rPr>
          <w:rFonts w:ascii="Times New Roman" w:hAnsi="Times New Roman" w:cs="Times New Roman"/>
          <w:sz w:val="22"/>
          <w:szCs w:val="22"/>
        </w:rPr>
        <w:t xml:space="preserve"> Plus.</w:t>
      </w:r>
    </w:p>
    <w:p w:rsidR="00C25202" w:rsidRPr="005B2844" w:rsidRDefault="00C25202" w:rsidP="0072602F">
      <w:pPr>
        <w:rPr>
          <w:szCs w:val="22"/>
        </w:rPr>
      </w:pPr>
    </w:p>
    <w:p w:rsidR="008A3780" w:rsidRPr="005B2844" w:rsidRDefault="008A3780" w:rsidP="008A3780">
      <w:pPr>
        <w:rPr>
          <w:szCs w:val="22"/>
        </w:rPr>
      </w:pPr>
      <w:r w:rsidRPr="005B2844">
        <w:rPr>
          <w:szCs w:val="22"/>
        </w:rPr>
        <w:t xml:space="preserve">Si rivolga al medico prima di prendere </w:t>
      </w:r>
      <w:proofErr w:type="spellStart"/>
      <w:r w:rsidRPr="005B2844">
        <w:rPr>
          <w:szCs w:val="22"/>
        </w:rPr>
        <w:t>MicardisPlus</w:t>
      </w:r>
      <w:proofErr w:type="spellEnd"/>
      <w:r w:rsidRPr="005B2844">
        <w:rPr>
          <w:szCs w:val="22"/>
        </w:rPr>
        <w:t>:</w:t>
      </w:r>
    </w:p>
    <w:p w:rsidR="008A3780" w:rsidRPr="005B2844" w:rsidRDefault="008A3780" w:rsidP="008A3780">
      <w:pPr>
        <w:numPr>
          <w:ilvl w:val="0"/>
          <w:numId w:val="21"/>
        </w:numPr>
        <w:rPr>
          <w:szCs w:val="22"/>
        </w:rPr>
      </w:pPr>
      <w:r w:rsidRPr="005B2844">
        <w:rPr>
          <w:szCs w:val="22"/>
        </w:rPr>
        <w:t xml:space="preserve">se lei sta assumendo </w:t>
      </w:r>
      <w:r w:rsidR="00F30875" w:rsidRPr="005B2844">
        <w:rPr>
          <w:szCs w:val="22"/>
        </w:rPr>
        <w:t>uno dei seguenti medicinali</w:t>
      </w:r>
      <w:r w:rsidRPr="005B2844">
        <w:rPr>
          <w:szCs w:val="22"/>
        </w:rPr>
        <w:t xml:space="preserve"> usat</w:t>
      </w:r>
      <w:r w:rsidR="00F30875" w:rsidRPr="005B2844">
        <w:rPr>
          <w:szCs w:val="22"/>
        </w:rPr>
        <w:t>i</w:t>
      </w:r>
      <w:r w:rsidRPr="005B2844">
        <w:rPr>
          <w:szCs w:val="22"/>
        </w:rPr>
        <w:t xml:space="preserve"> per trattare la pressione </w:t>
      </w:r>
      <w:r w:rsidR="00F30875" w:rsidRPr="005B2844">
        <w:rPr>
          <w:szCs w:val="22"/>
        </w:rPr>
        <w:t xml:space="preserve">alta </w:t>
      </w:r>
      <w:r w:rsidRPr="005B2844">
        <w:rPr>
          <w:szCs w:val="22"/>
        </w:rPr>
        <w:t>del sangue</w:t>
      </w:r>
      <w:r w:rsidR="00F30875" w:rsidRPr="005B2844">
        <w:rPr>
          <w:szCs w:val="22"/>
        </w:rPr>
        <w:t>:</w:t>
      </w:r>
    </w:p>
    <w:p w:rsidR="004C1E1A" w:rsidRPr="005B2844" w:rsidRDefault="004C1E1A" w:rsidP="004C1E1A">
      <w:pPr>
        <w:ind w:left="567"/>
        <w:rPr>
          <w:szCs w:val="22"/>
        </w:rPr>
      </w:pPr>
      <w:r w:rsidRPr="005B2844">
        <w:rPr>
          <w:szCs w:val="22"/>
        </w:rPr>
        <w:t xml:space="preserve">- un ACE inibitore (per esempio enalapril, </w:t>
      </w:r>
      <w:proofErr w:type="spellStart"/>
      <w:r w:rsidRPr="005B2844">
        <w:rPr>
          <w:szCs w:val="22"/>
        </w:rPr>
        <w:t>lisinopril</w:t>
      </w:r>
      <w:proofErr w:type="spellEnd"/>
      <w:r w:rsidRPr="005B2844">
        <w:rPr>
          <w:szCs w:val="22"/>
        </w:rPr>
        <w:t xml:space="preserve">, </w:t>
      </w:r>
      <w:proofErr w:type="spellStart"/>
      <w:r w:rsidRPr="005B2844">
        <w:rPr>
          <w:szCs w:val="22"/>
        </w:rPr>
        <w:t>ramipril</w:t>
      </w:r>
      <w:proofErr w:type="spellEnd"/>
      <w:r w:rsidR="00AF1112" w:rsidRPr="005B2844">
        <w:rPr>
          <w:szCs w:val="22"/>
        </w:rPr>
        <w:t xml:space="preserve"> inibitori dell’enzima di conversione dell’angiotensina</w:t>
      </w:r>
      <w:r w:rsidRPr="005B2844">
        <w:rPr>
          <w:szCs w:val="22"/>
        </w:rPr>
        <w:t>), in particolare se soffre di problemi renali correlati al diabete.</w:t>
      </w:r>
    </w:p>
    <w:p w:rsidR="004C1E1A" w:rsidRPr="005B2844" w:rsidRDefault="004C1E1A" w:rsidP="004C1E1A">
      <w:pPr>
        <w:ind w:left="567"/>
        <w:rPr>
          <w:szCs w:val="22"/>
        </w:rPr>
      </w:pPr>
      <w:r w:rsidRPr="005B2844">
        <w:rPr>
          <w:szCs w:val="22"/>
        </w:rPr>
        <w:t xml:space="preserve">- </w:t>
      </w:r>
      <w:proofErr w:type="spellStart"/>
      <w:r w:rsidRPr="005B2844">
        <w:rPr>
          <w:szCs w:val="22"/>
        </w:rPr>
        <w:t>aliskiren</w:t>
      </w:r>
      <w:proofErr w:type="spellEnd"/>
      <w:r w:rsidRPr="005B2844">
        <w:rPr>
          <w:szCs w:val="22"/>
        </w:rPr>
        <w:t>.</w:t>
      </w:r>
    </w:p>
    <w:p w:rsidR="004C1E1A" w:rsidRPr="005B2844" w:rsidRDefault="004C1E1A" w:rsidP="004C1E1A">
      <w:pPr>
        <w:ind w:left="567"/>
        <w:rPr>
          <w:szCs w:val="22"/>
        </w:rPr>
      </w:pPr>
      <w:r w:rsidRPr="005B2844">
        <w:rPr>
          <w:szCs w:val="22"/>
        </w:rPr>
        <w:t xml:space="preserve">Il medico può controllare la sua funzionalità renale, la pressione del sangue, e la quantità di elettroliti (ad esempio il potassio) nel sangue a intervalli regolari. Vedere anche quanto riportato alla voce “Non prenda </w:t>
      </w:r>
      <w:proofErr w:type="spellStart"/>
      <w:r w:rsidRPr="005B2844">
        <w:rPr>
          <w:szCs w:val="22"/>
        </w:rPr>
        <w:t>MicardisPlus</w:t>
      </w:r>
      <w:proofErr w:type="spellEnd"/>
      <w:r w:rsidRPr="005B2844">
        <w:rPr>
          <w:szCs w:val="22"/>
        </w:rPr>
        <w:t>”.</w:t>
      </w:r>
    </w:p>
    <w:p w:rsidR="008A3780" w:rsidRPr="005B2844" w:rsidRDefault="008A3780" w:rsidP="008A3780">
      <w:pPr>
        <w:numPr>
          <w:ilvl w:val="0"/>
          <w:numId w:val="21"/>
        </w:numPr>
        <w:rPr>
          <w:szCs w:val="22"/>
        </w:rPr>
      </w:pPr>
      <w:r w:rsidRPr="005B2844">
        <w:rPr>
          <w:szCs w:val="22"/>
        </w:rPr>
        <w:t>se lei sta assumendo digossina.</w:t>
      </w:r>
    </w:p>
    <w:p w:rsidR="008A3780" w:rsidRPr="005B2844" w:rsidRDefault="008A3780" w:rsidP="0072602F">
      <w:pPr>
        <w:rPr>
          <w:szCs w:val="22"/>
        </w:rPr>
      </w:pPr>
    </w:p>
    <w:p w:rsidR="00C25202" w:rsidRPr="005B2844" w:rsidRDefault="00306806" w:rsidP="0072602F">
      <w:pPr>
        <w:rPr>
          <w:szCs w:val="22"/>
        </w:rPr>
      </w:pPr>
      <w:r w:rsidRPr="005B2844">
        <w:rPr>
          <w:noProof/>
          <w:color w:val="000000"/>
          <w:szCs w:val="22"/>
        </w:rPr>
        <w:t>Deve informare il medico se pensa di essere in gravidanza (</w:t>
      </w:r>
      <w:r w:rsidRPr="005B2844">
        <w:rPr>
          <w:noProof/>
          <w:color w:val="000000"/>
          <w:szCs w:val="22"/>
          <w:u w:val="single"/>
        </w:rPr>
        <w:t>o se vi è la possibilità di dare inizio ad una gravidanza</w:t>
      </w:r>
      <w:r w:rsidRPr="005B2844">
        <w:rPr>
          <w:noProof/>
          <w:color w:val="000000"/>
          <w:szCs w:val="22"/>
        </w:rPr>
        <w:t xml:space="preserve">). MicardisPlus non è raccomandato all’inizio della gravidanza e non deve essere assunto se lei è in </w:t>
      </w:r>
      <w:r w:rsidRPr="005B2844">
        <w:rPr>
          <w:szCs w:val="22"/>
        </w:rPr>
        <w:t>gravidanza da più di 3 mesi,</w:t>
      </w:r>
      <w:r w:rsidRPr="005B2844">
        <w:rPr>
          <w:noProof/>
          <w:color w:val="000000"/>
          <w:szCs w:val="22"/>
        </w:rPr>
        <w:t xml:space="preserve"> poiché può causare gravi danni al bambino se preso in questo periodo (vedere il paragrafo </w:t>
      </w:r>
      <w:r w:rsidR="007A1AD4" w:rsidRPr="005B2844">
        <w:rPr>
          <w:noProof/>
          <w:color w:val="000000"/>
          <w:szCs w:val="22"/>
        </w:rPr>
        <w:t>g</w:t>
      </w:r>
      <w:r w:rsidRPr="005B2844">
        <w:rPr>
          <w:noProof/>
          <w:color w:val="000000"/>
          <w:szCs w:val="22"/>
        </w:rPr>
        <w:t>ravidanza).</w:t>
      </w:r>
    </w:p>
    <w:p w:rsidR="00DC33B2" w:rsidRPr="005B2844" w:rsidRDefault="00DC33B2" w:rsidP="0072602F">
      <w:pPr>
        <w:rPr>
          <w:szCs w:val="22"/>
        </w:rPr>
      </w:pPr>
    </w:p>
    <w:p w:rsidR="00DC33B2" w:rsidRPr="005B2844" w:rsidRDefault="00DC33B2" w:rsidP="0072602F">
      <w:pPr>
        <w:rPr>
          <w:szCs w:val="22"/>
        </w:rPr>
      </w:pPr>
      <w:r w:rsidRPr="005B2844">
        <w:rPr>
          <w:szCs w:val="22"/>
        </w:rPr>
        <w:t xml:space="preserve">Il trattamento con </w:t>
      </w:r>
      <w:proofErr w:type="spellStart"/>
      <w:r w:rsidRPr="005B2844">
        <w:rPr>
          <w:szCs w:val="22"/>
        </w:rPr>
        <w:t>idroclorotiazide</w:t>
      </w:r>
      <w:proofErr w:type="spellEnd"/>
      <w:r w:rsidRPr="005B2844">
        <w:rPr>
          <w:szCs w:val="22"/>
        </w:rPr>
        <w:t xml:space="preserve"> può causare uno squilibrio elettrolitico nell’organismo. Sintomi tipici di squilibrio di liquidi o</w:t>
      </w:r>
      <w:r w:rsidR="00D576E4" w:rsidRPr="005B2844">
        <w:rPr>
          <w:szCs w:val="22"/>
        </w:rPr>
        <w:t xml:space="preserve"> </w:t>
      </w:r>
      <w:r w:rsidRPr="005B2844">
        <w:rPr>
          <w:szCs w:val="22"/>
        </w:rPr>
        <w:t>d</w:t>
      </w:r>
      <w:r w:rsidR="00D576E4" w:rsidRPr="005B2844">
        <w:rPr>
          <w:szCs w:val="22"/>
        </w:rPr>
        <w:t>i</w:t>
      </w:r>
      <w:r w:rsidRPr="005B2844">
        <w:rPr>
          <w:szCs w:val="22"/>
        </w:rPr>
        <w:t xml:space="preserve"> elettroliti includono secchezza della bocca, debolezza, letargia, sonnolenza, irrequietezza, dolore muscolare o crampi, nausea (sensazione di malessere), vomito, stanchezza muscolare e battito cardiaco anormalmente veloce (maggiore di 100 battiti al minuto). Se manifesta uno qualsiasi di questi sintomi, informi il medico.</w:t>
      </w:r>
    </w:p>
    <w:p w:rsidR="00DC33B2" w:rsidRPr="005B2844" w:rsidRDefault="00DC33B2" w:rsidP="0072602F">
      <w:pPr>
        <w:rPr>
          <w:szCs w:val="22"/>
        </w:rPr>
      </w:pPr>
    </w:p>
    <w:p w:rsidR="003D49E4" w:rsidRPr="005B2844" w:rsidRDefault="003D49E4" w:rsidP="0072602F">
      <w:pPr>
        <w:rPr>
          <w:szCs w:val="22"/>
        </w:rPr>
      </w:pPr>
      <w:r w:rsidRPr="005B2844">
        <w:rPr>
          <w:szCs w:val="22"/>
        </w:rPr>
        <w:t xml:space="preserve">Deve informare il medico anche </w:t>
      </w:r>
      <w:r w:rsidR="00C42451" w:rsidRPr="005B2844">
        <w:rPr>
          <w:szCs w:val="22"/>
        </w:rPr>
        <w:t xml:space="preserve">se </w:t>
      </w:r>
      <w:r w:rsidRPr="005B2844">
        <w:rPr>
          <w:szCs w:val="22"/>
        </w:rPr>
        <w:t xml:space="preserve">ha riscontrato un’aumentata sensibilità della pelle al sole, che si manifesta con l’insorgenza più rapida del normale dei sintomi della scottatura (come rossore, prurito, gonfiore, </w:t>
      </w:r>
      <w:r w:rsidR="00D62955" w:rsidRPr="005B2844">
        <w:rPr>
          <w:szCs w:val="22"/>
        </w:rPr>
        <w:t>comparsa di vesciche</w:t>
      </w:r>
      <w:r w:rsidRPr="005B2844">
        <w:rPr>
          <w:szCs w:val="22"/>
        </w:rPr>
        <w:t>).</w:t>
      </w:r>
    </w:p>
    <w:p w:rsidR="003D49E4" w:rsidRPr="005B2844" w:rsidRDefault="003D49E4" w:rsidP="0072602F">
      <w:pPr>
        <w:rPr>
          <w:szCs w:val="22"/>
        </w:rPr>
      </w:pPr>
    </w:p>
    <w:p w:rsidR="00DC33B2" w:rsidRPr="005B2844" w:rsidRDefault="00DC33B2" w:rsidP="0072602F">
      <w:pPr>
        <w:rPr>
          <w:szCs w:val="22"/>
        </w:rPr>
      </w:pPr>
      <w:r w:rsidRPr="005B2844">
        <w:rPr>
          <w:szCs w:val="22"/>
        </w:rPr>
        <w:t xml:space="preserve">In caso di intervento chirurgico o di somministrazione di anestetici, deve informare il medico che sta assumendo </w:t>
      </w:r>
      <w:proofErr w:type="spellStart"/>
      <w:r w:rsidRPr="005B2844">
        <w:rPr>
          <w:szCs w:val="22"/>
        </w:rPr>
        <w:t>MicardisPlus</w:t>
      </w:r>
      <w:proofErr w:type="spellEnd"/>
      <w:r w:rsidRPr="005B2844">
        <w:rPr>
          <w:szCs w:val="22"/>
        </w:rPr>
        <w:t>.</w:t>
      </w:r>
    </w:p>
    <w:p w:rsidR="00DC33B2" w:rsidRPr="005B2844" w:rsidRDefault="00DC33B2" w:rsidP="0072602F">
      <w:pPr>
        <w:rPr>
          <w:szCs w:val="22"/>
        </w:rPr>
      </w:pPr>
    </w:p>
    <w:p w:rsidR="00470BC7" w:rsidRPr="005B2844" w:rsidRDefault="00470BC7" w:rsidP="00470BC7">
      <w:pPr>
        <w:rPr>
          <w:szCs w:val="22"/>
        </w:rPr>
      </w:pPr>
      <w:proofErr w:type="spellStart"/>
      <w:r w:rsidRPr="005B2844">
        <w:rPr>
          <w:szCs w:val="22"/>
        </w:rPr>
        <w:t>MicardisPlus</w:t>
      </w:r>
      <w:proofErr w:type="spellEnd"/>
      <w:r w:rsidRPr="005B2844">
        <w:rPr>
          <w:szCs w:val="22"/>
        </w:rPr>
        <w:t xml:space="preserve"> può essere meno efficace nel ridurre la pressi</w:t>
      </w:r>
      <w:r w:rsidR="000835D9" w:rsidRPr="005B2844">
        <w:rPr>
          <w:szCs w:val="22"/>
        </w:rPr>
        <w:t>one del sangue nei pazienti di etnia africana</w:t>
      </w:r>
      <w:r w:rsidRPr="005B2844">
        <w:rPr>
          <w:szCs w:val="22"/>
        </w:rPr>
        <w:t>.</w:t>
      </w:r>
    </w:p>
    <w:p w:rsidR="00470BC7" w:rsidRPr="005B2844" w:rsidRDefault="00470BC7" w:rsidP="00470BC7">
      <w:pPr>
        <w:rPr>
          <w:szCs w:val="22"/>
        </w:rPr>
      </w:pPr>
    </w:p>
    <w:p w:rsidR="00470BC7" w:rsidRPr="005B2844" w:rsidRDefault="00470BC7" w:rsidP="00532263">
      <w:pPr>
        <w:keepNext/>
        <w:rPr>
          <w:b/>
          <w:szCs w:val="22"/>
        </w:rPr>
      </w:pPr>
      <w:r w:rsidRPr="005B2844">
        <w:rPr>
          <w:b/>
          <w:szCs w:val="22"/>
        </w:rPr>
        <w:t>Bambini e adolescenti</w:t>
      </w:r>
    </w:p>
    <w:p w:rsidR="00DC33B2" w:rsidRPr="005B2844" w:rsidRDefault="00DC33B2" w:rsidP="0072602F">
      <w:pPr>
        <w:rPr>
          <w:szCs w:val="22"/>
        </w:rPr>
      </w:pPr>
      <w:r w:rsidRPr="005B2844">
        <w:rPr>
          <w:szCs w:val="22"/>
        </w:rPr>
        <w:t xml:space="preserve">L’uso di </w:t>
      </w:r>
      <w:proofErr w:type="spellStart"/>
      <w:r w:rsidRPr="005B2844">
        <w:rPr>
          <w:szCs w:val="22"/>
        </w:rPr>
        <w:t>MicardisPlus</w:t>
      </w:r>
      <w:proofErr w:type="spellEnd"/>
      <w:r w:rsidRPr="005B2844">
        <w:rPr>
          <w:szCs w:val="22"/>
        </w:rPr>
        <w:t xml:space="preserve"> non è raccomandato nei bambini e negli adolescenti fino a 18 anni.</w:t>
      </w:r>
    </w:p>
    <w:p w:rsidR="00DC33B2" w:rsidRPr="005B2844" w:rsidRDefault="00DC33B2" w:rsidP="0072602F">
      <w:pPr>
        <w:rPr>
          <w:szCs w:val="22"/>
        </w:rPr>
      </w:pPr>
    </w:p>
    <w:p w:rsidR="00FC5178" w:rsidRPr="005B2844" w:rsidRDefault="00470BC7" w:rsidP="008A1E96">
      <w:pPr>
        <w:keepNext/>
        <w:rPr>
          <w:b/>
          <w:szCs w:val="22"/>
        </w:rPr>
      </w:pPr>
      <w:r w:rsidRPr="005B2844">
        <w:rPr>
          <w:b/>
          <w:szCs w:val="22"/>
        </w:rPr>
        <w:t xml:space="preserve">Altri medicinali e </w:t>
      </w:r>
      <w:proofErr w:type="spellStart"/>
      <w:r w:rsidR="00FC5178" w:rsidRPr="005B2844">
        <w:rPr>
          <w:b/>
          <w:szCs w:val="22"/>
        </w:rPr>
        <w:t>MicardisPlus</w:t>
      </w:r>
      <w:proofErr w:type="spellEnd"/>
    </w:p>
    <w:p w:rsidR="003D4FA8" w:rsidRPr="005B2844" w:rsidRDefault="003D4FA8" w:rsidP="008A1E96">
      <w:pPr>
        <w:keepNext/>
        <w:rPr>
          <w:b/>
          <w:szCs w:val="22"/>
        </w:rPr>
      </w:pPr>
    </w:p>
    <w:p w:rsidR="00FC5178" w:rsidRPr="005B2844" w:rsidRDefault="00FC5178" w:rsidP="0072602F">
      <w:pPr>
        <w:rPr>
          <w:szCs w:val="22"/>
        </w:rPr>
      </w:pPr>
      <w:r w:rsidRPr="005B2844">
        <w:rPr>
          <w:szCs w:val="22"/>
        </w:rPr>
        <w:t>Informi il medico o il farmacista se sta assumendo</w:t>
      </w:r>
      <w:r w:rsidR="00ED4B33" w:rsidRPr="005B2844">
        <w:rPr>
          <w:szCs w:val="22"/>
        </w:rPr>
        <w:t>,</w:t>
      </w:r>
      <w:r w:rsidRPr="005B2844">
        <w:rPr>
          <w:szCs w:val="22"/>
        </w:rPr>
        <w:t xml:space="preserve"> ha recentemente assunto </w:t>
      </w:r>
      <w:r w:rsidR="00ED4B33" w:rsidRPr="005B2844">
        <w:rPr>
          <w:szCs w:val="22"/>
        </w:rPr>
        <w:t xml:space="preserve">o potrebbe assumere </w:t>
      </w:r>
      <w:r w:rsidRPr="005B2844">
        <w:rPr>
          <w:szCs w:val="22"/>
        </w:rPr>
        <w:t xml:space="preserve">qualsiasi altro medicinale. </w:t>
      </w:r>
      <w:r w:rsidR="00DC33B2" w:rsidRPr="005B2844">
        <w:rPr>
          <w:szCs w:val="22"/>
        </w:rPr>
        <w:t>Il medico può decidere di cambiare la dose di questi altri medicinali o ricorrere ad altre precauzioni. In alcuni casi può essere necessario sospendere l’assunzione di uno di questi medicinali. Ciò si riferisce soprattutto ai medicinali di seguito elencati, assunti conte</w:t>
      </w:r>
      <w:r w:rsidR="00D576E4" w:rsidRPr="005B2844">
        <w:rPr>
          <w:szCs w:val="22"/>
        </w:rPr>
        <w:t>mporanea</w:t>
      </w:r>
      <w:r w:rsidR="00DC33B2" w:rsidRPr="005B2844">
        <w:rPr>
          <w:szCs w:val="22"/>
        </w:rPr>
        <w:t xml:space="preserve">mente a </w:t>
      </w:r>
      <w:proofErr w:type="spellStart"/>
      <w:r w:rsidR="00DC33B2" w:rsidRPr="005B2844">
        <w:rPr>
          <w:szCs w:val="22"/>
        </w:rPr>
        <w:t>MicardisPlus</w:t>
      </w:r>
      <w:proofErr w:type="spellEnd"/>
      <w:r w:rsidR="00DC33B2" w:rsidRPr="005B2844">
        <w:rPr>
          <w:szCs w:val="22"/>
        </w:rPr>
        <w:t>:</w:t>
      </w:r>
    </w:p>
    <w:p w:rsidR="00FC5178" w:rsidRPr="005B2844" w:rsidRDefault="00FC5178" w:rsidP="0072602F">
      <w:pPr>
        <w:rPr>
          <w:szCs w:val="22"/>
        </w:rPr>
      </w:pPr>
    </w:p>
    <w:p w:rsidR="00DC33B2" w:rsidRPr="005B2844" w:rsidRDefault="00DC33B2" w:rsidP="009536AB">
      <w:pPr>
        <w:numPr>
          <w:ilvl w:val="0"/>
          <w:numId w:val="12"/>
        </w:numPr>
        <w:tabs>
          <w:tab w:val="clear" w:pos="720"/>
        </w:tabs>
        <w:ind w:left="567" w:hanging="567"/>
        <w:rPr>
          <w:szCs w:val="22"/>
        </w:rPr>
      </w:pPr>
      <w:r w:rsidRPr="005B2844">
        <w:rPr>
          <w:szCs w:val="22"/>
        </w:rPr>
        <w:t>Medicinali contenenti litio per trattare alcuni tipi di depressione</w:t>
      </w:r>
      <w:r w:rsidR="00C94C4C" w:rsidRPr="005B2844">
        <w:rPr>
          <w:szCs w:val="22"/>
        </w:rPr>
        <w:t>.</w:t>
      </w:r>
    </w:p>
    <w:p w:rsidR="00DC33B2" w:rsidRPr="005B2844" w:rsidRDefault="00DC33B2" w:rsidP="009536AB">
      <w:pPr>
        <w:numPr>
          <w:ilvl w:val="0"/>
          <w:numId w:val="12"/>
        </w:numPr>
        <w:tabs>
          <w:tab w:val="clear" w:pos="720"/>
        </w:tabs>
        <w:ind w:left="567" w:hanging="567"/>
        <w:rPr>
          <w:szCs w:val="22"/>
        </w:rPr>
      </w:pPr>
      <w:r w:rsidRPr="005B2844">
        <w:rPr>
          <w:szCs w:val="22"/>
        </w:rPr>
        <w:t>Medicinali associati a bassi livelli di potassio nel sangue (</w:t>
      </w:r>
      <w:proofErr w:type="spellStart"/>
      <w:r w:rsidR="00A60181" w:rsidRPr="005B2844">
        <w:rPr>
          <w:szCs w:val="22"/>
        </w:rPr>
        <w:t>ipokaliemia</w:t>
      </w:r>
      <w:proofErr w:type="spellEnd"/>
      <w:r w:rsidRPr="005B2844">
        <w:rPr>
          <w:szCs w:val="22"/>
        </w:rPr>
        <w:t>) come altri diuretici, lassativi (</w:t>
      </w:r>
      <w:r w:rsidR="00096E7E" w:rsidRPr="005B2844">
        <w:rPr>
          <w:szCs w:val="22"/>
        </w:rPr>
        <w:t>ad es.</w:t>
      </w:r>
      <w:r w:rsidRPr="005B2844">
        <w:rPr>
          <w:szCs w:val="22"/>
        </w:rPr>
        <w:t xml:space="preserve"> olio di ricino), corticosteroidi (</w:t>
      </w:r>
      <w:r w:rsidR="00096E7E" w:rsidRPr="005B2844">
        <w:rPr>
          <w:szCs w:val="22"/>
        </w:rPr>
        <w:t>ad es.</w:t>
      </w:r>
      <w:r w:rsidRPr="005B2844">
        <w:rPr>
          <w:szCs w:val="22"/>
        </w:rPr>
        <w:t xml:space="preserve"> prednisone), ormone</w:t>
      </w:r>
      <w:r w:rsidR="00AF1112" w:rsidRPr="005B2844">
        <w:rPr>
          <w:szCs w:val="22"/>
        </w:rPr>
        <w:t xml:space="preserve"> adrenocorticotropo</w:t>
      </w:r>
      <w:r w:rsidR="00E4281F" w:rsidRPr="005B2844">
        <w:rPr>
          <w:szCs w:val="22"/>
        </w:rPr>
        <w:t xml:space="preserve"> (ACTH)</w:t>
      </w:r>
      <w:r w:rsidRPr="005B2844">
        <w:rPr>
          <w:szCs w:val="22"/>
        </w:rPr>
        <w:t xml:space="preserve">, </w:t>
      </w:r>
      <w:proofErr w:type="spellStart"/>
      <w:r w:rsidRPr="005B2844">
        <w:rPr>
          <w:szCs w:val="22"/>
        </w:rPr>
        <w:t>amfotericina</w:t>
      </w:r>
      <w:proofErr w:type="spellEnd"/>
      <w:r w:rsidRPr="005B2844">
        <w:rPr>
          <w:szCs w:val="22"/>
        </w:rPr>
        <w:t xml:space="preserve"> (medicinale antifungino), </w:t>
      </w:r>
      <w:proofErr w:type="spellStart"/>
      <w:r w:rsidRPr="005B2844">
        <w:rPr>
          <w:szCs w:val="22"/>
        </w:rPr>
        <w:t>carbenoxolone</w:t>
      </w:r>
      <w:proofErr w:type="spellEnd"/>
      <w:r w:rsidRPr="005B2844">
        <w:rPr>
          <w:szCs w:val="22"/>
        </w:rPr>
        <w:t xml:space="preserve"> (utilizzato per il trattamento delle ulcere della bocca), penicillina G sodica (antibiotico), acido salicilico e suoi derivati</w:t>
      </w:r>
      <w:r w:rsidR="00C94C4C" w:rsidRPr="005B2844">
        <w:rPr>
          <w:szCs w:val="22"/>
        </w:rPr>
        <w:t>.</w:t>
      </w:r>
    </w:p>
    <w:p w:rsidR="00DC33B2" w:rsidRPr="005B2844" w:rsidRDefault="008A1016" w:rsidP="009536AB">
      <w:pPr>
        <w:numPr>
          <w:ilvl w:val="0"/>
          <w:numId w:val="12"/>
        </w:numPr>
        <w:tabs>
          <w:tab w:val="clear" w:pos="720"/>
        </w:tabs>
        <w:ind w:left="567" w:hanging="567"/>
        <w:rPr>
          <w:szCs w:val="22"/>
        </w:rPr>
      </w:pPr>
      <w:r w:rsidRPr="005B2844">
        <w:rPr>
          <w:szCs w:val="22"/>
        </w:rPr>
        <w:t>Medicinali che possono aumentare i livelli di potassio nel sangue come i d</w:t>
      </w:r>
      <w:r w:rsidR="00DC33B2" w:rsidRPr="005B2844">
        <w:rPr>
          <w:szCs w:val="22"/>
        </w:rPr>
        <w:t xml:space="preserve">iuretici </w:t>
      </w:r>
      <w:r w:rsidR="00A744B4" w:rsidRPr="005B2844">
        <w:rPr>
          <w:szCs w:val="22"/>
        </w:rPr>
        <w:t xml:space="preserve">detti risparmiatori di </w:t>
      </w:r>
      <w:r w:rsidR="00DC33B2" w:rsidRPr="005B2844">
        <w:rPr>
          <w:szCs w:val="22"/>
        </w:rPr>
        <w:t>potassio, integratori di potassio, sostituti del sale contenenti potassio, ACE inibitori</w:t>
      </w:r>
      <w:r w:rsidRPr="005B2844">
        <w:rPr>
          <w:szCs w:val="22"/>
        </w:rPr>
        <w:t>, ciclosporina (medicinale immunosoppressore) e altri medicinali come eparina sodica (anticoagulante)</w:t>
      </w:r>
      <w:r w:rsidR="00C94C4C" w:rsidRPr="005B2844">
        <w:rPr>
          <w:szCs w:val="22"/>
        </w:rPr>
        <w:t>.</w:t>
      </w:r>
    </w:p>
    <w:p w:rsidR="00E63717" w:rsidRPr="005B2844" w:rsidRDefault="00E63717" w:rsidP="00513F80">
      <w:pPr>
        <w:numPr>
          <w:ilvl w:val="0"/>
          <w:numId w:val="12"/>
        </w:numPr>
        <w:tabs>
          <w:tab w:val="clear" w:pos="720"/>
        </w:tabs>
        <w:ind w:left="567" w:hanging="567"/>
        <w:rPr>
          <w:szCs w:val="22"/>
        </w:rPr>
      </w:pPr>
      <w:r w:rsidRPr="005B2844">
        <w:rPr>
          <w:szCs w:val="22"/>
        </w:rPr>
        <w:t xml:space="preserve">Medicinali che sono influenzati dalle variazioni del livello di potassio nel sangue come i medicinali per il cuore (ad es. digossina) o medicinali per controllare il ritmo del cuore (ad es. chinidina, </w:t>
      </w:r>
      <w:proofErr w:type="spellStart"/>
      <w:r w:rsidRPr="005B2844">
        <w:rPr>
          <w:szCs w:val="22"/>
        </w:rPr>
        <w:t>disopiramide</w:t>
      </w:r>
      <w:proofErr w:type="spellEnd"/>
      <w:r w:rsidR="008A1016" w:rsidRPr="005B2844">
        <w:rPr>
          <w:szCs w:val="22"/>
        </w:rPr>
        <w:t xml:space="preserve">, amiodarone, </w:t>
      </w:r>
      <w:proofErr w:type="spellStart"/>
      <w:r w:rsidR="008A1016" w:rsidRPr="005B2844">
        <w:rPr>
          <w:szCs w:val="22"/>
        </w:rPr>
        <w:t>sotalolo</w:t>
      </w:r>
      <w:proofErr w:type="spellEnd"/>
      <w:r w:rsidRPr="005B2844">
        <w:rPr>
          <w:szCs w:val="22"/>
        </w:rPr>
        <w:t xml:space="preserve">), medicinali utilizzati per disturbi mentali (ad es. </w:t>
      </w:r>
      <w:proofErr w:type="spellStart"/>
      <w:r w:rsidRPr="005B2844">
        <w:rPr>
          <w:szCs w:val="22"/>
        </w:rPr>
        <w:t>tioridazina</w:t>
      </w:r>
      <w:proofErr w:type="spellEnd"/>
      <w:r w:rsidRPr="005B2844">
        <w:rPr>
          <w:szCs w:val="22"/>
        </w:rPr>
        <w:t xml:space="preserve">, clorpromazina, </w:t>
      </w:r>
      <w:proofErr w:type="spellStart"/>
      <w:r w:rsidRPr="005B2844">
        <w:rPr>
          <w:szCs w:val="22"/>
        </w:rPr>
        <w:t>levomepromazina</w:t>
      </w:r>
      <w:proofErr w:type="spellEnd"/>
      <w:r w:rsidRPr="005B2844">
        <w:rPr>
          <w:szCs w:val="22"/>
        </w:rPr>
        <w:t xml:space="preserve">) e altri medicinali come alcuni antibiotici (ad es. </w:t>
      </w:r>
      <w:proofErr w:type="spellStart"/>
      <w:r w:rsidRPr="005B2844">
        <w:rPr>
          <w:szCs w:val="22"/>
        </w:rPr>
        <w:t>sparfloxacina</w:t>
      </w:r>
      <w:proofErr w:type="spellEnd"/>
      <w:r w:rsidRPr="005B2844">
        <w:rPr>
          <w:szCs w:val="22"/>
        </w:rPr>
        <w:t xml:space="preserve">, </w:t>
      </w:r>
      <w:proofErr w:type="spellStart"/>
      <w:r w:rsidRPr="005B2844">
        <w:rPr>
          <w:szCs w:val="22"/>
        </w:rPr>
        <w:t>pentamidina</w:t>
      </w:r>
      <w:proofErr w:type="spellEnd"/>
      <w:r w:rsidRPr="005B2844">
        <w:rPr>
          <w:szCs w:val="22"/>
        </w:rPr>
        <w:t xml:space="preserve">) o alcuni medicinali per il trattamento di reazioni allergiche (ad es. </w:t>
      </w:r>
      <w:proofErr w:type="spellStart"/>
      <w:r w:rsidRPr="005B2844">
        <w:rPr>
          <w:szCs w:val="22"/>
        </w:rPr>
        <w:t>terfenadina</w:t>
      </w:r>
      <w:proofErr w:type="spellEnd"/>
      <w:r w:rsidRPr="005B2844">
        <w:rPr>
          <w:szCs w:val="22"/>
        </w:rPr>
        <w:t>).</w:t>
      </w:r>
    </w:p>
    <w:p w:rsidR="00E63717" w:rsidRPr="005B2844" w:rsidRDefault="00E63717" w:rsidP="00513F80">
      <w:pPr>
        <w:numPr>
          <w:ilvl w:val="0"/>
          <w:numId w:val="12"/>
        </w:numPr>
        <w:tabs>
          <w:tab w:val="clear" w:pos="720"/>
        </w:tabs>
        <w:ind w:left="567" w:hanging="567"/>
        <w:rPr>
          <w:szCs w:val="22"/>
        </w:rPr>
      </w:pPr>
      <w:r w:rsidRPr="005B2844">
        <w:rPr>
          <w:szCs w:val="22"/>
        </w:rPr>
        <w:t>Medicinali per il trattamento del diabete (insulina o agenti orali come metformina).</w:t>
      </w:r>
    </w:p>
    <w:p w:rsidR="00E63717" w:rsidRPr="005B2844" w:rsidRDefault="00E63717" w:rsidP="00513F80">
      <w:pPr>
        <w:numPr>
          <w:ilvl w:val="0"/>
          <w:numId w:val="12"/>
        </w:numPr>
        <w:tabs>
          <w:tab w:val="clear" w:pos="720"/>
        </w:tabs>
        <w:ind w:left="567" w:hanging="567"/>
        <w:rPr>
          <w:szCs w:val="22"/>
        </w:rPr>
      </w:pPr>
      <w:proofErr w:type="spellStart"/>
      <w:r w:rsidRPr="005B2844">
        <w:rPr>
          <w:szCs w:val="22"/>
        </w:rPr>
        <w:t>Colestiramina</w:t>
      </w:r>
      <w:proofErr w:type="spellEnd"/>
      <w:r w:rsidRPr="005B2844">
        <w:rPr>
          <w:szCs w:val="22"/>
        </w:rPr>
        <w:t xml:space="preserve"> e </w:t>
      </w:r>
      <w:proofErr w:type="spellStart"/>
      <w:r w:rsidRPr="005B2844">
        <w:rPr>
          <w:szCs w:val="22"/>
        </w:rPr>
        <w:t>colestipolo</w:t>
      </w:r>
      <w:proofErr w:type="spellEnd"/>
      <w:r w:rsidRPr="005B2844">
        <w:rPr>
          <w:szCs w:val="22"/>
        </w:rPr>
        <w:t>, medicinali per abbassare i livelli di grassi nel sangue.</w:t>
      </w:r>
    </w:p>
    <w:p w:rsidR="00E63717" w:rsidRPr="005B2844" w:rsidRDefault="00E63717" w:rsidP="00513F80">
      <w:pPr>
        <w:numPr>
          <w:ilvl w:val="0"/>
          <w:numId w:val="12"/>
        </w:numPr>
        <w:tabs>
          <w:tab w:val="clear" w:pos="720"/>
        </w:tabs>
        <w:ind w:left="567" w:hanging="567"/>
        <w:rPr>
          <w:szCs w:val="22"/>
        </w:rPr>
      </w:pPr>
      <w:r w:rsidRPr="005B2844">
        <w:rPr>
          <w:szCs w:val="22"/>
        </w:rPr>
        <w:t>Medicinali per aumentare la pressione del sangue, come la noradrenalina.</w:t>
      </w:r>
    </w:p>
    <w:p w:rsidR="00E63717" w:rsidRPr="005B2844" w:rsidRDefault="00E63717" w:rsidP="00513F80">
      <w:pPr>
        <w:numPr>
          <w:ilvl w:val="0"/>
          <w:numId w:val="12"/>
        </w:numPr>
        <w:tabs>
          <w:tab w:val="clear" w:pos="720"/>
        </w:tabs>
        <w:ind w:left="567" w:hanging="567"/>
        <w:rPr>
          <w:szCs w:val="22"/>
        </w:rPr>
      </w:pPr>
      <w:r w:rsidRPr="005B2844">
        <w:rPr>
          <w:szCs w:val="22"/>
        </w:rPr>
        <w:t>Medicinali che rilassano la muscolatura, come ad esempio tubocurarina.</w:t>
      </w:r>
    </w:p>
    <w:p w:rsidR="00E63717" w:rsidRPr="005B2844" w:rsidRDefault="00E63717" w:rsidP="00513F80">
      <w:pPr>
        <w:numPr>
          <w:ilvl w:val="0"/>
          <w:numId w:val="12"/>
        </w:numPr>
        <w:tabs>
          <w:tab w:val="clear" w:pos="720"/>
        </w:tabs>
        <w:ind w:left="567" w:hanging="567"/>
        <w:rPr>
          <w:szCs w:val="22"/>
        </w:rPr>
      </w:pPr>
      <w:r w:rsidRPr="005B2844">
        <w:rPr>
          <w:szCs w:val="22"/>
        </w:rPr>
        <w:t>Integratori a base di calcio</w:t>
      </w:r>
      <w:r w:rsidR="00416670" w:rsidRPr="005B2844">
        <w:rPr>
          <w:szCs w:val="22"/>
        </w:rPr>
        <w:t xml:space="preserve"> e/o integratori di vitamina D.</w:t>
      </w:r>
    </w:p>
    <w:p w:rsidR="00E63717" w:rsidRPr="005B2844" w:rsidRDefault="00E63717" w:rsidP="00513F80">
      <w:pPr>
        <w:numPr>
          <w:ilvl w:val="0"/>
          <w:numId w:val="12"/>
        </w:numPr>
        <w:tabs>
          <w:tab w:val="clear" w:pos="720"/>
        </w:tabs>
        <w:ind w:left="567" w:hanging="567"/>
        <w:rPr>
          <w:szCs w:val="22"/>
        </w:rPr>
      </w:pPr>
      <w:r w:rsidRPr="005B2844">
        <w:rPr>
          <w:szCs w:val="22"/>
        </w:rPr>
        <w:t>Medicinali anti-colinergici (farmaci usati per trattare una varietà di disturbi come crampi gastrointestinali, spasmi della vescica urinaria, asma, chinetosi</w:t>
      </w:r>
      <w:r w:rsidR="00470472" w:rsidRPr="005B2844">
        <w:rPr>
          <w:szCs w:val="22"/>
        </w:rPr>
        <w:t xml:space="preserve"> (malessere da movimento)</w:t>
      </w:r>
      <w:r w:rsidRPr="005B2844">
        <w:rPr>
          <w:szCs w:val="22"/>
        </w:rPr>
        <w:t>, spasmi muscolari,</w:t>
      </w:r>
      <w:r w:rsidR="00470472" w:rsidRPr="005B2844">
        <w:rPr>
          <w:szCs w:val="22"/>
        </w:rPr>
        <w:t xml:space="preserve"> il</w:t>
      </w:r>
      <w:r w:rsidRPr="005B2844">
        <w:rPr>
          <w:szCs w:val="22"/>
        </w:rPr>
        <w:t xml:space="preserve"> m</w:t>
      </w:r>
      <w:r w:rsidR="00A744B4" w:rsidRPr="005B2844">
        <w:rPr>
          <w:szCs w:val="22"/>
        </w:rPr>
        <w:t>orbo</w:t>
      </w:r>
      <w:r w:rsidRPr="005B2844">
        <w:rPr>
          <w:szCs w:val="22"/>
        </w:rPr>
        <w:t xml:space="preserve"> di Parkinson e come aiuto per l’anestesia), come atropina e </w:t>
      </w:r>
      <w:proofErr w:type="spellStart"/>
      <w:r w:rsidRPr="005B2844">
        <w:rPr>
          <w:szCs w:val="22"/>
        </w:rPr>
        <w:t>biperidone</w:t>
      </w:r>
      <w:proofErr w:type="spellEnd"/>
      <w:r w:rsidRPr="005B2844">
        <w:rPr>
          <w:szCs w:val="22"/>
        </w:rPr>
        <w:t>.</w:t>
      </w:r>
    </w:p>
    <w:p w:rsidR="00E63717" w:rsidRPr="005B2844" w:rsidRDefault="00E63717" w:rsidP="00513F80">
      <w:pPr>
        <w:numPr>
          <w:ilvl w:val="0"/>
          <w:numId w:val="12"/>
        </w:numPr>
        <w:tabs>
          <w:tab w:val="clear" w:pos="720"/>
        </w:tabs>
        <w:ind w:left="567" w:hanging="567"/>
        <w:rPr>
          <w:szCs w:val="22"/>
        </w:rPr>
      </w:pPr>
      <w:proofErr w:type="spellStart"/>
      <w:r w:rsidRPr="005B2844">
        <w:rPr>
          <w:szCs w:val="22"/>
        </w:rPr>
        <w:t>Amantadina</w:t>
      </w:r>
      <w:proofErr w:type="spellEnd"/>
      <w:r w:rsidRPr="005B2844">
        <w:rPr>
          <w:szCs w:val="22"/>
        </w:rPr>
        <w:t xml:space="preserve"> (medicinale usato per </w:t>
      </w:r>
      <w:r w:rsidR="00A744B4" w:rsidRPr="005B2844">
        <w:rPr>
          <w:szCs w:val="22"/>
        </w:rPr>
        <w:t>trattare</w:t>
      </w:r>
      <w:r w:rsidRPr="005B2844">
        <w:rPr>
          <w:szCs w:val="22"/>
        </w:rPr>
        <w:t xml:space="preserve"> il morbo di Parkinson e usato anche per trattare o prevenire le malattie causate da virus).</w:t>
      </w:r>
    </w:p>
    <w:p w:rsidR="00DC33B2" w:rsidRPr="005B2844" w:rsidRDefault="00DC33B2" w:rsidP="00416670">
      <w:pPr>
        <w:numPr>
          <w:ilvl w:val="0"/>
          <w:numId w:val="12"/>
        </w:numPr>
        <w:tabs>
          <w:tab w:val="clear" w:pos="720"/>
        </w:tabs>
        <w:ind w:left="567" w:hanging="567"/>
        <w:rPr>
          <w:szCs w:val="22"/>
        </w:rPr>
      </w:pPr>
      <w:r w:rsidRPr="005B2844">
        <w:rPr>
          <w:szCs w:val="22"/>
        </w:rPr>
        <w:t xml:space="preserve">Altre sostanze utilizzate per trattare la pressione del sangue alta, </w:t>
      </w:r>
      <w:r w:rsidR="008A1016" w:rsidRPr="005B2844">
        <w:rPr>
          <w:szCs w:val="22"/>
        </w:rPr>
        <w:t>cortico</w:t>
      </w:r>
      <w:r w:rsidRPr="005B2844">
        <w:rPr>
          <w:szCs w:val="22"/>
        </w:rPr>
        <w:t>steroidi, antidolorifici</w:t>
      </w:r>
      <w:r w:rsidR="008A1016" w:rsidRPr="005B2844">
        <w:rPr>
          <w:szCs w:val="22"/>
        </w:rPr>
        <w:t xml:space="preserve"> (come ad esempio medicinali anti</w:t>
      </w:r>
      <w:r w:rsidR="00AF1112" w:rsidRPr="005B2844">
        <w:rPr>
          <w:szCs w:val="22"/>
        </w:rPr>
        <w:t xml:space="preserve"> </w:t>
      </w:r>
      <w:r w:rsidR="008A1016" w:rsidRPr="005B2844">
        <w:rPr>
          <w:szCs w:val="22"/>
        </w:rPr>
        <w:t>infiammatori non steroidei [FANS])</w:t>
      </w:r>
      <w:r w:rsidRPr="005B2844">
        <w:rPr>
          <w:szCs w:val="22"/>
        </w:rPr>
        <w:t>, medicinali per il trattamento del cancro, della gotta o artrite.</w:t>
      </w:r>
    </w:p>
    <w:p w:rsidR="00830CD2" w:rsidRPr="005B2844" w:rsidRDefault="00D43CDA" w:rsidP="00830CD2">
      <w:pPr>
        <w:numPr>
          <w:ilvl w:val="0"/>
          <w:numId w:val="12"/>
        </w:numPr>
        <w:tabs>
          <w:tab w:val="clear" w:pos="720"/>
        </w:tabs>
        <w:ind w:left="567" w:hanging="567"/>
        <w:rPr>
          <w:bCs/>
          <w:iCs/>
          <w:szCs w:val="22"/>
        </w:rPr>
      </w:pPr>
      <w:r w:rsidRPr="005B2844">
        <w:rPr>
          <w:bCs/>
          <w:iCs/>
          <w:szCs w:val="22"/>
        </w:rPr>
        <w:t xml:space="preserve">Se sta assumendo un ACE inibitore o </w:t>
      </w:r>
      <w:proofErr w:type="spellStart"/>
      <w:r w:rsidRPr="005B2844">
        <w:rPr>
          <w:bCs/>
          <w:iCs/>
          <w:szCs w:val="22"/>
        </w:rPr>
        <w:t>aliskiren</w:t>
      </w:r>
      <w:proofErr w:type="spellEnd"/>
      <w:r w:rsidRPr="005B2844">
        <w:rPr>
          <w:bCs/>
          <w:iCs/>
          <w:szCs w:val="22"/>
        </w:rPr>
        <w:t xml:space="preserve"> (vedere anche quanto riportato alla voce: “Non prenda </w:t>
      </w:r>
      <w:proofErr w:type="spellStart"/>
      <w:r w:rsidRPr="005B2844">
        <w:rPr>
          <w:bCs/>
          <w:iCs/>
          <w:szCs w:val="22"/>
        </w:rPr>
        <w:t>MicardisPlus</w:t>
      </w:r>
      <w:proofErr w:type="spellEnd"/>
      <w:r w:rsidRPr="005B2844">
        <w:rPr>
          <w:bCs/>
          <w:iCs/>
          <w:szCs w:val="22"/>
        </w:rPr>
        <w:t>” e “Avvertenze e precauzioni”).</w:t>
      </w:r>
    </w:p>
    <w:p w:rsidR="00830CD2" w:rsidRPr="005B2844" w:rsidRDefault="00830CD2" w:rsidP="00830CD2">
      <w:pPr>
        <w:numPr>
          <w:ilvl w:val="0"/>
          <w:numId w:val="12"/>
        </w:numPr>
        <w:tabs>
          <w:tab w:val="clear" w:pos="720"/>
        </w:tabs>
        <w:ind w:left="567" w:hanging="567"/>
        <w:rPr>
          <w:szCs w:val="22"/>
        </w:rPr>
      </w:pPr>
      <w:r w:rsidRPr="005B2844">
        <w:rPr>
          <w:bCs/>
          <w:iCs/>
          <w:szCs w:val="22"/>
        </w:rPr>
        <w:t>Digossina.</w:t>
      </w:r>
    </w:p>
    <w:p w:rsidR="00DC33B2" w:rsidRPr="005B2844" w:rsidRDefault="00DC33B2" w:rsidP="0072602F">
      <w:pPr>
        <w:rPr>
          <w:szCs w:val="22"/>
        </w:rPr>
      </w:pPr>
    </w:p>
    <w:p w:rsidR="00DC33B2" w:rsidRPr="005B2844" w:rsidRDefault="00DC33B2" w:rsidP="0072602F">
      <w:pPr>
        <w:rPr>
          <w:szCs w:val="22"/>
        </w:rPr>
      </w:pPr>
      <w:proofErr w:type="spellStart"/>
      <w:r w:rsidRPr="005B2844">
        <w:rPr>
          <w:szCs w:val="22"/>
        </w:rPr>
        <w:t>MicardisPlus</w:t>
      </w:r>
      <w:proofErr w:type="spellEnd"/>
      <w:r w:rsidRPr="005B2844">
        <w:rPr>
          <w:szCs w:val="22"/>
        </w:rPr>
        <w:t xml:space="preserve"> può </w:t>
      </w:r>
      <w:r w:rsidR="00D576E4" w:rsidRPr="005B2844">
        <w:rPr>
          <w:szCs w:val="22"/>
        </w:rPr>
        <w:t>au</w:t>
      </w:r>
      <w:r w:rsidRPr="005B2844">
        <w:rPr>
          <w:szCs w:val="22"/>
        </w:rPr>
        <w:t xml:space="preserve">mentare l’effetto di altri medicinali </w:t>
      </w:r>
      <w:r w:rsidR="00D576E4" w:rsidRPr="005B2844">
        <w:rPr>
          <w:szCs w:val="22"/>
        </w:rPr>
        <w:t>usati per</w:t>
      </w:r>
      <w:r w:rsidRPr="005B2844">
        <w:rPr>
          <w:szCs w:val="22"/>
        </w:rPr>
        <w:t xml:space="preserve"> ridurre la pressione del sangue </w:t>
      </w:r>
      <w:r w:rsidR="00F06B83" w:rsidRPr="005B2844">
        <w:rPr>
          <w:szCs w:val="22"/>
        </w:rPr>
        <w:t xml:space="preserve">o di medicinali che potenzialmente possono ridurre la pressione del sangue (ad es. </w:t>
      </w:r>
      <w:proofErr w:type="spellStart"/>
      <w:r w:rsidR="00F06B83" w:rsidRPr="005B2844">
        <w:rPr>
          <w:szCs w:val="22"/>
        </w:rPr>
        <w:t>baclofene</w:t>
      </w:r>
      <w:proofErr w:type="spellEnd"/>
      <w:r w:rsidR="00F06B83" w:rsidRPr="005B2844">
        <w:rPr>
          <w:szCs w:val="22"/>
        </w:rPr>
        <w:t xml:space="preserve">, </w:t>
      </w:r>
      <w:proofErr w:type="spellStart"/>
      <w:r w:rsidR="00F06B83" w:rsidRPr="005B2844">
        <w:rPr>
          <w:szCs w:val="22"/>
        </w:rPr>
        <w:t>amifostina</w:t>
      </w:r>
      <w:proofErr w:type="spellEnd"/>
      <w:r w:rsidR="00F06B83" w:rsidRPr="005B2844">
        <w:rPr>
          <w:szCs w:val="22"/>
        </w:rPr>
        <w:t>). Inoltre l’abbassamento della pressione del sangue può essere aggravato da alcol, barbiturici, narcotici o antidepressivi. Lei potrebbe avvertire questo abbassamento pressorio come vertigini alzandosi in piedi. Consulti</w:t>
      </w:r>
      <w:r w:rsidRPr="005B2844">
        <w:rPr>
          <w:szCs w:val="22"/>
        </w:rPr>
        <w:t xml:space="preserve"> il medico se ha la necessità di modificare la dose degli altri medicinali mentre assume </w:t>
      </w:r>
      <w:proofErr w:type="spellStart"/>
      <w:r w:rsidRPr="005B2844">
        <w:rPr>
          <w:szCs w:val="22"/>
        </w:rPr>
        <w:t>MicardisPlus</w:t>
      </w:r>
      <w:proofErr w:type="spellEnd"/>
      <w:r w:rsidRPr="005B2844">
        <w:rPr>
          <w:szCs w:val="22"/>
        </w:rPr>
        <w:t>.</w:t>
      </w:r>
    </w:p>
    <w:p w:rsidR="00DC33B2" w:rsidRPr="005B2844" w:rsidRDefault="00DC33B2" w:rsidP="0072602F">
      <w:pPr>
        <w:rPr>
          <w:szCs w:val="22"/>
        </w:rPr>
      </w:pPr>
    </w:p>
    <w:p w:rsidR="00DC33B2" w:rsidRPr="005B2844" w:rsidRDefault="00097FFC" w:rsidP="0072602F">
      <w:pPr>
        <w:rPr>
          <w:szCs w:val="22"/>
        </w:rPr>
      </w:pPr>
      <w:r w:rsidRPr="005B2844">
        <w:rPr>
          <w:szCs w:val="22"/>
        </w:rPr>
        <w:t>L</w:t>
      </w:r>
      <w:r w:rsidR="00DC33B2" w:rsidRPr="005B2844">
        <w:rPr>
          <w:szCs w:val="22"/>
        </w:rPr>
        <w:t xml:space="preserve">’effetto di </w:t>
      </w:r>
      <w:proofErr w:type="spellStart"/>
      <w:r w:rsidR="00DC33B2" w:rsidRPr="005B2844">
        <w:rPr>
          <w:szCs w:val="22"/>
        </w:rPr>
        <w:t>MicardisPlus</w:t>
      </w:r>
      <w:proofErr w:type="spellEnd"/>
      <w:r w:rsidR="00DC33B2" w:rsidRPr="005B2844">
        <w:rPr>
          <w:szCs w:val="22"/>
        </w:rPr>
        <w:t xml:space="preserve"> può essere ridotto quando assume FANS (</w:t>
      </w:r>
      <w:r w:rsidR="006F476C" w:rsidRPr="005B2844">
        <w:rPr>
          <w:szCs w:val="22"/>
        </w:rPr>
        <w:t>medicinali</w:t>
      </w:r>
      <w:r w:rsidR="00DC33B2" w:rsidRPr="005B2844">
        <w:rPr>
          <w:szCs w:val="22"/>
        </w:rPr>
        <w:t xml:space="preserve"> antiinfiammatori non steroidei, </w:t>
      </w:r>
      <w:r w:rsidR="00096E7E" w:rsidRPr="005B2844">
        <w:rPr>
          <w:szCs w:val="22"/>
        </w:rPr>
        <w:t>ad es.</w:t>
      </w:r>
      <w:r w:rsidR="00DC33B2" w:rsidRPr="005B2844">
        <w:rPr>
          <w:szCs w:val="22"/>
        </w:rPr>
        <w:t xml:space="preserve"> aspirina e ibuprofene).</w:t>
      </w:r>
      <w:r w:rsidR="00DC33B2" w:rsidRPr="005B2844">
        <w:rPr>
          <w:szCs w:val="22"/>
        </w:rPr>
        <w:cr/>
      </w:r>
    </w:p>
    <w:p w:rsidR="00114C72" w:rsidRPr="005B2844" w:rsidRDefault="00114C72" w:rsidP="000709BC">
      <w:pPr>
        <w:pStyle w:val="NormalWeb"/>
        <w:keepNext/>
        <w:spacing w:before="0" w:beforeAutospacing="0" w:after="0" w:afterAutospacing="0"/>
        <w:rPr>
          <w:sz w:val="22"/>
          <w:szCs w:val="22"/>
        </w:rPr>
      </w:pPr>
      <w:proofErr w:type="spellStart"/>
      <w:r w:rsidRPr="005B2844">
        <w:rPr>
          <w:b/>
          <w:bCs/>
          <w:sz w:val="22"/>
          <w:szCs w:val="22"/>
        </w:rPr>
        <w:t>MicardisPlus</w:t>
      </w:r>
      <w:proofErr w:type="spellEnd"/>
      <w:r w:rsidRPr="005B2844">
        <w:rPr>
          <w:b/>
          <w:bCs/>
          <w:sz w:val="22"/>
          <w:szCs w:val="22"/>
        </w:rPr>
        <w:t xml:space="preserve"> con cibi e alcol</w:t>
      </w:r>
    </w:p>
    <w:p w:rsidR="00114C72" w:rsidRPr="005B2844" w:rsidRDefault="00114C72" w:rsidP="000709BC">
      <w:pPr>
        <w:pStyle w:val="NormalWeb"/>
        <w:keepNext/>
        <w:spacing w:before="0" w:beforeAutospacing="0" w:after="0" w:afterAutospacing="0"/>
        <w:rPr>
          <w:sz w:val="22"/>
          <w:szCs w:val="22"/>
        </w:rPr>
      </w:pPr>
    </w:p>
    <w:p w:rsidR="00114C72" w:rsidRPr="005B2844" w:rsidRDefault="00114C72" w:rsidP="00114C72">
      <w:pPr>
        <w:pStyle w:val="NormalWeb"/>
        <w:spacing w:before="0" w:beforeAutospacing="0" w:after="0" w:afterAutospacing="0"/>
        <w:rPr>
          <w:sz w:val="22"/>
          <w:szCs w:val="22"/>
        </w:rPr>
      </w:pPr>
      <w:r w:rsidRPr="005B2844">
        <w:rPr>
          <w:sz w:val="22"/>
          <w:szCs w:val="22"/>
        </w:rPr>
        <w:t xml:space="preserve">Può prendere </w:t>
      </w:r>
      <w:proofErr w:type="spellStart"/>
      <w:r w:rsidRPr="005B2844">
        <w:rPr>
          <w:sz w:val="22"/>
          <w:szCs w:val="22"/>
        </w:rPr>
        <w:t>MicardisPlus</w:t>
      </w:r>
      <w:proofErr w:type="spellEnd"/>
      <w:r w:rsidRPr="005B2844">
        <w:rPr>
          <w:sz w:val="22"/>
          <w:szCs w:val="22"/>
        </w:rPr>
        <w:t xml:space="preserve"> con o senza cibo.</w:t>
      </w:r>
    </w:p>
    <w:p w:rsidR="00114C72" w:rsidRPr="005B2844" w:rsidRDefault="00114C72" w:rsidP="00114C72">
      <w:pPr>
        <w:pStyle w:val="NormalWeb"/>
        <w:spacing w:before="0" w:beforeAutospacing="0" w:after="0" w:afterAutospacing="0"/>
        <w:rPr>
          <w:sz w:val="22"/>
          <w:szCs w:val="22"/>
        </w:rPr>
      </w:pPr>
      <w:r w:rsidRPr="005B2844">
        <w:rPr>
          <w:sz w:val="22"/>
          <w:szCs w:val="22"/>
        </w:rPr>
        <w:t>Eviti di assumere alcol prima di averne parlato con il medico. L’a</w:t>
      </w:r>
      <w:r w:rsidR="00A744B4" w:rsidRPr="005B2844">
        <w:rPr>
          <w:sz w:val="22"/>
          <w:szCs w:val="22"/>
        </w:rPr>
        <w:t xml:space="preserve">lcol può ulteriormente ridurre la </w:t>
      </w:r>
      <w:r w:rsidRPr="005B2844">
        <w:rPr>
          <w:sz w:val="22"/>
          <w:szCs w:val="22"/>
        </w:rPr>
        <w:t xml:space="preserve">pressione del sangue e/o aumentare il rischio di </w:t>
      </w:r>
      <w:r w:rsidR="00A744B4" w:rsidRPr="005B2844">
        <w:rPr>
          <w:sz w:val="22"/>
          <w:szCs w:val="22"/>
        </w:rPr>
        <w:t>girament</w:t>
      </w:r>
      <w:r w:rsidRPr="005B2844">
        <w:rPr>
          <w:sz w:val="22"/>
          <w:szCs w:val="22"/>
        </w:rPr>
        <w:t>i</w:t>
      </w:r>
      <w:r w:rsidR="00A744B4" w:rsidRPr="005B2844">
        <w:rPr>
          <w:sz w:val="22"/>
          <w:szCs w:val="22"/>
        </w:rPr>
        <w:t xml:space="preserve"> di testa</w:t>
      </w:r>
      <w:r w:rsidRPr="005B2844">
        <w:rPr>
          <w:sz w:val="22"/>
          <w:szCs w:val="22"/>
        </w:rPr>
        <w:t xml:space="preserve"> o di svenimento.</w:t>
      </w:r>
    </w:p>
    <w:p w:rsidR="00114C72" w:rsidRPr="005B2844" w:rsidRDefault="00114C72" w:rsidP="0072602F">
      <w:pPr>
        <w:rPr>
          <w:szCs w:val="22"/>
        </w:rPr>
      </w:pPr>
    </w:p>
    <w:p w:rsidR="00FC5178" w:rsidRPr="005B2844" w:rsidRDefault="00FC5178" w:rsidP="00532263">
      <w:pPr>
        <w:keepNext/>
        <w:rPr>
          <w:b/>
          <w:szCs w:val="22"/>
        </w:rPr>
      </w:pPr>
      <w:r w:rsidRPr="005B2844">
        <w:rPr>
          <w:b/>
          <w:szCs w:val="22"/>
        </w:rPr>
        <w:t>Gravidanza e allattamento</w:t>
      </w:r>
    </w:p>
    <w:p w:rsidR="003D4FA8" w:rsidRPr="005B2844" w:rsidRDefault="003D4FA8" w:rsidP="00532263">
      <w:pPr>
        <w:keepNext/>
        <w:rPr>
          <w:szCs w:val="22"/>
        </w:rPr>
      </w:pPr>
    </w:p>
    <w:p w:rsidR="00B103D0" w:rsidRPr="005B2844" w:rsidRDefault="00B103D0" w:rsidP="00532263">
      <w:pPr>
        <w:keepNext/>
        <w:numPr>
          <w:ilvl w:val="12"/>
          <w:numId w:val="0"/>
        </w:numPr>
        <w:rPr>
          <w:noProof/>
          <w:color w:val="000000"/>
          <w:szCs w:val="22"/>
          <w:u w:val="single"/>
        </w:rPr>
      </w:pPr>
      <w:r w:rsidRPr="005B2844">
        <w:rPr>
          <w:noProof/>
          <w:color w:val="000000"/>
          <w:szCs w:val="22"/>
          <w:u w:val="single"/>
        </w:rPr>
        <w:t>Gravidanza</w:t>
      </w:r>
    </w:p>
    <w:p w:rsidR="00B331C9" w:rsidRPr="005B2844" w:rsidRDefault="00B331C9" w:rsidP="00B331C9">
      <w:pPr>
        <w:numPr>
          <w:ilvl w:val="12"/>
          <w:numId w:val="0"/>
        </w:numPr>
        <w:rPr>
          <w:color w:val="000000"/>
          <w:szCs w:val="22"/>
        </w:rPr>
      </w:pPr>
      <w:r w:rsidRPr="005B2844">
        <w:rPr>
          <w:noProof/>
          <w:color w:val="000000"/>
          <w:szCs w:val="22"/>
        </w:rPr>
        <w:t>Deve informare il medico se pensa di essere in stato di gravidanza (</w:t>
      </w:r>
      <w:r w:rsidRPr="005B2844">
        <w:rPr>
          <w:noProof/>
          <w:color w:val="000000"/>
          <w:szCs w:val="22"/>
          <w:u w:val="single"/>
        </w:rPr>
        <w:t>o se vi è la possibilità di dare inizio ad una gravidanza</w:t>
      </w:r>
      <w:r w:rsidRPr="005B2844">
        <w:rPr>
          <w:noProof/>
          <w:color w:val="000000"/>
          <w:szCs w:val="22"/>
        </w:rPr>
        <w:t xml:space="preserve">). Di norma il medico le consiglierà di interrompere l’assunzione di MicardisPlus prima di dare inizio alla gravidanza o appena lei verrà a conoscenza di essere in stato di gravidanza e le consiglierà di prendere un altro medicinale al posto di MicardisPlus. MicardisPlus non è raccomandato </w:t>
      </w:r>
      <w:r w:rsidR="00097394" w:rsidRPr="005B2844">
        <w:rPr>
          <w:noProof/>
          <w:color w:val="000000"/>
          <w:szCs w:val="22"/>
        </w:rPr>
        <w:t>durante la</w:t>
      </w:r>
      <w:r w:rsidRPr="005B2844">
        <w:rPr>
          <w:noProof/>
          <w:color w:val="000000"/>
          <w:szCs w:val="22"/>
        </w:rPr>
        <w:t xml:space="preserve"> gravidanza e non deve essere assunto se lei è </w:t>
      </w:r>
      <w:r w:rsidRPr="005B2844">
        <w:rPr>
          <w:szCs w:val="22"/>
        </w:rPr>
        <w:t>in stato di gravidanza da più di 3 mesi</w:t>
      </w:r>
      <w:r w:rsidRPr="005B2844">
        <w:rPr>
          <w:noProof/>
          <w:color w:val="000000"/>
          <w:szCs w:val="22"/>
        </w:rPr>
        <w:t xml:space="preserve"> poiché può causare gravi danni al bambino se preso dopo il terzo mese di gravidanza.</w:t>
      </w:r>
    </w:p>
    <w:p w:rsidR="00B331C9" w:rsidRPr="005B2844" w:rsidRDefault="00B331C9" w:rsidP="00B331C9">
      <w:pPr>
        <w:rPr>
          <w:szCs w:val="22"/>
        </w:rPr>
      </w:pPr>
    </w:p>
    <w:p w:rsidR="00B331C9" w:rsidRPr="005B2844" w:rsidRDefault="00B331C9" w:rsidP="00532263">
      <w:pPr>
        <w:keepNext/>
        <w:rPr>
          <w:szCs w:val="22"/>
          <w:u w:val="single"/>
        </w:rPr>
      </w:pPr>
      <w:r w:rsidRPr="005B2844">
        <w:rPr>
          <w:szCs w:val="22"/>
          <w:u w:val="single"/>
        </w:rPr>
        <w:t>Allattamento</w:t>
      </w:r>
    </w:p>
    <w:p w:rsidR="00FC5178" w:rsidRPr="005B2844" w:rsidRDefault="00B331C9" w:rsidP="00B103D0">
      <w:pPr>
        <w:rPr>
          <w:szCs w:val="22"/>
        </w:rPr>
      </w:pPr>
      <w:r w:rsidRPr="005B2844">
        <w:rPr>
          <w:szCs w:val="22"/>
        </w:rPr>
        <w:t xml:space="preserve">Informi il medico se sta allattando o se sta per iniziare l’allattamento. </w:t>
      </w:r>
      <w:proofErr w:type="spellStart"/>
      <w:r w:rsidRPr="005B2844">
        <w:rPr>
          <w:szCs w:val="22"/>
        </w:rPr>
        <w:t>MicardisPlus</w:t>
      </w:r>
      <w:proofErr w:type="spellEnd"/>
      <w:r w:rsidRPr="005B2844">
        <w:rPr>
          <w:szCs w:val="22"/>
        </w:rPr>
        <w:t xml:space="preserve"> non è raccomandato per le donne che stanno allattando e il medico può scegliere per lei un altro trattamento se lei desidera allattare.</w:t>
      </w:r>
    </w:p>
    <w:p w:rsidR="00FC5178" w:rsidRPr="005B2844" w:rsidRDefault="00FC5178" w:rsidP="0072602F">
      <w:pPr>
        <w:rPr>
          <w:szCs w:val="22"/>
        </w:rPr>
      </w:pPr>
    </w:p>
    <w:p w:rsidR="00FC5178" w:rsidRPr="005B2844" w:rsidRDefault="00FC5178" w:rsidP="00532263">
      <w:pPr>
        <w:keepNext/>
        <w:rPr>
          <w:b/>
          <w:szCs w:val="22"/>
        </w:rPr>
      </w:pPr>
      <w:r w:rsidRPr="005B2844">
        <w:rPr>
          <w:b/>
          <w:szCs w:val="22"/>
        </w:rPr>
        <w:t>Guida di v</w:t>
      </w:r>
      <w:r w:rsidR="003D4FA8" w:rsidRPr="005B2844">
        <w:rPr>
          <w:b/>
          <w:szCs w:val="22"/>
        </w:rPr>
        <w:t>eicoli e utilizzo di macchinari</w:t>
      </w:r>
    </w:p>
    <w:p w:rsidR="003D4FA8" w:rsidRPr="005B2844" w:rsidRDefault="003D4FA8" w:rsidP="00532263">
      <w:pPr>
        <w:keepNext/>
        <w:rPr>
          <w:szCs w:val="22"/>
        </w:rPr>
      </w:pPr>
    </w:p>
    <w:p w:rsidR="00FC5178" w:rsidRPr="005B2844" w:rsidRDefault="007D33BE" w:rsidP="0072602F">
      <w:pPr>
        <w:rPr>
          <w:szCs w:val="22"/>
        </w:rPr>
      </w:pPr>
      <w:r w:rsidRPr="005B2844">
        <w:rPr>
          <w:szCs w:val="22"/>
        </w:rPr>
        <w:t xml:space="preserve">Alcuni pazienti possono riportare </w:t>
      </w:r>
      <w:r w:rsidR="00A744B4" w:rsidRPr="005B2844">
        <w:rPr>
          <w:szCs w:val="22"/>
        </w:rPr>
        <w:t>girament</w:t>
      </w:r>
      <w:r w:rsidR="00470472" w:rsidRPr="005B2844">
        <w:rPr>
          <w:szCs w:val="22"/>
        </w:rPr>
        <w:t>o</w:t>
      </w:r>
      <w:r w:rsidR="00A744B4" w:rsidRPr="005B2844">
        <w:rPr>
          <w:szCs w:val="22"/>
        </w:rPr>
        <w:t xml:space="preserve"> di testa</w:t>
      </w:r>
      <w:r w:rsidRPr="005B2844">
        <w:rPr>
          <w:szCs w:val="22"/>
        </w:rPr>
        <w:t xml:space="preserve"> o </w:t>
      </w:r>
      <w:r w:rsidR="00A744B4" w:rsidRPr="005B2844">
        <w:rPr>
          <w:szCs w:val="22"/>
        </w:rPr>
        <w:t xml:space="preserve">stanchezza </w:t>
      </w:r>
      <w:r w:rsidR="004468FF" w:rsidRPr="005B2844">
        <w:rPr>
          <w:szCs w:val="22"/>
        </w:rPr>
        <w:t xml:space="preserve">quando assumono </w:t>
      </w:r>
      <w:proofErr w:type="spellStart"/>
      <w:r w:rsidR="004468FF" w:rsidRPr="005B2844">
        <w:rPr>
          <w:szCs w:val="22"/>
        </w:rPr>
        <w:t>MicardisPlus</w:t>
      </w:r>
      <w:proofErr w:type="spellEnd"/>
      <w:r w:rsidR="003D58CE" w:rsidRPr="005B2844">
        <w:rPr>
          <w:szCs w:val="22"/>
        </w:rPr>
        <w:t>.</w:t>
      </w:r>
      <w:r w:rsidRPr="005B2844">
        <w:rPr>
          <w:szCs w:val="22"/>
        </w:rPr>
        <w:t xml:space="preserve"> Se si verificano questi effetti, non guidi né utilizzi macchinari.</w:t>
      </w:r>
    </w:p>
    <w:p w:rsidR="00FC5178" w:rsidRPr="005B2844" w:rsidRDefault="00FC5178" w:rsidP="0072602F">
      <w:pPr>
        <w:rPr>
          <w:szCs w:val="22"/>
        </w:rPr>
      </w:pPr>
    </w:p>
    <w:p w:rsidR="007D33BE" w:rsidRPr="005B2844" w:rsidRDefault="007D33BE" w:rsidP="00532263">
      <w:pPr>
        <w:keepNext/>
        <w:rPr>
          <w:b/>
          <w:szCs w:val="22"/>
        </w:rPr>
      </w:pPr>
      <w:proofErr w:type="spellStart"/>
      <w:r w:rsidRPr="005B2844">
        <w:rPr>
          <w:b/>
          <w:szCs w:val="22"/>
        </w:rPr>
        <w:t>MicardisPlus</w:t>
      </w:r>
      <w:proofErr w:type="spellEnd"/>
      <w:r w:rsidRPr="005B2844">
        <w:rPr>
          <w:b/>
          <w:szCs w:val="22"/>
        </w:rPr>
        <w:t xml:space="preserve"> contiene lo zucchero del latte (lattosio) e sorbitolo.</w:t>
      </w:r>
    </w:p>
    <w:p w:rsidR="007D33BE" w:rsidRPr="005B2844" w:rsidRDefault="007D33BE" w:rsidP="0072602F">
      <w:pPr>
        <w:rPr>
          <w:szCs w:val="22"/>
        </w:rPr>
      </w:pPr>
      <w:r w:rsidRPr="005B2844">
        <w:rPr>
          <w:szCs w:val="22"/>
        </w:rPr>
        <w:t xml:space="preserve">Se lei è intollerante a qualche zucchero, consulti il medico prima di assumere </w:t>
      </w:r>
      <w:proofErr w:type="spellStart"/>
      <w:r w:rsidRPr="005B2844">
        <w:rPr>
          <w:szCs w:val="22"/>
        </w:rPr>
        <w:t>MicardisPlus</w:t>
      </w:r>
      <w:proofErr w:type="spellEnd"/>
      <w:r w:rsidRPr="005B2844">
        <w:rPr>
          <w:szCs w:val="22"/>
        </w:rPr>
        <w:t>.</w:t>
      </w:r>
    </w:p>
    <w:p w:rsidR="00FC5178" w:rsidRPr="005B2844" w:rsidRDefault="00FC5178" w:rsidP="0072602F">
      <w:pPr>
        <w:rPr>
          <w:szCs w:val="22"/>
        </w:rPr>
      </w:pPr>
    </w:p>
    <w:p w:rsidR="00FC5178" w:rsidRPr="005B2844" w:rsidRDefault="00FC5178" w:rsidP="0072602F">
      <w:pPr>
        <w:rPr>
          <w:szCs w:val="22"/>
        </w:rPr>
      </w:pPr>
    </w:p>
    <w:p w:rsidR="00FC5178" w:rsidRPr="005B2844" w:rsidRDefault="003241D0" w:rsidP="00532263">
      <w:pPr>
        <w:keepNext/>
        <w:tabs>
          <w:tab w:val="left" w:pos="567"/>
        </w:tabs>
        <w:rPr>
          <w:b/>
          <w:szCs w:val="22"/>
        </w:rPr>
      </w:pPr>
      <w:r w:rsidRPr="005B2844">
        <w:rPr>
          <w:b/>
          <w:szCs w:val="22"/>
        </w:rPr>
        <w:t>3.</w:t>
      </w:r>
      <w:r w:rsidRPr="005B2844">
        <w:rPr>
          <w:b/>
          <w:szCs w:val="22"/>
        </w:rPr>
        <w:tab/>
      </w:r>
      <w:r w:rsidR="001063FE" w:rsidRPr="005B2844">
        <w:rPr>
          <w:b/>
          <w:szCs w:val="22"/>
        </w:rPr>
        <w:t xml:space="preserve">Come prendere </w:t>
      </w:r>
      <w:proofErr w:type="spellStart"/>
      <w:r w:rsidR="001063FE" w:rsidRPr="005B2844">
        <w:rPr>
          <w:b/>
          <w:szCs w:val="22"/>
        </w:rPr>
        <w:t>MicardisPlus</w:t>
      </w:r>
      <w:proofErr w:type="spellEnd"/>
    </w:p>
    <w:p w:rsidR="00FC5178" w:rsidRPr="005B2844" w:rsidRDefault="00FC5178" w:rsidP="00532263">
      <w:pPr>
        <w:keepNext/>
        <w:rPr>
          <w:szCs w:val="22"/>
        </w:rPr>
      </w:pPr>
    </w:p>
    <w:p w:rsidR="00FC5178" w:rsidRPr="005B2844" w:rsidRDefault="00FC5178" w:rsidP="0072602F">
      <w:pPr>
        <w:rPr>
          <w:szCs w:val="22"/>
        </w:rPr>
      </w:pPr>
      <w:r w:rsidRPr="005B2844">
        <w:rPr>
          <w:szCs w:val="22"/>
        </w:rPr>
        <w:t xml:space="preserve">Prenda </w:t>
      </w:r>
      <w:r w:rsidR="005F796E" w:rsidRPr="005B2844">
        <w:rPr>
          <w:szCs w:val="22"/>
        </w:rPr>
        <w:t xml:space="preserve">questo medicinale </w:t>
      </w:r>
      <w:r w:rsidRPr="005B2844">
        <w:rPr>
          <w:szCs w:val="22"/>
        </w:rPr>
        <w:t xml:space="preserve">seguendo </w:t>
      </w:r>
      <w:r w:rsidR="0009078D" w:rsidRPr="005B2844">
        <w:rPr>
          <w:szCs w:val="22"/>
        </w:rPr>
        <w:t xml:space="preserve">sempre </w:t>
      </w:r>
      <w:r w:rsidRPr="005B2844">
        <w:rPr>
          <w:szCs w:val="22"/>
        </w:rPr>
        <w:t xml:space="preserve">esattamente le istruzioni del medico. Se </w:t>
      </w:r>
      <w:r w:rsidR="00825513" w:rsidRPr="005B2844">
        <w:rPr>
          <w:szCs w:val="22"/>
        </w:rPr>
        <w:t>ha dubbi</w:t>
      </w:r>
      <w:r w:rsidRPr="005B2844">
        <w:rPr>
          <w:szCs w:val="22"/>
        </w:rPr>
        <w:t xml:space="preserve"> consult</w:t>
      </w:r>
      <w:r w:rsidR="00825513" w:rsidRPr="005B2844">
        <w:rPr>
          <w:szCs w:val="22"/>
        </w:rPr>
        <w:t>i</w:t>
      </w:r>
      <w:r w:rsidRPr="005B2844">
        <w:rPr>
          <w:szCs w:val="22"/>
        </w:rPr>
        <w:t xml:space="preserve"> il medico o il farmacista.</w:t>
      </w:r>
    </w:p>
    <w:p w:rsidR="00FC5178" w:rsidRPr="005B2844" w:rsidRDefault="00FC5178" w:rsidP="0072602F">
      <w:pPr>
        <w:rPr>
          <w:szCs w:val="22"/>
        </w:rPr>
      </w:pPr>
    </w:p>
    <w:p w:rsidR="001063FE" w:rsidRPr="005B2844" w:rsidRDefault="00FC5178" w:rsidP="0072602F">
      <w:pPr>
        <w:rPr>
          <w:szCs w:val="22"/>
        </w:rPr>
      </w:pPr>
      <w:r w:rsidRPr="005B2844">
        <w:rPr>
          <w:szCs w:val="22"/>
        </w:rPr>
        <w:t xml:space="preserve">La dose </w:t>
      </w:r>
      <w:r w:rsidR="001063FE" w:rsidRPr="005B2844">
        <w:rPr>
          <w:szCs w:val="22"/>
        </w:rPr>
        <w:t>raccomandata</w:t>
      </w:r>
      <w:r w:rsidRPr="005B2844">
        <w:rPr>
          <w:szCs w:val="22"/>
        </w:rPr>
        <w:t xml:space="preserve"> è di una compressa al giorno. </w:t>
      </w:r>
      <w:r w:rsidR="00942B7D" w:rsidRPr="005B2844">
        <w:rPr>
          <w:szCs w:val="22"/>
        </w:rPr>
        <w:t>Cerchi di prendere la compressa alla stessa ora ogni giorno.</w:t>
      </w:r>
    </w:p>
    <w:p w:rsidR="00FC5178" w:rsidRPr="005B2844" w:rsidRDefault="00FC5178" w:rsidP="0072602F">
      <w:pPr>
        <w:rPr>
          <w:szCs w:val="22"/>
        </w:rPr>
      </w:pPr>
      <w:r w:rsidRPr="005B2844">
        <w:rPr>
          <w:szCs w:val="22"/>
        </w:rPr>
        <w:t xml:space="preserve">Può prendere </w:t>
      </w:r>
      <w:proofErr w:type="spellStart"/>
      <w:r w:rsidRPr="005B2844">
        <w:rPr>
          <w:szCs w:val="22"/>
        </w:rPr>
        <w:t>MicardisPlus</w:t>
      </w:r>
      <w:proofErr w:type="spellEnd"/>
      <w:r w:rsidRPr="005B2844">
        <w:rPr>
          <w:szCs w:val="22"/>
        </w:rPr>
        <w:t xml:space="preserve"> con o senza cibo. Le compresse devono essere deglutite con un </w:t>
      </w:r>
      <w:r w:rsidR="00942B7D" w:rsidRPr="005B2844">
        <w:rPr>
          <w:szCs w:val="22"/>
        </w:rPr>
        <w:t>po’ d’acqua o altra bevanda non alcolica</w:t>
      </w:r>
      <w:r w:rsidR="009A6216" w:rsidRPr="005B2844">
        <w:rPr>
          <w:szCs w:val="22"/>
        </w:rPr>
        <w:t>.</w:t>
      </w:r>
      <w:r w:rsidRPr="005B2844">
        <w:rPr>
          <w:szCs w:val="22"/>
        </w:rPr>
        <w:t xml:space="preserve"> È importante prendere </w:t>
      </w:r>
      <w:proofErr w:type="spellStart"/>
      <w:r w:rsidRPr="005B2844">
        <w:rPr>
          <w:szCs w:val="22"/>
        </w:rPr>
        <w:t>MicardisPlus</w:t>
      </w:r>
      <w:proofErr w:type="spellEnd"/>
      <w:r w:rsidRPr="005B2844">
        <w:rPr>
          <w:szCs w:val="22"/>
        </w:rPr>
        <w:t xml:space="preserve"> ogni giorno fino a quando il medico non le dirà altrimenti.</w:t>
      </w:r>
    </w:p>
    <w:p w:rsidR="00FC5178" w:rsidRPr="005B2844" w:rsidRDefault="00FC5178" w:rsidP="0072602F">
      <w:pPr>
        <w:rPr>
          <w:szCs w:val="22"/>
        </w:rPr>
      </w:pPr>
    </w:p>
    <w:p w:rsidR="00FC5178" w:rsidRPr="005B2844" w:rsidRDefault="00F41701" w:rsidP="0072602F">
      <w:pPr>
        <w:rPr>
          <w:szCs w:val="22"/>
        </w:rPr>
      </w:pPr>
      <w:r w:rsidRPr="005B2844">
        <w:rPr>
          <w:szCs w:val="22"/>
        </w:rPr>
        <w:t xml:space="preserve">Se il suo fegato non </w:t>
      </w:r>
      <w:r w:rsidR="009058A5" w:rsidRPr="005B2844">
        <w:rPr>
          <w:szCs w:val="22"/>
        </w:rPr>
        <w:t>funziona</w:t>
      </w:r>
      <w:r w:rsidRPr="005B2844">
        <w:rPr>
          <w:szCs w:val="22"/>
        </w:rPr>
        <w:t xml:space="preserve"> in modo adeguato, </w:t>
      </w:r>
      <w:r w:rsidR="00FC5178" w:rsidRPr="005B2844">
        <w:rPr>
          <w:szCs w:val="22"/>
        </w:rPr>
        <w:t xml:space="preserve">non deve essere superata la dose abituale di 40 mg/12,5 mg </w:t>
      </w:r>
      <w:r w:rsidR="00E95954" w:rsidRPr="005B2844">
        <w:rPr>
          <w:szCs w:val="22"/>
        </w:rPr>
        <w:t xml:space="preserve">una volta </w:t>
      </w:r>
      <w:r w:rsidR="00FC5178" w:rsidRPr="005B2844">
        <w:rPr>
          <w:szCs w:val="22"/>
        </w:rPr>
        <w:t>al giorno.</w:t>
      </w:r>
    </w:p>
    <w:p w:rsidR="00FC5178" w:rsidRPr="005B2844" w:rsidRDefault="00FC5178" w:rsidP="0072602F">
      <w:pPr>
        <w:rPr>
          <w:szCs w:val="22"/>
        </w:rPr>
      </w:pPr>
    </w:p>
    <w:p w:rsidR="00FC5178" w:rsidRPr="005B2844" w:rsidRDefault="00FC5178" w:rsidP="00532263">
      <w:pPr>
        <w:keepNext/>
        <w:rPr>
          <w:b/>
          <w:szCs w:val="22"/>
        </w:rPr>
      </w:pPr>
      <w:r w:rsidRPr="005B2844">
        <w:rPr>
          <w:b/>
          <w:szCs w:val="22"/>
        </w:rPr>
        <w:t xml:space="preserve">Se prende più </w:t>
      </w:r>
      <w:proofErr w:type="spellStart"/>
      <w:r w:rsidRPr="005B2844">
        <w:rPr>
          <w:b/>
          <w:szCs w:val="22"/>
        </w:rPr>
        <w:t>MicardisPlus</w:t>
      </w:r>
      <w:proofErr w:type="spellEnd"/>
      <w:r w:rsidRPr="005B2844">
        <w:rPr>
          <w:b/>
          <w:szCs w:val="22"/>
        </w:rPr>
        <w:t xml:space="preserve"> di quanto deve</w:t>
      </w:r>
    </w:p>
    <w:p w:rsidR="00FC5178" w:rsidRPr="005B2844" w:rsidRDefault="00FC5178" w:rsidP="0072602F">
      <w:pPr>
        <w:rPr>
          <w:szCs w:val="22"/>
        </w:rPr>
      </w:pPr>
      <w:r w:rsidRPr="005B2844">
        <w:rPr>
          <w:szCs w:val="22"/>
        </w:rPr>
        <w:t>In caso lei abbia preso per errore troppe compresse</w:t>
      </w:r>
      <w:r w:rsidR="00114C72" w:rsidRPr="005B2844">
        <w:rPr>
          <w:szCs w:val="22"/>
        </w:rPr>
        <w:t xml:space="preserve"> potrebbe avvertire sintomi quali</w:t>
      </w:r>
      <w:r w:rsidR="008A1016" w:rsidRPr="005B2844">
        <w:rPr>
          <w:szCs w:val="22"/>
        </w:rPr>
        <w:t xml:space="preserve"> pressione del sangue bassa e battito del cuore accelerato. Sono stati riportati anche battito del cuore lento, </w:t>
      </w:r>
      <w:r w:rsidR="00A744B4" w:rsidRPr="005B2844">
        <w:rPr>
          <w:szCs w:val="22"/>
        </w:rPr>
        <w:t>capogiri</w:t>
      </w:r>
      <w:r w:rsidR="008A1016" w:rsidRPr="005B2844">
        <w:rPr>
          <w:szCs w:val="22"/>
        </w:rPr>
        <w:t xml:space="preserve">, vomito, ridotta funzionalità renale inclusa insufficienza renale. A causa della presenza di </w:t>
      </w:r>
      <w:proofErr w:type="spellStart"/>
      <w:r w:rsidR="008A1016" w:rsidRPr="005B2844">
        <w:rPr>
          <w:szCs w:val="22"/>
        </w:rPr>
        <w:t>idroclorotiazide</w:t>
      </w:r>
      <w:proofErr w:type="spellEnd"/>
      <w:r w:rsidR="008A1016" w:rsidRPr="005B2844">
        <w:rPr>
          <w:szCs w:val="22"/>
        </w:rPr>
        <w:t>, possono anche presentarsi pressione del sangue marcatamente bassa e bassi livelli di potassio nel sangue, che possono provocare nausea, sonnolenza e crampi muscolari</w:t>
      </w:r>
      <w:r w:rsidR="00880FE1" w:rsidRPr="005B2844">
        <w:rPr>
          <w:szCs w:val="22"/>
        </w:rPr>
        <w:t xml:space="preserve"> e/o battito del</w:t>
      </w:r>
      <w:r w:rsidR="00DE07CD" w:rsidRPr="005B2844">
        <w:rPr>
          <w:szCs w:val="22"/>
        </w:rPr>
        <w:t xml:space="preserve"> cuore irregolare associato al</w:t>
      </w:r>
      <w:r w:rsidR="00880FE1" w:rsidRPr="005B2844">
        <w:rPr>
          <w:szCs w:val="22"/>
        </w:rPr>
        <w:t>l’uso concomitante di farmaci come la digitale o alcuni trattamenti antiaritmici</w:t>
      </w:r>
      <w:r w:rsidR="008A1016" w:rsidRPr="005B2844">
        <w:rPr>
          <w:szCs w:val="22"/>
        </w:rPr>
        <w:t>.</w:t>
      </w:r>
      <w:r w:rsidRPr="005B2844">
        <w:rPr>
          <w:szCs w:val="22"/>
        </w:rPr>
        <w:t xml:space="preserve"> </w:t>
      </w:r>
      <w:r w:rsidR="00114C72" w:rsidRPr="005B2844">
        <w:rPr>
          <w:szCs w:val="22"/>
        </w:rPr>
        <w:t>C</w:t>
      </w:r>
      <w:r w:rsidRPr="005B2844">
        <w:rPr>
          <w:szCs w:val="22"/>
        </w:rPr>
        <w:t xml:space="preserve">ontatti </w:t>
      </w:r>
      <w:r w:rsidR="00F41701" w:rsidRPr="005B2844">
        <w:rPr>
          <w:szCs w:val="22"/>
        </w:rPr>
        <w:t xml:space="preserve">immediatamente </w:t>
      </w:r>
      <w:r w:rsidRPr="005B2844">
        <w:rPr>
          <w:szCs w:val="22"/>
        </w:rPr>
        <w:t>il medico o il farmacista, o il pronto soccorso dell'ospedale più vicino.</w:t>
      </w:r>
    </w:p>
    <w:p w:rsidR="00FC5178" w:rsidRPr="005B2844" w:rsidRDefault="00FC5178" w:rsidP="0072602F">
      <w:pPr>
        <w:rPr>
          <w:szCs w:val="22"/>
        </w:rPr>
      </w:pPr>
    </w:p>
    <w:p w:rsidR="00FC5178" w:rsidRPr="005B2844" w:rsidRDefault="00FC5178" w:rsidP="00532263">
      <w:pPr>
        <w:keepNext/>
        <w:rPr>
          <w:b/>
          <w:szCs w:val="22"/>
        </w:rPr>
      </w:pPr>
      <w:r w:rsidRPr="005B2844">
        <w:rPr>
          <w:b/>
          <w:szCs w:val="22"/>
        </w:rPr>
        <w:t xml:space="preserve">Se dimentica di prendere </w:t>
      </w:r>
      <w:proofErr w:type="spellStart"/>
      <w:r w:rsidRPr="005B2844">
        <w:rPr>
          <w:b/>
          <w:szCs w:val="22"/>
        </w:rPr>
        <w:t>MicardisPlus</w:t>
      </w:r>
      <w:proofErr w:type="spellEnd"/>
    </w:p>
    <w:p w:rsidR="00FC5178" w:rsidRPr="005B2844" w:rsidRDefault="00FC5178" w:rsidP="0072602F">
      <w:pPr>
        <w:rPr>
          <w:szCs w:val="22"/>
        </w:rPr>
      </w:pPr>
      <w:r w:rsidRPr="005B2844">
        <w:rPr>
          <w:szCs w:val="22"/>
        </w:rPr>
        <w:t xml:space="preserve">Se dimentica di prendere il medicinale, non si preoccupi. Lo prenda non appena se ne ricorda, poi continui come prima. Se salta la dose di un giorno, prenda la dose normale il giorno successivo. </w:t>
      </w:r>
      <w:r w:rsidRPr="005B2844">
        <w:rPr>
          <w:b/>
          <w:i/>
          <w:szCs w:val="22"/>
        </w:rPr>
        <w:t xml:space="preserve">Non </w:t>
      </w:r>
      <w:r w:rsidRPr="005B2844">
        <w:rPr>
          <w:szCs w:val="22"/>
        </w:rPr>
        <w:t>prenda una dose doppia per compensare</w:t>
      </w:r>
      <w:r w:rsidR="00F41701" w:rsidRPr="005B2844">
        <w:rPr>
          <w:szCs w:val="22"/>
        </w:rPr>
        <w:t xml:space="preserve"> la dimenticanza </w:t>
      </w:r>
      <w:r w:rsidR="00D01EC3" w:rsidRPr="005B2844">
        <w:rPr>
          <w:szCs w:val="22"/>
        </w:rPr>
        <w:t>delle dosi</w:t>
      </w:r>
      <w:r w:rsidRPr="005B2844">
        <w:rPr>
          <w:szCs w:val="22"/>
        </w:rPr>
        <w:t>.</w:t>
      </w:r>
    </w:p>
    <w:p w:rsidR="00FC5178" w:rsidRPr="005B2844" w:rsidRDefault="00FC5178" w:rsidP="0072602F">
      <w:pPr>
        <w:rPr>
          <w:szCs w:val="22"/>
        </w:rPr>
      </w:pPr>
    </w:p>
    <w:p w:rsidR="00FC5178" w:rsidRPr="005B2844" w:rsidRDefault="00FC5178" w:rsidP="0072602F">
      <w:pPr>
        <w:suppressAutoHyphens/>
        <w:rPr>
          <w:noProof/>
          <w:szCs w:val="22"/>
        </w:rPr>
      </w:pPr>
      <w:r w:rsidRPr="005B2844">
        <w:rPr>
          <w:noProof/>
          <w:szCs w:val="22"/>
        </w:rPr>
        <w:t xml:space="preserve">Se ha qualsiasi dubbio sull’uso di </w:t>
      </w:r>
      <w:r w:rsidR="00036097" w:rsidRPr="005B2844">
        <w:rPr>
          <w:noProof/>
          <w:szCs w:val="22"/>
        </w:rPr>
        <w:t>questo medicinale</w:t>
      </w:r>
      <w:r w:rsidRPr="005B2844">
        <w:rPr>
          <w:noProof/>
          <w:szCs w:val="22"/>
        </w:rPr>
        <w:t>, si rivolga al medico o al farmacista.</w:t>
      </w:r>
    </w:p>
    <w:p w:rsidR="00FC5178" w:rsidRPr="005B2844" w:rsidRDefault="00FC5178" w:rsidP="0072602F">
      <w:pPr>
        <w:rPr>
          <w:szCs w:val="22"/>
        </w:rPr>
      </w:pPr>
    </w:p>
    <w:p w:rsidR="00FC5178" w:rsidRPr="005B2844" w:rsidRDefault="00FC5178" w:rsidP="0072602F">
      <w:pPr>
        <w:rPr>
          <w:szCs w:val="22"/>
        </w:rPr>
      </w:pPr>
    </w:p>
    <w:p w:rsidR="00FC5178" w:rsidRPr="005B2844" w:rsidRDefault="00FC5178" w:rsidP="00532263">
      <w:pPr>
        <w:keepNext/>
        <w:ind w:left="567" w:hanging="567"/>
        <w:rPr>
          <w:b/>
          <w:szCs w:val="22"/>
        </w:rPr>
      </w:pPr>
      <w:r w:rsidRPr="005B2844">
        <w:rPr>
          <w:b/>
          <w:szCs w:val="22"/>
        </w:rPr>
        <w:t>4.</w:t>
      </w:r>
      <w:r w:rsidRPr="005B2844">
        <w:rPr>
          <w:b/>
          <w:szCs w:val="22"/>
        </w:rPr>
        <w:tab/>
      </w:r>
      <w:r w:rsidR="00036097" w:rsidRPr="005B2844">
        <w:rPr>
          <w:b/>
          <w:noProof/>
          <w:szCs w:val="22"/>
        </w:rPr>
        <w:t>Possibili effetti indesiderati</w:t>
      </w:r>
    </w:p>
    <w:p w:rsidR="00FC5178" w:rsidRPr="005B2844" w:rsidRDefault="00FC5178" w:rsidP="00532263">
      <w:pPr>
        <w:keepNext/>
        <w:rPr>
          <w:szCs w:val="22"/>
        </w:rPr>
      </w:pPr>
    </w:p>
    <w:p w:rsidR="00FC5178" w:rsidRPr="005B2844" w:rsidRDefault="00FC5178" w:rsidP="0072602F">
      <w:pPr>
        <w:rPr>
          <w:szCs w:val="22"/>
        </w:rPr>
      </w:pPr>
      <w:r w:rsidRPr="005B2844">
        <w:rPr>
          <w:szCs w:val="22"/>
        </w:rPr>
        <w:t xml:space="preserve">Come tutti i medicinali, </w:t>
      </w:r>
      <w:r w:rsidR="00036097" w:rsidRPr="005B2844">
        <w:rPr>
          <w:szCs w:val="22"/>
        </w:rPr>
        <w:t>questo medicinale</w:t>
      </w:r>
      <w:r w:rsidRPr="005B2844">
        <w:rPr>
          <w:szCs w:val="22"/>
        </w:rPr>
        <w:t xml:space="preserve"> può causare effetti indesiderati </w:t>
      </w:r>
      <w:r w:rsidRPr="005B2844">
        <w:rPr>
          <w:noProof/>
          <w:szCs w:val="22"/>
        </w:rPr>
        <w:t>sebbene non tutte le persone li manifestino</w:t>
      </w:r>
      <w:r w:rsidRPr="005B2844">
        <w:rPr>
          <w:szCs w:val="22"/>
        </w:rPr>
        <w:t>.</w:t>
      </w:r>
    </w:p>
    <w:p w:rsidR="00FC5178" w:rsidRPr="005B2844" w:rsidRDefault="00FC5178" w:rsidP="0072602F">
      <w:pPr>
        <w:rPr>
          <w:szCs w:val="22"/>
        </w:rPr>
      </w:pPr>
    </w:p>
    <w:p w:rsidR="00927CB9" w:rsidRPr="005B2844" w:rsidRDefault="00927CB9" w:rsidP="00532263">
      <w:pPr>
        <w:keepNext/>
        <w:rPr>
          <w:b/>
          <w:szCs w:val="22"/>
        </w:rPr>
      </w:pPr>
      <w:r w:rsidRPr="005B2844">
        <w:rPr>
          <w:b/>
          <w:szCs w:val="22"/>
        </w:rPr>
        <w:t>Alcuni effetti indesiderati possono essere gravi e necessitare di immediate cure mediche:</w:t>
      </w:r>
    </w:p>
    <w:p w:rsidR="00C10D56" w:rsidRPr="005B2844" w:rsidRDefault="00C10D56" w:rsidP="00532263">
      <w:pPr>
        <w:keepNext/>
        <w:rPr>
          <w:szCs w:val="22"/>
        </w:rPr>
      </w:pPr>
    </w:p>
    <w:p w:rsidR="00927CB9" w:rsidRPr="005B2844" w:rsidRDefault="00927CB9" w:rsidP="00927CB9">
      <w:pPr>
        <w:rPr>
          <w:szCs w:val="22"/>
        </w:rPr>
      </w:pPr>
      <w:r w:rsidRPr="005B2844">
        <w:rPr>
          <w:szCs w:val="22"/>
        </w:rPr>
        <w:t>Deve recarsi immediatamente dal medico se manifesta uno qualsiasi dei seguenti sintomi:</w:t>
      </w:r>
    </w:p>
    <w:p w:rsidR="00927CB9" w:rsidRPr="005B2844" w:rsidRDefault="00927CB9" w:rsidP="00927CB9">
      <w:pPr>
        <w:rPr>
          <w:szCs w:val="22"/>
        </w:rPr>
      </w:pPr>
    </w:p>
    <w:p w:rsidR="00927CB9" w:rsidRPr="005B2844" w:rsidRDefault="00927CB9" w:rsidP="00927CB9">
      <w:pPr>
        <w:rPr>
          <w:szCs w:val="22"/>
        </w:rPr>
      </w:pPr>
      <w:r w:rsidRPr="005B2844">
        <w:rPr>
          <w:szCs w:val="22"/>
        </w:rPr>
        <w:t>Sepsi* (spesso chiamata "infezione del sangue"</w:t>
      </w:r>
      <w:r w:rsidR="00A70A8E" w:rsidRPr="005B2844">
        <w:rPr>
          <w:szCs w:val="22"/>
        </w:rPr>
        <w:t>)</w:t>
      </w:r>
      <w:r w:rsidRPr="005B2844">
        <w:rPr>
          <w:szCs w:val="22"/>
        </w:rPr>
        <w:t xml:space="preserve"> è una grave infezione con risposta infiammatoria dell’intero organismo, rapido gonfiore della pelle e delle mucose (angioedema)</w:t>
      </w:r>
      <w:r w:rsidR="00114C72" w:rsidRPr="005B2844">
        <w:rPr>
          <w:szCs w:val="22"/>
        </w:rPr>
        <w:t>, comparsa di vesciche e desquamazione dello strato più esterno della pelle (</w:t>
      </w:r>
      <w:proofErr w:type="spellStart"/>
      <w:r w:rsidR="00114C72" w:rsidRPr="005B2844">
        <w:rPr>
          <w:szCs w:val="22"/>
        </w:rPr>
        <w:t>necrolisi</w:t>
      </w:r>
      <w:proofErr w:type="spellEnd"/>
      <w:r w:rsidR="00114C72" w:rsidRPr="005B2844">
        <w:rPr>
          <w:szCs w:val="22"/>
        </w:rPr>
        <w:t xml:space="preserve"> tossica epidermica)</w:t>
      </w:r>
      <w:r w:rsidRPr="005B2844">
        <w:rPr>
          <w:szCs w:val="22"/>
        </w:rPr>
        <w:t>; questi effetti indesiderati sono rari</w:t>
      </w:r>
      <w:r w:rsidR="00A70A8E" w:rsidRPr="005B2844">
        <w:rPr>
          <w:szCs w:val="22"/>
        </w:rPr>
        <w:t xml:space="preserve"> (possono interessare fino a 1 persona su 1.000)</w:t>
      </w:r>
      <w:r w:rsidR="00114C72" w:rsidRPr="005B2844">
        <w:rPr>
          <w:szCs w:val="22"/>
        </w:rPr>
        <w:t xml:space="preserve"> o di frequenza non nota (</w:t>
      </w:r>
      <w:proofErr w:type="spellStart"/>
      <w:r w:rsidR="00114C72" w:rsidRPr="005B2844">
        <w:rPr>
          <w:szCs w:val="22"/>
        </w:rPr>
        <w:t>necrolisi</w:t>
      </w:r>
      <w:proofErr w:type="spellEnd"/>
      <w:r w:rsidR="00114C72" w:rsidRPr="005B2844">
        <w:rPr>
          <w:szCs w:val="22"/>
        </w:rPr>
        <w:t xml:space="preserve"> epidermica tossica)</w:t>
      </w:r>
      <w:r w:rsidRPr="005B2844">
        <w:rPr>
          <w:szCs w:val="22"/>
        </w:rPr>
        <w:t xml:space="preserve"> ma estremamente gravi e i pazienti devono sospendere l'assunzione del </w:t>
      </w:r>
      <w:r w:rsidR="00A70A8E" w:rsidRPr="005B2844">
        <w:rPr>
          <w:szCs w:val="22"/>
        </w:rPr>
        <w:t>medicinale</w:t>
      </w:r>
      <w:r w:rsidRPr="005B2844">
        <w:rPr>
          <w:szCs w:val="22"/>
        </w:rPr>
        <w:t xml:space="preserve"> e consultare immediatamente il medico. Se questi effetti non vengono trattati possono essere fatali.</w:t>
      </w:r>
      <w:r w:rsidR="00A70A8E" w:rsidRPr="005B2844">
        <w:rPr>
          <w:szCs w:val="22"/>
        </w:rPr>
        <w:t xml:space="preserve"> L’aumento dell’incidenza di sepsi è stato osservato con </w:t>
      </w:r>
      <w:proofErr w:type="spellStart"/>
      <w:r w:rsidR="00A70A8E" w:rsidRPr="005B2844">
        <w:rPr>
          <w:szCs w:val="22"/>
        </w:rPr>
        <w:t>telmisartan</w:t>
      </w:r>
      <w:proofErr w:type="spellEnd"/>
      <w:r w:rsidR="00A70A8E" w:rsidRPr="005B2844">
        <w:rPr>
          <w:szCs w:val="22"/>
        </w:rPr>
        <w:t xml:space="preserve"> da solo, tuttavia non può essere escluso per </w:t>
      </w:r>
      <w:proofErr w:type="spellStart"/>
      <w:r w:rsidR="00A70A8E" w:rsidRPr="005B2844">
        <w:rPr>
          <w:szCs w:val="22"/>
        </w:rPr>
        <w:t>MicardisPlus</w:t>
      </w:r>
      <w:proofErr w:type="spellEnd"/>
      <w:r w:rsidR="00A70A8E" w:rsidRPr="005B2844">
        <w:rPr>
          <w:szCs w:val="22"/>
        </w:rPr>
        <w:t>.</w:t>
      </w:r>
    </w:p>
    <w:p w:rsidR="00927CB9" w:rsidRPr="005B2844" w:rsidRDefault="00927CB9" w:rsidP="00927CB9">
      <w:pPr>
        <w:rPr>
          <w:szCs w:val="22"/>
        </w:rPr>
      </w:pPr>
    </w:p>
    <w:p w:rsidR="00927CB9" w:rsidRPr="005B2844" w:rsidRDefault="00927CB9" w:rsidP="00532263">
      <w:pPr>
        <w:keepNext/>
        <w:rPr>
          <w:b/>
          <w:szCs w:val="22"/>
        </w:rPr>
      </w:pPr>
      <w:r w:rsidRPr="005B2844">
        <w:rPr>
          <w:b/>
          <w:szCs w:val="22"/>
        </w:rPr>
        <w:t xml:space="preserve">Possibili effetti indesiderati di </w:t>
      </w:r>
      <w:proofErr w:type="spellStart"/>
      <w:r w:rsidRPr="005B2844">
        <w:rPr>
          <w:b/>
          <w:szCs w:val="22"/>
        </w:rPr>
        <w:t>MicardisPlus</w:t>
      </w:r>
      <w:proofErr w:type="spellEnd"/>
      <w:r w:rsidRPr="005B2844">
        <w:rPr>
          <w:b/>
          <w:szCs w:val="22"/>
        </w:rPr>
        <w:t>:</w:t>
      </w:r>
    </w:p>
    <w:p w:rsidR="00927CB9" w:rsidRPr="005B2844" w:rsidRDefault="00927CB9" w:rsidP="00532263">
      <w:pPr>
        <w:keepNext/>
        <w:rPr>
          <w:szCs w:val="22"/>
          <w:u w:val="single"/>
        </w:rPr>
      </w:pPr>
    </w:p>
    <w:p w:rsidR="003D49E4" w:rsidRPr="005B2844" w:rsidRDefault="00F41701" w:rsidP="00532263">
      <w:pPr>
        <w:keepNext/>
        <w:rPr>
          <w:szCs w:val="22"/>
        </w:rPr>
      </w:pPr>
      <w:r w:rsidRPr="005B2844">
        <w:rPr>
          <w:szCs w:val="22"/>
          <w:u w:val="single"/>
        </w:rPr>
        <w:t>Effetti indesiderati comuni</w:t>
      </w:r>
      <w:r w:rsidRPr="005B2844">
        <w:rPr>
          <w:szCs w:val="22"/>
        </w:rPr>
        <w:t xml:space="preserve"> </w:t>
      </w:r>
      <w:r w:rsidR="00F90C99" w:rsidRPr="005B2844">
        <w:rPr>
          <w:szCs w:val="22"/>
        </w:rPr>
        <w:t>(possono interessare fino a 1 persona su 10)</w:t>
      </w:r>
      <w:r w:rsidRPr="005B2844">
        <w:rPr>
          <w:szCs w:val="22"/>
        </w:rPr>
        <w:t>:</w:t>
      </w:r>
    </w:p>
    <w:p w:rsidR="00F41701" w:rsidRPr="005B2844" w:rsidRDefault="00C42451" w:rsidP="0072602F">
      <w:pPr>
        <w:rPr>
          <w:szCs w:val="22"/>
        </w:rPr>
      </w:pPr>
      <w:r w:rsidRPr="005B2844">
        <w:rPr>
          <w:szCs w:val="22"/>
        </w:rPr>
        <w:t>Capogiro</w:t>
      </w:r>
      <w:r w:rsidR="00F41701" w:rsidRPr="005B2844">
        <w:rPr>
          <w:szCs w:val="22"/>
        </w:rPr>
        <w:t>.</w:t>
      </w:r>
    </w:p>
    <w:p w:rsidR="00F41701" w:rsidRPr="005B2844" w:rsidRDefault="00F41701" w:rsidP="0072602F">
      <w:pPr>
        <w:rPr>
          <w:szCs w:val="22"/>
        </w:rPr>
      </w:pPr>
    </w:p>
    <w:p w:rsidR="00E03414" w:rsidRPr="005B2844" w:rsidRDefault="00F41701" w:rsidP="00532263">
      <w:pPr>
        <w:keepNext/>
        <w:rPr>
          <w:szCs w:val="22"/>
        </w:rPr>
      </w:pPr>
      <w:r w:rsidRPr="005B2844">
        <w:rPr>
          <w:szCs w:val="22"/>
          <w:u w:val="single"/>
        </w:rPr>
        <w:t>Effetti indesiderati non comuni</w:t>
      </w:r>
      <w:r w:rsidRPr="005B2844">
        <w:rPr>
          <w:szCs w:val="22"/>
        </w:rPr>
        <w:t xml:space="preserve"> </w:t>
      </w:r>
      <w:r w:rsidR="00F90C99" w:rsidRPr="005B2844">
        <w:rPr>
          <w:szCs w:val="22"/>
        </w:rPr>
        <w:t>(possono interessare fino a 1 persona su 100)</w:t>
      </w:r>
      <w:r w:rsidRPr="005B2844">
        <w:rPr>
          <w:szCs w:val="22"/>
        </w:rPr>
        <w:t>:</w:t>
      </w:r>
    </w:p>
    <w:p w:rsidR="00F41701" w:rsidRPr="005B2844" w:rsidRDefault="00E03414" w:rsidP="0072602F">
      <w:pPr>
        <w:rPr>
          <w:szCs w:val="22"/>
        </w:rPr>
      </w:pPr>
      <w:r w:rsidRPr="005B2844">
        <w:rPr>
          <w:szCs w:val="22"/>
        </w:rPr>
        <w:t>Livelli di potassio nel sangue ridotti</w:t>
      </w:r>
      <w:r w:rsidR="00AB1C28" w:rsidRPr="005B2844">
        <w:rPr>
          <w:szCs w:val="22"/>
        </w:rPr>
        <w:t xml:space="preserve">, </w:t>
      </w:r>
      <w:r w:rsidRPr="005B2844">
        <w:rPr>
          <w:szCs w:val="22"/>
        </w:rPr>
        <w:t>ansia</w:t>
      </w:r>
      <w:r w:rsidR="00AB1C28" w:rsidRPr="005B2844">
        <w:rPr>
          <w:szCs w:val="22"/>
        </w:rPr>
        <w:t xml:space="preserve">, </w:t>
      </w:r>
      <w:r w:rsidRPr="005B2844">
        <w:rPr>
          <w:szCs w:val="22"/>
        </w:rPr>
        <w:t>svenimento (sincope</w:t>
      </w:r>
      <w:r w:rsidR="00AB1C28" w:rsidRPr="005B2844">
        <w:rPr>
          <w:szCs w:val="22"/>
        </w:rPr>
        <w:t xml:space="preserve">), </w:t>
      </w:r>
      <w:r w:rsidRPr="005B2844">
        <w:rPr>
          <w:szCs w:val="22"/>
        </w:rPr>
        <w:t xml:space="preserve">sensazione di </w:t>
      </w:r>
      <w:r w:rsidR="00C42451" w:rsidRPr="005B2844">
        <w:rPr>
          <w:szCs w:val="22"/>
        </w:rPr>
        <w:t>intorpidimento</w:t>
      </w:r>
      <w:r w:rsidRPr="005B2844">
        <w:rPr>
          <w:szCs w:val="22"/>
        </w:rPr>
        <w:t>, sensazione di formicolio (parestesia</w:t>
      </w:r>
      <w:r w:rsidR="00AB1C28" w:rsidRPr="005B2844">
        <w:rPr>
          <w:szCs w:val="22"/>
        </w:rPr>
        <w:t xml:space="preserve">), </w:t>
      </w:r>
      <w:r w:rsidRPr="005B2844">
        <w:rPr>
          <w:szCs w:val="22"/>
        </w:rPr>
        <w:t>vertigini</w:t>
      </w:r>
      <w:r w:rsidR="00AB1C28" w:rsidRPr="005B2844">
        <w:rPr>
          <w:szCs w:val="22"/>
        </w:rPr>
        <w:t xml:space="preserve">, </w:t>
      </w:r>
      <w:r w:rsidRPr="005B2844">
        <w:rPr>
          <w:szCs w:val="22"/>
        </w:rPr>
        <w:t xml:space="preserve">battito accelerato del cuore (tachicardia), disordini del ritmo del cuore, pressione del sangue bassa, improvviso </w:t>
      </w:r>
      <w:r w:rsidR="00A744B4" w:rsidRPr="005B2844">
        <w:rPr>
          <w:szCs w:val="22"/>
        </w:rPr>
        <w:t xml:space="preserve">abbassamento </w:t>
      </w:r>
      <w:r w:rsidRPr="005B2844">
        <w:rPr>
          <w:szCs w:val="22"/>
        </w:rPr>
        <w:t>della pressione del sangue alzandosi in piedi</w:t>
      </w:r>
      <w:r w:rsidR="00AB1C28" w:rsidRPr="005B2844">
        <w:rPr>
          <w:szCs w:val="22"/>
        </w:rPr>
        <w:t xml:space="preserve">, </w:t>
      </w:r>
      <w:r w:rsidRPr="005B2844">
        <w:rPr>
          <w:szCs w:val="22"/>
        </w:rPr>
        <w:t>respiro corto (dispnea</w:t>
      </w:r>
      <w:r w:rsidR="00AB1C28" w:rsidRPr="005B2844">
        <w:rPr>
          <w:szCs w:val="22"/>
        </w:rPr>
        <w:t xml:space="preserve">), </w:t>
      </w:r>
      <w:r w:rsidRPr="005B2844">
        <w:rPr>
          <w:szCs w:val="22"/>
        </w:rPr>
        <w:t>diarrea</w:t>
      </w:r>
      <w:r w:rsidR="00AB1C28" w:rsidRPr="005B2844">
        <w:rPr>
          <w:szCs w:val="22"/>
        </w:rPr>
        <w:t xml:space="preserve">, </w:t>
      </w:r>
      <w:r w:rsidRPr="005B2844">
        <w:rPr>
          <w:szCs w:val="22"/>
        </w:rPr>
        <w:t>secchezza della bocca, flatulenza</w:t>
      </w:r>
      <w:r w:rsidR="00AF1112" w:rsidRPr="005B2844">
        <w:rPr>
          <w:szCs w:val="22"/>
        </w:rPr>
        <w:t xml:space="preserve"> (presenza di gas intestinali)</w:t>
      </w:r>
      <w:r w:rsidR="00AB1C28" w:rsidRPr="005B2844">
        <w:rPr>
          <w:szCs w:val="22"/>
        </w:rPr>
        <w:t xml:space="preserve">, </w:t>
      </w:r>
      <w:r w:rsidRPr="005B2844">
        <w:rPr>
          <w:szCs w:val="22"/>
        </w:rPr>
        <w:t>dolore alla schiena, spasmo muscolare, dolore muscolare</w:t>
      </w:r>
      <w:r w:rsidR="00AB1C28" w:rsidRPr="005B2844">
        <w:rPr>
          <w:szCs w:val="22"/>
        </w:rPr>
        <w:t xml:space="preserve">, </w:t>
      </w:r>
      <w:r w:rsidRPr="005B2844">
        <w:rPr>
          <w:szCs w:val="22"/>
        </w:rPr>
        <w:t>disfunzione erettile (incapacità a raggiungere o mantenere un’erezione</w:t>
      </w:r>
      <w:r w:rsidR="00AB1C28" w:rsidRPr="005B2844">
        <w:rPr>
          <w:szCs w:val="22"/>
        </w:rPr>
        <w:t xml:space="preserve">), </w:t>
      </w:r>
      <w:r w:rsidRPr="005B2844">
        <w:rPr>
          <w:szCs w:val="22"/>
        </w:rPr>
        <w:t>dolore al torace, livelli di acido urico nel sangue aumentati.</w:t>
      </w:r>
    </w:p>
    <w:p w:rsidR="00E03414" w:rsidRPr="005B2844" w:rsidRDefault="00E03414" w:rsidP="00E03414">
      <w:pPr>
        <w:rPr>
          <w:szCs w:val="22"/>
          <w:u w:val="single"/>
        </w:rPr>
      </w:pPr>
    </w:p>
    <w:p w:rsidR="00E03414" w:rsidRPr="005B2844" w:rsidRDefault="00E03414" w:rsidP="00532263">
      <w:pPr>
        <w:keepNext/>
        <w:rPr>
          <w:szCs w:val="22"/>
        </w:rPr>
      </w:pPr>
      <w:r w:rsidRPr="005B2844">
        <w:rPr>
          <w:szCs w:val="22"/>
          <w:u w:val="single"/>
        </w:rPr>
        <w:t xml:space="preserve">Effetti indesiderati rari </w:t>
      </w:r>
      <w:r w:rsidR="00F90C99" w:rsidRPr="005B2844">
        <w:rPr>
          <w:szCs w:val="22"/>
        </w:rPr>
        <w:t>(possono interessare fino a 1 persona su 1.000)</w:t>
      </w:r>
      <w:r w:rsidRPr="005B2844">
        <w:rPr>
          <w:szCs w:val="22"/>
        </w:rPr>
        <w:t>:</w:t>
      </w:r>
    </w:p>
    <w:p w:rsidR="00E03414" w:rsidRPr="005B2844" w:rsidRDefault="00E03414" w:rsidP="00E03414">
      <w:pPr>
        <w:rPr>
          <w:szCs w:val="22"/>
        </w:rPr>
      </w:pPr>
      <w:r w:rsidRPr="005B2844">
        <w:rPr>
          <w:szCs w:val="22"/>
        </w:rPr>
        <w:t>Infiammazione dei polmoni (bronchite</w:t>
      </w:r>
      <w:r w:rsidR="00AB1C28" w:rsidRPr="005B2844">
        <w:rPr>
          <w:szCs w:val="22"/>
        </w:rPr>
        <w:t xml:space="preserve">), </w:t>
      </w:r>
      <w:r w:rsidR="00927CB9" w:rsidRPr="005B2844">
        <w:rPr>
          <w:szCs w:val="22"/>
        </w:rPr>
        <w:t>attivazione o peggioramento del lupus eritematoso sistemico (una malattia a causa della quale il sistema immunitario attacca l'organismo stesso, che provoca dolore articolare, eruzione cutanea e febbre)</w:t>
      </w:r>
      <w:r w:rsidR="00AD635C" w:rsidRPr="005B2844">
        <w:rPr>
          <w:szCs w:val="22"/>
        </w:rPr>
        <w:t>,</w:t>
      </w:r>
      <w:r w:rsidR="00927CB9" w:rsidRPr="005B2844">
        <w:rPr>
          <w:szCs w:val="22"/>
        </w:rPr>
        <w:t xml:space="preserve"> </w:t>
      </w:r>
      <w:r w:rsidR="00AB1C28" w:rsidRPr="005B2844">
        <w:rPr>
          <w:szCs w:val="22"/>
        </w:rPr>
        <w:t xml:space="preserve">mal di gola, sinusite, </w:t>
      </w:r>
      <w:r w:rsidRPr="005B2844">
        <w:rPr>
          <w:szCs w:val="22"/>
        </w:rPr>
        <w:t>sensazione di tristezza (depressione</w:t>
      </w:r>
      <w:r w:rsidR="00AB1C28" w:rsidRPr="005B2844">
        <w:rPr>
          <w:szCs w:val="22"/>
        </w:rPr>
        <w:t xml:space="preserve">), </w:t>
      </w:r>
      <w:r w:rsidRPr="005B2844">
        <w:rPr>
          <w:szCs w:val="22"/>
        </w:rPr>
        <w:t>difficoltà ad addormentarsi (insonnia</w:t>
      </w:r>
      <w:r w:rsidR="00AB1C28" w:rsidRPr="005B2844">
        <w:rPr>
          <w:szCs w:val="22"/>
        </w:rPr>
        <w:t xml:space="preserve">), </w:t>
      </w:r>
      <w:r w:rsidRPr="005B2844">
        <w:rPr>
          <w:szCs w:val="22"/>
        </w:rPr>
        <w:t xml:space="preserve">vista </w:t>
      </w:r>
      <w:r w:rsidR="00C42451" w:rsidRPr="005B2844">
        <w:rPr>
          <w:szCs w:val="22"/>
        </w:rPr>
        <w:t>alterata</w:t>
      </w:r>
      <w:r w:rsidR="00AB1C28" w:rsidRPr="005B2844">
        <w:rPr>
          <w:szCs w:val="22"/>
        </w:rPr>
        <w:t xml:space="preserve">, </w:t>
      </w:r>
      <w:r w:rsidRPr="005B2844">
        <w:rPr>
          <w:szCs w:val="22"/>
        </w:rPr>
        <w:t>difficoltà a respirare</w:t>
      </w:r>
      <w:r w:rsidR="00AB1C28" w:rsidRPr="005B2844">
        <w:rPr>
          <w:szCs w:val="22"/>
        </w:rPr>
        <w:t xml:space="preserve">, </w:t>
      </w:r>
      <w:r w:rsidRPr="005B2844">
        <w:rPr>
          <w:szCs w:val="22"/>
        </w:rPr>
        <w:t>dolore addominale</w:t>
      </w:r>
      <w:r w:rsidR="00AB1C28" w:rsidRPr="005B2844">
        <w:rPr>
          <w:szCs w:val="22"/>
        </w:rPr>
        <w:t xml:space="preserve">, </w:t>
      </w:r>
      <w:r w:rsidRPr="005B2844">
        <w:rPr>
          <w:szCs w:val="22"/>
        </w:rPr>
        <w:t>stitichezza</w:t>
      </w:r>
      <w:r w:rsidR="00AB1C28" w:rsidRPr="005B2844">
        <w:rPr>
          <w:szCs w:val="22"/>
        </w:rPr>
        <w:t xml:space="preserve">, </w:t>
      </w:r>
      <w:r w:rsidRPr="005B2844">
        <w:rPr>
          <w:szCs w:val="22"/>
        </w:rPr>
        <w:t xml:space="preserve">gonfiore </w:t>
      </w:r>
      <w:r w:rsidR="00A744B4" w:rsidRPr="005B2844">
        <w:rPr>
          <w:szCs w:val="22"/>
        </w:rPr>
        <w:t xml:space="preserve">addominale </w:t>
      </w:r>
      <w:r w:rsidRPr="005B2844">
        <w:rPr>
          <w:szCs w:val="22"/>
        </w:rPr>
        <w:t>(dispepsia), sensazione di malessere</w:t>
      </w:r>
      <w:r w:rsidR="005F796E" w:rsidRPr="005B2844">
        <w:rPr>
          <w:szCs w:val="22"/>
        </w:rPr>
        <w:t xml:space="preserve"> (vomito)</w:t>
      </w:r>
      <w:r w:rsidR="00AB1C28" w:rsidRPr="005B2844">
        <w:rPr>
          <w:szCs w:val="22"/>
        </w:rPr>
        <w:t xml:space="preserve">, infiammazione dello stomaco (gastrite), </w:t>
      </w:r>
      <w:r w:rsidRPr="005B2844">
        <w:rPr>
          <w:szCs w:val="22"/>
        </w:rPr>
        <w:t>funzionalità epatica anormale</w:t>
      </w:r>
      <w:r w:rsidR="00F30355" w:rsidRPr="005B2844">
        <w:rPr>
          <w:szCs w:val="22"/>
        </w:rPr>
        <w:t xml:space="preserve"> (i pazienti giapponesi hanno maggiore probabilità di manifestare quest</w:t>
      </w:r>
      <w:r w:rsidR="00205B39" w:rsidRPr="005B2844">
        <w:rPr>
          <w:szCs w:val="22"/>
        </w:rPr>
        <w:t>o</w:t>
      </w:r>
      <w:r w:rsidR="00F30355" w:rsidRPr="005B2844">
        <w:rPr>
          <w:szCs w:val="22"/>
        </w:rPr>
        <w:t xml:space="preserve"> effett</w:t>
      </w:r>
      <w:r w:rsidR="00205B39" w:rsidRPr="005B2844">
        <w:rPr>
          <w:szCs w:val="22"/>
        </w:rPr>
        <w:t>o</w:t>
      </w:r>
      <w:r w:rsidR="00F30355" w:rsidRPr="005B2844">
        <w:rPr>
          <w:szCs w:val="22"/>
        </w:rPr>
        <w:t xml:space="preserve"> indesiderat</w:t>
      </w:r>
      <w:r w:rsidR="00205B39" w:rsidRPr="005B2844">
        <w:rPr>
          <w:szCs w:val="22"/>
        </w:rPr>
        <w:t>o</w:t>
      </w:r>
      <w:r w:rsidR="00F30355" w:rsidRPr="005B2844">
        <w:rPr>
          <w:szCs w:val="22"/>
        </w:rPr>
        <w:t>)</w:t>
      </w:r>
      <w:r w:rsidR="00AB1C28" w:rsidRPr="005B2844">
        <w:rPr>
          <w:szCs w:val="22"/>
        </w:rPr>
        <w:t xml:space="preserve">, </w:t>
      </w:r>
      <w:r w:rsidRPr="005B2844">
        <w:rPr>
          <w:szCs w:val="22"/>
        </w:rPr>
        <w:t>rossore della pelle (eritema</w:t>
      </w:r>
      <w:r w:rsidR="00AB1C28" w:rsidRPr="005B2844">
        <w:rPr>
          <w:szCs w:val="22"/>
        </w:rPr>
        <w:t xml:space="preserve">), </w:t>
      </w:r>
      <w:r w:rsidRPr="005B2844">
        <w:rPr>
          <w:szCs w:val="22"/>
        </w:rPr>
        <w:t xml:space="preserve">reazioni allergiche come prurito o </w:t>
      </w:r>
      <w:r w:rsidR="00C42451" w:rsidRPr="005B2844">
        <w:rPr>
          <w:szCs w:val="22"/>
        </w:rPr>
        <w:t>eruzione cutanea</w:t>
      </w:r>
      <w:r w:rsidR="00AB1C28" w:rsidRPr="005B2844">
        <w:rPr>
          <w:szCs w:val="22"/>
        </w:rPr>
        <w:t xml:space="preserve">, </w:t>
      </w:r>
      <w:r w:rsidRPr="005B2844">
        <w:rPr>
          <w:szCs w:val="22"/>
        </w:rPr>
        <w:t>sudorazione aumentata, orticaria</w:t>
      </w:r>
      <w:r w:rsidR="00AB1C28" w:rsidRPr="005B2844">
        <w:rPr>
          <w:szCs w:val="22"/>
        </w:rPr>
        <w:t xml:space="preserve">, </w:t>
      </w:r>
      <w:r w:rsidRPr="005B2844">
        <w:rPr>
          <w:szCs w:val="22"/>
        </w:rPr>
        <w:t>dolore articolare (artralgia) e dolore alle estremità, crampi muscolari</w:t>
      </w:r>
      <w:r w:rsidR="00AB1C28" w:rsidRPr="005B2844">
        <w:rPr>
          <w:szCs w:val="22"/>
        </w:rPr>
        <w:t xml:space="preserve">, </w:t>
      </w:r>
      <w:r w:rsidRPr="005B2844">
        <w:rPr>
          <w:szCs w:val="22"/>
        </w:rPr>
        <w:t>malattia simile all’influenza</w:t>
      </w:r>
      <w:r w:rsidR="00AB1C28" w:rsidRPr="005B2844">
        <w:rPr>
          <w:szCs w:val="22"/>
        </w:rPr>
        <w:t xml:space="preserve">, </w:t>
      </w:r>
      <w:r w:rsidRPr="005B2844">
        <w:rPr>
          <w:szCs w:val="22"/>
        </w:rPr>
        <w:t>dolore</w:t>
      </w:r>
      <w:r w:rsidR="00AB1C28" w:rsidRPr="005B2844">
        <w:rPr>
          <w:szCs w:val="22"/>
        </w:rPr>
        <w:t xml:space="preserve">, </w:t>
      </w:r>
      <w:r w:rsidRPr="005B2844">
        <w:rPr>
          <w:szCs w:val="22"/>
        </w:rPr>
        <w:t xml:space="preserve">bassi livelli di sodio, livelli </w:t>
      </w:r>
      <w:r w:rsidR="00A744B4" w:rsidRPr="005B2844">
        <w:rPr>
          <w:szCs w:val="22"/>
        </w:rPr>
        <w:t xml:space="preserve">aumentati nel sangue </w:t>
      </w:r>
      <w:r w:rsidRPr="005B2844">
        <w:rPr>
          <w:szCs w:val="22"/>
        </w:rPr>
        <w:t xml:space="preserve">di creatinina, enzimi </w:t>
      </w:r>
      <w:r w:rsidR="00A744B4" w:rsidRPr="005B2844">
        <w:rPr>
          <w:szCs w:val="22"/>
        </w:rPr>
        <w:t>del fegato</w:t>
      </w:r>
      <w:r w:rsidRPr="005B2844">
        <w:rPr>
          <w:szCs w:val="22"/>
        </w:rPr>
        <w:t xml:space="preserve"> o creatina </w:t>
      </w:r>
      <w:proofErr w:type="spellStart"/>
      <w:r w:rsidRPr="005B2844">
        <w:rPr>
          <w:szCs w:val="22"/>
        </w:rPr>
        <w:t>fosfochinasi</w:t>
      </w:r>
      <w:proofErr w:type="spellEnd"/>
      <w:r w:rsidRPr="005B2844">
        <w:rPr>
          <w:szCs w:val="22"/>
        </w:rPr>
        <w:t>.</w:t>
      </w:r>
    </w:p>
    <w:p w:rsidR="00E03414" w:rsidRPr="005B2844" w:rsidRDefault="00E03414" w:rsidP="00E03414">
      <w:pPr>
        <w:rPr>
          <w:szCs w:val="22"/>
        </w:rPr>
      </w:pPr>
    </w:p>
    <w:p w:rsidR="00F30355" w:rsidRPr="005B2844" w:rsidRDefault="00F30355" w:rsidP="00E03414">
      <w:pPr>
        <w:rPr>
          <w:szCs w:val="22"/>
        </w:rPr>
      </w:pPr>
      <w:r w:rsidRPr="005B2844">
        <w:rPr>
          <w:szCs w:val="22"/>
        </w:rPr>
        <w:t xml:space="preserve">Le reazioni avverse riportate con uno dei singoli componenti possono essere potenziali reazioni avverse con </w:t>
      </w:r>
      <w:proofErr w:type="spellStart"/>
      <w:r w:rsidRPr="005B2844">
        <w:rPr>
          <w:szCs w:val="22"/>
        </w:rPr>
        <w:t>MicardisPlus</w:t>
      </w:r>
      <w:proofErr w:type="spellEnd"/>
      <w:r w:rsidRPr="005B2844">
        <w:rPr>
          <w:szCs w:val="22"/>
        </w:rPr>
        <w:t>, anche se non osservate negli studi clinici con questo prodotto.</w:t>
      </w:r>
    </w:p>
    <w:p w:rsidR="00F41701" w:rsidRPr="005B2844" w:rsidRDefault="00F41701" w:rsidP="0072602F">
      <w:pPr>
        <w:rPr>
          <w:szCs w:val="22"/>
        </w:rPr>
      </w:pPr>
    </w:p>
    <w:p w:rsidR="00F41701" w:rsidRPr="005B2844" w:rsidRDefault="00F41701" w:rsidP="00532263">
      <w:pPr>
        <w:keepNext/>
        <w:rPr>
          <w:b/>
          <w:szCs w:val="22"/>
          <w:u w:val="single"/>
        </w:rPr>
      </w:pPr>
      <w:proofErr w:type="spellStart"/>
      <w:r w:rsidRPr="005B2844">
        <w:rPr>
          <w:b/>
          <w:szCs w:val="22"/>
          <w:u w:val="single"/>
        </w:rPr>
        <w:t>Telmisartan</w:t>
      </w:r>
      <w:proofErr w:type="spellEnd"/>
    </w:p>
    <w:p w:rsidR="00FC5178" w:rsidRPr="005B2844" w:rsidRDefault="00FC5178" w:rsidP="0072602F">
      <w:pPr>
        <w:rPr>
          <w:szCs w:val="22"/>
        </w:rPr>
      </w:pPr>
      <w:r w:rsidRPr="005B2844">
        <w:rPr>
          <w:szCs w:val="22"/>
        </w:rPr>
        <w:t xml:space="preserve">Nei pazienti trattati con </w:t>
      </w:r>
      <w:proofErr w:type="spellStart"/>
      <w:r w:rsidRPr="005B2844">
        <w:rPr>
          <w:szCs w:val="22"/>
        </w:rPr>
        <w:t>telmisartan</w:t>
      </w:r>
      <w:proofErr w:type="spellEnd"/>
      <w:r w:rsidRPr="005B2844">
        <w:rPr>
          <w:szCs w:val="22"/>
        </w:rPr>
        <w:t xml:space="preserve"> da solo sono stati riscontrati i seguenti ulteriori effetti indesiderati:</w:t>
      </w:r>
    </w:p>
    <w:p w:rsidR="00FC5178" w:rsidRPr="005B2844" w:rsidRDefault="00FC5178" w:rsidP="0072602F">
      <w:pPr>
        <w:rPr>
          <w:szCs w:val="22"/>
        </w:rPr>
      </w:pPr>
    </w:p>
    <w:p w:rsidR="00AB1C28" w:rsidRPr="005B2844" w:rsidRDefault="00AB1C28" w:rsidP="00532263">
      <w:pPr>
        <w:keepNext/>
        <w:rPr>
          <w:szCs w:val="22"/>
        </w:rPr>
      </w:pPr>
      <w:r w:rsidRPr="005B2844">
        <w:rPr>
          <w:szCs w:val="22"/>
          <w:u w:val="single"/>
        </w:rPr>
        <w:t>Effetti indesiderati non comuni</w:t>
      </w:r>
      <w:r w:rsidRPr="005B2844">
        <w:rPr>
          <w:szCs w:val="22"/>
        </w:rPr>
        <w:t xml:space="preserve"> </w:t>
      </w:r>
      <w:r w:rsidR="00A47BE1" w:rsidRPr="005B2844">
        <w:rPr>
          <w:szCs w:val="22"/>
        </w:rPr>
        <w:t>(possono interessare fino a 1 persona su 100)</w:t>
      </w:r>
      <w:r w:rsidRPr="005B2844">
        <w:rPr>
          <w:szCs w:val="22"/>
        </w:rPr>
        <w:t>:</w:t>
      </w:r>
    </w:p>
    <w:p w:rsidR="00AB1C28" w:rsidRPr="005B2844" w:rsidRDefault="00AB1C28" w:rsidP="00AB1C28">
      <w:pPr>
        <w:rPr>
          <w:szCs w:val="22"/>
        </w:rPr>
      </w:pPr>
      <w:r w:rsidRPr="005B2844">
        <w:rPr>
          <w:noProof/>
          <w:szCs w:val="22"/>
        </w:rPr>
        <w:t>I</w:t>
      </w:r>
      <w:proofErr w:type="spellStart"/>
      <w:r w:rsidRPr="005B2844">
        <w:rPr>
          <w:szCs w:val="22"/>
        </w:rPr>
        <w:t>nfezione</w:t>
      </w:r>
      <w:proofErr w:type="spellEnd"/>
      <w:r w:rsidRPr="005B2844">
        <w:rPr>
          <w:szCs w:val="22"/>
        </w:rPr>
        <w:t xml:space="preserve"> delle vie respiratorie superiori (ad es. mal di gola, sinusite, raffreddore comune), infezioni del tratto urinario, </w:t>
      </w:r>
      <w:r w:rsidR="00763FE8" w:rsidRPr="005B2844">
        <w:rPr>
          <w:szCs w:val="22"/>
        </w:rPr>
        <w:t>riduzione</w:t>
      </w:r>
      <w:r w:rsidRPr="005B2844">
        <w:rPr>
          <w:szCs w:val="22"/>
        </w:rPr>
        <w:t xml:space="preserve"> di globuli rossi (anemia), </w:t>
      </w:r>
      <w:r w:rsidR="00763FE8" w:rsidRPr="005B2844">
        <w:rPr>
          <w:szCs w:val="22"/>
        </w:rPr>
        <w:t>alti livelli di potassio</w:t>
      </w:r>
      <w:r w:rsidRPr="005B2844">
        <w:rPr>
          <w:szCs w:val="22"/>
        </w:rPr>
        <w:t xml:space="preserve">, battito cardiaco </w:t>
      </w:r>
      <w:r w:rsidR="00763FE8" w:rsidRPr="005B2844">
        <w:rPr>
          <w:szCs w:val="22"/>
        </w:rPr>
        <w:t>rallentato</w:t>
      </w:r>
      <w:r w:rsidRPr="005B2844">
        <w:rPr>
          <w:szCs w:val="22"/>
        </w:rPr>
        <w:t xml:space="preserve"> (bradicardia), compromissione renale inclusa insufficienza renale acuta, </w:t>
      </w:r>
      <w:r w:rsidR="00763FE8" w:rsidRPr="005B2844">
        <w:rPr>
          <w:szCs w:val="22"/>
        </w:rPr>
        <w:t xml:space="preserve">sensazione di </w:t>
      </w:r>
      <w:r w:rsidRPr="005B2844">
        <w:rPr>
          <w:szCs w:val="22"/>
        </w:rPr>
        <w:t>debolezza</w:t>
      </w:r>
      <w:r w:rsidR="008D6186" w:rsidRPr="005B2844">
        <w:rPr>
          <w:szCs w:val="22"/>
        </w:rPr>
        <w:t>, tosse</w:t>
      </w:r>
      <w:r w:rsidRPr="005B2844">
        <w:rPr>
          <w:szCs w:val="22"/>
        </w:rPr>
        <w:t>.</w:t>
      </w:r>
    </w:p>
    <w:p w:rsidR="00AB1C28" w:rsidRPr="005B2844" w:rsidRDefault="00AB1C28" w:rsidP="00AB1C28">
      <w:pPr>
        <w:rPr>
          <w:szCs w:val="22"/>
        </w:rPr>
      </w:pPr>
    </w:p>
    <w:p w:rsidR="00AB1C28" w:rsidRPr="005B2844" w:rsidRDefault="00AB1C28" w:rsidP="00532263">
      <w:pPr>
        <w:keepNext/>
        <w:rPr>
          <w:szCs w:val="22"/>
        </w:rPr>
      </w:pPr>
      <w:r w:rsidRPr="005B2844">
        <w:rPr>
          <w:szCs w:val="22"/>
          <w:u w:val="single"/>
        </w:rPr>
        <w:t xml:space="preserve">Effetti indesiderati rari </w:t>
      </w:r>
      <w:r w:rsidR="00A47BE1" w:rsidRPr="005B2844">
        <w:rPr>
          <w:szCs w:val="22"/>
        </w:rPr>
        <w:t>(possono interessare fino a 1 persona su 1.000)</w:t>
      </w:r>
      <w:r w:rsidRPr="005B2844">
        <w:rPr>
          <w:szCs w:val="22"/>
        </w:rPr>
        <w:t>:</w:t>
      </w:r>
    </w:p>
    <w:p w:rsidR="00E33903" w:rsidRPr="005B2844" w:rsidRDefault="005931B1" w:rsidP="00AB1C28">
      <w:pPr>
        <w:rPr>
          <w:szCs w:val="22"/>
        </w:rPr>
      </w:pPr>
      <w:r w:rsidRPr="005B2844">
        <w:rPr>
          <w:szCs w:val="22"/>
        </w:rPr>
        <w:t>B</w:t>
      </w:r>
      <w:r w:rsidR="00AB1C28" w:rsidRPr="005B2844">
        <w:rPr>
          <w:szCs w:val="22"/>
        </w:rPr>
        <w:t>ass</w:t>
      </w:r>
      <w:r w:rsidR="00A744B4" w:rsidRPr="005B2844">
        <w:rPr>
          <w:szCs w:val="22"/>
        </w:rPr>
        <w:t>o</w:t>
      </w:r>
      <w:r w:rsidR="00AB1C28" w:rsidRPr="005B2844">
        <w:rPr>
          <w:szCs w:val="22"/>
        </w:rPr>
        <w:t xml:space="preserve"> </w:t>
      </w:r>
      <w:r w:rsidR="00A744B4" w:rsidRPr="005B2844">
        <w:rPr>
          <w:szCs w:val="22"/>
        </w:rPr>
        <w:t>numero di</w:t>
      </w:r>
      <w:r w:rsidR="00AB1C28" w:rsidRPr="005B2844">
        <w:rPr>
          <w:szCs w:val="22"/>
        </w:rPr>
        <w:t xml:space="preserve"> piastrin</w:t>
      </w:r>
      <w:r w:rsidR="00A744B4" w:rsidRPr="005B2844">
        <w:rPr>
          <w:szCs w:val="22"/>
        </w:rPr>
        <w:t>e</w:t>
      </w:r>
      <w:r w:rsidR="00AB1C28" w:rsidRPr="005B2844">
        <w:rPr>
          <w:szCs w:val="22"/>
        </w:rPr>
        <w:t xml:space="preserve"> (trombocitopenia), aumento di alcuni globuli bianchi (eosinofilia), grave reazione allergica (ad es. ipersensibilità, reazione anafilattica, eruzione cutanea da farmaco), livelli bassi di glicemia (nei pazienti diabetici), disturbo allo stomaco, eczema (disturbo della pelle), artrosi, infiammazione dei tendini, diminuzione della emoglobina (una proteina del sangue)</w:t>
      </w:r>
      <w:r w:rsidR="00A47BE1" w:rsidRPr="005B2844">
        <w:rPr>
          <w:szCs w:val="22"/>
        </w:rPr>
        <w:t>, sonnolenza</w:t>
      </w:r>
      <w:r w:rsidR="00AB1C28" w:rsidRPr="005B2844">
        <w:rPr>
          <w:szCs w:val="22"/>
        </w:rPr>
        <w:t>.</w:t>
      </w:r>
    </w:p>
    <w:p w:rsidR="00E33903" w:rsidRPr="005B2844" w:rsidRDefault="00E33903" w:rsidP="00E33903">
      <w:pPr>
        <w:rPr>
          <w:szCs w:val="22"/>
        </w:rPr>
      </w:pPr>
    </w:p>
    <w:p w:rsidR="00F22849" w:rsidRPr="005B2844" w:rsidRDefault="00F22849" w:rsidP="00532263">
      <w:pPr>
        <w:keepNext/>
        <w:rPr>
          <w:szCs w:val="22"/>
        </w:rPr>
      </w:pPr>
      <w:r w:rsidRPr="005B2844">
        <w:rPr>
          <w:szCs w:val="22"/>
          <w:u w:val="single"/>
        </w:rPr>
        <w:t xml:space="preserve">Effetti indesiderati molto rari </w:t>
      </w:r>
      <w:r w:rsidRPr="005B2844">
        <w:rPr>
          <w:szCs w:val="22"/>
        </w:rPr>
        <w:t>(possono interessare fino a 1 persona su 10.000):</w:t>
      </w:r>
    </w:p>
    <w:p w:rsidR="00F22849" w:rsidRPr="005B2844" w:rsidRDefault="00F22849" w:rsidP="00F22849">
      <w:pPr>
        <w:rPr>
          <w:szCs w:val="22"/>
        </w:rPr>
      </w:pPr>
      <w:r w:rsidRPr="005B2844">
        <w:rPr>
          <w:szCs w:val="22"/>
        </w:rPr>
        <w:t>Progressiva cicatrizzazione del tessuto polmonare (malattia polmonare interstiziale)**.</w:t>
      </w:r>
    </w:p>
    <w:p w:rsidR="00F22849" w:rsidRPr="005B2844" w:rsidRDefault="00F22849" w:rsidP="00E33903">
      <w:pPr>
        <w:rPr>
          <w:szCs w:val="22"/>
        </w:rPr>
      </w:pPr>
    </w:p>
    <w:p w:rsidR="00765500" w:rsidRPr="005B2844" w:rsidRDefault="00E33903" w:rsidP="00E33903">
      <w:pPr>
        <w:rPr>
          <w:szCs w:val="22"/>
        </w:rPr>
      </w:pPr>
      <w:r w:rsidRPr="005B2844">
        <w:rPr>
          <w:szCs w:val="22"/>
        </w:rPr>
        <w:t>*L’evento può essersi verificato per caso o potrebbe essere correlato ad un meccanismo attualmente sconosciuto.</w:t>
      </w:r>
    </w:p>
    <w:p w:rsidR="00E03414" w:rsidRPr="005B2844" w:rsidRDefault="00E03414" w:rsidP="0072602F">
      <w:pPr>
        <w:rPr>
          <w:szCs w:val="22"/>
          <w:u w:val="single"/>
        </w:rPr>
      </w:pPr>
    </w:p>
    <w:p w:rsidR="00350283" w:rsidRPr="005B2844" w:rsidRDefault="00350283" w:rsidP="00350283">
      <w:pPr>
        <w:rPr>
          <w:szCs w:val="22"/>
        </w:rPr>
      </w:pPr>
      <w:r w:rsidRPr="005B2844">
        <w:rPr>
          <w:szCs w:val="22"/>
        </w:rPr>
        <w:t xml:space="preserve">**Sono stati riportati casi di progressiva cicatrizzazione del tessuto polmonare durante l’assunzione di </w:t>
      </w:r>
      <w:proofErr w:type="spellStart"/>
      <w:r w:rsidRPr="005B2844">
        <w:rPr>
          <w:szCs w:val="22"/>
        </w:rPr>
        <w:t>telmisartan</w:t>
      </w:r>
      <w:proofErr w:type="spellEnd"/>
      <w:r w:rsidRPr="005B2844">
        <w:rPr>
          <w:szCs w:val="22"/>
        </w:rPr>
        <w:t xml:space="preserve">. Tuttavia non è noto se </w:t>
      </w:r>
      <w:proofErr w:type="spellStart"/>
      <w:r w:rsidRPr="005B2844">
        <w:rPr>
          <w:szCs w:val="22"/>
        </w:rPr>
        <w:t>telmisartan</w:t>
      </w:r>
      <w:proofErr w:type="spellEnd"/>
      <w:r w:rsidRPr="005B2844">
        <w:rPr>
          <w:szCs w:val="22"/>
        </w:rPr>
        <w:t xml:space="preserve"> ne sia stato la causa.</w:t>
      </w:r>
    </w:p>
    <w:p w:rsidR="00F22849" w:rsidRPr="005B2844" w:rsidRDefault="00F22849" w:rsidP="0072602F">
      <w:pPr>
        <w:rPr>
          <w:szCs w:val="22"/>
          <w:u w:val="single"/>
        </w:rPr>
      </w:pPr>
    </w:p>
    <w:p w:rsidR="00FC5178" w:rsidRPr="005B2844" w:rsidRDefault="00FC5178" w:rsidP="00532263">
      <w:pPr>
        <w:keepNext/>
        <w:rPr>
          <w:b/>
          <w:szCs w:val="22"/>
          <w:u w:val="single"/>
        </w:rPr>
      </w:pPr>
      <w:proofErr w:type="spellStart"/>
      <w:r w:rsidRPr="005B2844">
        <w:rPr>
          <w:b/>
          <w:szCs w:val="22"/>
          <w:u w:val="single"/>
        </w:rPr>
        <w:t>Idroclorotiazide</w:t>
      </w:r>
      <w:proofErr w:type="spellEnd"/>
    </w:p>
    <w:p w:rsidR="00A000D8" w:rsidRPr="005B2844" w:rsidRDefault="00A000D8" w:rsidP="0072602F">
      <w:pPr>
        <w:rPr>
          <w:szCs w:val="22"/>
        </w:rPr>
      </w:pPr>
      <w:r w:rsidRPr="005B2844">
        <w:rPr>
          <w:szCs w:val="22"/>
        </w:rPr>
        <w:t xml:space="preserve">Nei pazienti trattati con </w:t>
      </w:r>
      <w:proofErr w:type="spellStart"/>
      <w:r w:rsidR="009058A5" w:rsidRPr="005B2844">
        <w:rPr>
          <w:szCs w:val="22"/>
        </w:rPr>
        <w:t>idroclorotiazide</w:t>
      </w:r>
      <w:proofErr w:type="spellEnd"/>
      <w:r w:rsidR="009058A5" w:rsidRPr="005B2844">
        <w:rPr>
          <w:szCs w:val="22"/>
        </w:rPr>
        <w:t xml:space="preserve"> </w:t>
      </w:r>
      <w:r w:rsidRPr="005B2844">
        <w:rPr>
          <w:szCs w:val="22"/>
        </w:rPr>
        <w:t>da sol</w:t>
      </w:r>
      <w:r w:rsidR="009058A5" w:rsidRPr="005B2844">
        <w:rPr>
          <w:szCs w:val="22"/>
        </w:rPr>
        <w:t>a</w:t>
      </w:r>
      <w:r w:rsidRPr="005B2844">
        <w:rPr>
          <w:szCs w:val="22"/>
        </w:rPr>
        <w:t xml:space="preserve"> sono stati riscontrati i seguenti ulteriori effetti indesiderati:</w:t>
      </w:r>
    </w:p>
    <w:p w:rsidR="00CD2F8B" w:rsidRPr="005B2844" w:rsidRDefault="00CD2F8B" w:rsidP="00CD2F8B">
      <w:pPr>
        <w:rPr>
          <w:szCs w:val="22"/>
        </w:rPr>
      </w:pPr>
    </w:p>
    <w:p w:rsidR="00CD2F8B" w:rsidRPr="005B2844" w:rsidRDefault="00CD2F8B" w:rsidP="00CD2F8B">
      <w:pPr>
        <w:rPr>
          <w:szCs w:val="22"/>
          <w:u w:val="single"/>
        </w:rPr>
      </w:pPr>
      <w:r w:rsidRPr="005B2844">
        <w:rPr>
          <w:szCs w:val="22"/>
          <w:u w:val="single"/>
        </w:rPr>
        <w:t>Effetti indesiderati comuni (possono interessare fino a 1 persona su 10):</w:t>
      </w:r>
    </w:p>
    <w:p w:rsidR="00CD2F8B" w:rsidRPr="005B2844" w:rsidRDefault="00D74677" w:rsidP="00CD2F8B">
      <w:pPr>
        <w:rPr>
          <w:szCs w:val="22"/>
        </w:rPr>
      </w:pPr>
      <w:r w:rsidRPr="005B2844">
        <w:rPr>
          <w:szCs w:val="22"/>
        </w:rPr>
        <w:t>Malessere (n</w:t>
      </w:r>
      <w:r w:rsidR="00CD2F8B" w:rsidRPr="005B2844">
        <w:rPr>
          <w:szCs w:val="22"/>
        </w:rPr>
        <w:t>ausea</w:t>
      </w:r>
      <w:r w:rsidRPr="005B2844">
        <w:rPr>
          <w:szCs w:val="22"/>
        </w:rPr>
        <w:t>)</w:t>
      </w:r>
      <w:r w:rsidR="00CD2F8B" w:rsidRPr="005B2844">
        <w:rPr>
          <w:szCs w:val="22"/>
        </w:rPr>
        <w:t>, basso livello di magnesio nel sangue.</w:t>
      </w:r>
    </w:p>
    <w:p w:rsidR="00CD2F8B" w:rsidRPr="005B2844" w:rsidRDefault="00CD2F8B" w:rsidP="00CD2F8B">
      <w:pPr>
        <w:rPr>
          <w:szCs w:val="22"/>
        </w:rPr>
      </w:pPr>
    </w:p>
    <w:p w:rsidR="00CD2F8B" w:rsidRPr="005B2844" w:rsidRDefault="00CD2F8B" w:rsidP="00CD2F8B">
      <w:pPr>
        <w:rPr>
          <w:szCs w:val="22"/>
          <w:u w:val="single"/>
        </w:rPr>
      </w:pPr>
      <w:r w:rsidRPr="005B2844">
        <w:rPr>
          <w:szCs w:val="22"/>
          <w:u w:val="single"/>
        </w:rPr>
        <w:t>Effetti indesiderati rari (possono interessare fino a 1 persona su 1.000):</w:t>
      </w:r>
    </w:p>
    <w:p w:rsidR="00CD2F8B" w:rsidRPr="005B2844" w:rsidRDefault="00CD2F8B" w:rsidP="00CD2F8B">
      <w:pPr>
        <w:rPr>
          <w:szCs w:val="22"/>
        </w:rPr>
      </w:pPr>
      <w:r w:rsidRPr="005B2844">
        <w:rPr>
          <w:szCs w:val="22"/>
        </w:rPr>
        <w:t>Riduzione delle piastrine, che aumenta il rischio di sanguinamento o formazione di lividi (piccoli segni viola-rossi sulla pelle o altri tessuti causati dal sanguinamento), alto livello di calcio nel sangue, cefalea.</w:t>
      </w:r>
    </w:p>
    <w:p w:rsidR="00CD2F8B" w:rsidRPr="005B2844" w:rsidRDefault="00CD2F8B" w:rsidP="00CD2F8B">
      <w:pPr>
        <w:rPr>
          <w:szCs w:val="22"/>
        </w:rPr>
      </w:pPr>
    </w:p>
    <w:p w:rsidR="00CD2F8B" w:rsidRPr="005B2844" w:rsidRDefault="00CD2F8B" w:rsidP="00CD2F8B">
      <w:pPr>
        <w:rPr>
          <w:szCs w:val="22"/>
          <w:u w:val="single"/>
        </w:rPr>
      </w:pPr>
      <w:r w:rsidRPr="005B2844">
        <w:rPr>
          <w:szCs w:val="22"/>
          <w:u w:val="single"/>
        </w:rPr>
        <w:t>Effetti indesiderati molto rari (possono interessare fino a 1 persona su 10.000):</w:t>
      </w:r>
    </w:p>
    <w:p w:rsidR="00CD2F8B" w:rsidRPr="005B2844" w:rsidRDefault="00CD2F8B" w:rsidP="00CD2F8B">
      <w:pPr>
        <w:rPr>
          <w:szCs w:val="22"/>
        </w:rPr>
      </w:pPr>
      <w:r w:rsidRPr="005B2844">
        <w:rPr>
          <w:szCs w:val="22"/>
        </w:rPr>
        <w:t>Aumento del pH (equilibrio acido-base alterato) dovuto a un basso livello di cloro nel sangue.</w:t>
      </w:r>
    </w:p>
    <w:p w:rsidR="00A000D8" w:rsidRPr="005B2844" w:rsidRDefault="00A000D8" w:rsidP="0072602F">
      <w:pPr>
        <w:rPr>
          <w:szCs w:val="22"/>
        </w:rPr>
      </w:pPr>
    </w:p>
    <w:p w:rsidR="00A000D8" w:rsidRPr="005B2844" w:rsidRDefault="00A000D8" w:rsidP="000709BC">
      <w:pPr>
        <w:pStyle w:val="NormalWeb"/>
        <w:keepNext/>
        <w:spacing w:before="0" w:beforeAutospacing="0" w:after="0" w:afterAutospacing="0"/>
        <w:rPr>
          <w:sz w:val="22"/>
          <w:szCs w:val="22"/>
        </w:rPr>
      </w:pPr>
      <w:r w:rsidRPr="005B2844">
        <w:rPr>
          <w:sz w:val="22"/>
          <w:szCs w:val="22"/>
          <w:u w:val="single"/>
        </w:rPr>
        <w:t>Effetti indesiderati di frequenza non nota</w:t>
      </w:r>
      <w:r w:rsidRPr="005B2844">
        <w:rPr>
          <w:sz w:val="22"/>
          <w:szCs w:val="22"/>
        </w:rPr>
        <w:t xml:space="preserve"> </w:t>
      </w:r>
      <w:r w:rsidR="004D2273" w:rsidRPr="005B2844">
        <w:rPr>
          <w:sz w:val="22"/>
          <w:szCs w:val="22"/>
        </w:rPr>
        <w:t>(la frequenza non può essere definita sulla base dei dati disponibili)</w:t>
      </w:r>
      <w:r w:rsidRPr="005B2844">
        <w:rPr>
          <w:sz w:val="22"/>
          <w:szCs w:val="22"/>
        </w:rPr>
        <w:t>:</w:t>
      </w:r>
      <w:r w:rsidRPr="005B2844">
        <w:rPr>
          <w:sz w:val="22"/>
          <w:szCs w:val="22"/>
          <w:u w:val="single"/>
        </w:rPr>
        <w:t xml:space="preserve"> </w:t>
      </w:r>
      <w:r w:rsidRPr="005B2844">
        <w:rPr>
          <w:sz w:val="22"/>
          <w:szCs w:val="22"/>
          <w:u w:val="single"/>
        </w:rPr>
        <w:br/>
      </w:r>
      <w:r w:rsidR="00E03414" w:rsidRPr="005B2844">
        <w:rPr>
          <w:sz w:val="22"/>
          <w:szCs w:val="22"/>
        </w:rPr>
        <w:t>I</w:t>
      </w:r>
      <w:r w:rsidR="007B20FD" w:rsidRPr="005B2844">
        <w:rPr>
          <w:sz w:val="22"/>
          <w:szCs w:val="22"/>
        </w:rPr>
        <w:t>nfiammazione delle</w:t>
      </w:r>
      <w:r w:rsidRPr="005B2844">
        <w:rPr>
          <w:sz w:val="22"/>
          <w:szCs w:val="22"/>
        </w:rPr>
        <w:t xml:space="preserve"> ghiandol</w:t>
      </w:r>
      <w:r w:rsidR="007B20FD" w:rsidRPr="005B2844">
        <w:rPr>
          <w:sz w:val="22"/>
          <w:szCs w:val="22"/>
        </w:rPr>
        <w:t>e</w:t>
      </w:r>
      <w:r w:rsidRPr="005B2844">
        <w:rPr>
          <w:sz w:val="22"/>
          <w:szCs w:val="22"/>
        </w:rPr>
        <w:t xml:space="preserve"> salivar</w:t>
      </w:r>
      <w:r w:rsidR="007B20FD" w:rsidRPr="005B2844">
        <w:rPr>
          <w:sz w:val="22"/>
          <w:szCs w:val="22"/>
        </w:rPr>
        <w:t>i</w:t>
      </w:r>
      <w:r w:rsidR="00AB1C28" w:rsidRPr="005B2844">
        <w:rPr>
          <w:sz w:val="22"/>
          <w:szCs w:val="22"/>
        </w:rPr>
        <w:t xml:space="preserve">, </w:t>
      </w:r>
      <w:r w:rsidR="00263CA9" w:rsidRPr="005B2844">
        <w:rPr>
          <w:sz w:val="22"/>
          <w:szCs w:val="22"/>
        </w:rPr>
        <w:t>cancro della pelle e delle labbra (cancro della pelle non melanoma),</w:t>
      </w:r>
      <w:r w:rsidR="00263CA9" w:rsidRPr="005B2844">
        <w:rPr>
          <w:sz w:val="18"/>
          <w:szCs w:val="18"/>
          <w:u w:val="single"/>
        </w:rPr>
        <w:t xml:space="preserve"> </w:t>
      </w:r>
      <w:r w:rsidRPr="005B2844">
        <w:rPr>
          <w:sz w:val="22"/>
          <w:szCs w:val="22"/>
        </w:rPr>
        <w:t xml:space="preserve">diminuzione del numero </w:t>
      </w:r>
      <w:r w:rsidR="005F796E" w:rsidRPr="005B2844">
        <w:rPr>
          <w:sz w:val="22"/>
          <w:szCs w:val="22"/>
        </w:rPr>
        <w:t xml:space="preserve">(o persino mancanza) </w:t>
      </w:r>
      <w:r w:rsidRPr="005B2844">
        <w:rPr>
          <w:sz w:val="22"/>
          <w:szCs w:val="22"/>
        </w:rPr>
        <w:t>delle cellule del sangue, incluso cal</w:t>
      </w:r>
      <w:r w:rsidR="00343769" w:rsidRPr="005B2844">
        <w:rPr>
          <w:sz w:val="22"/>
          <w:szCs w:val="22"/>
        </w:rPr>
        <w:t>o della conta dei globuli rossi</w:t>
      </w:r>
      <w:r w:rsidRPr="005B2844">
        <w:rPr>
          <w:sz w:val="22"/>
          <w:szCs w:val="22"/>
        </w:rPr>
        <w:t xml:space="preserve"> </w:t>
      </w:r>
      <w:r w:rsidR="00E03414" w:rsidRPr="005B2844">
        <w:rPr>
          <w:sz w:val="22"/>
          <w:szCs w:val="22"/>
        </w:rPr>
        <w:t>e dei globuli bianchi,</w:t>
      </w:r>
      <w:r w:rsidR="00147DAA" w:rsidRPr="005B2844">
        <w:rPr>
          <w:sz w:val="22"/>
          <w:szCs w:val="22"/>
        </w:rPr>
        <w:t xml:space="preserve"> </w:t>
      </w:r>
      <w:r w:rsidRPr="005B2844">
        <w:rPr>
          <w:sz w:val="22"/>
          <w:szCs w:val="22"/>
        </w:rPr>
        <w:t>gravi reazioni allergiche</w:t>
      </w:r>
      <w:r w:rsidR="00B9281A" w:rsidRPr="005B2844">
        <w:rPr>
          <w:sz w:val="22"/>
          <w:szCs w:val="22"/>
        </w:rPr>
        <w:t xml:space="preserve"> (ad es. ipersensibilità, reazione anafilattica), </w:t>
      </w:r>
      <w:r w:rsidRPr="005B2844">
        <w:rPr>
          <w:sz w:val="22"/>
          <w:szCs w:val="22"/>
        </w:rPr>
        <w:t>calo o perdita di appetito</w:t>
      </w:r>
      <w:r w:rsidR="00AB1C28" w:rsidRPr="005B2844">
        <w:rPr>
          <w:sz w:val="22"/>
          <w:szCs w:val="22"/>
        </w:rPr>
        <w:t xml:space="preserve">, </w:t>
      </w:r>
      <w:r w:rsidRPr="005B2844">
        <w:rPr>
          <w:sz w:val="22"/>
          <w:szCs w:val="22"/>
        </w:rPr>
        <w:t>irrequietezza</w:t>
      </w:r>
      <w:r w:rsidR="00AB1C28" w:rsidRPr="005B2844">
        <w:rPr>
          <w:sz w:val="22"/>
          <w:szCs w:val="22"/>
        </w:rPr>
        <w:t xml:space="preserve">, </w:t>
      </w:r>
      <w:r w:rsidR="00113DEE" w:rsidRPr="005B2844">
        <w:rPr>
          <w:sz w:val="22"/>
          <w:szCs w:val="22"/>
        </w:rPr>
        <w:t>stordimento</w:t>
      </w:r>
      <w:r w:rsidR="00AB1C28" w:rsidRPr="005B2844">
        <w:rPr>
          <w:sz w:val="22"/>
          <w:szCs w:val="22"/>
        </w:rPr>
        <w:t xml:space="preserve">, </w:t>
      </w:r>
      <w:r w:rsidRPr="005B2844">
        <w:rPr>
          <w:sz w:val="22"/>
          <w:szCs w:val="22"/>
        </w:rPr>
        <w:t>visione offuscata o giallognola</w:t>
      </w:r>
      <w:r w:rsidR="00AB1C28" w:rsidRPr="005B2844">
        <w:rPr>
          <w:sz w:val="22"/>
          <w:szCs w:val="22"/>
        </w:rPr>
        <w:t xml:space="preserve">, </w:t>
      </w:r>
      <w:r w:rsidR="005D68E6" w:rsidRPr="005B2844">
        <w:rPr>
          <w:sz w:val="22"/>
          <w:szCs w:val="22"/>
        </w:rPr>
        <w:t xml:space="preserve">diminuzione della vista e dolore agli occhi (possibili segni </w:t>
      </w:r>
      <w:r w:rsidR="00713E25" w:rsidRPr="0018018D">
        <w:rPr>
          <w:sz w:val="22"/>
          <w:szCs w:val="22"/>
        </w:rPr>
        <w:t xml:space="preserve">dell’accumulo di liquido nello strato vascolare dell’occhio (effusione </w:t>
      </w:r>
      <w:proofErr w:type="spellStart"/>
      <w:r w:rsidR="00713E25" w:rsidRPr="0018018D">
        <w:rPr>
          <w:sz w:val="22"/>
          <w:szCs w:val="22"/>
        </w:rPr>
        <w:t>coroidale</w:t>
      </w:r>
      <w:proofErr w:type="spellEnd"/>
      <w:r w:rsidR="00713E25" w:rsidRPr="0018018D">
        <w:rPr>
          <w:sz w:val="22"/>
          <w:szCs w:val="22"/>
        </w:rPr>
        <w:t>) o</w:t>
      </w:r>
      <w:r w:rsidR="00713E25" w:rsidRPr="005B2844">
        <w:rPr>
          <w:sz w:val="22"/>
          <w:szCs w:val="22"/>
        </w:rPr>
        <w:t xml:space="preserve"> </w:t>
      </w:r>
      <w:r w:rsidR="005D68E6" w:rsidRPr="005B2844">
        <w:rPr>
          <w:sz w:val="22"/>
          <w:szCs w:val="22"/>
        </w:rPr>
        <w:t xml:space="preserve">di </w:t>
      </w:r>
      <w:r w:rsidR="006F4554" w:rsidRPr="005B2844">
        <w:rPr>
          <w:sz w:val="22"/>
          <w:szCs w:val="22"/>
        </w:rPr>
        <w:t xml:space="preserve">miopia acuta o </w:t>
      </w:r>
      <w:r w:rsidR="005D68E6" w:rsidRPr="005B2844">
        <w:rPr>
          <w:sz w:val="22"/>
          <w:szCs w:val="22"/>
        </w:rPr>
        <w:t xml:space="preserve">glaucoma </w:t>
      </w:r>
      <w:r w:rsidR="00AB5B92" w:rsidRPr="005B2844">
        <w:rPr>
          <w:sz w:val="22"/>
          <w:szCs w:val="22"/>
        </w:rPr>
        <w:t xml:space="preserve">acuto </w:t>
      </w:r>
      <w:r w:rsidR="005D68E6" w:rsidRPr="005B2844">
        <w:rPr>
          <w:sz w:val="22"/>
          <w:szCs w:val="22"/>
        </w:rPr>
        <w:t xml:space="preserve">ad angolo chiuso), </w:t>
      </w:r>
      <w:r w:rsidR="00AB1C28" w:rsidRPr="005B2844">
        <w:rPr>
          <w:sz w:val="22"/>
          <w:szCs w:val="22"/>
        </w:rPr>
        <w:t xml:space="preserve">infiammazione dei vasi sanguigni (vasculite necrotizzante), </w:t>
      </w:r>
      <w:r w:rsidRPr="005B2844">
        <w:rPr>
          <w:sz w:val="22"/>
          <w:szCs w:val="22"/>
        </w:rPr>
        <w:t xml:space="preserve">infiammazione del pancreas, </w:t>
      </w:r>
      <w:r w:rsidR="00B9281A" w:rsidRPr="005B2844">
        <w:rPr>
          <w:sz w:val="22"/>
          <w:szCs w:val="22"/>
        </w:rPr>
        <w:t>disturbo di stomaco</w:t>
      </w:r>
      <w:r w:rsidR="00AB1C28" w:rsidRPr="005B2844">
        <w:rPr>
          <w:sz w:val="22"/>
          <w:szCs w:val="22"/>
        </w:rPr>
        <w:t xml:space="preserve">, </w:t>
      </w:r>
      <w:r w:rsidRPr="005B2844">
        <w:rPr>
          <w:sz w:val="22"/>
          <w:szCs w:val="22"/>
        </w:rPr>
        <w:t>ingiallimento della pelle o degli occhi (ittero</w:t>
      </w:r>
      <w:r w:rsidR="00AB1C28" w:rsidRPr="005B2844">
        <w:rPr>
          <w:sz w:val="22"/>
          <w:szCs w:val="22"/>
        </w:rPr>
        <w:t xml:space="preserve">), </w:t>
      </w:r>
      <w:r w:rsidR="00927CB9" w:rsidRPr="005B2844">
        <w:rPr>
          <w:sz w:val="22"/>
          <w:szCs w:val="22"/>
        </w:rPr>
        <w:t xml:space="preserve">sindrome simil lupus (una condizione </w:t>
      </w:r>
      <w:r w:rsidR="00A744B4" w:rsidRPr="005B2844">
        <w:rPr>
          <w:sz w:val="22"/>
          <w:szCs w:val="22"/>
        </w:rPr>
        <w:t>simile ad</w:t>
      </w:r>
      <w:r w:rsidR="00927CB9" w:rsidRPr="005B2844">
        <w:rPr>
          <w:sz w:val="22"/>
          <w:szCs w:val="22"/>
        </w:rPr>
        <w:t xml:space="preserve"> una malattia chiamata lupus eritematoso sistemico a causa della quale il sistema immunitario attacca l'organismo stesso); </w:t>
      </w:r>
      <w:r w:rsidRPr="005B2844">
        <w:rPr>
          <w:sz w:val="22"/>
          <w:szCs w:val="22"/>
        </w:rPr>
        <w:t>disturbi della pelle come infiammazione dei vasi sanguigni della pelle</w:t>
      </w:r>
      <w:r w:rsidR="00AB1C28" w:rsidRPr="005B2844">
        <w:rPr>
          <w:sz w:val="22"/>
          <w:szCs w:val="22"/>
        </w:rPr>
        <w:t xml:space="preserve">, </w:t>
      </w:r>
      <w:r w:rsidRPr="005B2844">
        <w:rPr>
          <w:sz w:val="22"/>
          <w:szCs w:val="22"/>
        </w:rPr>
        <w:t>aumentata sensibilità alla luce del sole</w:t>
      </w:r>
      <w:r w:rsidR="00AB1C28" w:rsidRPr="005B2844">
        <w:rPr>
          <w:sz w:val="22"/>
          <w:szCs w:val="22"/>
        </w:rPr>
        <w:t>,</w:t>
      </w:r>
      <w:r w:rsidR="005F796E" w:rsidRPr="005B2844">
        <w:rPr>
          <w:sz w:val="22"/>
          <w:szCs w:val="22"/>
        </w:rPr>
        <w:t xml:space="preserve"> eruzione cutanea, arrossamento della pelle, formazione di ve</w:t>
      </w:r>
      <w:r w:rsidR="007661B2" w:rsidRPr="005B2844">
        <w:rPr>
          <w:sz w:val="22"/>
          <w:szCs w:val="22"/>
        </w:rPr>
        <w:t>sciche su labbra, occhi o bocca,</w:t>
      </w:r>
      <w:r w:rsidR="005F796E" w:rsidRPr="005B2844">
        <w:rPr>
          <w:sz w:val="22"/>
          <w:szCs w:val="22"/>
        </w:rPr>
        <w:t xml:space="preserve"> desquamazione della pelle, febbre (possibili segni di eritema multiforme),</w:t>
      </w:r>
      <w:r w:rsidR="00AB1C28" w:rsidRPr="005B2844">
        <w:rPr>
          <w:sz w:val="22"/>
          <w:szCs w:val="22"/>
        </w:rPr>
        <w:t xml:space="preserve"> </w:t>
      </w:r>
      <w:r w:rsidR="00763FE8" w:rsidRPr="005B2844">
        <w:rPr>
          <w:sz w:val="22"/>
          <w:szCs w:val="22"/>
        </w:rPr>
        <w:t xml:space="preserve">sensazione di </w:t>
      </w:r>
      <w:r w:rsidR="00AB1C28" w:rsidRPr="005B2844">
        <w:rPr>
          <w:sz w:val="22"/>
          <w:szCs w:val="22"/>
        </w:rPr>
        <w:t xml:space="preserve">debolezza, </w:t>
      </w:r>
      <w:r w:rsidRPr="005B2844">
        <w:rPr>
          <w:sz w:val="22"/>
          <w:szCs w:val="22"/>
        </w:rPr>
        <w:t>infiammazione dei reni o funzionalità renale alterata</w:t>
      </w:r>
      <w:r w:rsidR="00AB1C28" w:rsidRPr="005B2844">
        <w:rPr>
          <w:sz w:val="22"/>
          <w:szCs w:val="22"/>
        </w:rPr>
        <w:t xml:space="preserve">, glucosio presente nell’urina (glicosuria), </w:t>
      </w:r>
      <w:r w:rsidRPr="005B2844">
        <w:rPr>
          <w:sz w:val="22"/>
          <w:szCs w:val="22"/>
        </w:rPr>
        <w:t>febbre</w:t>
      </w:r>
      <w:r w:rsidR="00AB1C28" w:rsidRPr="005B2844">
        <w:rPr>
          <w:sz w:val="22"/>
          <w:szCs w:val="22"/>
        </w:rPr>
        <w:t xml:space="preserve">, </w:t>
      </w:r>
      <w:r w:rsidR="00B9281A" w:rsidRPr="005B2844">
        <w:rPr>
          <w:sz w:val="22"/>
          <w:szCs w:val="22"/>
        </w:rPr>
        <w:t xml:space="preserve">squilibrio elettrolitico, livelli elevati di colesterolo nel sangue, volume di sangue ridotto, </w:t>
      </w:r>
      <w:r w:rsidR="00880FE1" w:rsidRPr="005B2844">
        <w:rPr>
          <w:sz w:val="22"/>
          <w:szCs w:val="22"/>
        </w:rPr>
        <w:t>aumentati livelli di glucosio nel sangue, difficoltà nel controllare i livelli di glucosio nel sangue/nelle urine in pazienti con diagnosi di diabete mellito,</w:t>
      </w:r>
      <w:r w:rsidR="00FE0C8E" w:rsidRPr="005B2844">
        <w:rPr>
          <w:sz w:val="22"/>
          <w:szCs w:val="22"/>
        </w:rPr>
        <w:t xml:space="preserve"> </w:t>
      </w:r>
      <w:r w:rsidR="00B9281A" w:rsidRPr="005B2844">
        <w:rPr>
          <w:sz w:val="22"/>
          <w:szCs w:val="22"/>
        </w:rPr>
        <w:t>o</w:t>
      </w:r>
      <w:r w:rsidRPr="005B2844">
        <w:rPr>
          <w:sz w:val="22"/>
          <w:szCs w:val="22"/>
        </w:rPr>
        <w:t xml:space="preserve"> </w:t>
      </w:r>
      <w:r w:rsidR="00D576E4" w:rsidRPr="005B2844">
        <w:rPr>
          <w:sz w:val="22"/>
          <w:szCs w:val="22"/>
        </w:rPr>
        <w:t>di grassi nel sangue</w:t>
      </w:r>
      <w:r w:rsidRPr="005B2844">
        <w:rPr>
          <w:sz w:val="22"/>
          <w:szCs w:val="22"/>
        </w:rPr>
        <w:t>.</w:t>
      </w:r>
    </w:p>
    <w:p w:rsidR="00FC5178" w:rsidRPr="005B2844" w:rsidRDefault="00FC5178" w:rsidP="0072602F">
      <w:pPr>
        <w:rPr>
          <w:szCs w:val="22"/>
        </w:rPr>
      </w:pPr>
    </w:p>
    <w:p w:rsidR="000A494C" w:rsidRPr="005B2844" w:rsidRDefault="000A494C" w:rsidP="00880FE1">
      <w:pPr>
        <w:keepNext/>
        <w:tabs>
          <w:tab w:val="left" w:pos="6300"/>
        </w:tabs>
        <w:rPr>
          <w:b/>
          <w:noProof/>
          <w:szCs w:val="22"/>
        </w:rPr>
      </w:pPr>
      <w:r w:rsidRPr="005B2844">
        <w:rPr>
          <w:b/>
          <w:noProof/>
          <w:szCs w:val="22"/>
        </w:rPr>
        <w:t>Segnalazione degli effetti indesiderati</w:t>
      </w:r>
    </w:p>
    <w:p w:rsidR="00FC5178" w:rsidRPr="005B2844" w:rsidRDefault="000A494C" w:rsidP="00F541E7">
      <w:pPr>
        <w:suppressAutoHyphens/>
        <w:rPr>
          <w:noProof/>
          <w:szCs w:val="22"/>
        </w:rPr>
      </w:pPr>
      <w:r w:rsidRPr="005B2844">
        <w:rPr>
          <w:szCs w:val="22"/>
        </w:rPr>
        <w:t>Se manifesta un qualsiasi effetto indesiderato, compresi quelli non elencati in questo foglio, si rivolga al medico o al farmacista.</w:t>
      </w:r>
      <w:r w:rsidRPr="005B2844">
        <w:rPr>
          <w:noProof/>
          <w:szCs w:val="22"/>
        </w:rPr>
        <w:t xml:space="preserve"> </w:t>
      </w:r>
      <w:r w:rsidR="00D01EC3" w:rsidRPr="005B2844">
        <w:rPr>
          <w:noProof/>
          <w:szCs w:val="22"/>
        </w:rPr>
        <w:t>P</w:t>
      </w:r>
      <w:r w:rsidRPr="005B2844">
        <w:rPr>
          <w:noProof/>
          <w:szCs w:val="22"/>
        </w:rPr>
        <w:t xml:space="preserve">uò inoltre segnalare gli effetti indesiderati direttamente tramite </w:t>
      </w:r>
      <w:r w:rsidRPr="005B2844">
        <w:rPr>
          <w:noProof/>
          <w:szCs w:val="22"/>
          <w:highlight w:val="lightGray"/>
        </w:rPr>
        <w:t>il sistema nazionale di segnalazione riportato nell’</w:t>
      </w:r>
      <w:hyperlink r:id="rId18" w:history="1">
        <w:r w:rsidR="00D01EC3" w:rsidRPr="005B2844">
          <w:rPr>
            <w:rStyle w:val="Hyperlink"/>
            <w:noProof/>
            <w:szCs w:val="22"/>
            <w:highlight w:val="lightGray"/>
          </w:rPr>
          <w:t>a</w:t>
        </w:r>
        <w:r w:rsidRPr="005B2844">
          <w:rPr>
            <w:rStyle w:val="Hyperlink"/>
            <w:noProof/>
            <w:szCs w:val="22"/>
            <w:highlight w:val="lightGray"/>
          </w:rPr>
          <w:t>llega</w:t>
        </w:r>
        <w:r w:rsidRPr="005B2844">
          <w:rPr>
            <w:rStyle w:val="Hyperlink"/>
            <w:noProof/>
            <w:szCs w:val="22"/>
            <w:highlight w:val="lightGray"/>
          </w:rPr>
          <w:t>t</w:t>
        </w:r>
        <w:r w:rsidRPr="005B2844">
          <w:rPr>
            <w:rStyle w:val="Hyperlink"/>
            <w:noProof/>
            <w:szCs w:val="22"/>
            <w:highlight w:val="lightGray"/>
          </w:rPr>
          <w:t>o V</w:t>
        </w:r>
      </w:hyperlink>
      <w:r w:rsidRPr="005B2844">
        <w:rPr>
          <w:noProof/>
          <w:szCs w:val="22"/>
        </w:rPr>
        <w:t>.</w:t>
      </w:r>
      <w:r w:rsidR="00D01EC3" w:rsidRPr="005B2844">
        <w:rPr>
          <w:noProof/>
          <w:szCs w:val="22"/>
        </w:rPr>
        <w:t xml:space="preserve"> </w:t>
      </w:r>
      <w:r w:rsidRPr="005B2844">
        <w:rPr>
          <w:noProof/>
          <w:szCs w:val="22"/>
        </w:rPr>
        <w:t>Segnalando gli effetti indesiderati può contribuire a fornire maggiori informazioni sulla sicurezza di questo medicinale.</w:t>
      </w:r>
    </w:p>
    <w:p w:rsidR="000C6CBB" w:rsidRPr="005B2844" w:rsidRDefault="000C6CBB" w:rsidP="0072602F">
      <w:pPr>
        <w:rPr>
          <w:szCs w:val="22"/>
        </w:rPr>
      </w:pPr>
    </w:p>
    <w:p w:rsidR="00FC5178" w:rsidRPr="005B2844" w:rsidRDefault="00FC5178" w:rsidP="0072602F">
      <w:pPr>
        <w:rPr>
          <w:szCs w:val="22"/>
        </w:rPr>
      </w:pPr>
    </w:p>
    <w:p w:rsidR="00FC5178" w:rsidRPr="005B2844" w:rsidRDefault="00FC5178" w:rsidP="008A1E96">
      <w:pPr>
        <w:keepNext/>
        <w:tabs>
          <w:tab w:val="left" w:pos="567"/>
        </w:tabs>
        <w:ind w:left="567" w:hanging="567"/>
        <w:rPr>
          <w:b/>
          <w:szCs w:val="22"/>
        </w:rPr>
      </w:pPr>
      <w:r w:rsidRPr="005B2844">
        <w:rPr>
          <w:b/>
          <w:szCs w:val="22"/>
        </w:rPr>
        <w:t>5.</w:t>
      </w:r>
      <w:r w:rsidRPr="005B2844">
        <w:rPr>
          <w:b/>
          <w:szCs w:val="22"/>
        </w:rPr>
        <w:tab/>
      </w:r>
      <w:r w:rsidR="004D2273" w:rsidRPr="005B2844">
        <w:rPr>
          <w:b/>
          <w:szCs w:val="22"/>
        </w:rPr>
        <w:t xml:space="preserve">Come conservare </w:t>
      </w:r>
      <w:proofErr w:type="spellStart"/>
      <w:r w:rsidR="004D2273" w:rsidRPr="005B2844">
        <w:rPr>
          <w:b/>
          <w:szCs w:val="22"/>
        </w:rPr>
        <w:t>MicardisPlus</w:t>
      </w:r>
      <w:proofErr w:type="spellEnd"/>
    </w:p>
    <w:p w:rsidR="00FC5178" w:rsidRPr="005B2844" w:rsidRDefault="00FC5178" w:rsidP="008A1E96">
      <w:pPr>
        <w:keepNext/>
        <w:rPr>
          <w:szCs w:val="22"/>
        </w:rPr>
      </w:pPr>
    </w:p>
    <w:p w:rsidR="00FC5178" w:rsidRPr="005B2844" w:rsidRDefault="00D01EC3" w:rsidP="0072602F">
      <w:pPr>
        <w:rPr>
          <w:szCs w:val="22"/>
        </w:rPr>
      </w:pPr>
      <w:r w:rsidRPr="005B2844">
        <w:rPr>
          <w:szCs w:val="22"/>
        </w:rPr>
        <w:t xml:space="preserve">Conservi </w:t>
      </w:r>
      <w:r w:rsidR="00293033" w:rsidRPr="005B2844">
        <w:rPr>
          <w:szCs w:val="22"/>
        </w:rPr>
        <w:t>questo medicinale</w:t>
      </w:r>
      <w:r w:rsidR="00FC5178" w:rsidRPr="005B2844">
        <w:rPr>
          <w:szCs w:val="22"/>
        </w:rPr>
        <w:t xml:space="preserve"> fuori dalla </w:t>
      </w:r>
      <w:r w:rsidR="00293033" w:rsidRPr="005B2844">
        <w:rPr>
          <w:szCs w:val="22"/>
        </w:rPr>
        <w:t>vista</w:t>
      </w:r>
      <w:r w:rsidR="00FC5178" w:rsidRPr="005B2844">
        <w:rPr>
          <w:szCs w:val="22"/>
        </w:rPr>
        <w:t xml:space="preserve"> e dalla </w:t>
      </w:r>
      <w:r w:rsidR="00293033" w:rsidRPr="005B2844">
        <w:rPr>
          <w:szCs w:val="22"/>
        </w:rPr>
        <w:t>portata</w:t>
      </w:r>
      <w:r w:rsidR="00FC5178" w:rsidRPr="005B2844">
        <w:rPr>
          <w:szCs w:val="22"/>
        </w:rPr>
        <w:t xml:space="preserve"> dei bambini.</w:t>
      </w:r>
    </w:p>
    <w:p w:rsidR="00FC5178" w:rsidRPr="005B2844" w:rsidRDefault="00FC5178" w:rsidP="0072602F">
      <w:pPr>
        <w:rPr>
          <w:szCs w:val="22"/>
        </w:rPr>
      </w:pPr>
    </w:p>
    <w:p w:rsidR="00FC5178" w:rsidRPr="005B2844" w:rsidRDefault="00FC5178" w:rsidP="0072602F">
      <w:pPr>
        <w:suppressAutoHyphens/>
        <w:rPr>
          <w:noProof/>
          <w:szCs w:val="22"/>
        </w:rPr>
      </w:pPr>
      <w:r w:rsidRPr="005B2844">
        <w:rPr>
          <w:noProof/>
          <w:szCs w:val="22"/>
        </w:rPr>
        <w:t xml:space="preserve">Non usi </w:t>
      </w:r>
      <w:r w:rsidR="00293033" w:rsidRPr="005B2844">
        <w:rPr>
          <w:szCs w:val="22"/>
        </w:rPr>
        <w:t>questo medicinale</w:t>
      </w:r>
      <w:r w:rsidRPr="005B2844">
        <w:rPr>
          <w:szCs w:val="22"/>
        </w:rPr>
        <w:t xml:space="preserve"> </w:t>
      </w:r>
      <w:r w:rsidRPr="005B2844">
        <w:rPr>
          <w:noProof/>
          <w:szCs w:val="22"/>
        </w:rPr>
        <w:t xml:space="preserve">dopo la data di scadenza che è riportata </w:t>
      </w:r>
      <w:r w:rsidR="00293033" w:rsidRPr="005B2844">
        <w:rPr>
          <w:noProof/>
          <w:szCs w:val="22"/>
        </w:rPr>
        <w:t>sulla scatola</w:t>
      </w:r>
      <w:r w:rsidRPr="005B2844">
        <w:rPr>
          <w:noProof/>
          <w:szCs w:val="22"/>
        </w:rPr>
        <w:t xml:space="preserve"> dopo Scad. La data di scadenza si riferisce all’ultimo giorno </w:t>
      </w:r>
      <w:r w:rsidR="00971E74" w:rsidRPr="005B2844">
        <w:rPr>
          <w:noProof/>
          <w:szCs w:val="22"/>
        </w:rPr>
        <w:t>di quel</w:t>
      </w:r>
      <w:r w:rsidRPr="005B2844">
        <w:rPr>
          <w:noProof/>
          <w:szCs w:val="22"/>
        </w:rPr>
        <w:t xml:space="preserve"> mese.</w:t>
      </w:r>
    </w:p>
    <w:p w:rsidR="00FC5178" w:rsidRPr="005B2844" w:rsidRDefault="00FC5178" w:rsidP="0072602F">
      <w:pPr>
        <w:rPr>
          <w:szCs w:val="22"/>
        </w:rPr>
      </w:pPr>
    </w:p>
    <w:p w:rsidR="00FC5178" w:rsidRPr="005B2844" w:rsidRDefault="0011676C" w:rsidP="0072602F">
      <w:pPr>
        <w:rPr>
          <w:szCs w:val="22"/>
        </w:rPr>
      </w:pPr>
      <w:r w:rsidRPr="005B2844">
        <w:rPr>
          <w:noProof/>
          <w:szCs w:val="22"/>
        </w:rPr>
        <w:t xml:space="preserve">Questo medicinale non richiede alcuna </w:t>
      </w:r>
      <w:r w:rsidR="00971E74" w:rsidRPr="005B2844">
        <w:rPr>
          <w:noProof/>
          <w:szCs w:val="22"/>
        </w:rPr>
        <w:t>temperatura</w:t>
      </w:r>
      <w:r w:rsidRPr="005B2844">
        <w:rPr>
          <w:noProof/>
          <w:szCs w:val="22"/>
        </w:rPr>
        <w:t xml:space="preserve"> particolare di conservazione. </w:t>
      </w:r>
      <w:r w:rsidR="00A000D8" w:rsidRPr="005B2844">
        <w:rPr>
          <w:szCs w:val="22"/>
        </w:rPr>
        <w:t>Deve c</w:t>
      </w:r>
      <w:r w:rsidR="00FC5178" w:rsidRPr="005B2844">
        <w:rPr>
          <w:szCs w:val="22"/>
        </w:rPr>
        <w:t xml:space="preserve">onservare </w:t>
      </w:r>
      <w:r w:rsidR="00A000D8" w:rsidRPr="005B2844">
        <w:rPr>
          <w:szCs w:val="22"/>
        </w:rPr>
        <w:t xml:space="preserve">il medicinale </w:t>
      </w:r>
      <w:r w:rsidR="00FC5178" w:rsidRPr="005B2844">
        <w:rPr>
          <w:szCs w:val="22"/>
        </w:rPr>
        <w:t>nella confezione originale per tener</w:t>
      </w:r>
      <w:r w:rsidR="00A000D8" w:rsidRPr="005B2844">
        <w:rPr>
          <w:szCs w:val="22"/>
        </w:rPr>
        <w:t>e le</w:t>
      </w:r>
      <w:r w:rsidR="00FC5178" w:rsidRPr="005B2844">
        <w:rPr>
          <w:szCs w:val="22"/>
        </w:rPr>
        <w:t xml:space="preserve"> </w:t>
      </w:r>
      <w:r w:rsidR="00A000D8" w:rsidRPr="005B2844">
        <w:rPr>
          <w:szCs w:val="22"/>
        </w:rPr>
        <w:t xml:space="preserve">compresse </w:t>
      </w:r>
      <w:r w:rsidR="00FC5178" w:rsidRPr="005B2844">
        <w:rPr>
          <w:szCs w:val="22"/>
        </w:rPr>
        <w:t>al riparo dall’umidità.</w:t>
      </w:r>
      <w:r w:rsidR="000B7626" w:rsidRPr="005B2844">
        <w:rPr>
          <w:szCs w:val="22"/>
        </w:rPr>
        <w:t xml:space="preserve"> Estragga la compressa di </w:t>
      </w:r>
      <w:proofErr w:type="spellStart"/>
      <w:r w:rsidR="000B7626" w:rsidRPr="005B2844">
        <w:rPr>
          <w:szCs w:val="22"/>
        </w:rPr>
        <w:t>MicardisPlus</w:t>
      </w:r>
      <w:proofErr w:type="spellEnd"/>
      <w:r w:rsidR="000B7626" w:rsidRPr="005B2844">
        <w:rPr>
          <w:szCs w:val="22"/>
        </w:rPr>
        <w:t xml:space="preserve"> dal blister solo immediatamente prima dell’assunzione.</w:t>
      </w:r>
    </w:p>
    <w:p w:rsidR="00FC5178" w:rsidRPr="005B2844" w:rsidRDefault="00FC5178" w:rsidP="0072602F">
      <w:pPr>
        <w:rPr>
          <w:szCs w:val="22"/>
        </w:rPr>
      </w:pPr>
    </w:p>
    <w:p w:rsidR="00FC5178" w:rsidRPr="005B2844" w:rsidRDefault="00FC5178" w:rsidP="0072602F">
      <w:pPr>
        <w:rPr>
          <w:szCs w:val="22"/>
        </w:rPr>
      </w:pPr>
      <w:r w:rsidRPr="005B2844">
        <w:rPr>
          <w:szCs w:val="22"/>
        </w:rPr>
        <w:t xml:space="preserve">Occasionalmente lo strato esterno del blister </w:t>
      </w:r>
      <w:r w:rsidR="00244055" w:rsidRPr="005B2844">
        <w:rPr>
          <w:szCs w:val="22"/>
        </w:rPr>
        <w:t xml:space="preserve">si </w:t>
      </w:r>
      <w:r w:rsidRPr="005B2844">
        <w:rPr>
          <w:szCs w:val="22"/>
        </w:rPr>
        <w:t xml:space="preserve">separa dallo strato interno tra gli alveoli. Se ciò si verificasse, non è necessario </w:t>
      </w:r>
      <w:r w:rsidR="00244055" w:rsidRPr="005B2844">
        <w:rPr>
          <w:szCs w:val="22"/>
        </w:rPr>
        <w:t xml:space="preserve">che </w:t>
      </w:r>
      <w:r w:rsidRPr="005B2844">
        <w:rPr>
          <w:szCs w:val="22"/>
        </w:rPr>
        <w:t>prend</w:t>
      </w:r>
      <w:r w:rsidR="00244055" w:rsidRPr="005B2844">
        <w:rPr>
          <w:szCs w:val="22"/>
        </w:rPr>
        <w:t>a</w:t>
      </w:r>
      <w:r w:rsidRPr="005B2844">
        <w:rPr>
          <w:szCs w:val="22"/>
        </w:rPr>
        <w:t xml:space="preserve"> alcuna precauzione.</w:t>
      </w:r>
    </w:p>
    <w:p w:rsidR="00FC5178" w:rsidRPr="005B2844" w:rsidRDefault="00FC5178" w:rsidP="0072602F">
      <w:pPr>
        <w:rPr>
          <w:szCs w:val="22"/>
        </w:rPr>
      </w:pPr>
    </w:p>
    <w:p w:rsidR="00FC5178" w:rsidRPr="005B2844" w:rsidRDefault="00971E74" w:rsidP="0072602F">
      <w:pPr>
        <w:suppressAutoHyphens/>
        <w:rPr>
          <w:noProof/>
          <w:szCs w:val="22"/>
        </w:rPr>
      </w:pPr>
      <w:r w:rsidRPr="005B2844">
        <w:rPr>
          <w:noProof/>
          <w:szCs w:val="22"/>
        </w:rPr>
        <w:t>Non getti alcun medicinale</w:t>
      </w:r>
      <w:r w:rsidR="00FC5178" w:rsidRPr="005B2844">
        <w:rPr>
          <w:noProof/>
          <w:szCs w:val="22"/>
        </w:rPr>
        <w:t xml:space="preserve"> nell’acqua di scarico e nei rifiuti domestici. Chieda al farmacista come eliminare i medicinali che non utilizza più. Questo aiuterà a proteggere l’ambiente.</w:t>
      </w:r>
    </w:p>
    <w:p w:rsidR="00FC5178" w:rsidRPr="005B2844" w:rsidRDefault="00FC5178" w:rsidP="0072602F">
      <w:pPr>
        <w:rPr>
          <w:szCs w:val="22"/>
        </w:rPr>
      </w:pPr>
    </w:p>
    <w:p w:rsidR="00FC5178" w:rsidRPr="005B2844" w:rsidRDefault="00FC5178" w:rsidP="0072602F">
      <w:pPr>
        <w:rPr>
          <w:szCs w:val="22"/>
        </w:rPr>
      </w:pPr>
    </w:p>
    <w:p w:rsidR="00FC5178" w:rsidRPr="005B2844" w:rsidRDefault="00FC5178" w:rsidP="00532263">
      <w:pPr>
        <w:keepNext/>
        <w:ind w:left="567" w:hanging="567"/>
        <w:rPr>
          <w:b/>
          <w:szCs w:val="22"/>
        </w:rPr>
      </w:pPr>
      <w:r w:rsidRPr="005B2844">
        <w:rPr>
          <w:b/>
          <w:szCs w:val="22"/>
        </w:rPr>
        <w:t>6.</w:t>
      </w:r>
      <w:r w:rsidRPr="005B2844">
        <w:rPr>
          <w:b/>
          <w:szCs w:val="22"/>
        </w:rPr>
        <w:tab/>
      </w:r>
      <w:r w:rsidR="00971E74" w:rsidRPr="005B2844">
        <w:rPr>
          <w:b/>
          <w:szCs w:val="22"/>
        </w:rPr>
        <w:t>Contenuto della confezione e altre informazioni</w:t>
      </w:r>
    </w:p>
    <w:p w:rsidR="00FC5178" w:rsidRPr="005B2844" w:rsidRDefault="00FC5178" w:rsidP="00532263">
      <w:pPr>
        <w:pStyle w:val="BodyText30"/>
        <w:keepNext/>
        <w:widowControl/>
        <w:rPr>
          <w:szCs w:val="22"/>
          <w:lang w:val="it-IT"/>
        </w:rPr>
      </w:pPr>
    </w:p>
    <w:p w:rsidR="00FC5178" w:rsidRPr="005B2844" w:rsidRDefault="00FC5178" w:rsidP="00532263">
      <w:pPr>
        <w:keepNext/>
        <w:tabs>
          <w:tab w:val="left" w:pos="426"/>
        </w:tabs>
        <w:rPr>
          <w:b/>
          <w:szCs w:val="22"/>
        </w:rPr>
      </w:pPr>
      <w:r w:rsidRPr="005B2844">
        <w:rPr>
          <w:b/>
          <w:szCs w:val="22"/>
        </w:rPr>
        <w:t xml:space="preserve">Cosa contiene </w:t>
      </w:r>
      <w:proofErr w:type="spellStart"/>
      <w:r w:rsidRPr="005B2844">
        <w:rPr>
          <w:b/>
          <w:szCs w:val="22"/>
        </w:rPr>
        <w:t>MicardisPlus</w:t>
      </w:r>
      <w:proofErr w:type="spellEnd"/>
    </w:p>
    <w:p w:rsidR="009904EA" w:rsidRPr="005B2844" w:rsidRDefault="009904EA" w:rsidP="00532263">
      <w:pPr>
        <w:keepNext/>
        <w:tabs>
          <w:tab w:val="left" w:pos="426"/>
        </w:tabs>
        <w:rPr>
          <w:b/>
          <w:szCs w:val="22"/>
        </w:rPr>
      </w:pPr>
    </w:p>
    <w:p w:rsidR="00FC5178" w:rsidRPr="005B2844" w:rsidRDefault="00FC5178" w:rsidP="0072602F">
      <w:pPr>
        <w:rPr>
          <w:szCs w:val="22"/>
        </w:rPr>
      </w:pPr>
      <w:r w:rsidRPr="005B2844">
        <w:rPr>
          <w:szCs w:val="22"/>
        </w:rPr>
        <w:t xml:space="preserve">I principi attivi sono </w:t>
      </w:r>
      <w:proofErr w:type="spellStart"/>
      <w:r w:rsidRPr="005B2844">
        <w:rPr>
          <w:szCs w:val="22"/>
        </w:rPr>
        <w:t>telmisartan</w:t>
      </w:r>
      <w:proofErr w:type="spellEnd"/>
      <w:r w:rsidRPr="005B2844">
        <w:rPr>
          <w:szCs w:val="22"/>
        </w:rPr>
        <w:t xml:space="preserve"> e </w:t>
      </w:r>
      <w:proofErr w:type="spellStart"/>
      <w:r w:rsidRPr="005B2844">
        <w:rPr>
          <w:szCs w:val="22"/>
        </w:rPr>
        <w:t>idroclorotiazide</w:t>
      </w:r>
      <w:proofErr w:type="spellEnd"/>
      <w:r w:rsidRPr="005B2844">
        <w:rPr>
          <w:szCs w:val="22"/>
        </w:rPr>
        <w:t xml:space="preserve">. </w:t>
      </w:r>
      <w:r w:rsidR="00244055" w:rsidRPr="005B2844">
        <w:rPr>
          <w:szCs w:val="22"/>
        </w:rPr>
        <w:t xml:space="preserve">Ogni compressa contiene 80 mg di </w:t>
      </w:r>
      <w:proofErr w:type="spellStart"/>
      <w:r w:rsidR="00244055" w:rsidRPr="005B2844">
        <w:rPr>
          <w:szCs w:val="22"/>
        </w:rPr>
        <w:t>telmisartan</w:t>
      </w:r>
      <w:proofErr w:type="spellEnd"/>
      <w:r w:rsidR="00244055" w:rsidRPr="005B2844">
        <w:rPr>
          <w:szCs w:val="22"/>
        </w:rPr>
        <w:t xml:space="preserve"> e 25 mg di </w:t>
      </w:r>
      <w:proofErr w:type="spellStart"/>
      <w:r w:rsidR="00244055" w:rsidRPr="005B2844">
        <w:rPr>
          <w:szCs w:val="22"/>
        </w:rPr>
        <w:t>idroclorotiazide</w:t>
      </w:r>
      <w:proofErr w:type="spellEnd"/>
      <w:r w:rsidR="00244055" w:rsidRPr="005B2844">
        <w:rPr>
          <w:szCs w:val="22"/>
        </w:rPr>
        <w:t>.</w:t>
      </w:r>
    </w:p>
    <w:p w:rsidR="00FC5178" w:rsidRPr="005B2844" w:rsidRDefault="00FC5178" w:rsidP="0072602F">
      <w:pPr>
        <w:tabs>
          <w:tab w:val="left" w:pos="567"/>
        </w:tabs>
        <w:rPr>
          <w:szCs w:val="22"/>
        </w:rPr>
      </w:pPr>
      <w:r w:rsidRPr="005B2844">
        <w:rPr>
          <w:szCs w:val="22"/>
        </w:rPr>
        <w:t xml:space="preserve">Gli </w:t>
      </w:r>
      <w:r w:rsidR="00F72BE7" w:rsidRPr="005B2844">
        <w:rPr>
          <w:szCs w:val="22"/>
        </w:rPr>
        <w:t>altri componenti</w:t>
      </w:r>
      <w:r w:rsidRPr="005B2844">
        <w:rPr>
          <w:szCs w:val="22"/>
        </w:rPr>
        <w:t xml:space="preserve"> sono lattosio monoidrato, magnesio stearato, amido di mais, </w:t>
      </w:r>
      <w:proofErr w:type="spellStart"/>
      <w:r w:rsidRPr="005B2844">
        <w:rPr>
          <w:szCs w:val="22"/>
        </w:rPr>
        <w:t>meglumina</w:t>
      </w:r>
      <w:proofErr w:type="spellEnd"/>
      <w:r w:rsidRPr="005B2844">
        <w:rPr>
          <w:szCs w:val="22"/>
        </w:rPr>
        <w:t xml:space="preserve">, cellulosa microcristallina, povidone, ferro ossido </w:t>
      </w:r>
      <w:r w:rsidR="00D576E4" w:rsidRPr="005B2844">
        <w:rPr>
          <w:szCs w:val="22"/>
        </w:rPr>
        <w:t xml:space="preserve">giallo </w:t>
      </w:r>
      <w:r w:rsidRPr="005B2844">
        <w:rPr>
          <w:szCs w:val="22"/>
        </w:rPr>
        <w:t xml:space="preserve">(E172), sodio idrossido, </w:t>
      </w:r>
      <w:proofErr w:type="spellStart"/>
      <w:r w:rsidRPr="005B2844">
        <w:rPr>
          <w:szCs w:val="22"/>
        </w:rPr>
        <w:t>carbossimetilamido</w:t>
      </w:r>
      <w:proofErr w:type="spellEnd"/>
      <w:r w:rsidRPr="005B2844">
        <w:rPr>
          <w:szCs w:val="22"/>
        </w:rPr>
        <w:t xml:space="preserve"> sodico (Tipo A)</w:t>
      </w:r>
      <w:r w:rsidR="00244055" w:rsidRPr="005B2844">
        <w:rPr>
          <w:szCs w:val="22"/>
        </w:rPr>
        <w:t>,</w:t>
      </w:r>
      <w:r w:rsidRPr="005B2844">
        <w:rPr>
          <w:szCs w:val="22"/>
        </w:rPr>
        <w:t xml:space="preserve"> sorbitolo (E420)</w:t>
      </w:r>
      <w:r w:rsidR="00B20D0C" w:rsidRPr="005B2844">
        <w:rPr>
          <w:szCs w:val="22"/>
        </w:rPr>
        <w:t>.</w:t>
      </w:r>
    </w:p>
    <w:p w:rsidR="00FC5178" w:rsidRPr="005B2844" w:rsidRDefault="00FC5178" w:rsidP="0072602F">
      <w:pPr>
        <w:tabs>
          <w:tab w:val="left" w:pos="426"/>
        </w:tabs>
        <w:rPr>
          <w:szCs w:val="22"/>
        </w:rPr>
      </w:pPr>
    </w:p>
    <w:p w:rsidR="00FC5178" w:rsidRPr="005B2844" w:rsidRDefault="00FC5178" w:rsidP="00532263">
      <w:pPr>
        <w:keepNext/>
        <w:numPr>
          <w:ilvl w:val="12"/>
          <w:numId w:val="0"/>
        </w:numPr>
        <w:ind w:right="-2"/>
        <w:rPr>
          <w:b/>
          <w:noProof/>
          <w:szCs w:val="22"/>
        </w:rPr>
      </w:pPr>
      <w:r w:rsidRPr="005B2844">
        <w:rPr>
          <w:b/>
          <w:noProof/>
          <w:szCs w:val="22"/>
        </w:rPr>
        <w:t xml:space="preserve">Descrizione dell’aspetto di </w:t>
      </w:r>
      <w:proofErr w:type="spellStart"/>
      <w:r w:rsidRPr="005B2844">
        <w:rPr>
          <w:b/>
          <w:szCs w:val="22"/>
        </w:rPr>
        <w:t>M</w:t>
      </w:r>
      <w:r w:rsidR="0075172A" w:rsidRPr="005B2844">
        <w:rPr>
          <w:b/>
          <w:szCs w:val="22"/>
        </w:rPr>
        <w:t>i</w:t>
      </w:r>
      <w:r w:rsidRPr="005B2844">
        <w:rPr>
          <w:b/>
          <w:szCs w:val="22"/>
        </w:rPr>
        <w:t>cardisPlus</w:t>
      </w:r>
      <w:proofErr w:type="spellEnd"/>
      <w:r w:rsidRPr="005B2844">
        <w:rPr>
          <w:b/>
          <w:noProof/>
          <w:szCs w:val="22"/>
        </w:rPr>
        <w:t xml:space="preserve"> e contenuto della confezione</w:t>
      </w:r>
    </w:p>
    <w:p w:rsidR="009904EA" w:rsidRPr="005B2844" w:rsidRDefault="009904EA" w:rsidP="00532263">
      <w:pPr>
        <w:keepNext/>
        <w:numPr>
          <w:ilvl w:val="12"/>
          <w:numId w:val="0"/>
        </w:numPr>
        <w:ind w:right="-2"/>
        <w:rPr>
          <w:b/>
          <w:bCs/>
          <w:noProof/>
          <w:szCs w:val="22"/>
        </w:rPr>
      </w:pPr>
    </w:p>
    <w:p w:rsidR="00FC5178" w:rsidRPr="005B2844" w:rsidRDefault="00244055" w:rsidP="0072602F">
      <w:pPr>
        <w:rPr>
          <w:szCs w:val="22"/>
        </w:rPr>
      </w:pPr>
      <w:r w:rsidRPr="005B2844">
        <w:rPr>
          <w:szCs w:val="22"/>
        </w:rPr>
        <w:t xml:space="preserve">Le </w:t>
      </w:r>
      <w:r w:rsidR="00B07421" w:rsidRPr="005B2844">
        <w:rPr>
          <w:szCs w:val="22"/>
        </w:rPr>
        <w:t>c</w:t>
      </w:r>
      <w:r w:rsidR="00FC5178" w:rsidRPr="005B2844">
        <w:rPr>
          <w:szCs w:val="22"/>
        </w:rPr>
        <w:t xml:space="preserve">ompresse </w:t>
      </w:r>
      <w:r w:rsidR="00B07421" w:rsidRPr="005B2844">
        <w:rPr>
          <w:szCs w:val="22"/>
        </w:rPr>
        <w:t xml:space="preserve">di </w:t>
      </w:r>
      <w:proofErr w:type="spellStart"/>
      <w:r w:rsidR="00B07421" w:rsidRPr="005B2844">
        <w:rPr>
          <w:szCs w:val="22"/>
        </w:rPr>
        <w:t>MicardisPlus</w:t>
      </w:r>
      <w:proofErr w:type="spellEnd"/>
      <w:r w:rsidR="00B07421" w:rsidRPr="005B2844">
        <w:rPr>
          <w:szCs w:val="22"/>
        </w:rPr>
        <w:t xml:space="preserve"> 80 mg/25 mg sono </w:t>
      </w:r>
      <w:r w:rsidRPr="005B2844">
        <w:rPr>
          <w:szCs w:val="22"/>
        </w:rPr>
        <w:t>gialle</w:t>
      </w:r>
      <w:r w:rsidR="00FC5178" w:rsidRPr="005B2844">
        <w:rPr>
          <w:szCs w:val="22"/>
        </w:rPr>
        <w:t xml:space="preserve"> e bianche di forma </w:t>
      </w:r>
      <w:r w:rsidR="002F79D9">
        <w:rPr>
          <w:szCs w:val="22"/>
        </w:rPr>
        <w:t>oblunga</w:t>
      </w:r>
      <w:r w:rsidR="00FC5178" w:rsidRPr="005B2844">
        <w:rPr>
          <w:szCs w:val="22"/>
        </w:rPr>
        <w:t xml:space="preserve"> a due strati, con impresso il logo dell’azienda ed il codice </w:t>
      </w:r>
      <w:r w:rsidR="006348A8" w:rsidRPr="005B2844">
        <w:rPr>
          <w:szCs w:val="22"/>
        </w:rPr>
        <w:t>‘</w:t>
      </w:r>
      <w:r w:rsidR="00FC5178" w:rsidRPr="005B2844">
        <w:rPr>
          <w:szCs w:val="22"/>
        </w:rPr>
        <w:t>H</w:t>
      </w:r>
      <w:r w:rsidR="00B07421" w:rsidRPr="005B2844">
        <w:rPr>
          <w:szCs w:val="22"/>
        </w:rPr>
        <w:t>9</w:t>
      </w:r>
      <w:r w:rsidR="006348A8" w:rsidRPr="005B2844">
        <w:rPr>
          <w:szCs w:val="22"/>
        </w:rPr>
        <w:t>’</w:t>
      </w:r>
      <w:r w:rsidR="00FC5178" w:rsidRPr="005B2844">
        <w:rPr>
          <w:szCs w:val="22"/>
        </w:rPr>
        <w:t>.</w:t>
      </w:r>
    </w:p>
    <w:p w:rsidR="00FC5178" w:rsidRPr="005B2844" w:rsidRDefault="00FC5178" w:rsidP="0072602F">
      <w:pPr>
        <w:rPr>
          <w:szCs w:val="22"/>
        </w:rPr>
      </w:pPr>
      <w:proofErr w:type="spellStart"/>
      <w:r w:rsidRPr="005B2844">
        <w:rPr>
          <w:szCs w:val="22"/>
        </w:rPr>
        <w:t>MicardisPlus</w:t>
      </w:r>
      <w:proofErr w:type="spellEnd"/>
      <w:r w:rsidRPr="005B2844">
        <w:rPr>
          <w:szCs w:val="22"/>
        </w:rPr>
        <w:t xml:space="preserve"> è </w:t>
      </w:r>
      <w:r w:rsidR="00B07421" w:rsidRPr="005B2844">
        <w:rPr>
          <w:szCs w:val="22"/>
        </w:rPr>
        <w:t xml:space="preserve">disponibile </w:t>
      </w:r>
      <w:r w:rsidRPr="005B2844">
        <w:rPr>
          <w:szCs w:val="22"/>
        </w:rPr>
        <w:t xml:space="preserve">in blister, in confezioni da 14, 28, 56 o 98 compresse </w:t>
      </w:r>
      <w:r w:rsidR="00B07421" w:rsidRPr="005B2844">
        <w:rPr>
          <w:szCs w:val="22"/>
        </w:rPr>
        <w:t>o in blister divisibile per dose unitaria con 28 x 1</w:t>
      </w:r>
      <w:r w:rsidR="00AA0919" w:rsidRPr="005B2844">
        <w:rPr>
          <w:szCs w:val="22"/>
        </w:rPr>
        <w:t>, 30 x 1 o 90 x 1</w:t>
      </w:r>
      <w:r w:rsidR="00B07421" w:rsidRPr="005B2844">
        <w:rPr>
          <w:szCs w:val="22"/>
        </w:rPr>
        <w:t xml:space="preserve"> compresse.</w:t>
      </w:r>
    </w:p>
    <w:p w:rsidR="00FC5178" w:rsidRPr="005B2844" w:rsidRDefault="00FC5178" w:rsidP="0072602F">
      <w:pPr>
        <w:rPr>
          <w:szCs w:val="22"/>
        </w:rPr>
      </w:pPr>
    </w:p>
    <w:p w:rsidR="00FC5178" w:rsidRPr="005B2844" w:rsidRDefault="00B07421" w:rsidP="0072602F">
      <w:pPr>
        <w:rPr>
          <w:szCs w:val="22"/>
        </w:rPr>
      </w:pPr>
      <w:r w:rsidRPr="005B2844">
        <w:rPr>
          <w:szCs w:val="22"/>
        </w:rPr>
        <w:t>È possibile che non tutte le confezioni siano commercializzate.</w:t>
      </w:r>
    </w:p>
    <w:p w:rsidR="00FC5178" w:rsidRPr="005B2844" w:rsidRDefault="00FC5178" w:rsidP="0072602F">
      <w:pPr>
        <w:rPr>
          <w:szCs w:val="22"/>
        </w:rPr>
      </w:pPr>
    </w:p>
    <w:tbl>
      <w:tblPr>
        <w:tblW w:w="0" w:type="auto"/>
        <w:tblLook w:val="01E0" w:firstRow="1" w:lastRow="1" w:firstColumn="1" w:lastColumn="1" w:noHBand="0" w:noVBand="0"/>
      </w:tblPr>
      <w:tblGrid>
        <w:gridCol w:w="4428"/>
        <w:gridCol w:w="4858"/>
      </w:tblGrid>
      <w:tr w:rsidR="00C57F31" w:rsidRPr="005B2844" w:rsidTr="00453785">
        <w:tc>
          <w:tcPr>
            <w:tcW w:w="4428" w:type="dxa"/>
          </w:tcPr>
          <w:p w:rsidR="00C57F31" w:rsidRPr="005B2844" w:rsidRDefault="00C57F31" w:rsidP="000E5D8C">
            <w:pPr>
              <w:pStyle w:val="BodyText30"/>
              <w:keepNext/>
              <w:keepLines/>
              <w:tabs>
                <w:tab w:val="left" w:pos="567"/>
              </w:tabs>
              <w:spacing w:line="260" w:lineRule="exact"/>
              <w:rPr>
                <w:b/>
                <w:szCs w:val="22"/>
                <w:lang w:val="it-IT" w:eastAsia="en-US"/>
              </w:rPr>
            </w:pPr>
            <w:r w:rsidRPr="005B2844">
              <w:rPr>
                <w:b/>
                <w:szCs w:val="22"/>
                <w:lang w:val="it-IT"/>
              </w:rPr>
              <w:t>Titolare dell’autorizzazione all’immissione in commercio</w:t>
            </w:r>
          </w:p>
        </w:tc>
        <w:tc>
          <w:tcPr>
            <w:tcW w:w="4858" w:type="dxa"/>
          </w:tcPr>
          <w:p w:rsidR="00C57F31" w:rsidRPr="005B2844" w:rsidRDefault="00C57F31" w:rsidP="000E5D8C">
            <w:pPr>
              <w:pStyle w:val="BodyText30"/>
              <w:keepNext/>
              <w:keepLines/>
              <w:tabs>
                <w:tab w:val="left" w:pos="567"/>
              </w:tabs>
              <w:spacing w:line="260" w:lineRule="exact"/>
              <w:rPr>
                <w:b/>
                <w:szCs w:val="22"/>
                <w:lang w:val="it-IT" w:eastAsia="en-US"/>
              </w:rPr>
            </w:pPr>
            <w:r w:rsidRPr="005B2844">
              <w:rPr>
                <w:b/>
                <w:szCs w:val="22"/>
                <w:lang w:val="it-IT"/>
              </w:rPr>
              <w:t>Produttore</w:t>
            </w:r>
          </w:p>
        </w:tc>
      </w:tr>
      <w:tr w:rsidR="00C57F31" w:rsidRPr="005B2844" w:rsidTr="00453785">
        <w:tc>
          <w:tcPr>
            <w:tcW w:w="4428" w:type="dxa"/>
          </w:tcPr>
          <w:p w:rsidR="00C57F31" w:rsidRPr="005B2844" w:rsidRDefault="00C57F31" w:rsidP="000E5D8C">
            <w:pPr>
              <w:pStyle w:val="BodyText30"/>
              <w:keepNext/>
              <w:keepLines/>
              <w:tabs>
                <w:tab w:val="left" w:pos="567"/>
              </w:tabs>
              <w:spacing w:line="260" w:lineRule="exact"/>
              <w:rPr>
                <w:szCs w:val="22"/>
                <w:lang w:val="it-IT" w:eastAsia="en-US"/>
              </w:rPr>
            </w:pPr>
            <w:r w:rsidRPr="005B2844">
              <w:rPr>
                <w:szCs w:val="22"/>
                <w:lang w:val="it-IT"/>
              </w:rPr>
              <w:t xml:space="preserve">Boehringer </w:t>
            </w:r>
            <w:proofErr w:type="spellStart"/>
            <w:r w:rsidRPr="005B2844">
              <w:rPr>
                <w:szCs w:val="22"/>
                <w:lang w:val="it-IT"/>
              </w:rPr>
              <w:t>Ingelheim</w:t>
            </w:r>
            <w:proofErr w:type="spellEnd"/>
            <w:r w:rsidRPr="005B2844">
              <w:rPr>
                <w:szCs w:val="22"/>
                <w:lang w:val="it-IT"/>
              </w:rPr>
              <w:t xml:space="preserve"> International GmbH</w:t>
            </w:r>
          </w:p>
          <w:p w:rsidR="00C57F31" w:rsidRPr="005B2844" w:rsidRDefault="00C57F31" w:rsidP="000E5D8C">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0E5D8C">
            <w:pPr>
              <w:pStyle w:val="BodyText30"/>
              <w:keepNext/>
              <w:keepLines/>
              <w:tabs>
                <w:tab w:val="left" w:pos="567"/>
              </w:tabs>
              <w:spacing w:line="260" w:lineRule="exact"/>
              <w:rPr>
                <w:szCs w:val="22"/>
                <w:lang w:val="it-IT"/>
              </w:rPr>
            </w:pPr>
            <w:r w:rsidRPr="005B2844">
              <w:rPr>
                <w:szCs w:val="22"/>
                <w:lang w:val="it-IT"/>
              </w:rPr>
              <w:t xml:space="preserve">D-55216 </w:t>
            </w:r>
            <w:proofErr w:type="spellStart"/>
            <w:r w:rsidRPr="005B2844">
              <w:rPr>
                <w:szCs w:val="22"/>
                <w:lang w:val="it-IT"/>
              </w:rPr>
              <w:t>Ingelheim</w:t>
            </w:r>
            <w:proofErr w:type="spellEnd"/>
            <w:r w:rsidRPr="005B2844">
              <w:rPr>
                <w:szCs w:val="22"/>
                <w:lang w:val="it-IT"/>
              </w:rPr>
              <w:t xml:space="preserve"> </w:t>
            </w:r>
            <w:proofErr w:type="spellStart"/>
            <w:r w:rsidRPr="005B2844">
              <w:rPr>
                <w:szCs w:val="22"/>
                <w:lang w:val="it-IT"/>
              </w:rPr>
              <w:t>am</w:t>
            </w:r>
            <w:proofErr w:type="spellEnd"/>
            <w:r w:rsidRPr="005B2844">
              <w:rPr>
                <w:szCs w:val="22"/>
                <w:lang w:val="it-IT"/>
              </w:rPr>
              <w:t xml:space="preserve"> </w:t>
            </w:r>
            <w:proofErr w:type="spellStart"/>
            <w:r w:rsidRPr="005B2844">
              <w:rPr>
                <w:szCs w:val="22"/>
                <w:lang w:val="it-IT"/>
              </w:rPr>
              <w:t>Rhein</w:t>
            </w:r>
            <w:proofErr w:type="spellEnd"/>
          </w:p>
          <w:p w:rsidR="00C57F31" w:rsidRPr="005B2844" w:rsidRDefault="00C57F31" w:rsidP="000E5D8C">
            <w:pPr>
              <w:pStyle w:val="BodyText30"/>
              <w:keepNext/>
              <w:keepLines/>
              <w:tabs>
                <w:tab w:val="left" w:pos="567"/>
              </w:tabs>
              <w:spacing w:line="260" w:lineRule="exact"/>
              <w:rPr>
                <w:szCs w:val="22"/>
                <w:lang w:val="it-IT" w:eastAsia="en-US"/>
              </w:rPr>
            </w:pPr>
            <w:r w:rsidRPr="005B2844">
              <w:rPr>
                <w:szCs w:val="22"/>
                <w:lang w:val="it-IT"/>
              </w:rPr>
              <w:t>Germania</w:t>
            </w:r>
          </w:p>
        </w:tc>
        <w:tc>
          <w:tcPr>
            <w:tcW w:w="4858" w:type="dxa"/>
          </w:tcPr>
          <w:p w:rsidR="00C57F31" w:rsidRPr="005B2844" w:rsidRDefault="00C57F31" w:rsidP="000E5D8C">
            <w:pPr>
              <w:pStyle w:val="BodyText30"/>
              <w:keepNext/>
              <w:keepLines/>
              <w:tabs>
                <w:tab w:val="left" w:pos="567"/>
              </w:tabs>
              <w:spacing w:line="260" w:lineRule="exact"/>
              <w:rPr>
                <w:color w:val="000000"/>
                <w:szCs w:val="22"/>
                <w:lang w:val="it-IT" w:eastAsia="en-US"/>
              </w:rPr>
            </w:pPr>
            <w:r w:rsidRPr="005B2844">
              <w:rPr>
                <w:color w:val="000000"/>
                <w:szCs w:val="22"/>
                <w:lang w:val="it-IT"/>
              </w:rPr>
              <w:t xml:space="preserve">Boehringer </w:t>
            </w:r>
            <w:proofErr w:type="spellStart"/>
            <w:r w:rsidRPr="005B2844">
              <w:rPr>
                <w:color w:val="000000"/>
                <w:szCs w:val="22"/>
                <w:lang w:val="it-IT"/>
              </w:rPr>
              <w:t>Ingelheim</w:t>
            </w:r>
            <w:proofErr w:type="spellEnd"/>
            <w:r w:rsidRPr="005B2844">
              <w:rPr>
                <w:color w:val="000000"/>
                <w:szCs w:val="22"/>
                <w:lang w:val="it-IT"/>
              </w:rPr>
              <w:t xml:space="preserve"> Pharma GmbH &amp; Co. KG</w:t>
            </w:r>
          </w:p>
          <w:p w:rsidR="00C57F31" w:rsidRPr="005B2844" w:rsidRDefault="00C57F31" w:rsidP="000E5D8C">
            <w:pPr>
              <w:pStyle w:val="BodyText30"/>
              <w:keepNext/>
              <w:keepLines/>
              <w:tabs>
                <w:tab w:val="left" w:pos="567"/>
              </w:tabs>
              <w:spacing w:line="260" w:lineRule="exact"/>
              <w:rPr>
                <w:szCs w:val="22"/>
                <w:lang w:val="it-IT"/>
              </w:rPr>
            </w:pPr>
            <w:proofErr w:type="spellStart"/>
            <w:r w:rsidRPr="005B2844">
              <w:rPr>
                <w:szCs w:val="22"/>
                <w:lang w:val="it-IT"/>
              </w:rPr>
              <w:t>Binger</w:t>
            </w:r>
            <w:proofErr w:type="spellEnd"/>
            <w:r w:rsidRPr="005B2844">
              <w:rPr>
                <w:szCs w:val="22"/>
                <w:lang w:val="it-IT"/>
              </w:rPr>
              <w:t xml:space="preserve"> </w:t>
            </w:r>
            <w:proofErr w:type="spellStart"/>
            <w:r w:rsidRPr="005B2844">
              <w:rPr>
                <w:szCs w:val="22"/>
                <w:lang w:val="it-IT"/>
              </w:rPr>
              <w:t>Str</w:t>
            </w:r>
            <w:proofErr w:type="spellEnd"/>
            <w:r w:rsidRPr="005B2844">
              <w:rPr>
                <w:szCs w:val="22"/>
                <w:lang w:val="it-IT"/>
              </w:rPr>
              <w:t>. 173</w:t>
            </w:r>
          </w:p>
          <w:p w:rsidR="00C57F31" w:rsidRPr="005B2844" w:rsidRDefault="00C57F31" w:rsidP="000E5D8C">
            <w:pPr>
              <w:pStyle w:val="BodyText30"/>
              <w:keepNext/>
              <w:keepLines/>
              <w:tabs>
                <w:tab w:val="left" w:pos="567"/>
              </w:tabs>
              <w:spacing w:line="260" w:lineRule="exact"/>
              <w:rPr>
                <w:color w:val="000000"/>
                <w:szCs w:val="22"/>
                <w:lang w:val="it-IT"/>
              </w:rPr>
            </w:pPr>
            <w:r w:rsidRPr="005B2844">
              <w:rPr>
                <w:color w:val="000000"/>
                <w:szCs w:val="22"/>
                <w:lang w:val="it-IT"/>
              </w:rPr>
              <w:t xml:space="preserve">D-55216 </w:t>
            </w:r>
            <w:proofErr w:type="spellStart"/>
            <w:r w:rsidRPr="005B2844">
              <w:rPr>
                <w:color w:val="000000"/>
                <w:szCs w:val="22"/>
                <w:lang w:val="it-IT"/>
              </w:rPr>
              <w:t>Ingelheim</w:t>
            </w:r>
            <w:proofErr w:type="spellEnd"/>
            <w:r w:rsidRPr="005B2844">
              <w:rPr>
                <w:color w:val="000000"/>
                <w:szCs w:val="22"/>
                <w:lang w:val="it-IT"/>
              </w:rPr>
              <w:t xml:space="preserve"> </w:t>
            </w:r>
            <w:proofErr w:type="spellStart"/>
            <w:r w:rsidRPr="005B2844">
              <w:rPr>
                <w:color w:val="000000"/>
                <w:szCs w:val="22"/>
                <w:lang w:val="it-IT"/>
              </w:rPr>
              <w:t>am</w:t>
            </w:r>
            <w:proofErr w:type="spellEnd"/>
            <w:r w:rsidRPr="005B2844">
              <w:rPr>
                <w:color w:val="000000"/>
                <w:szCs w:val="22"/>
                <w:lang w:val="it-IT"/>
              </w:rPr>
              <w:t xml:space="preserve"> </w:t>
            </w:r>
            <w:proofErr w:type="spellStart"/>
            <w:r w:rsidRPr="005B2844">
              <w:rPr>
                <w:color w:val="000000"/>
                <w:szCs w:val="22"/>
                <w:lang w:val="it-IT"/>
              </w:rPr>
              <w:t>Rhein</w:t>
            </w:r>
            <w:proofErr w:type="spellEnd"/>
          </w:p>
          <w:p w:rsidR="00C57F31" w:rsidRPr="005B2844" w:rsidRDefault="00C57F31" w:rsidP="000E5D8C">
            <w:pPr>
              <w:pStyle w:val="BodyText30"/>
              <w:keepNext/>
              <w:keepLines/>
              <w:tabs>
                <w:tab w:val="left" w:pos="567"/>
              </w:tabs>
              <w:spacing w:line="260" w:lineRule="exact"/>
              <w:rPr>
                <w:color w:val="000000"/>
                <w:szCs w:val="22"/>
                <w:lang w:val="it-IT"/>
              </w:rPr>
            </w:pPr>
            <w:r w:rsidRPr="005B2844">
              <w:rPr>
                <w:color w:val="000000"/>
                <w:szCs w:val="22"/>
                <w:lang w:val="it-IT"/>
              </w:rPr>
              <w:t>Germania</w:t>
            </w:r>
          </w:p>
          <w:p w:rsidR="00421064" w:rsidRPr="005B2844" w:rsidRDefault="00421064" w:rsidP="000E5D8C">
            <w:pPr>
              <w:pStyle w:val="BodyText30"/>
              <w:keepNext/>
              <w:keepLines/>
              <w:tabs>
                <w:tab w:val="left" w:pos="567"/>
              </w:tabs>
              <w:spacing w:line="260" w:lineRule="exact"/>
              <w:rPr>
                <w:color w:val="000000"/>
                <w:szCs w:val="22"/>
                <w:lang w:val="it-IT"/>
              </w:rPr>
            </w:pPr>
          </w:p>
          <w:p w:rsidR="00421064" w:rsidRPr="005B2844" w:rsidRDefault="00421064" w:rsidP="000E5D8C">
            <w:pPr>
              <w:pStyle w:val="BodyText30"/>
              <w:keepNext/>
              <w:keepLines/>
              <w:tabs>
                <w:tab w:val="left" w:pos="567"/>
              </w:tabs>
              <w:spacing w:line="260" w:lineRule="exact"/>
              <w:rPr>
                <w:color w:val="000000"/>
                <w:szCs w:val="22"/>
                <w:lang w:val="it-IT"/>
              </w:rPr>
            </w:pPr>
            <w:r w:rsidRPr="005B2844">
              <w:rPr>
                <w:color w:val="000000"/>
                <w:szCs w:val="22"/>
                <w:lang w:val="it-IT"/>
              </w:rPr>
              <w:t>e</w:t>
            </w:r>
          </w:p>
          <w:p w:rsidR="00421064" w:rsidRPr="005B2844" w:rsidRDefault="00421064" w:rsidP="000E5D8C">
            <w:pPr>
              <w:pStyle w:val="BodyText30"/>
              <w:keepNext/>
              <w:keepLines/>
              <w:tabs>
                <w:tab w:val="left" w:pos="567"/>
              </w:tabs>
              <w:spacing w:line="260" w:lineRule="exact"/>
              <w:rPr>
                <w:szCs w:val="22"/>
                <w:lang w:val="it-IT" w:eastAsia="en-US"/>
              </w:rPr>
            </w:pPr>
          </w:p>
        </w:tc>
      </w:tr>
      <w:tr w:rsidR="00453785" w:rsidRPr="005B2844" w:rsidTr="00453785">
        <w:tc>
          <w:tcPr>
            <w:tcW w:w="4428" w:type="dxa"/>
          </w:tcPr>
          <w:p w:rsidR="00453785" w:rsidRPr="005B2844" w:rsidRDefault="00453785" w:rsidP="004B5150">
            <w:pPr>
              <w:pStyle w:val="BodyText30"/>
              <w:keepNext/>
              <w:keepLines/>
              <w:tabs>
                <w:tab w:val="left" w:pos="567"/>
              </w:tabs>
              <w:spacing w:line="260" w:lineRule="exact"/>
              <w:rPr>
                <w:szCs w:val="22"/>
                <w:lang w:val="it-IT"/>
              </w:rPr>
            </w:pPr>
          </w:p>
        </w:tc>
        <w:tc>
          <w:tcPr>
            <w:tcW w:w="4858" w:type="dxa"/>
          </w:tcPr>
          <w:p w:rsidR="00453785" w:rsidRPr="005B2844" w:rsidRDefault="00453785" w:rsidP="004B5150">
            <w:pPr>
              <w:keepNext/>
              <w:keepLines/>
              <w:numPr>
                <w:ilvl w:val="12"/>
                <w:numId w:val="0"/>
              </w:numPr>
              <w:rPr>
                <w:color w:val="000000"/>
                <w:szCs w:val="22"/>
              </w:rPr>
            </w:pPr>
            <w:r w:rsidRPr="005B2844">
              <w:rPr>
                <w:color w:val="000000"/>
                <w:szCs w:val="22"/>
              </w:rPr>
              <w:t xml:space="preserve">Boehringer </w:t>
            </w:r>
            <w:proofErr w:type="spellStart"/>
            <w:r w:rsidRPr="005B2844">
              <w:rPr>
                <w:color w:val="000000"/>
                <w:szCs w:val="22"/>
              </w:rPr>
              <w:t>Ingelheim</w:t>
            </w:r>
            <w:proofErr w:type="spellEnd"/>
            <w:r w:rsidRPr="005B2844">
              <w:rPr>
                <w:color w:val="000000"/>
                <w:szCs w:val="22"/>
              </w:rPr>
              <w:t xml:space="preserve"> </w:t>
            </w:r>
            <w:proofErr w:type="spellStart"/>
            <w:r w:rsidRPr="005B2844">
              <w:rPr>
                <w:color w:val="000000"/>
                <w:szCs w:val="22"/>
              </w:rPr>
              <w:t>Ellas</w:t>
            </w:r>
            <w:proofErr w:type="spellEnd"/>
            <w:r w:rsidRPr="005B2844">
              <w:rPr>
                <w:color w:val="000000"/>
                <w:szCs w:val="22"/>
              </w:rPr>
              <w:t xml:space="preserve"> A.E.</w:t>
            </w:r>
          </w:p>
          <w:p w:rsidR="00453785" w:rsidRPr="005B2844" w:rsidRDefault="00453785" w:rsidP="004B5150">
            <w:pPr>
              <w:keepNext/>
              <w:keepLines/>
              <w:numPr>
                <w:ilvl w:val="12"/>
                <w:numId w:val="0"/>
              </w:numPr>
              <w:rPr>
                <w:color w:val="000000"/>
                <w:szCs w:val="22"/>
              </w:rPr>
            </w:pPr>
            <w:r w:rsidRPr="005B2844">
              <w:rPr>
                <w:color w:val="000000"/>
                <w:szCs w:val="22"/>
              </w:rPr>
              <w:t xml:space="preserve">5th km </w:t>
            </w:r>
            <w:proofErr w:type="spellStart"/>
            <w:r w:rsidRPr="005B2844">
              <w:rPr>
                <w:color w:val="000000"/>
                <w:szCs w:val="22"/>
              </w:rPr>
              <w:t>Paiania</w:t>
            </w:r>
            <w:proofErr w:type="spellEnd"/>
            <w:r w:rsidRPr="005B2844">
              <w:rPr>
                <w:color w:val="000000"/>
                <w:szCs w:val="22"/>
              </w:rPr>
              <w:t xml:space="preserve"> – </w:t>
            </w:r>
            <w:proofErr w:type="spellStart"/>
            <w:r w:rsidRPr="005B2844">
              <w:rPr>
                <w:color w:val="000000"/>
                <w:szCs w:val="22"/>
              </w:rPr>
              <w:t>Markopoulo</w:t>
            </w:r>
            <w:proofErr w:type="spellEnd"/>
          </w:p>
          <w:p w:rsidR="00453785" w:rsidRPr="005B2844" w:rsidRDefault="00453785" w:rsidP="004B5150">
            <w:pPr>
              <w:keepNext/>
              <w:keepLines/>
              <w:numPr>
                <w:ilvl w:val="12"/>
                <w:numId w:val="0"/>
              </w:numPr>
              <w:rPr>
                <w:color w:val="000000"/>
                <w:szCs w:val="22"/>
              </w:rPr>
            </w:pPr>
            <w:proofErr w:type="spellStart"/>
            <w:r w:rsidRPr="005B2844">
              <w:rPr>
                <w:color w:val="000000"/>
                <w:szCs w:val="22"/>
              </w:rPr>
              <w:t>Koropi</w:t>
            </w:r>
            <w:proofErr w:type="spellEnd"/>
            <w:r w:rsidRPr="005B2844">
              <w:rPr>
                <w:color w:val="000000"/>
                <w:szCs w:val="22"/>
              </w:rPr>
              <w:t xml:space="preserve"> </w:t>
            </w:r>
            <w:proofErr w:type="spellStart"/>
            <w:r w:rsidRPr="005B2844">
              <w:rPr>
                <w:color w:val="000000"/>
                <w:szCs w:val="22"/>
              </w:rPr>
              <w:t>Attiki</w:t>
            </w:r>
            <w:proofErr w:type="spellEnd"/>
            <w:r w:rsidRPr="005B2844">
              <w:rPr>
                <w:color w:val="000000"/>
                <w:szCs w:val="22"/>
              </w:rPr>
              <w:t>, 194 00</w:t>
            </w:r>
          </w:p>
          <w:p w:rsidR="00453785" w:rsidRDefault="00453785" w:rsidP="00453785">
            <w:pPr>
              <w:numPr>
                <w:ilvl w:val="12"/>
                <w:numId w:val="0"/>
              </w:numPr>
              <w:rPr>
                <w:color w:val="000000"/>
                <w:szCs w:val="22"/>
              </w:rPr>
            </w:pPr>
            <w:r w:rsidRPr="005B2844">
              <w:rPr>
                <w:color w:val="000000"/>
                <w:szCs w:val="22"/>
              </w:rPr>
              <w:t>Grecia</w:t>
            </w:r>
          </w:p>
          <w:p w:rsidR="00453785" w:rsidRDefault="00453785" w:rsidP="00453785">
            <w:pPr>
              <w:numPr>
                <w:ilvl w:val="12"/>
                <w:numId w:val="0"/>
              </w:numPr>
              <w:rPr>
                <w:color w:val="000000"/>
                <w:szCs w:val="22"/>
              </w:rPr>
            </w:pPr>
          </w:p>
          <w:p w:rsidR="00453785" w:rsidRDefault="00453785" w:rsidP="00453785">
            <w:pPr>
              <w:numPr>
                <w:ilvl w:val="12"/>
                <w:numId w:val="0"/>
              </w:numPr>
              <w:rPr>
                <w:color w:val="000000"/>
                <w:szCs w:val="22"/>
              </w:rPr>
            </w:pPr>
            <w:r>
              <w:rPr>
                <w:color w:val="000000"/>
                <w:szCs w:val="22"/>
              </w:rPr>
              <w:t>e</w:t>
            </w:r>
          </w:p>
          <w:p w:rsidR="00453785" w:rsidRPr="005B2844" w:rsidRDefault="00453785" w:rsidP="00453785">
            <w:pPr>
              <w:numPr>
                <w:ilvl w:val="12"/>
                <w:numId w:val="0"/>
              </w:numPr>
              <w:rPr>
                <w:color w:val="000000"/>
                <w:szCs w:val="22"/>
              </w:rPr>
            </w:pPr>
          </w:p>
        </w:tc>
      </w:tr>
      <w:tr w:rsidR="00453785" w:rsidRPr="005B2844" w:rsidTr="00453785">
        <w:tc>
          <w:tcPr>
            <w:tcW w:w="4428" w:type="dxa"/>
          </w:tcPr>
          <w:p w:rsidR="00453785" w:rsidRPr="005B2844" w:rsidRDefault="00453785" w:rsidP="004B5150">
            <w:pPr>
              <w:pStyle w:val="BodyText30"/>
              <w:keepNext/>
              <w:keepLines/>
              <w:tabs>
                <w:tab w:val="left" w:pos="567"/>
              </w:tabs>
              <w:spacing w:line="260" w:lineRule="exact"/>
              <w:rPr>
                <w:szCs w:val="22"/>
                <w:lang w:val="it-IT"/>
              </w:rPr>
            </w:pPr>
          </w:p>
        </w:tc>
        <w:tc>
          <w:tcPr>
            <w:tcW w:w="4858" w:type="dxa"/>
          </w:tcPr>
          <w:p w:rsidR="00453785" w:rsidRPr="00453785" w:rsidRDefault="00453785" w:rsidP="004B5150">
            <w:pPr>
              <w:keepNext/>
              <w:keepLines/>
              <w:numPr>
                <w:ilvl w:val="12"/>
                <w:numId w:val="0"/>
              </w:numPr>
              <w:rPr>
                <w:color w:val="000000"/>
                <w:szCs w:val="22"/>
              </w:rPr>
            </w:pPr>
            <w:proofErr w:type="spellStart"/>
            <w:r w:rsidRPr="00453785">
              <w:rPr>
                <w:color w:val="000000"/>
                <w:szCs w:val="22"/>
              </w:rPr>
              <w:t>Rottendorf</w:t>
            </w:r>
            <w:proofErr w:type="spellEnd"/>
            <w:r w:rsidRPr="00453785">
              <w:rPr>
                <w:color w:val="000000"/>
                <w:szCs w:val="22"/>
              </w:rPr>
              <w:t xml:space="preserve"> Pharma GmbH</w:t>
            </w:r>
          </w:p>
          <w:p w:rsidR="00453785" w:rsidRPr="00453785" w:rsidRDefault="00453785" w:rsidP="004B5150">
            <w:pPr>
              <w:keepNext/>
              <w:keepLines/>
              <w:numPr>
                <w:ilvl w:val="12"/>
                <w:numId w:val="0"/>
              </w:numPr>
              <w:rPr>
                <w:color w:val="000000"/>
                <w:szCs w:val="22"/>
              </w:rPr>
            </w:pPr>
            <w:proofErr w:type="spellStart"/>
            <w:r w:rsidRPr="00453785">
              <w:rPr>
                <w:color w:val="000000"/>
                <w:szCs w:val="22"/>
              </w:rPr>
              <w:t>Ostenfelder</w:t>
            </w:r>
            <w:proofErr w:type="spellEnd"/>
            <w:r w:rsidRPr="00453785">
              <w:rPr>
                <w:color w:val="000000"/>
                <w:szCs w:val="22"/>
              </w:rPr>
              <w:t xml:space="preserve"> </w:t>
            </w:r>
            <w:proofErr w:type="spellStart"/>
            <w:r w:rsidRPr="00453785">
              <w:rPr>
                <w:color w:val="000000"/>
                <w:szCs w:val="22"/>
              </w:rPr>
              <w:t>Straße</w:t>
            </w:r>
            <w:proofErr w:type="spellEnd"/>
            <w:r w:rsidRPr="00453785">
              <w:rPr>
                <w:color w:val="000000"/>
                <w:szCs w:val="22"/>
              </w:rPr>
              <w:t xml:space="preserve"> 51 - 61</w:t>
            </w:r>
          </w:p>
          <w:p w:rsidR="00453785" w:rsidRPr="00453785" w:rsidRDefault="00453785" w:rsidP="004B5150">
            <w:pPr>
              <w:keepNext/>
              <w:keepLines/>
              <w:numPr>
                <w:ilvl w:val="12"/>
                <w:numId w:val="0"/>
              </w:numPr>
              <w:rPr>
                <w:color w:val="000000"/>
                <w:szCs w:val="22"/>
              </w:rPr>
            </w:pPr>
            <w:r w:rsidRPr="00453785">
              <w:rPr>
                <w:color w:val="000000"/>
                <w:szCs w:val="22"/>
              </w:rPr>
              <w:t xml:space="preserve">D-59320 </w:t>
            </w:r>
            <w:proofErr w:type="spellStart"/>
            <w:r w:rsidRPr="00453785">
              <w:rPr>
                <w:color w:val="000000"/>
                <w:szCs w:val="22"/>
              </w:rPr>
              <w:t>Ennigerloh</w:t>
            </w:r>
            <w:proofErr w:type="spellEnd"/>
          </w:p>
          <w:p w:rsidR="00453785" w:rsidRPr="005B2844" w:rsidRDefault="00453785" w:rsidP="004B5150">
            <w:pPr>
              <w:keepNext/>
              <w:keepLines/>
              <w:numPr>
                <w:ilvl w:val="12"/>
                <w:numId w:val="0"/>
              </w:numPr>
              <w:rPr>
                <w:color w:val="000000"/>
                <w:szCs w:val="22"/>
              </w:rPr>
            </w:pPr>
            <w:r w:rsidRPr="00453785">
              <w:rPr>
                <w:color w:val="000000"/>
                <w:szCs w:val="22"/>
              </w:rPr>
              <w:t>Germania</w:t>
            </w:r>
          </w:p>
        </w:tc>
      </w:tr>
    </w:tbl>
    <w:p w:rsidR="00FC5178" w:rsidRPr="005B2844" w:rsidRDefault="00C57F31" w:rsidP="0072602F">
      <w:pPr>
        <w:pStyle w:val="BodyText30"/>
        <w:widowControl/>
        <w:rPr>
          <w:szCs w:val="22"/>
          <w:lang w:val="it-IT"/>
        </w:rPr>
      </w:pPr>
      <w:r w:rsidRPr="005B2844">
        <w:rPr>
          <w:szCs w:val="22"/>
          <w:lang w:val="it-IT"/>
        </w:rPr>
        <w:br w:type="page"/>
      </w:r>
      <w:r w:rsidR="00FC5178" w:rsidRPr="005B2844">
        <w:rPr>
          <w:szCs w:val="22"/>
          <w:lang w:val="it-IT"/>
        </w:rPr>
        <w:t xml:space="preserve">Per ulteriori informazioni su </w:t>
      </w:r>
      <w:r w:rsidR="00825513" w:rsidRPr="005B2844">
        <w:rPr>
          <w:szCs w:val="22"/>
          <w:lang w:val="it-IT"/>
        </w:rPr>
        <w:t>questo</w:t>
      </w:r>
      <w:r w:rsidR="006B587A" w:rsidRPr="005B2844">
        <w:rPr>
          <w:szCs w:val="22"/>
          <w:lang w:val="it-IT"/>
        </w:rPr>
        <w:t xml:space="preserve"> medicinale</w:t>
      </w:r>
      <w:r w:rsidR="00FC5178" w:rsidRPr="005B2844">
        <w:rPr>
          <w:szCs w:val="22"/>
          <w:lang w:val="it-IT"/>
        </w:rPr>
        <w:t>, contatti il rappresentante locale del titolare dell</w:t>
      </w:r>
      <w:r w:rsidR="002C4BE9" w:rsidRPr="005B2844">
        <w:rPr>
          <w:szCs w:val="22"/>
          <w:lang w:val="it-IT"/>
        </w:rPr>
        <w:t>’</w:t>
      </w:r>
      <w:r w:rsidR="00FC5178" w:rsidRPr="005B2844">
        <w:rPr>
          <w:szCs w:val="22"/>
          <w:lang w:val="it-IT"/>
        </w:rPr>
        <w:t>autorizzazione all</w:t>
      </w:r>
      <w:r w:rsidR="002C4BE9" w:rsidRPr="005B2844">
        <w:rPr>
          <w:szCs w:val="22"/>
          <w:lang w:val="it-IT"/>
        </w:rPr>
        <w:t>’</w:t>
      </w:r>
      <w:r w:rsidR="00FC5178" w:rsidRPr="005B2844">
        <w:rPr>
          <w:szCs w:val="22"/>
          <w:lang w:val="it-IT"/>
        </w:rPr>
        <w:t>immissione in commercio:</w:t>
      </w:r>
    </w:p>
    <w:p w:rsidR="00FC5178" w:rsidRPr="005B2844" w:rsidRDefault="00FC5178" w:rsidP="0072602F">
      <w:pPr>
        <w:tabs>
          <w:tab w:val="left" w:pos="567"/>
        </w:tabs>
        <w:rPr>
          <w:b/>
          <w:szCs w:val="22"/>
        </w:rPr>
      </w:pPr>
    </w:p>
    <w:tbl>
      <w:tblPr>
        <w:tblW w:w="9356" w:type="dxa"/>
        <w:tblInd w:w="108" w:type="dxa"/>
        <w:tblLayout w:type="fixed"/>
        <w:tblLook w:val="01E0" w:firstRow="1" w:lastRow="1" w:firstColumn="1" w:lastColumn="1" w:noHBand="0" w:noVBand="0"/>
      </w:tblPr>
      <w:tblGrid>
        <w:gridCol w:w="4644"/>
        <w:gridCol w:w="34"/>
        <w:gridCol w:w="4644"/>
        <w:gridCol w:w="34"/>
      </w:tblGrid>
      <w:tr w:rsidR="00F72DE3" w:rsidRPr="005B2844" w:rsidTr="009536AB">
        <w:trPr>
          <w:gridAfter w:val="1"/>
          <w:wAfter w:w="34" w:type="dxa"/>
        </w:trPr>
        <w:tc>
          <w:tcPr>
            <w:tcW w:w="4644" w:type="dxa"/>
          </w:tcPr>
          <w:p w:rsidR="00F72DE3" w:rsidRPr="005B2844" w:rsidRDefault="00F72DE3" w:rsidP="009536AB">
            <w:pPr>
              <w:ind w:left="567" w:hanging="567"/>
              <w:rPr>
                <w:noProof/>
                <w:szCs w:val="22"/>
              </w:rPr>
            </w:pPr>
            <w:r w:rsidRPr="005B2844">
              <w:rPr>
                <w:b/>
                <w:noProof/>
                <w:szCs w:val="22"/>
              </w:rPr>
              <w:t>België/Belgique/Belgien</w:t>
            </w:r>
          </w:p>
          <w:p w:rsidR="00F72DE3" w:rsidRPr="005B2844" w:rsidRDefault="00F72DE3" w:rsidP="009536AB">
            <w:pPr>
              <w:ind w:right="34"/>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F72DE3" w:rsidRPr="005B2844" w:rsidRDefault="00F72DE3" w:rsidP="009536AB">
            <w:pPr>
              <w:ind w:right="34"/>
              <w:rPr>
                <w:szCs w:val="22"/>
                <w:lang w:eastAsia="ja-JP"/>
              </w:rPr>
            </w:pPr>
            <w:proofErr w:type="spellStart"/>
            <w:r w:rsidRPr="005B2844">
              <w:rPr>
                <w:szCs w:val="22"/>
                <w:lang w:eastAsia="ja-JP"/>
              </w:rPr>
              <w:t>Tél</w:t>
            </w:r>
            <w:proofErr w:type="spellEnd"/>
            <w:r w:rsidRPr="005B2844">
              <w:rPr>
                <w:szCs w:val="22"/>
                <w:lang w:eastAsia="ja-JP"/>
              </w:rPr>
              <w:t>/Tel: +32 2 773 33 11</w:t>
            </w:r>
          </w:p>
          <w:p w:rsidR="00F72DE3" w:rsidRPr="005B2844" w:rsidRDefault="00F72DE3" w:rsidP="009536AB">
            <w:pPr>
              <w:ind w:right="34"/>
              <w:rPr>
                <w:noProof/>
                <w:szCs w:val="22"/>
              </w:rPr>
            </w:pPr>
          </w:p>
        </w:tc>
        <w:tc>
          <w:tcPr>
            <w:tcW w:w="4678" w:type="dxa"/>
            <w:gridSpan w:val="2"/>
          </w:tcPr>
          <w:p w:rsidR="00F72DE3" w:rsidRPr="005B2844" w:rsidRDefault="00F72DE3" w:rsidP="00F72DE3">
            <w:pPr>
              <w:ind w:left="567" w:hanging="567"/>
              <w:rPr>
                <w:noProof/>
                <w:szCs w:val="22"/>
              </w:rPr>
            </w:pPr>
            <w:r w:rsidRPr="005B2844">
              <w:rPr>
                <w:b/>
                <w:noProof/>
                <w:szCs w:val="22"/>
              </w:rPr>
              <w:t>Lietuva</w:t>
            </w:r>
          </w:p>
          <w:p w:rsidR="00F72DE3" w:rsidRPr="005B2844" w:rsidRDefault="00F72DE3" w:rsidP="00F72DE3">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w:t>
            </w:r>
          </w:p>
          <w:p w:rsidR="00F72DE3" w:rsidRPr="005B2844" w:rsidRDefault="00F72DE3" w:rsidP="00F72DE3">
            <w:pPr>
              <w:tabs>
                <w:tab w:val="left" w:pos="-720"/>
              </w:tabs>
              <w:suppressAutoHyphens/>
              <w:ind w:left="567" w:hanging="567"/>
              <w:rPr>
                <w:szCs w:val="22"/>
                <w:lang w:eastAsia="ja-JP"/>
              </w:rPr>
            </w:pPr>
            <w:proofErr w:type="spellStart"/>
            <w:r w:rsidRPr="005B2844">
              <w:rPr>
                <w:szCs w:val="22"/>
                <w:lang w:eastAsia="ja-JP"/>
              </w:rPr>
              <w:t>Lietuvos</w:t>
            </w:r>
            <w:proofErr w:type="spellEnd"/>
            <w:r w:rsidRPr="005B2844">
              <w:rPr>
                <w:szCs w:val="22"/>
                <w:lang w:eastAsia="ja-JP"/>
              </w:rPr>
              <w:t xml:space="preserve"> </w:t>
            </w:r>
            <w:proofErr w:type="spellStart"/>
            <w:r w:rsidRPr="005B2844">
              <w:rPr>
                <w:szCs w:val="22"/>
                <w:lang w:eastAsia="ja-JP"/>
              </w:rPr>
              <w:t>filialas</w:t>
            </w:r>
            <w:proofErr w:type="spellEnd"/>
          </w:p>
          <w:p w:rsidR="00F72DE3" w:rsidRPr="005B2844" w:rsidRDefault="00F72DE3" w:rsidP="00F72DE3">
            <w:pPr>
              <w:autoSpaceDE w:val="0"/>
              <w:autoSpaceDN w:val="0"/>
              <w:adjustRightInd w:val="0"/>
              <w:ind w:left="567" w:hanging="567"/>
              <w:rPr>
                <w:szCs w:val="22"/>
                <w:lang w:eastAsia="ja-JP"/>
              </w:rPr>
            </w:pPr>
            <w:r w:rsidRPr="005B2844">
              <w:rPr>
                <w:szCs w:val="22"/>
                <w:lang w:eastAsia="ja-JP"/>
              </w:rPr>
              <w:t>Tel.: +370 37 473922</w:t>
            </w:r>
          </w:p>
          <w:p w:rsidR="00F72DE3" w:rsidRPr="005B2844" w:rsidRDefault="00F72DE3" w:rsidP="00F72DE3">
            <w:pPr>
              <w:autoSpaceDE w:val="0"/>
              <w:autoSpaceDN w:val="0"/>
              <w:adjustRightInd w:val="0"/>
              <w:ind w:left="567" w:hanging="567"/>
              <w:rPr>
                <w:noProof/>
                <w:szCs w:val="22"/>
              </w:rPr>
            </w:pPr>
          </w:p>
        </w:tc>
      </w:tr>
      <w:tr w:rsidR="00F72DE3" w:rsidRPr="005B2844" w:rsidTr="009536AB">
        <w:trPr>
          <w:gridAfter w:val="1"/>
          <w:wAfter w:w="34" w:type="dxa"/>
        </w:trPr>
        <w:tc>
          <w:tcPr>
            <w:tcW w:w="4644" w:type="dxa"/>
          </w:tcPr>
          <w:p w:rsidR="00F72DE3" w:rsidRPr="005B2844" w:rsidRDefault="00F72DE3" w:rsidP="002123EA">
            <w:pPr>
              <w:autoSpaceDE w:val="0"/>
              <w:autoSpaceDN w:val="0"/>
              <w:adjustRightInd w:val="0"/>
              <w:rPr>
                <w:b/>
                <w:bCs/>
                <w:szCs w:val="22"/>
              </w:rPr>
            </w:pPr>
            <w:proofErr w:type="spellStart"/>
            <w:r w:rsidRPr="005B2844">
              <w:rPr>
                <w:b/>
                <w:bCs/>
                <w:szCs w:val="22"/>
              </w:rPr>
              <w:t>България</w:t>
            </w:r>
            <w:proofErr w:type="spellEnd"/>
          </w:p>
          <w:p w:rsidR="00F72DE3" w:rsidRPr="005B2844" w:rsidRDefault="00F72DE3" w:rsidP="002123EA">
            <w:pPr>
              <w:rPr>
                <w:szCs w:val="22"/>
              </w:rPr>
            </w:pPr>
            <w:proofErr w:type="spellStart"/>
            <w:r w:rsidRPr="005B2844">
              <w:rPr>
                <w:rFonts w:eastAsia="MS Mincho"/>
                <w:szCs w:val="22"/>
                <w:lang w:eastAsia="ja-JP"/>
              </w:rPr>
              <w:t>Бьорингер</w:t>
            </w:r>
            <w:proofErr w:type="spellEnd"/>
            <w:r w:rsidRPr="005B2844">
              <w:rPr>
                <w:rFonts w:eastAsia="MS Mincho"/>
                <w:szCs w:val="22"/>
                <w:lang w:eastAsia="ja-JP"/>
              </w:rPr>
              <w:t xml:space="preserve"> </w:t>
            </w:r>
            <w:proofErr w:type="spellStart"/>
            <w:r w:rsidRPr="005B2844">
              <w:rPr>
                <w:rFonts w:eastAsia="MS Mincho"/>
                <w:szCs w:val="22"/>
                <w:lang w:eastAsia="ja-JP"/>
              </w:rPr>
              <w:t>Ингелхайм</w:t>
            </w:r>
            <w:proofErr w:type="spellEnd"/>
            <w:r w:rsidRPr="005B2844">
              <w:rPr>
                <w:rFonts w:eastAsia="MS Mincho"/>
                <w:szCs w:val="22"/>
                <w:lang w:eastAsia="ja-JP"/>
              </w:rPr>
              <w:t xml:space="preserve"> РЦВ </w:t>
            </w:r>
            <w:proofErr w:type="spellStart"/>
            <w:r w:rsidRPr="005B2844">
              <w:rPr>
                <w:rFonts w:eastAsia="MS Mincho"/>
                <w:szCs w:val="22"/>
                <w:lang w:eastAsia="ja-JP"/>
              </w:rPr>
              <w:t>ГмбХ</w:t>
            </w:r>
            <w:proofErr w:type="spellEnd"/>
            <w:r w:rsidRPr="005B2844">
              <w:rPr>
                <w:rFonts w:eastAsia="MS Mincho"/>
                <w:szCs w:val="22"/>
                <w:lang w:eastAsia="ja-JP"/>
              </w:rPr>
              <w:t xml:space="preserve"> и </w:t>
            </w:r>
            <w:proofErr w:type="spellStart"/>
            <w:r w:rsidRPr="005B2844">
              <w:rPr>
                <w:rFonts w:eastAsia="MS Mincho"/>
                <w:szCs w:val="22"/>
                <w:lang w:eastAsia="ja-JP"/>
              </w:rPr>
              <w:t>Ко</w:t>
            </w:r>
            <w:proofErr w:type="spellEnd"/>
            <w:r w:rsidRPr="005B2844">
              <w:rPr>
                <w:rFonts w:eastAsia="MS Mincho"/>
                <w:szCs w:val="22"/>
                <w:lang w:eastAsia="ja-JP"/>
              </w:rPr>
              <w:t xml:space="preserve">. КГ - </w:t>
            </w:r>
            <w:proofErr w:type="spellStart"/>
            <w:r w:rsidRPr="005B2844">
              <w:rPr>
                <w:rFonts w:eastAsia="MS Mincho"/>
                <w:szCs w:val="22"/>
                <w:lang w:eastAsia="ja-JP"/>
              </w:rPr>
              <w:t>клон</w:t>
            </w:r>
            <w:proofErr w:type="spellEnd"/>
            <w:r w:rsidRPr="005B2844">
              <w:rPr>
                <w:rFonts w:eastAsia="MS Mincho"/>
                <w:szCs w:val="22"/>
                <w:lang w:eastAsia="ja-JP"/>
              </w:rPr>
              <w:t xml:space="preserve"> </w:t>
            </w:r>
            <w:proofErr w:type="spellStart"/>
            <w:r w:rsidRPr="005B2844">
              <w:rPr>
                <w:rFonts w:eastAsia="MS Mincho"/>
                <w:szCs w:val="22"/>
                <w:lang w:eastAsia="ja-JP"/>
              </w:rPr>
              <w:t>България</w:t>
            </w:r>
            <w:proofErr w:type="spellEnd"/>
          </w:p>
          <w:p w:rsidR="00F72DE3" w:rsidRPr="005B2844" w:rsidRDefault="00F72DE3" w:rsidP="002123EA">
            <w:pPr>
              <w:autoSpaceDE w:val="0"/>
              <w:autoSpaceDN w:val="0"/>
              <w:adjustRightInd w:val="0"/>
              <w:ind w:left="567" w:hanging="567"/>
              <w:rPr>
                <w:szCs w:val="22"/>
              </w:rPr>
            </w:pPr>
            <w:proofErr w:type="spellStart"/>
            <w:r w:rsidRPr="005B2844">
              <w:rPr>
                <w:rFonts w:eastAsia="MS Mincho"/>
                <w:szCs w:val="22"/>
                <w:lang w:eastAsia="ja-JP"/>
              </w:rPr>
              <w:t>Тел</w:t>
            </w:r>
            <w:proofErr w:type="spellEnd"/>
            <w:r w:rsidRPr="005B2844">
              <w:rPr>
                <w:rFonts w:eastAsia="MS Mincho"/>
                <w:szCs w:val="22"/>
                <w:lang w:eastAsia="ja-JP"/>
              </w:rPr>
              <w:t>: +359 2 958 79 98</w:t>
            </w:r>
          </w:p>
          <w:p w:rsidR="00F72DE3" w:rsidRPr="005B2844" w:rsidRDefault="00F72DE3" w:rsidP="002123EA">
            <w:pPr>
              <w:autoSpaceDE w:val="0"/>
              <w:autoSpaceDN w:val="0"/>
              <w:adjustRightInd w:val="0"/>
              <w:ind w:left="567" w:hanging="567"/>
              <w:rPr>
                <w:noProof/>
                <w:szCs w:val="22"/>
              </w:rPr>
            </w:pPr>
          </w:p>
        </w:tc>
        <w:tc>
          <w:tcPr>
            <w:tcW w:w="4678" w:type="dxa"/>
            <w:gridSpan w:val="2"/>
          </w:tcPr>
          <w:p w:rsidR="00F72DE3" w:rsidRPr="005B2844" w:rsidRDefault="00F72DE3" w:rsidP="009536AB">
            <w:pPr>
              <w:ind w:left="567" w:hanging="567"/>
              <w:rPr>
                <w:noProof/>
                <w:szCs w:val="22"/>
              </w:rPr>
            </w:pPr>
            <w:r w:rsidRPr="005B2844">
              <w:rPr>
                <w:b/>
                <w:noProof/>
                <w:szCs w:val="22"/>
              </w:rPr>
              <w:t>Luxembourg/Luxemburg</w:t>
            </w:r>
          </w:p>
          <w:p w:rsidR="00F72DE3" w:rsidRPr="005B2844" w:rsidRDefault="00F72DE3" w:rsidP="0072602F">
            <w:pPr>
              <w:rPr>
                <w:rFonts w:eastAsia="MS Mincho"/>
                <w:szCs w:val="22"/>
                <w:lang w:eastAsia="ja-JP"/>
              </w:rPr>
            </w:pPr>
            <w:r w:rsidRPr="005B2844">
              <w:rPr>
                <w:rFonts w:eastAsia="MS Mincho"/>
                <w:szCs w:val="22"/>
                <w:lang w:eastAsia="ja-JP"/>
              </w:rPr>
              <w:t xml:space="preserve">SCS Boehringer </w:t>
            </w:r>
            <w:proofErr w:type="spellStart"/>
            <w:r w:rsidRPr="005B2844">
              <w:rPr>
                <w:rFonts w:eastAsia="MS Mincho"/>
                <w:szCs w:val="22"/>
                <w:lang w:eastAsia="ja-JP"/>
              </w:rPr>
              <w:t>Ingelheim</w:t>
            </w:r>
            <w:proofErr w:type="spellEnd"/>
            <w:r w:rsidRPr="005B2844">
              <w:rPr>
                <w:rFonts w:eastAsia="MS Mincho"/>
                <w:szCs w:val="22"/>
                <w:lang w:eastAsia="ja-JP"/>
              </w:rPr>
              <w:t xml:space="preserve"> </w:t>
            </w:r>
            <w:proofErr w:type="spellStart"/>
            <w:r w:rsidRPr="005B2844">
              <w:rPr>
                <w:rFonts w:eastAsia="MS Mincho"/>
                <w:szCs w:val="22"/>
                <w:lang w:eastAsia="ja-JP"/>
              </w:rPr>
              <w:t>Comm.V</w:t>
            </w:r>
            <w:proofErr w:type="spellEnd"/>
          </w:p>
          <w:p w:rsidR="00F72DE3" w:rsidRPr="005B2844" w:rsidRDefault="00F72DE3" w:rsidP="0072602F">
            <w:pPr>
              <w:rPr>
                <w:szCs w:val="22"/>
                <w:lang w:eastAsia="ja-JP"/>
              </w:rPr>
            </w:pPr>
            <w:proofErr w:type="spellStart"/>
            <w:r w:rsidRPr="005B2844">
              <w:rPr>
                <w:szCs w:val="22"/>
                <w:lang w:eastAsia="ja-JP"/>
              </w:rPr>
              <w:t>Tél</w:t>
            </w:r>
            <w:proofErr w:type="spellEnd"/>
            <w:r w:rsidRPr="005B2844">
              <w:rPr>
                <w:szCs w:val="22"/>
                <w:lang w:eastAsia="ja-JP"/>
              </w:rPr>
              <w:t>/Tel: +32 2 773 33 11</w:t>
            </w:r>
          </w:p>
          <w:p w:rsidR="00F72DE3" w:rsidRPr="005B2844" w:rsidRDefault="00F72DE3" w:rsidP="009536AB">
            <w:pPr>
              <w:autoSpaceDE w:val="0"/>
              <w:autoSpaceDN w:val="0"/>
              <w:adjustRightInd w:val="0"/>
              <w:ind w:left="567" w:hanging="567"/>
              <w:rPr>
                <w:noProof/>
                <w:szCs w:val="22"/>
              </w:rPr>
            </w:pPr>
          </w:p>
        </w:tc>
      </w:tr>
      <w:tr w:rsidR="00F72DE3" w:rsidRPr="005B2844" w:rsidTr="009536AB">
        <w:trPr>
          <w:gridAfter w:val="1"/>
          <w:wAfter w:w="34" w:type="dxa"/>
          <w:trHeight w:val="1031"/>
        </w:trPr>
        <w:tc>
          <w:tcPr>
            <w:tcW w:w="4644" w:type="dxa"/>
          </w:tcPr>
          <w:p w:rsidR="00F72DE3" w:rsidRPr="005B2844" w:rsidRDefault="00F72DE3" w:rsidP="009536AB">
            <w:pPr>
              <w:tabs>
                <w:tab w:val="left" w:pos="-720"/>
              </w:tabs>
              <w:suppressAutoHyphens/>
              <w:ind w:left="567" w:hanging="567"/>
              <w:rPr>
                <w:noProof/>
                <w:szCs w:val="22"/>
              </w:rPr>
            </w:pPr>
            <w:r w:rsidRPr="005B2844">
              <w:rPr>
                <w:b/>
                <w:noProof/>
                <w:szCs w:val="22"/>
              </w:rPr>
              <w:t>Česká republika</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spol</w:t>
            </w:r>
            <w:proofErr w:type="spellEnd"/>
            <w:r w:rsidRPr="005B2844">
              <w:rPr>
                <w:szCs w:val="22"/>
                <w:lang w:eastAsia="ja-JP"/>
              </w:rPr>
              <w:t xml:space="preserve">. s </w:t>
            </w:r>
            <w:proofErr w:type="spellStart"/>
            <w:r w:rsidRPr="005B2844">
              <w:rPr>
                <w:szCs w:val="22"/>
                <w:lang w:eastAsia="ja-JP"/>
              </w:rPr>
              <w:t>r.o.</w:t>
            </w:r>
            <w:proofErr w:type="spellEnd"/>
          </w:p>
          <w:p w:rsidR="00F72DE3" w:rsidRPr="005B2844" w:rsidRDefault="00F72DE3" w:rsidP="009536AB">
            <w:pPr>
              <w:tabs>
                <w:tab w:val="left" w:pos="-720"/>
              </w:tabs>
              <w:suppressAutoHyphens/>
              <w:ind w:left="567" w:hanging="567"/>
              <w:rPr>
                <w:szCs w:val="22"/>
                <w:lang w:eastAsia="ja-JP"/>
              </w:rPr>
            </w:pPr>
            <w:r w:rsidRPr="005B2844">
              <w:rPr>
                <w:szCs w:val="22"/>
                <w:lang w:eastAsia="ja-JP"/>
              </w:rPr>
              <w:t>Tel: +420 234 655 111</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ind w:left="567" w:hanging="567"/>
              <w:rPr>
                <w:b/>
                <w:noProof/>
                <w:szCs w:val="22"/>
              </w:rPr>
            </w:pPr>
            <w:r w:rsidRPr="005B2844">
              <w:rPr>
                <w:b/>
                <w:noProof/>
                <w:szCs w:val="22"/>
              </w:rPr>
              <w:t>Magyarország</w:t>
            </w:r>
          </w:p>
          <w:p w:rsidR="00F72DE3" w:rsidRPr="005B2844" w:rsidRDefault="00F72DE3" w:rsidP="000B27DB">
            <w:pPr>
              <w:tabs>
                <w:tab w:val="left" w:pos="-720"/>
              </w:tabs>
              <w:suppressAutoHyphens/>
              <w:rPr>
                <w:szCs w:val="22"/>
                <w:lang w:eastAsia="de-DE"/>
              </w:rPr>
            </w:pPr>
            <w:r w:rsidRPr="005B2844">
              <w:rPr>
                <w:szCs w:val="22"/>
                <w:lang w:eastAsia="de-DE"/>
              </w:rPr>
              <w:t xml:space="preserve">Boehringer </w:t>
            </w:r>
            <w:proofErr w:type="spellStart"/>
            <w:r w:rsidRPr="005B2844">
              <w:rPr>
                <w:szCs w:val="22"/>
                <w:lang w:eastAsia="de-DE"/>
              </w:rPr>
              <w:t>Ingelheim</w:t>
            </w:r>
            <w:proofErr w:type="spellEnd"/>
            <w:r w:rsidRPr="005B2844">
              <w:rPr>
                <w:szCs w:val="22"/>
                <w:lang w:eastAsia="de-DE"/>
              </w:rPr>
              <w:t xml:space="preserve"> RCV GmbH &amp; Co KG </w:t>
            </w:r>
            <w:r w:rsidRPr="005B2844">
              <w:rPr>
                <w:noProof/>
                <w:szCs w:val="22"/>
              </w:rPr>
              <w:t>Magyarországi</w:t>
            </w:r>
            <w:r w:rsidRPr="005B2844">
              <w:rPr>
                <w:szCs w:val="22"/>
                <w:lang w:eastAsia="de-DE"/>
              </w:rPr>
              <w:t xml:space="preserve"> </w:t>
            </w:r>
            <w:proofErr w:type="spellStart"/>
            <w:r w:rsidRPr="005B2844">
              <w:rPr>
                <w:szCs w:val="22"/>
                <w:lang w:eastAsia="de-DE"/>
              </w:rPr>
              <w:t>Fióktelepe</w:t>
            </w:r>
            <w:proofErr w:type="spellEnd"/>
          </w:p>
          <w:p w:rsidR="00F72DE3" w:rsidRPr="005B2844" w:rsidRDefault="00F72DE3" w:rsidP="009536AB">
            <w:pPr>
              <w:tabs>
                <w:tab w:val="left" w:pos="-720"/>
              </w:tabs>
              <w:suppressAutoHyphens/>
              <w:ind w:left="68" w:hanging="68"/>
              <w:rPr>
                <w:szCs w:val="22"/>
              </w:rPr>
            </w:pPr>
            <w:r w:rsidRPr="005B2844">
              <w:rPr>
                <w:szCs w:val="22"/>
                <w:lang w:eastAsia="de-DE"/>
              </w:rPr>
              <w:t>Tel.: +</w:t>
            </w:r>
            <w:r w:rsidRPr="005B2844">
              <w:rPr>
                <w:szCs w:val="22"/>
              </w:rPr>
              <w:t>36 1 299 8900</w:t>
            </w:r>
          </w:p>
          <w:p w:rsidR="00F72DE3" w:rsidRPr="005B2844" w:rsidRDefault="00F72DE3" w:rsidP="009536AB">
            <w:pPr>
              <w:tabs>
                <w:tab w:val="left" w:pos="-720"/>
              </w:tabs>
              <w:suppressAutoHyphens/>
              <w:ind w:left="68" w:hanging="68"/>
              <w:rPr>
                <w:noProof/>
                <w:szCs w:val="22"/>
              </w:rPr>
            </w:pPr>
          </w:p>
        </w:tc>
      </w:tr>
      <w:tr w:rsidR="00F72DE3" w:rsidRPr="005B2844" w:rsidTr="009536AB">
        <w:trPr>
          <w:gridAfter w:val="1"/>
          <w:wAfter w:w="34" w:type="dxa"/>
        </w:trPr>
        <w:tc>
          <w:tcPr>
            <w:tcW w:w="4644" w:type="dxa"/>
          </w:tcPr>
          <w:p w:rsidR="00F72DE3" w:rsidRPr="005B2844" w:rsidRDefault="00F72DE3" w:rsidP="009536AB">
            <w:pPr>
              <w:ind w:left="567" w:hanging="567"/>
              <w:rPr>
                <w:noProof/>
                <w:szCs w:val="22"/>
              </w:rPr>
            </w:pPr>
            <w:r w:rsidRPr="005B2844">
              <w:rPr>
                <w:b/>
                <w:noProof/>
                <w:szCs w:val="22"/>
              </w:rPr>
              <w:t>Danmark</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Danmark</w:t>
            </w:r>
            <w:proofErr w:type="spellEnd"/>
            <w:r w:rsidRPr="005B2844">
              <w:rPr>
                <w:szCs w:val="22"/>
                <w:lang w:eastAsia="ja-JP"/>
              </w:rPr>
              <w:t xml:space="preserve"> A/S</w:t>
            </w:r>
          </w:p>
          <w:p w:rsidR="00F72DE3" w:rsidRPr="005B2844" w:rsidRDefault="00F72DE3" w:rsidP="00A61A92">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xml:space="preserve">: +45 39 15 88 </w:t>
            </w:r>
            <w:r w:rsidR="003D0FFF" w:rsidRPr="005B2844">
              <w:rPr>
                <w:szCs w:val="22"/>
                <w:lang w:eastAsia="ja-JP"/>
              </w:rPr>
              <w:t>88</w:t>
            </w:r>
          </w:p>
          <w:p w:rsidR="00F72DE3" w:rsidRPr="005B2844" w:rsidRDefault="00F72DE3" w:rsidP="00A61A92">
            <w:pPr>
              <w:tabs>
                <w:tab w:val="left" w:pos="-720"/>
              </w:tabs>
              <w:suppressAutoHyphens/>
              <w:ind w:left="567" w:hanging="567"/>
              <w:rPr>
                <w:noProof/>
                <w:szCs w:val="22"/>
              </w:rPr>
            </w:pPr>
          </w:p>
        </w:tc>
        <w:tc>
          <w:tcPr>
            <w:tcW w:w="4678" w:type="dxa"/>
            <w:gridSpan w:val="2"/>
          </w:tcPr>
          <w:p w:rsidR="00F72DE3" w:rsidRPr="005B2844" w:rsidRDefault="00F72DE3" w:rsidP="009536AB">
            <w:pPr>
              <w:tabs>
                <w:tab w:val="left" w:pos="-720"/>
                <w:tab w:val="left" w:pos="4536"/>
              </w:tabs>
              <w:suppressAutoHyphens/>
              <w:ind w:left="567" w:hanging="567"/>
              <w:rPr>
                <w:b/>
                <w:noProof/>
                <w:szCs w:val="22"/>
              </w:rPr>
            </w:pPr>
            <w:r w:rsidRPr="005B2844">
              <w:rPr>
                <w:b/>
                <w:noProof/>
                <w:szCs w:val="22"/>
              </w:rPr>
              <w:t>Malta</w:t>
            </w:r>
          </w:p>
          <w:p w:rsidR="00C76DD4" w:rsidRPr="005B2844" w:rsidRDefault="00C76DD4" w:rsidP="00C76DD4">
            <w:pPr>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F72DE3" w:rsidRPr="005B2844" w:rsidRDefault="00C76DD4" w:rsidP="009536AB">
            <w:pPr>
              <w:ind w:left="567" w:hanging="567"/>
              <w:rPr>
                <w:szCs w:val="22"/>
                <w:lang w:eastAsia="ja-JP"/>
              </w:rPr>
            </w:pPr>
            <w:r w:rsidRPr="005B2844">
              <w:rPr>
                <w:szCs w:val="22"/>
                <w:lang w:eastAsia="ja-JP"/>
              </w:rPr>
              <w:t>Tel: +353 1 295 9620</w:t>
            </w:r>
          </w:p>
          <w:p w:rsidR="00F72DE3" w:rsidRPr="005B2844" w:rsidRDefault="00F72DE3" w:rsidP="009536AB">
            <w:pPr>
              <w:ind w:left="567" w:hanging="567"/>
              <w:rPr>
                <w:noProof/>
                <w:szCs w:val="22"/>
              </w:rPr>
            </w:pPr>
          </w:p>
        </w:tc>
      </w:tr>
      <w:tr w:rsidR="00F72DE3" w:rsidRPr="005B2844" w:rsidTr="009536AB">
        <w:trPr>
          <w:gridAfter w:val="1"/>
          <w:wAfter w:w="34" w:type="dxa"/>
        </w:trPr>
        <w:tc>
          <w:tcPr>
            <w:tcW w:w="4644" w:type="dxa"/>
          </w:tcPr>
          <w:p w:rsidR="00F72DE3" w:rsidRPr="005B2844" w:rsidRDefault="00F72DE3" w:rsidP="009536AB">
            <w:pPr>
              <w:ind w:left="567" w:hanging="567"/>
              <w:rPr>
                <w:noProof/>
                <w:szCs w:val="22"/>
              </w:rPr>
            </w:pPr>
            <w:r w:rsidRPr="005B2844">
              <w:rPr>
                <w:b/>
                <w:noProof/>
                <w:szCs w:val="22"/>
              </w:rPr>
              <w:t>Deutschland</w:t>
            </w:r>
          </w:p>
          <w:p w:rsidR="00F72DE3" w:rsidRPr="005B2844" w:rsidRDefault="00F72DE3" w:rsidP="009536A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Pharma GmbH &amp; Co. KG</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Tel: +49 (0) 800 / 77 90 900</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suppressAutoHyphens/>
              <w:ind w:left="567" w:hanging="567"/>
              <w:rPr>
                <w:noProof/>
                <w:szCs w:val="22"/>
              </w:rPr>
            </w:pPr>
            <w:r w:rsidRPr="005B2844">
              <w:rPr>
                <w:b/>
                <w:noProof/>
                <w:szCs w:val="22"/>
              </w:rPr>
              <w:t>Nederland</w:t>
            </w:r>
          </w:p>
          <w:p w:rsidR="00F72DE3" w:rsidRPr="005B2844" w:rsidRDefault="00F72DE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b.v.</w:t>
            </w:r>
          </w:p>
          <w:p w:rsidR="00F72DE3" w:rsidRPr="005B2844" w:rsidRDefault="00F72DE3" w:rsidP="009536AB">
            <w:pPr>
              <w:ind w:left="567" w:hanging="567"/>
              <w:rPr>
                <w:szCs w:val="22"/>
                <w:lang w:eastAsia="ja-JP"/>
              </w:rPr>
            </w:pPr>
            <w:r w:rsidRPr="005B2844">
              <w:rPr>
                <w:szCs w:val="22"/>
                <w:lang w:eastAsia="ja-JP"/>
              </w:rPr>
              <w:t xml:space="preserve">Tel: +31 </w:t>
            </w:r>
            <w:r w:rsidRPr="005B2844">
              <w:rPr>
                <w:szCs w:val="22"/>
              </w:rPr>
              <w:t>(0) 800 22 55 889</w:t>
            </w:r>
          </w:p>
          <w:p w:rsidR="00F72DE3" w:rsidRPr="005B2844" w:rsidRDefault="00F72DE3" w:rsidP="009536AB">
            <w:pPr>
              <w:ind w:left="567" w:hanging="567"/>
              <w:rPr>
                <w:noProof/>
                <w:szCs w:val="22"/>
              </w:rPr>
            </w:pPr>
          </w:p>
        </w:tc>
      </w:tr>
      <w:tr w:rsidR="00F72DE3" w:rsidRPr="005B2844" w:rsidTr="009536AB">
        <w:trPr>
          <w:gridAfter w:val="1"/>
          <w:wAfter w:w="34" w:type="dxa"/>
        </w:trPr>
        <w:tc>
          <w:tcPr>
            <w:tcW w:w="4644" w:type="dxa"/>
          </w:tcPr>
          <w:p w:rsidR="00F72DE3" w:rsidRPr="005B2844" w:rsidRDefault="00F72DE3" w:rsidP="006F7672">
            <w:pPr>
              <w:tabs>
                <w:tab w:val="left" w:pos="-720"/>
              </w:tabs>
              <w:suppressAutoHyphens/>
              <w:ind w:left="567" w:hanging="567"/>
              <w:rPr>
                <w:b/>
                <w:bCs/>
                <w:szCs w:val="22"/>
                <w:lang w:eastAsia="ja-JP"/>
              </w:rPr>
            </w:pPr>
            <w:proofErr w:type="spellStart"/>
            <w:r w:rsidRPr="005B2844">
              <w:rPr>
                <w:b/>
                <w:bCs/>
                <w:szCs w:val="22"/>
                <w:lang w:eastAsia="ja-JP"/>
              </w:rPr>
              <w:t>Eesti</w:t>
            </w:r>
            <w:proofErr w:type="spellEnd"/>
          </w:p>
          <w:p w:rsidR="00F72DE3" w:rsidRPr="005B2844" w:rsidRDefault="00F72DE3" w:rsidP="006F7672">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RCV GmbH &amp; Co KG</w:t>
            </w:r>
          </w:p>
          <w:p w:rsidR="00F72DE3" w:rsidRPr="005B2844" w:rsidRDefault="00F72DE3" w:rsidP="006F7672">
            <w:pPr>
              <w:tabs>
                <w:tab w:val="left" w:pos="-720"/>
              </w:tabs>
              <w:suppressAutoHyphens/>
              <w:ind w:left="567" w:hanging="567"/>
              <w:rPr>
                <w:szCs w:val="22"/>
                <w:lang w:eastAsia="ja-JP"/>
              </w:rPr>
            </w:pPr>
            <w:proofErr w:type="spellStart"/>
            <w:r w:rsidRPr="005B2844">
              <w:rPr>
                <w:szCs w:val="22"/>
                <w:lang w:eastAsia="ja-JP"/>
              </w:rPr>
              <w:t>Eesti</w:t>
            </w:r>
            <w:proofErr w:type="spellEnd"/>
            <w:r w:rsidRPr="005B2844">
              <w:rPr>
                <w:szCs w:val="22"/>
                <w:lang w:eastAsia="ja-JP"/>
              </w:rPr>
              <w:t xml:space="preserve"> </w:t>
            </w:r>
            <w:proofErr w:type="spellStart"/>
            <w:r w:rsidRPr="005B2844">
              <w:rPr>
                <w:szCs w:val="22"/>
                <w:lang w:eastAsia="ja-JP"/>
              </w:rPr>
              <w:t>Filiaal</w:t>
            </w:r>
            <w:proofErr w:type="spellEnd"/>
          </w:p>
          <w:p w:rsidR="00F72DE3" w:rsidRPr="005B2844" w:rsidRDefault="00F72DE3" w:rsidP="006F7672">
            <w:pPr>
              <w:tabs>
                <w:tab w:val="left" w:pos="-720"/>
              </w:tabs>
              <w:suppressAutoHyphens/>
              <w:ind w:left="567" w:hanging="567"/>
              <w:rPr>
                <w:szCs w:val="22"/>
                <w:lang w:eastAsia="ja-JP"/>
              </w:rPr>
            </w:pPr>
            <w:r w:rsidRPr="005B2844">
              <w:rPr>
                <w:szCs w:val="22"/>
                <w:lang w:eastAsia="ja-JP"/>
              </w:rPr>
              <w:t>Tel: +372 612 8000</w:t>
            </w:r>
          </w:p>
          <w:p w:rsidR="00F72DE3" w:rsidRPr="005B2844" w:rsidRDefault="00F72DE3" w:rsidP="006F7672">
            <w:pPr>
              <w:tabs>
                <w:tab w:val="left" w:pos="-720"/>
              </w:tabs>
              <w:suppressAutoHyphens/>
              <w:ind w:left="567" w:hanging="567"/>
              <w:rPr>
                <w:noProof/>
                <w:szCs w:val="22"/>
              </w:rPr>
            </w:pPr>
          </w:p>
        </w:tc>
        <w:tc>
          <w:tcPr>
            <w:tcW w:w="4678" w:type="dxa"/>
            <w:gridSpan w:val="2"/>
          </w:tcPr>
          <w:p w:rsidR="00F72DE3" w:rsidRPr="005B2844" w:rsidRDefault="00F72DE3" w:rsidP="009536AB">
            <w:pPr>
              <w:ind w:left="567" w:hanging="567"/>
              <w:rPr>
                <w:noProof/>
                <w:szCs w:val="22"/>
              </w:rPr>
            </w:pPr>
            <w:r w:rsidRPr="005B2844">
              <w:rPr>
                <w:b/>
                <w:noProof/>
                <w:szCs w:val="22"/>
              </w:rPr>
              <w:t>Norge</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Norway KS</w:t>
            </w:r>
          </w:p>
          <w:p w:rsidR="00F72DE3" w:rsidRPr="005B2844" w:rsidRDefault="00F72DE3" w:rsidP="009536AB">
            <w:pPr>
              <w:tabs>
                <w:tab w:val="left" w:pos="-720"/>
              </w:tabs>
              <w:suppressAutoHyphens/>
              <w:ind w:left="567" w:hanging="567"/>
              <w:rPr>
                <w:szCs w:val="22"/>
                <w:lang w:eastAsia="ja-JP"/>
              </w:rPr>
            </w:pPr>
            <w:proofErr w:type="spellStart"/>
            <w:r w:rsidRPr="005B2844">
              <w:rPr>
                <w:szCs w:val="22"/>
                <w:lang w:eastAsia="ja-JP"/>
              </w:rPr>
              <w:t>Tlf</w:t>
            </w:r>
            <w:proofErr w:type="spellEnd"/>
            <w:r w:rsidRPr="005B2844">
              <w:rPr>
                <w:szCs w:val="22"/>
                <w:lang w:eastAsia="ja-JP"/>
              </w:rPr>
              <w:t>: +47 66 76 13 00</w:t>
            </w:r>
          </w:p>
          <w:p w:rsidR="00F72DE3" w:rsidRPr="005B2844" w:rsidRDefault="00F72DE3" w:rsidP="009536AB">
            <w:pPr>
              <w:tabs>
                <w:tab w:val="left" w:pos="-720"/>
              </w:tabs>
              <w:suppressAutoHyphens/>
              <w:ind w:left="567" w:hanging="567"/>
              <w:rPr>
                <w:noProof/>
                <w:szCs w:val="22"/>
              </w:rPr>
            </w:pPr>
          </w:p>
        </w:tc>
      </w:tr>
      <w:tr w:rsidR="00F72DE3" w:rsidRPr="005B2844" w:rsidTr="009536AB">
        <w:trPr>
          <w:gridAfter w:val="1"/>
          <w:wAfter w:w="34" w:type="dxa"/>
        </w:trPr>
        <w:tc>
          <w:tcPr>
            <w:tcW w:w="4644" w:type="dxa"/>
          </w:tcPr>
          <w:p w:rsidR="00F72DE3" w:rsidRPr="005B2844" w:rsidRDefault="00F72DE3" w:rsidP="009536AB">
            <w:pPr>
              <w:ind w:left="567" w:hanging="567"/>
              <w:rPr>
                <w:noProof/>
                <w:szCs w:val="22"/>
              </w:rPr>
            </w:pPr>
            <w:r w:rsidRPr="005B2844">
              <w:rPr>
                <w:b/>
                <w:noProof/>
                <w:szCs w:val="22"/>
              </w:rPr>
              <w:t>Ελλάδα</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F72DE3" w:rsidRPr="005B2844" w:rsidRDefault="00F72DE3" w:rsidP="009536AB">
            <w:pPr>
              <w:tabs>
                <w:tab w:val="left" w:pos="-720"/>
              </w:tabs>
              <w:suppressAutoHyphens/>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ind w:left="567" w:hanging="567"/>
              <w:rPr>
                <w:noProof/>
                <w:szCs w:val="22"/>
              </w:rPr>
            </w:pPr>
            <w:r w:rsidRPr="005B2844">
              <w:rPr>
                <w:b/>
                <w:noProof/>
                <w:szCs w:val="22"/>
              </w:rPr>
              <w:t>Österreich</w:t>
            </w:r>
          </w:p>
          <w:p w:rsidR="00F72DE3" w:rsidRPr="005B2844" w:rsidRDefault="00F72DE3" w:rsidP="007517E5">
            <w:pPr>
              <w:rPr>
                <w:szCs w:val="22"/>
                <w:lang w:eastAsia="ja-JP"/>
              </w:rPr>
            </w:pPr>
            <w:r w:rsidRPr="005B2844">
              <w:rPr>
                <w:szCs w:val="22"/>
              </w:rPr>
              <w:t xml:space="preserve">Boehringer </w:t>
            </w:r>
            <w:proofErr w:type="spellStart"/>
            <w:r w:rsidRPr="005B2844">
              <w:rPr>
                <w:szCs w:val="22"/>
              </w:rPr>
              <w:t>Ingelheim</w:t>
            </w:r>
            <w:proofErr w:type="spellEnd"/>
            <w:r w:rsidRPr="005B2844">
              <w:rPr>
                <w:szCs w:val="22"/>
              </w:rPr>
              <w:t xml:space="preserve"> RCV GmbH &amp; Co KG</w:t>
            </w:r>
            <w:r w:rsidRPr="005B2844">
              <w:rPr>
                <w:szCs w:val="22"/>
                <w:lang w:eastAsia="ja-JP"/>
              </w:rPr>
              <w:t xml:space="preserve"> </w:t>
            </w:r>
          </w:p>
          <w:p w:rsidR="00F72DE3" w:rsidRPr="005B2844" w:rsidRDefault="00F72DE3" w:rsidP="00DE527C">
            <w:pPr>
              <w:ind w:left="567" w:hanging="567"/>
              <w:rPr>
                <w:szCs w:val="22"/>
              </w:rPr>
            </w:pPr>
            <w:r w:rsidRPr="005B2844">
              <w:rPr>
                <w:szCs w:val="22"/>
              </w:rPr>
              <w:t>Tel: +</w:t>
            </w:r>
            <w:r w:rsidR="00DE527C" w:rsidRPr="005B2844">
              <w:rPr>
                <w:szCs w:val="22"/>
              </w:rPr>
              <w:t>43 1 80 105-7870</w:t>
            </w:r>
          </w:p>
          <w:p w:rsidR="00F72DE3" w:rsidRPr="005B2844" w:rsidRDefault="00F72DE3" w:rsidP="009536AB">
            <w:pPr>
              <w:ind w:left="567" w:hanging="567"/>
              <w:rPr>
                <w:noProof/>
                <w:szCs w:val="22"/>
              </w:rPr>
            </w:pPr>
          </w:p>
        </w:tc>
      </w:tr>
      <w:tr w:rsidR="00F72DE3" w:rsidRPr="005B2844" w:rsidTr="009536AB">
        <w:tc>
          <w:tcPr>
            <w:tcW w:w="4678" w:type="dxa"/>
            <w:gridSpan w:val="2"/>
          </w:tcPr>
          <w:p w:rsidR="00F72DE3" w:rsidRPr="005B2844" w:rsidRDefault="00F72DE3" w:rsidP="009536AB">
            <w:pPr>
              <w:tabs>
                <w:tab w:val="left" w:pos="-720"/>
                <w:tab w:val="left" w:pos="4536"/>
              </w:tabs>
              <w:suppressAutoHyphens/>
              <w:ind w:left="567" w:hanging="567"/>
              <w:rPr>
                <w:b/>
                <w:noProof/>
                <w:szCs w:val="22"/>
              </w:rPr>
            </w:pPr>
            <w:r w:rsidRPr="005B2844">
              <w:rPr>
                <w:b/>
                <w:noProof/>
                <w:szCs w:val="22"/>
              </w:rPr>
              <w:t>España</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España</w:t>
            </w:r>
            <w:proofErr w:type="spellEnd"/>
            <w:r w:rsidR="005D0165" w:rsidRPr="005B2844">
              <w:rPr>
                <w:szCs w:val="22"/>
                <w:lang w:eastAsia="ja-JP"/>
              </w:rPr>
              <w:t>,</w:t>
            </w:r>
            <w:r w:rsidRPr="005B2844">
              <w:rPr>
                <w:szCs w:val="22"/>
                <w:lang w:eastAsia="ja-JP"/>
              </w:rPr>
              <w:t xml:space="preserve"> S.A.</w:t>
            </w:r>
          </w:p>
          <w:p w:rsidR="00F72DE3" w:rsidRPr="005B2844" w:rsidRDefault="00F72DE3" w:rsidP="009536AB">
            <w:pPr>
              <w:tabs>
                <w:tab w:val="left" w:pos="-720"/>
              </w:tabs>
              <w:suppressAutoHyphens/>
              <w:ind w:left="567" w:hanging="567"/>
              <w:rPr>
                <w:noProof/>
                <w:szCs w:val="22"/>
              </w:rPr>
            </w:pPr>
            <w:r w:rsidRPr="005B2844">
              <w:rPr>
                <w:szCs w:val="22"/>
                <w:lang w:eastAsia="ja-JP"/>
              </w:rPr>
              <w:t>Tel: +34 93 404 51 00</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tabs>
                <w:tab w:val="left" w:pos="-720"/>
                <w:tab w:val="left" w:pos="4536"/>
              </w:tabs>
              <w:suppressAutoHyphens/>
              <w:ind w:left="567" w:hanging="567"/>
              <w:rPr>
                <w:b/>
                <w:bCs/>
                <w:i/>
                <w:iCs/>
                <w:noProof/>
                <w:szCs w:val="22"/>
              </w:rPr>
            </w:pPr>
            <w:r w:rsidRPr="005B2844">
              <w:rPr>
                <w:b/>
                <w:noProof/>
                <w:szCs w:val="22"/>
              </w:rPr>
              <w:t>Polska</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Sp.zo.o</w:t>
            </w:r>
            <w:proofErr w:type="spellEnd"/>
            <w:r w:rsidRPr="005B2844">
              <w:rPr>
                <w:szCs w:val="22"/>
                <w:lang w:eastAsia="ja-JP"/>
              </w:rPr>
              <w:t>.</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Tel.: +48 22 699 0 699</w:t>
            </w:r>
          </w:p>
          <w:p w:rsidR="00F72DE3" w:rsidRPr="005B2844" w:rsidRDefault="00F72DE3" w:rsidP="009536AB">
            <w:pPr>
              <w:tabs>
                <w:tab w:val="left" w:pos="-720"/>
              </w:tabs>
              <w:suppressAutoHyphens/>
              <w:ind w:left="567" w:hanging="567"/>
              <w:rPr>
                <w:noProof/>
                <w:szCs w:val="22"/>
              </w:rPr>
            </w:pPr>
          </w:p>
        </w:tc>
      </w:tr>
      <w:tr w:rsidR="00F72DE3" w:rsidRPr="005B2844" w:rsidTr="009536AB">
        <w:tc>
          <w:tcPr>
            <w:tcW w:w="4678" w:type="dxa"/>
            <w:gridSpan w:val="2"/>
          </w:tcPr>
          <w:p w:rsidR="00F72DE3" w:rsidRPr="005B2844" w:rsidRDefault="00F72DE3" w:rsidP="009536AB">
            <w:pPr>
              <w:tabs>
                <w:tab w:val="left" w:pos="-720"/>
                <w:tab w:val="left" w:pos="4536"/>
              </w:tabs>
              <w:suppressAutoHyphens/>
              <w:ind w:left="567" w:hanging="567"/>
              <w:rPr>
                <w:b/>
                <w:noProof/>
                <w:szCs w:val="22"/>
              </w:rPr>
            </w:pPr>
            <w:r w:rsidRPr="005B2844">
              <w:rPr>
                <w:b/>
                <w:noProof/>
                <w:szCs w:val="22"/>
              </w:rPr>
              <w:t>France</w:t>
            </w:r>
          </w:p>
          <w:p w:rsidR="00F72DE3" w:rsidRPr="005B2844" w:rsidRDefault="00F72DE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France S.A.S.</w:t>
            </w:r>
          </w:p>
          <w:p w:rsidR="00F72DE3" w:rsidRPr="005B2844" w:rsidRDefault="00F72DE3" w:rsidP="009536AB">
            <w:pPr>
              <w:ind w:left="567" w:hanging="567"/>
              <w:rPr>
                <w:szCs w:val="22"/>
                <w:lang w:eastAsia="ja-JP"/>
              </w:rPr>
            </w:pPr>
            <w:proofErr w:type="spellStart"/>
            <w:r w:rsidRPr="005B2844">
              <w:rPr>
                <w:szCs w:val="22"/>
                <w:lang w:eastAsia="ja-JP"/>
              </w:rPr>
              <w:t>Tél</w:t>
            </w:r>
            <w:proofErr w:type="spellEnd"/>
            <w:r w:rsidRPr="005B2844">
              <w:rPr>
                <w:szCs w:val="22"/>
                <w:lang w:eastAsia="ja-JP"/>
              </w:rPr>
              <w:t>: +33 3 26 50 45 33</w:t>
            </w:r>
          </w:p>
          <w:p w:rsidR="00F72DE3" w:rsidRPr="005B2844" w:rsidRDefault="00F72DE3" w:rsidP="009536AB">
            <w:pPr>
              <w:ind w:left="567" w:hanging="567"/>
              <w:rPr>
                <w:b/>
                <w:noProof/>
                <w:szCs w:val="22"/>
              </w:rPr>
            </w:pPr>
          </w:p>
        </w:tc>
        <w:tc>
          <w:tcPr>
            <w:tcW w:w="4678" w:type="dxa"/>
            <w:gridSpan w:val="2"/>
          </w:tcPr>
          <w:p w:rsidR="00F72DE3" w:rsidRPr="005B2844" w:rsidRDefault="00F72DE3" w:rsidP="009536AB">
            <w:pPr>
              <w:ind w:left="567" w:hanging="567"/>
              <w:rPr>
                <w:noProof/>
                <w:szCs w:val="22"/>
              </w:rPr>
            </w:pPr>
            <w:r w:rsidRPr="005B2844">
              <w:rPr>
                <w:b/>
                <w:noProof/>
                <w:szCs w:val="22"/>
              </w:rPr>
              <w:t>Portugal</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005F796E" w:rsidRPr="005B2844">
              <w:rPr>
                <w:szCs w:val="22"/>
                <w:lang w:eastAsia="ja-JP"/>
              </w:rPr>
              <w:t>Unipessoal</w:t>
            </w:r>
            <w:proofErr w:type="spellEnd"/>
            <w:r w:rsidR="005F796E" w:rsidRPr="005B2844">
              <w:rPr>
                <w:szCs w:val="22"/>
                <w:lang w:eastAsia="ja-JP"/>
              </w:rPr>
              <w:t xml:space="preserve">, </w:t>
            </w:r>
            <w:proofErr w:type="spellStart"/>
            <w:r w:rsidRPr="005B2844">
              <w:rPr>
                <w:szCs w:val="22"/>
                <w:lang w:eastAsia="ja-JP"/>
              </w:rPr>
              <w:t>Lda</w:t>
            </w:r>
            <w:proofErr w:type="spellEnd"/>
            <w:r w:rsidRPr="005B2844">
              <w:rPr>
                <w:szCs w:val="22"/>
                <w:lang w:eastAsia="ja-JP"/>
              </w:rPr>
              <w:t>.</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Tel: +351 21 313 53 00</w:t>
            </w:r>
          </w:p>
          <w:p w:rsidR="00F72DE3" w:rsidRPr="005B2844" w:rsidRDefault="00F72DE3" w:rsidP="009536AB">
            <w:pPr>
              <w:tabs>
                <w:tab w:val="left" w:pos="-720"/>
              </w:tabs>
              <w:suppressAutoHyphens/>
              <w:ind w:left="567" w:hanging="567"/>
              <w:rPr>
                <w:noProof/>
                <w:szCs w:val="22"/>
              </w:rPr>
            </w:pPr>
          </w:p>
        </w:tc>
      </w:tr>
      <w:tr w:rsidR="00F72DE3" w:rsidRPr="005B2844" w:rsidTr="009536AB">
        <w:tc>
          <w:tcPr>
            <w:tcW w:w="4678" w:type="dxa"/>
            <w:gridSpan w:val="2"/>
          </w:tcPr>
          <w:p w:rsidR="00F72DE3" w:rsidRPr="005B2844" w:rsidRDefault="00F72DE3" w:rsidP="00F72DE3">
            <w:pPr>
              <w:pStyle w:val="HeadNoNum1"/>
              <w:rPr>
                <w:noProof w:val="0"/>
                <w:szCs w:val="22"/>
                <w:lang w:val="it-IT"/>
              </w:rPr>
            </w:pPr>
            <w:proofErr w:type="spellStart"/>
            <w:r w:rsidRPr="005B2844">
              <w:rPr>
                <w:noProof w:val="0"/>
                <w:szCs w:val="22"/>
                <w:lang w:val="it-IT"/>
              </w:rPr>
              <w:t>Hrvatska</w:t>
            </w:r>
            <w:proofErr w:type="spellEnd"/>
          </w:p>
          <w:p w:rsidR="00F72DE3" w:rsidRPr="005B2844" w:rsidRDefault="00F72DE3" w:rsidP="00F72DE3">
            <w:pPr>
              <w:pStyle w:val="HeadNoNum1"/>
              <w:rPr>
                <w:b w:val="0"/>
                <w:noProof w:val="0"/>
                <w:szCs w:val="22"/>
                <w:lang w:val="it-IT"/>
              </w:rPr>
            </w:pPr>
            <w:r w:rsidRPr="005B2844">
              <w:rPr>
                <w:b w:val="0"/>
                <w:noProof w:val="0"/>
                <w:szCs w:val="22"/>
                <w:lang w:val="it-IT"/>
              </w:rPr>
              <w:t xml:space="preserve">Boehringer </w:t>
            </w:r>
            <w:proofErr w:type="spellStart"/>
            <w:r w:rsidRPr="005B2844">
              <w:rPr>
                <w:b w:val="0"/>
                <w:noProof w:val="0"/>
                <w:szCs w:val="22"/>
                <w:lang w:val="it-IT"/>
              </w:rPr>
              <w:t>Ingelheim</w:t>
            </w:r>
            <w:proofErr w:type="spellEnd"/>
            <w:r w:rsidRPr="005B2844">
              <w:rPr>
                <w:b w:val="0"/>
                <w:noProof w:val="0"/>
                <w:szCs w:val="22"/>
                <w:lang w:val="it-IT"/>
              </w:rPr>
              <w:t xml:space="preserve"> </w:t>
            </w:r>
            <w:proofErr w:type="spellStart"/>
            <w:r w:rsidRPr="005B2844">
              <w:rPr>
                <w:b w:val="0"/>
                <w:noProof w:val="0"/>
                <w:szCs w:val="22"/>
                <w:lang w:val="it-IT"/>
              </w:rPr>
              <w:t>Zagreb</w:t>
            </w:r>
            <w:proofErr w:type="spellEnd"/>
            <w:r w:rsidRPr="005B2844">
              <w:rPr>
                <w:b w:val="0"/>
                <w:noProof w:val="0"/>
                <w:szCs w:val="22"/>
                <w:lang w:val="it-IT"/>
              </w:rPr>
              <w:t xml:space="preserve"> </w:t>
            </w:r>
            <w:proofErr w:type="spellStart"/>
            <w:r w:rsidRPr="005B2844">
              <w:rPr>
                <w:b w:val="0"/>
                <w:noProof w:val="0"/>
                <w:szCs w:val="22"/>
                <w:lang w:val="it-IT"/>
              </w:rPr>
              <w:t>d.o.o</w:t>
            </w:r>
            <w:proofErr w:type="spellEnd"/>
            <w:r w:rsidRPr="005B2844">
              <w:rPr>
                <w:b w:val="0"/>
                <w:noProof w:val="0"/>
                <w:szCs w:val="22"/>
                <w:lang w:val="it-IT"/>
              </w:rPr>
              <w:t>.</w:t>
            </w:r>
          </w:p>
          <w:p w:rsidR="00F72DE3" w:rsidRPr="005B2844" w:rsidRDefault="00F72DE3" w:rsidP="00F72DE3">
            <w:pPr>
              <w:pStyle w:val="HeadNoNum1"/>
              <w:rPr>
                <w:b w:val="0"/>
                <w:noProof w:val="0"/>
                <w:szCs w:val="22"/>
                <w:lang w:val="it-IT"/>
              </w:rPr>
            </w:pPr>
            <w:r w:rsidRPr="005B2844">
              <w:rPr>
                <w:b w:val="0"/>
                <w:noProof w:val="0"/>
                <w:szCs w:val="22"/>
                <w:lang w:val="it-IT"/>
              </w:rPr>
              <w:t>Tel: +385 1 2444 600</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tabs>
                <w:tab w:val="left" w:pos="-720"/>
                <w:tab w:val="left" w:pos="4536"/>
              </w:tabs>
              <w:suppressAutoHyphens/>
              <w:ind w:left="567" w:hanging="567"/>
              <w:rPr>
                <w:b/>
                <w:noProof/>
                <w:szCs w:val="22"/>
              </w:rPr>
            </w:pPr>
            <w:r w:rsidRPr="005B2844">
              <w:rPr>
                <w:b/>
                <w:noProof/>
                <w:szCs w:val="22"/>
              </w:rPr>
              <w:t>România</w:t>
            </w:r>
          </w:p>
          <w:p w:rsidR="00F72DE3" w:rsidRPr="005B2844" w:rsidRDefault="00F72DE3" w:rsidP="00D03574">
            <w:pPr>
              <w:rPr>
                <w:szCs w:val="22"/>
              </w:rPr>
            </w:pPr>
            <w:r w:rsidRPr="005B2844">
              <w:rPr>
                <w:szCs w:val="22"/>
              </w:rPr>
              <w:t xml:space="preserve">Boehringer </w:t>
            </w:r>
            <w:proofErr w:type="spellStart"/>
            <w:r w:rsidRPr="005B2844">
              <w:rPr>
                <w:szCs w:val="22"/>
              </w:rPr>
              <w:t>Ingelheim</w:t>
            </w:r>
            <w:proofErr w:type="spellEnd"/>
            <w:r w:rsidRPr="005B2844">
              <w:rPr>
                <w:szCs w:val="22"/>
              </w:rPr>
              <w:t xml:space="preserve"> </w:t>
            </w:r>
            <w:r w:rsidRPr="005B2844">
              <w:rPr>
                <w:szCs w:val="22"/>
                <w:lang w:eastAsia="de-DE"/>
              </w:rPr>
              <w:t xml:space="preserve">RCV GmbH &amp; Co KG Viena – </w:t>
            </w:r>
            <w:proofErr w:type="spellStart"/>
            <w:r w:rsidRPr="005B2844">
              <w:rPr>
                <w:szCs w:val="22"/>
                <w:lang w:eastAsia="de-DE"/>
              </w:rPr>
              <w:t>Sucursala</w:t>
            </w:r>
            <w:proofErr w:type="spellEnd"/>
            <w:r w:rsidRPr="005B2844">
              <w:rPr>
                <w:szCs w:val="22"/>
                <w:lang w:eastAsia="de-DE"/>
              </w:rPr>
              <w:t xml:space="preserve"> Bucuresti</w:t>
            </w:r>
          </w:p>
          <w:p w:rsidR="00F72DE3" w:rsidRPr="005B2844" w:rsidRDefault="00F72DE3" w:rsidP="009536AB">
            <w:pPr>
              <w:ind w:left="567" w:hanging="567"/>
              <w:rPr>
                <w:szCs w:val="22"/>
              </w:rPr>
            </w:pPr>
            <w:r w:rsidRPr="005B2844">
              <w:rPr>
                <w:szCs w:val="22"/>
              </w:rPr>
              <w:t>Tel: +40 21 3022800</w:t>
            </w:r>
          </w:p>
          <w:p w:rsidR="00F72DE3" w:rsidRPr="005B2844" w:rsidRDefault="00F72DE3" w:rsidP="009536AB">
            <w:pPr>
              <w:tabs>
                <w:tab w:val="left" w:pos="-720"/>
              </w:tabs>
              <w:suppressAutoHyphens/>
              <w:ind w:left="567" w:hanging="567"/>
              <w:rPr>
                <w:noProof/>
                <w:szCs w:val="22"/>
              </w:rPr>
            </w:pPr>
          </w:p>
        </w:tc>
      </w:tr>
      <w:tr w:rsidR="00F72DE3" w:rsidRPr="005B2844" w:rsidTr="009536AB">
        <w:tc>
          <w:tcPr>
            <w:tcW w:w="4678" w:type="dxa"/>
            <w:gridSpan w:val="2"/>
          </w:tcPr>
          <w:p w:rsidR="00F72DE3" w:rsidRPr="005B2844" w:rsidRDefault="00F72DE3" w:rsidP="009536AB">
            <w:pPr>
              <w:ind w:left="567" w:hanging="567"/>
              <w:rPr>
                <w:noProof/>
                <w:szCs w:val="22"/>
              </w:rPr>
            </w:pPr>
            <w:r w:rsidRPr="005B2844">
              <w:rPr>
                <w:noProof/>
                <w:szCs w:val="22"/>
              </w:rPr>
              <w:br w:type="page"/>
            </w:r>
            <w:r w:rsidRPr="005B2844">
              <w:rPr>
                <w:b/>
                <w:noProof/>
                <w:szCs w:val="22"/>
              </w:rPr>
              <w:t>Ireland</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Ireland Ltd.</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Tel: +353 1 295 9620</w:t>
            </w:r>
          </w:p>
          <w:p w:rsidR="00F72DE3" w:rsidRPr="005B2844" w:rsidRDefault="00F72DE3" w:rsidP="009536AB">
            <w:pPr>
              <w:tabs>
                <w:tab w:val="left" w:pos="-720"/>
              </w:tabs>
              <w:suppressAutoHyphens/>
              <w:ind w:left="567" w:hanging="567"/>
              <w:rPr>
                <w:noProof/>
                <w:szCs w:val="22"/>
              </w:rPr>
            </w:pPr>
          </w:p>
        </w:tc>
        <w:tc>
          <w:tcPr>
            <w:tcW w:w="4678" w:type="dxa"/>
            <w:gridSpan w:val="2"/>
          </w:tcPr>
          <w:p w:rsidR="00F72DE3" w:rsidRPr="005B2844" w:rsidRDefault="00F72DE3" w:rsidP="009536AB">
            <w:pPr>
              <w:ind w:left="567" w:hanging="567"/>
              <w:rPr>
                <w:noProof/>
                <w:szCs w:val="22"/>
              </w:rPr>
            </w:pPr>
            <w:r w:rsidRPr="005B2844">
              <w:rPr>
                <w:b/>
                <w:noProof/>
                <w:szCs w:val="22"/>
              </w:rPr>
              <w:t>Slovenija</w:t>
            </w:r>
          </w:p>
          <w:p w:rsidR="00F72DE3" w:rsidRPr="005B2844" w:rsidRDefault="00F72DE3" w:rsidP="009536AB">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F72DE3" w:rsidRPr="005B2844" w:rsidRDefault="00F72DE3" w:rsidP="009536AB">
            <w:pPr>
              <w:tabs>
                <w:tab w:val="left" w:pos="-720"/>
              </w:tabs>
              <w:suppressAutoHyphens/>
              <w:ind w:left="567" w:hanging="567"/>
              <w:rPr>
                <w:szCs w:val="22"/>
                <w:lang w:eastAsia="ja-JP"/>
              </w:rPr>
            </w:pPr>
            <w:proofErr w:type="spellStart"/>
            <w:r w:rsidRPr="005B2844">
              <w:rPr>
                <w:szCs w:val="22"/>
                <w:lang w:eastAsia="ja-JP"/>
              </w:rPr>
              <w:t>Podružnica</w:t>
            </w:r>
            <w:proofErr w:type="spellEnd"/>
            <w:r w:rsidRPr="005B2844">
              <w:rPr>
                <w:szCs w:val="22"/>
                <w:lang w:eastAsia="ja-JP"/>
              </w:rPr>
              <w:t xml:space="preserve"> </w:t>
            </w:r>
            <w:proofErr w:type="spellStart"/>
            <w:r w:rsidRPr="005B2844">
              <w:rPr>
                <w:szCs w:val="22"/>
                <w:lang w:eastAsia="ja-JP"/>
              </w:rPr>
              <w:t>Ljubljana</w:t>
            </w:r>
            <w:proofErr w:type="spellEnd"/>
          </w:p>
          <w:p w:rsidR="00F72DE3" w:rsidRPr="005B2844" w:rsidRDefault="00F72DE3" w:rsidP="009536AB">
            <w:pPr>
              <w:tabs>
                <w:tab w:val="left" w:pos="-720"/>
              </w:tabs>
              <w:suppressAutoHyphens/>
              <w:ind w:left="567" w:hanging="567"/>
              <w:rPr>
                <w:szCs w:val="22"/>
                <w:lang w:eastAsia="ja-JP"/>
              </w:rPr>
            </w:pPr>
            <w:r w:rsidRPr="005B2844">
              <w:rPr>
                <w:szCs w:val="22"/>
                <w:lang w:eastAsia="ja-JP"/>
              </w:rPr>
              <w:t>Tel: +386 1 586 40 00</w:t>
            </w:r>
          </w:p>
          <w:p w:rsidR="00F72DE3" w:rsidRPr="005B2844" w:rsidRDefault="00F72DE3" w:rsidP="009536AB">
            <w:pPr>
              <w:tabs>
                <w:tab w:val="left" w:pos="-720"/>
              </w:tabs>
              <w:suppressAutoHyphens/>
              <w:ind w:left="567" w:hanging="567"/>
              <w:rPr>
                <w:noProof/>
                <w:szCs w:val="22"/>
              </w:rPr>
            </w:pPr>
          </w:p>
        </w:tc>
      </w:tr>
      <w:tr w:rsidR="00F72DE3" w:rsidRPr="005B2844" w:rsidTr="009536AB">
        <w:tc>
          <w:tcPr>
            <w:tcW w:w="4678" w:type="dxa"/>
            <w:gridSpan w:val="2"/>
          </w:tcPr>
          <w:p w:rsidR="00F72DE3" w:rsidRPr="005B2844" w:rsidRDefault="00F72DE3" w:rsidP="00D67C49">
            <w:pPr>
              <w:keepNext/>
              <w:keepLines/>
              <w:ind w:left="567" w:hanging="567"/>
              <w:rPr>
                <w:b/>
                <w:noProof/>
                <w:szCs w:val="22"/>
              </w:rPr>
            </w:pPr>
            <w:r w:rsidRPr="005B2844">
              <w:rPr>
                <w:b/>
                <w:noProof/>
                <w:szCs w:val="22"/>
              </w:rPr>
              <w:t>Ísland</w:t>
            </w:r>
          </w:p>
          <w:p w:rsidR="00F72DE3" w:rsidRPr="005B2844" w:rsidRDefault="00F72DE3" w:rsidP="00D67C49">
            <w:pPr>
              <w:keepNext/>
              <w:keepLines/>
              <w:tabs>
                <w:tab w:val="left" w:pos="-720"/>
              </w:tabs>
              <w:suppressAutoHyphens/>
              <w:ind w:left="567" w:hanging="567"/>
              <w:rPr>
                <w:szCs w:val="22"/>
                <w:lang w:eastAsia="ja-JP"/>
              </w:rPr>
            </w:pPr>
            <w:proofErr w:type="spellStart"/>
            <w:r w:rsidRPr="005B2844">
              <w:rPr>
                <w:szCs w:val="22"/>
                <w:lang w:eastAsia="ja-JP"/>
              </w:rPr>
              <w:t>Vistor</w:t>
            </w:r>
            <w:proofErr w:type="spellEnd"/>
            <w:r w:rsidRPr="005B2844">
              <w:rPr>
                <w:szCs w:val="22"/>
                <w:lang w:eastAsia="ja-JP"/>
              </w:rPr>
              <w:t xml:space="preserve"> </w:t>
            </w:r>
            <w:proofErr w:type="spellStart"/>
            <w:r w:rsidRPr="005B2844">
              <w:rPr>
                <w:szCs w:val="22"/>
                <w:lang w:eastAsia="ja-JP"/>
              </w:rPr>
              <w:t>hf</w:t>
            </w:r>
            <w:proofErr w:type="spellEnd"/>
            <w:r w:rsidRPr="005B2844">
              <w:rPr>
                <w:szCs w:val="22"/>
                <w:lang w:eastAsia="ja-JP"/>
              </w:rPr>
              <w:t>.</w:t>
            </w:r>
          </w:p>
          <w:p w:rsidR="00F72DE3" w:rsidRPr="005B2844" w:rsidRDefault="00F72DE3" w:rsidP="00D67C49">
            <w:pPr>
              <w:keepNext/>
              <w:keepLines/>
              <w:tabs>
                <w:tab w:val="left" w:pos="-720"/>
              </w:tabs>
              <w:suppressAutoHyphens/>
              <w:ind w:left="567" w:hanging="567"/>
              <w:rPr>
                <w:noProof/>
                <w:szCs w:val="22"/>
              </w:rPr>
            </w:pPr>
            <w:proofErr w:type="spellStart"/>
            <w:r w:rsidRPr="005B2844">
              <w:rPr>
                <w:szCs w:val="22"/>
              </w:rPr>
              <w:t>Sími</w:t>
            </w:r>
            <w:proofErr w:type="spellEnd"/>
            <w:r w:rsidR="005D0165" w:rsidRPr="005B2844">
              <w:rPr>
                <w:szCs w:val="22"/>
              </w:rPr>
              <w:t>/</w:t>
            </w:r>
            <w:r w:rsidRPr="005B2844">
              <w:rPr>
                <w:szCs w:val="22"/>
              </w:rPr>
              <w:t>Tel</w:t>
            </w:r>
            <w:r w:rsidRPr="005B2844">
              <w:rPr>
                <w:szCs w:val="22"/>
                <w:lang w:eastAsia="ja-JP"/>
              </w:rPr>
              <w:t>: +354 535 7000</w:t>
            </w:r>
          </w:p>
          <w:p w:rsidR="00F72DE3" w:rsidRPr="005B2844" w:rsidRDefault="00F72DE3" w:rsidP="00D67C49">
            <w:pPr>
              <w:keepNext/>
              <w:keepLines/>
              <w:tabs>
                <w:tab w:val="left" w:pos="-720"/>
              </w:tabs>
              <w:suppressAutoHyphens/>
              <w:ind w:left="567" w:hanging="567"/>
              <w:rPr>
                <w:noProof/>
                <w:szCs w:val="22"/>
              </w:rPr>
            </w:pPr>
          </w:p>
        </w:tc>
        <w:tc>
          <w:tcPr>
            <w:tcW w:w="4678" w:type="dxa"/>
            <w:gridSpan w:val="2"/>
          </w:tcPr>
          <w:p w:rsidR="00F72DE3" w:rsidRPr="005B2844" w:rsidRDefault="00F72DE3" w:rsidP="00D67C49">
            <w:pPr>
              <w:keepNext/>
              <w:keepLines/>
              <w:tabs>
                <w:tab w:val="left" w:pos="-720"/>
              </w:tabs>
              <w:suppressAutoHyphens/>
              <w:ind w:left="567" w:hanging="567"/>
              <w:rPr>
                <w:b/>
                <w:noProof/>
                <w:szCs w:val="22"/>
              </w:rPr>
            </w:pPr>
            <w:r w:rsidRPr="005B2844">
              <w:rPr>
                <w:b/>
                <w:noProof/>
                <w:szCs w:val="22"/>
              </w:rPr>
              <w:t>Slovenská republika</w:t>
            </w:r>
          </w:p>
          <w:p w:rsidR="00F72DE3" w:rsidRPr="005B2844" w:rsidRDefault="00F72DE3" w:rsidP="00D67C49">
            <w:pPr>
              <w:keepNext/>
              <w:keepLines/>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Pr="005B2844">
              <w:rPr>
                <w:szCs w:val="22"/>
                <w:lang w:eastAsia="de-DE"/>
              </w:rPr>
              <w:t xml:space="preserve">RCV GmbH &amp; Co KG </w:t>
            </w:r>
          </w:p>
          <w:p w:rsidR="00F72DE3" w:rsidRPr="005B2844" w:rsidRDefault="00F72DE3" w:rsidP="00D67C49">
            <w:pPr>
              <w:keepNext/>
              <w:keepLines/>
              <w:tabs>
                <w:tab w:val="left" w:pos="-720"/>
              </w:tabs>
              <w:suppressAutoHyphens/>
              <w:ind w:left="567" w:hanging="567"/>
              <w:rPr>
                <w:szCs w:val="22"/>
                <w:lang w:eastAsia="de-DE"/>
              </w:rPr>
            </w:pPr>
            <w:proofErr w:type="spellStart"/>
            <w:r w:rsidRPr="005B2844">
              <w:rPr>
                <w:szCs w:val="22"/>
                <w:lang w:eastAsia="de-DE"/>
              </w:rPr>
              <w:t>organizačná</w:t>
            </w:r>
            <w:proofErr w:type="spellEnd"/>
            <w:r w:rsidRPr="005B2844">
              <w:rPr>
                <w:szCs w:val="22"/>
                <w:lang w:eastAsia="de-DE"/>
              </w:rPr>
              <w:t xml:space="preserve"> </w:t>
            </w:r>
            <w:proofErr w:type="spellStart"/>
            <w:r w:rsidRPr="005B2844">
              <w:rPr>
                <w:szCs w:val="22"/>
                <w:lang w:eastAsia="de-DE"/>
              </w:rPr>
              <w:t>zložka</w:t>
            </w:r>
            <w:proofErr w:type="spellEnd"/>
          </w:p>
          <w:p w:rsidR="00F72DE3" w:rsidRPr="005B2844" w:rsidRDefault="00F72DE3" w:rsidP="00D67C49">
            <w:pPr>
              <w:keepNext/>
              <w:keepLines/>
              <w:tabs>
                <w:tab w:val="left" w:pos="-720"/>
              </w:tabs>
              <w:suppressAutoHyphens/>
              <w:ind w:left="567" w:hanging="567"/>
              <w:rPr>
                <w:szCs w:val="22"/>
                <w:lang w:eastAsia="de-DE"/>
              </w:rPr>
            </w:pPr>
            <w:r w:rsidRPr="005B2844">
              <w:rPr>
                <w:szCs w:val="22"/>
                <w:lang w:eastAsia="de-DE"/>
              </w:rPr>
              <w:t>Tel: +421 2 5810 1211</w:t>
            </w:r>
          </w:p>
          <w:p w:rsidR="00F72DE3" w:rsidRPr="005B2844" w:rsidRDefault="00F72DE3" w:rsidP="00D67C49">
            <w:pPr>
              <w:keepNext/>
              <w:keepLines/>
              <w:tabs>
                <w:tab w:val="left" w:pos="-720"/>
              </w:tabs>
              <w:suppressAutoHyphens/>
              <w:ind w:left="567" w:hanging="567"/>
              <w:rPr>
                <w:b/>
                <w:noProof/>
                <w:szCs w:val="22"/>
              </w:rPr>
            </w:pPr>
          </w:p>
        </w:tc>
      </w:tr>
      <w:tr w:rsidR="00F72DE3" w:rsidRPr="005B2844" w:rsidTr="009536AB">
        <w:tc>
          <w:tcPr>
            <w:tcW w:w="4678" w:type="dxa"/>
            <w:gridSpan w:val="2"/>
          </w:tcPr>
          <w:p w:rsidR="00F72DE3" w:rsidRPr="005B2844" w:rsidRDefault="00F72DE3" w:rsidP="009536AB">
            <w:pPr>
              <w:ind w:left="567" w:hanging="567"/>
              <w:rPr>
                <w:noProof/>
                <w:szCs w:val="22"/>
              </w:rPr>
            </w:pPr>
            <w:r w:rsidRPr="005B2844">
              <w:rPr>
                <w:b/>
                <w:noProof/>
                <w:szCs w:val="22"/>
              </w:rPr>
              <w:t>Italia</w:t>
            </w:r>
          </w:p>
          <w:p w:rsidR="00F72DE3" w:rsidRPr="005B2844" w:rsidRDefault="00F72DE3"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Italia S.p.A.</w:t>
            </w:r>
          </w:p>
          <w:p w:rsidR="00F72DE3" w:rsidRPr="005B2844" w:rsidRDefault="00F72DE3" w:rsidP="009536AB">
            <w:pPr>
              <w:ind w:left="567" w:hanging="567"/>
              <w:rPr>
                <w:szCs w:val="22"/>
                <w:lang w:eastAsia="ja-JP"/>
              </w:rPr>
            </w:pPr>
            <w:r w:rsidRPr="005B2844">
              <w:rPr>
                <w:szCs w:val="22"/>
                <w:lang w:eastAsia="ja-JP"/>
              </w:rPr>
              <w:t>Tel: +39 02 5355 1</w:t>
            </w:r>
          </w:p>
          <w:p w:rsidR="00F72DE3" w:rsidRPr="005B2844" w:rsidRDefault="00F72DE3" w:rsidP="009536AB">
            <w:pPr>
              <w:ind w:left="567" w:hanging="567"/>
              <w:rPr>
                <w:b/>
                <w:noProof/>
                <w:szCs w:val="22"/>
              </w:rPr>
            </w:pPr>
          </w:p>
        </w:tc>
        <w:tc>
          <w:tcPr>
            <w:tcW w:w="4678" w:type="dxa"/>
            <w:gridSpan w:val="2"/>
          </w:tcPr>
          <w:p w:rsidR="00F72DE3" w:rsidRPr="005B2844" w:rsidRDefault="00F72DE3" w:rsidP="009536AB">
            <w:pPr>
              <w:tabs>
                <w:tab w:val="left" w:pos="-720"/>
                <w:tab w:val="left" w:pos="4536"/>
              </w:tabs>
              <w:suppressAutoHyphens/>
              <w:ind w:left="567" w:hanging="567"/>
              <w:rPr>
                <w:noProof/>
                <w:szCs w:val="22"/>
              </w:rPr>
            </w:pPr>
            <w:r w:rsidRPr="005B2844">
              <w:rPr>
                <w:b/>
                <w:noProof/>
                <w:szCs w:val="22"/>
              </w:rPr>
              <w:t>Suomi/Finland</w:t>
            </w:r>
          </w:p>
          <w:p w:rsidR="00F72DE3" w:rsidRPr="005B2844" w:rsidRDefault="00F72DE3" w:rsidP="009536AB">
            <w:pPr>
              <w:tabs>
                <w:tab w:val="left" w:pos="-720"/>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Finland </w:t>
            </w:r>
            <w:proofErr w:type="spellStart"/>
            <w:r w:rsidRPr="005B2844">
              <w:rPr>
                <w:szCs w:val="22"/>
                <w:lang w:eastAsia="ja-JP"/>
              </w:rPr>
              <w:t>Ky</w:t>
            </w:r>
            <w:proofErr w:type="spellEnd"/>
          </w:p>
          <w:p w:rsidR="00F72DE3" w:rsidRPr="005B2844" w:rsidRDefault="00F72DE3" w:rsidP="009536AB">
            <w:pPr>
              <w:tabs>
                <w:tab w:val="left" w:pos="-720"/>
              </w:tabs>
              <w:suppressAutoHyphens/>
              <w:ind w:left="567" w:hanging="567"/>
              <w:jc w:val="both"/>
              <w:rPr>
                <w:noProof/>
                <w:szCs w:val="22"/>
              </w:rPr>
            </w:pPr>
            <w:r w:rsidRPr="005B2844">
              <w:rPr>
                <w:szCs w:val="22"/>
                <w:lang w:eastAsia="ja-JP"/>
              </w:rPr>
              <w:t>Puh/Tel: +358 10 3102 800</w:t>
            </w:r>
          </w:p>
          <w:p w:rsidR="00F72DE3" w:rsidRPr="005B2844" w:rsidRDefault="00F72DE3" w:rsidP="009536AB">
            <w:pPr>
              <w:tabs>
                <w:tab w:val="left" w:pos="-720"/>
              </w:tabs>
              <w:suppressAutoHyphens/>
              <w:ind w:left="567" w:hanging="567"/>
              <w:rPr>
                <w:noProof/>
                <w:szCs w:val="22"/>
              </w:rPr>
            </w:pPr>
          </w:p>
        </w:tc>
      </w:tr>
      <w:tr w:rsidR="00FC5178" w:rsidRPr="005B2844" w:rsidTr="009536AB">
        <w:tc>
          <w:tcPr>
            <w:tcW w:w="4678" w:type="dxa"/>
            <w:gridSpan w:val="2"/>
          </w:tcPr>
          <w:p w:rsidR="00FC5178" w:rsidRPr="005B2844" w:rsidRDefault="00FC5178" w:rsidP="009536AB">
            <w:pPr>
              <w:ind w:left="567" w:hanging="567"/>
              <w:rPr>
                <w:b/>
                <w:noProof/>
                <w:szCs w:val="22"/>
              </w:rPr>
            </w:pPr>
            <w:r w:rsidRPr="005B2844">
              <w:rPr>
                <w:b/>
                <w:noProof/>
                <w:szCs w:val="22"/>
              </w:rPr>
              <w:t>Κύπρος</w:t>
            </w:r>
          </w:p>
          <w:p w:rsidR="00FC5178" w:rsidRPr="005B2844" w:rsidRDefault="00FC5178"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proofErr w:type="spellStart"/>
            <w:r w:rsidRPr="005B2844">
              <w:rPr>
                <w:szCs w:val="22"/>
                <w:lang w:eastAsia="ja-JP"/>
              </w:rPr>
              <w:t>Ellas</w:t>
            </w:r>
            <w:proofErr w:type="spellEnd"/>
            <w:r w:rsidRPr="005B2844">
              <w:rPr>
                <w:szCs w:val="22"/>
                <w:lang w:eastAsia="ja-JP"/>
              </w:rPr>
              <w:t xml:space="preserve"> A.E.</w:t>
            </w:r>
          </w:p>
          <w:p w:rsidR="00FC5178" w:rsidRPr="005B2844" w:rsidRDefault="00FC5178" w:rsidP="009536AB">
            <w:pPr>
              <w:ind w:left="567" w:hanging="567"/>
              <w:rPr>
                <w:szCs w:val="22"/>
                <w:lang w:eastAsia="ja-JP"/>
              </w:rPr>
            </w:pPr>
            <w:proofErr w:type="spellStart"/>
            <w:r w:rsidRPr="005B2844">
              <w:rPr>
                <w:szCs w:val="22"/>
                <w:lang w:eastAsia="ja-JP"/>
              </w:rPr>
              <w:t>Tηλ</w:t>
            </w:r>
            <w:proofErr w:type="spellEnd"/>
            <w:r w:rsidRPr="005B2844">
              <w:rPr>
                <w:szCs w:val="22"/>
                <w:lang w:eastAsia="ja-JP"/>
              </w:rPr>
              <w:t>: +30 2 10 89 06 300</w:t>
            </w:r>
          </w:p>
          <w:p w:rsidR="002D0004" w:rsidRPr="005B2844" w:rsidRDefault="002D0004" w:rsidP="009536AB">
            <w:pPr>
              <w:ind w:left="567" w:hanging="567"/>
              <w:rPr>
                <w:b/>
                <w:noProof/>
                <w:szCs w:val="22"/>
              </w:rPr>
            </w:pPr>
          </w:p>
        </w:tc>
        <w:tc>
          <w:tcPr>
            <w:tcW w:w="4678" w:type="dxa"/>
            <w:gridSpan w:val="2"/>
          </w:tcPr>
          <w:p w:rsidR="00FC5178" w:rsidRPr="005B2844" w:rsidRDefault="00FC5178" w:rsidP="009536AB">
            <w:pPr>
              <w:tabs>
                <w:tab w:val="left" w:pos="-720"/>
                <w:tab w:val="left" w:pos="4536"/>
              </w:tabs>
              <w:suppressAutoHyphens/>
              <w:ind w:left="567" w:hanging="567"/>
              <w:rPr>
                <w:b/>
                <w:noProof/>
                <w:szCs w:val="22"/>
              </w:rPr>
            </w:pPr>
            <w:r w:rsidRPr="005B2844">
              <w:rPr>
                <w:b/>
                <w:noProof/>
                <w:szCs w:val="22"/>
              </w:rPr>
              <w:t>Sverige</w:t>
            </w:r>
          </w:p>
          <w:p w:rsidR="00FC5178" w:rsidRPr="005B2844" w:rsidRDefault="00FC5178" w:rsidP="009536AB">
            <w:pPr>
              <w:tabs>
                <w:tab w:val="left" w:pos="-720"/>
                <w:tab w:val="left" w:pos="4536"/>
              </w:tabs>
              <w:suppressAutoHyphens/>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AB</w:t>
            </w:r>
          </w:p>
          <w:p w:rsidR="00FC5178" w:rsidRPr="005B2844" w:rsidRDefault="00FC5178" w:rsidP="009536AB">
            <w:pPr>
              <w:tabs>
                <w:tab w:val="left" w:pos="-720"/>
                <w:tab w:val="left" w:pos="4536"/>
              </w:tabs>
              <w:suppressAutoHyphens/>
              <w:ind w:left="567" w:hanging="567"/>
              <w:rPr>
                <w:szCs w:val="22"/>
                <w:lang w:eastAsia="ja-JP"/>
              </w:rPr>
            </w:pPr>
            <w:r w:rsidRPr="005B2844">
              <w:rPr>
                <w:szCs w:val="22"/>
                <w:lang w:eastAsia="ja-JP"/>
              </w:rPr>
              <w:t>Tel: +46 8 721 21 00</w:t>
            </w:r>
          </w:p>
          <w:p w:rsidR="00FC5178" w:rsidRPr="005B2844" w:rsidRDefault="00FC5178" w:rsidP="009536AB">
            <w:pPr>
              <w:tabs>
                <w:tab w:val="left" w:pos="-720"/>
                <w:tab w:val="left" w:pos="4536"/>
              </w:tabs>
              <w:suppressAutoHyphens/>
              <w:ind w:left="567" w:hanging="567"/>
              <w:rPr>
                <w:b/>
                <w:noProof/>
                <w:szCs w:val="22"/>
              </w:rPr>
            </w:pPr>
          </w:p>
        </w:tc>
      </w:tr>
      <w:tr w:rsidR="00FC5178" w:rsidRPr="005B2844" w:rsidTr="009536AB">
        <w:tc>
          <w:tcPr>
            <w:tcW w:w="4678" w:type="dxa"/>
            <w:gridSpan w:val="2"/>
          </w:tcPr>
          <w:p w:rsidR="00FC5178" w:rsidRPr="005B2844" w:rsidRDefault="00FC5178" w:rsidP="009536AB">
            <w:pPr>
              <w:ind w:left="567" w:hanging="567"/>
              <w:rPr>
                <w:b/>
                <w:noProof/>
                <w:szCs w:val="22"/>
              </w:rPr>
            </w:pPr>
            <w:r w:rsidRPr="005B2844">
              <w:rPr>
                <w:b/>
                <w:noProof/>
                <w:szCs w:val="22"/>
              </w:rPr>
              <w:t>Latvija</w:t>
            </w:r>
          </w:p>
          <w:p w:rsidR="00FC5178" w:rsidRPr="005B2844" w:rsidRDefault="00FC5178" w:rsidP="00C576B0">
            <w:pPr>
              <w:tabs>
                <w:tab w:val="left" w:pos="-720"/>
              </w:tabs>
              <w:suppressAutoHyphens/>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w:t>
            </w:r>
            <w:r w:rsidR="00C576B0" w:rsidRPr="005B2844">
              <w:rPr>
                <w:szCs w:val="22"/>
              </w:rPr>
              <w:t>RCV GmbH &amp; Co KG</w:t>
            </w:r>
          </w:p>
          <w:p w:rsidR="00FC5178" w:rsidRPr="005B2844" w:rsidRDefault="00C576B0" w:rsidP="009536AB">
            <w:pPr>
              <w:tabs>
                <w:tab w:val="left" w:pos="-720"/>
              </w:tabs>
              <w:suppressAutoHyphens/>
              <w:ind w:left="567" w:hanging="567"/>
              <w:rPr>
                <w:szCs w:val="22"/>
                <w:lang w:eastAsia="ja-JP"/>
              </w:rPr>
            </w:pPr>
            <w:proofErr w:type="spellStart"/>
            <w:r w:rsidRPr="005B2844">
              <w:rPr>
                <w:szCs w:val="22"/>
              </w:rPr>
              <w:t>Latvijas</w:t>
            </w:r>
            <w:proofErr w:type="spellEnd"/>
            <w:r w:rsidRPr="005B2844">
              <w:rPr>
                <w:szCs w:val="22"/>
              </w:rPr>
              <w:t xml:space="preserve"> </w:t>
            </w:r>
            <w:proofErr w:type="spellStart"/>
            <w:r w:rsidRPr="005B2844">
              <w:rPr>
                <w:szCs w:val="22"/>
              </w:rPr>
              <w:t>filiāle</w:t>
            </w:r>
            <w:proofErr w:type="spellEnd"/>
          </w:p>
          <w:p w:rsidR="00FC5178" w:rsidRPr="005B2844" w:rsidRDefault="00FC5178" w:rsidP="009536AB">
            <w:pPr>
              <w:tabs>
                <w:tab w:val="left" w:pos="-720"/>
              </w:tabs>
              <w:suppressAutoHyphens/>
              <w:ind w:left="567" w:hanging="567"/>
              <w:rPr>
                <w:noProof/>
                <w:szCs w:val="22"/>
              </w:rPr>
            </w:pPr>
            <w:r w:rsidRPr="005B2844">
              <w:rPr>
                <w:szCs w:val="22"/>
                <w:lang w:eastAsia="ja-JP"/>
              </w:rPr>
              <w:t xml:space="preserve">Tel: +371 </w:t>
            </w:r>
            <w:r w:rsidR="00C05561" w:rsidRPr="005B2844">
              <w:rPr>
                <w:szCs w:val="22"/>
                <w:lang w:eastAsia="ja-JP"/>
              </w:rPr>
              <w:t>6</w:t>
            </w:r>
            <w:r w:rsidRPr="005B2844">
              <w:rPr>
                <w:szCs w:val="22"/>
                <w:lang w:eastAsia="ja-JP"/>
              </w:rPr>
              <w:t>7 240 0</w:t>
            </w:r>
            <w:r w:rsidR="00C576B0" w:rsidRPr="005B2844">
              <w:rPr>
                <w:szCs w:val="22"/>
                <w:lang w:eastAsia="ja-JP"/>
              </w:rPr>
              <w:t>11</w:t>
            </w:r>
          </w:p>
          <w:p w:rsidR="00FC5178" w:rsidRPr="005B2844" w:rsidRDefault="00FC5178" w:rsidP="009536AB">
            <w:pPr>
              <w:tabs>
                <w:tab w:val="left" w:pos="-720"/>
              </w:tabs>
              <w:suppressAutoHyphens/>
              <w:ind w:left="567" w:hanging="567"/>
              <w:rPr>
                <w:noProof/>
                <w:szCs w:val="22"/>
              </w:rPr>
            </w:pPr>
          </w:p>
        </w:tc>
        <w:tc>
          <w:tcPr>
            <w:tcW w:w="4678" w:type="dxa"/>
            <w:gridSpan w:val="2"/>
          </w:tcPr>
          <w:p w:rsidR="00FC5178" w:rsidRPr="005B2844" w:rsidRDefault="00FC5178" w:rsidP="009536AB">
            <w:pPr>
              <w:tabs>
                <w:tab w:val="left" w:pos="-720"/>
                <w:tab w:val="left" w:pos="4536"/>
              </w:tabs>
              <w:suppressAutoHyphens/>
              <w:ind w:left="567" w:hanging="567"/>
              <w:rPr>
                <w:b/>
                <w:noProof/>
                <w:szCs w:val="22"/>
              </w:rPr>
            </w:pPr>
            <w:r w:rsidRPr="005B2844">
              <w:rPr>
                <w:b/>
                <w:noProof/>
                <w:szCs w:val="22"/>
              </w:rPr>
              <w:t>United Kingdom</w:t>
            </w:r>
          </w:p>
          <w:p w:rsidR="00FC5178" w:rsidRPr="005B2844" w:rsidRDefault="00FC5178" w:rsidP="009536AB">
            <w:pPr>
              <w:ind w:left="567" w:hanging="567"/>
              <w:rPr>
                <w:szCs w:val="22"/>
                <w:lang w:eastAsia="ja-JP"/>
              </w:rPr>
            </w:pPr>
            <w:r w:rsidRPr="005B2844">
              <w:rPr>
                <w:szCs w:val="22"/>
                <w:lang w:eastAsia="ja-JP"/>
              </w:rPr>
              <w:t xml:space="preserve">Boehringer </w:t>
            </w:r>
            <w:proofErr w:type="spellStart"/>
            <w:r w:rsidRPr="005B2844">
              <w:rPr>
                <w:szCs w:val="22"/>
                <w:lang w:eastAsia="ja-JP"/>
              </w:rPr>
              <w:t>Ingelheim</w:t>
            </w:r>
            <w:proofErr w:type="spellEnd"/>
            <w:r w:rsidRPr="005B2844">
              <w:rPr>
                <w:szCs w:val="22"/>
                <w:lang w:eastAsia="ja-JP"/>
              </w:rPr>
              <w:t xml:space="preserve"> Ltd.</w:t>
            </w:r>
          </w:p>
          <w:p w:rsidR="00FC5178" w:rsidRPr="005B2844" w:rsidRDefault="00FC5178" w:rsidP="009536AB">
            <w:pPr>
              <w:ind w:left="567" w:hanging="567"/>
              <w:rPr>
                <w:szCs w:val="22"/>
                <w:lang w:eastAsia="ja-JP"/>
              </w:rPr>
            </w:pPr>
            <w:r w:rsidRPr="005B2844">
              <w:rPr>
                <w:szCs w:val="22"/>
                <w:lang w:eastAsia="ja-JP"/>
              </w:rPr>
              <w:t>Tel: +44 1344 424 600</w:t>
            </w:r>
          </w:p>
          <w:p w:rsidR="002D0004" w:rsidRPr="005B2844" w:rsidRDefault="002D0004" w:rsidP="009536AB">
            <w:pPr>
              <w:ind w:left="567" w:hanging="567"/>
              <w:rPr>
                <w:noProof/>
                <w:szCs w:val="22"/>
              </w:rPr>
            </w:pPr>
          </w:p>
        </w:tc>
      </w:tr>
    </w:tbl>
    <w:p w:rsidR="00FC5178" w:rsidRPr="005B2844" w:rsidRDefault="00FC5178" w:rsidP="0072602F">
      <w:pPr>
        <w:tabs>
          <w:tab w:val="left" w:pos="567"/>
        </w:tabs>
        <w:rPr>
          <w:b/>
          <w:szCs w:val="22"/>
        </w:rPr>
      </w:pPr>
      <w:r w:rsidRPr="005B2844">
        <w:rPr>
          <w:b/>
          <w:szCs w:val="22"/>
        </w:rPr>
        <w:t xml:space="preserve">Questo foglio illustrativo è stato </w:t>
      </w:r>
      <w:r w:rsidR="00C576B0" w:rsidRPr="005B2844">
        <w:rPr>
          <w:b/>
          <w:szCs w:val="22"/>
        </w:rPr>
        <w:t>aggiornato</w:t>
      </w:r>
      <w:r w:rsidRPr="005B2844">
        <w:rPr>
          <w:b/>
          <w:szCs w:val="22"/>
        </w:rPr>
        <w:t xml:space="preserve"> il</w:t>
      </w:r>
    </w:p>
    <w:p w:rsidR="00FC5178" w:rsidRPr="005B2844" w:rsidRDefault="00FC5178" w:rsidP="0072602F">
      <w:pPr>
        <w:tabs>
          <w:tab w:val="left" w:pos="567"/>
        </w:tabs>
        <w:rPr>
          <w:b/>
          <w:szCs w:val="22"/>
        </w:rPr>
      </w:pPr>
    </w:p>
    <w:p w:rsidR="005F796E" w:rsidRPr="005B2844" w:rsidRDefault="00D01EC3" w:rsidP="0072602F">
      <w:pPr>
        <w:tabs>
          <w:tab w:val="left" w:pos="567"/>
        </w:tabs>
        <w:rPr>
          <w:b/>
          <w:szCs w:val="22"/>
        </w:rPr>
      </w:pPr>
      <w:r w:rsidRPr="005B2844">
        <w:rPr>
          <w:b/>
          <w:szCs w:val="22"/>
        </w:rPr>
        <w:t>Altre fonti d’</w:t>
      </w:r>
      <w:r w:rsidR="005F796E" w:rsidRPr="005B2844">
        <w:rPr>
          <w:b/>
          <w:szCs w:val="22"/>
        </w:rPr>
        <w:t>informazioni</w:t>
      </w:r>
    </w:p>
    <w:p w:rsidR="00FC5178" w:rsidRPr="005B2844" w:rsidRDefault="00FC5178" w:rsidP="0072602F">
      <w:pPr>
        <w:rPr>
          <w:szCs w:val="22"/>
        </w:rPr>
      </w:pPr>
      <w:r w:rsidRPr="005B2844">
        <w:rPr>
          <w:noProof/>
          <w:szCs w:val="22"/>
        </w:rPr>
        <w:t>Informazioni più dettagliate su questo medicinale sono disponibili sul sito web dell</w:t>
      </w:r>
      <w:r w:rsidR="0009078D" w:rsidRPr="005B2844">
        <w:rPr>
          <w:noProof/>
          <w:szCs w:val="22"/>
        </w:rPr>
        <w:t>’</w:t>
      </w:r>
      <w:r w:rsidRPr="005B2844">
        <w:rPr>
          <w:noProof/>
          <w:szCs w:val="22"/>
        </w:rPr>
        <w:t xml:space="preserve">Agenzia </w:t>
      </w:r>
      <w:r w:rsidR="00180EA4" w:rsidRPr="005B2844">
        <w:rPr>
          <w:noProof/>
          <w:szCs w:val="22"/>
        </w:rPr>
        <w:t>e</w:t>
      </w:r>
      <w:r w:rsidRPr="005B2844">
        <w:rPr>
          <w:noProof/>
          <w:szCs w:val="22"/>
        </w:rPr>
        <w:t xml:space="preserve">uropea dei </w:t>
      </w:r>
      <w:r w:rsidR="00180EA4" w:rsidRPr="005B2844">
        <w:rPr>
          <w:noProof/>
          <w:szCs w:val="22"/>
        </w:rPr>
        <w:t>m</w:t>
      </w:r>
      <w:r w:rsidRPr="005B2844">
        <w:rPr>
          <w:noProof/>
          <w:szCs w:val="22"/>
        </w:rPr>
        <w:t>edicinali</w:t>
      </w:r>
      <w:r w:rsidR="005F796E" w:rsidRPr="005B2844">
        <w:rPr>
          <w:noProof/>
          <w:szCs w:val="22"/>
        </w:rPr>
        <w:t>,</w:t>
      </w:r>
      <w:r w:rsidRPr="005B2844">
        <w:rPr>
          <w:noProof/>
          <w:szCs w:val="22"/>
        </w:rPr>
        <w:t xml:space="preserve"> </w:t>
      </w:r>
      <w:hyperlink r:id="rId19" w:history="1">
        <w:r w:rsidRPr="005B2844">
          <w:rPr>
            <w:rStyle w:val="Hyperlink"/>
            <w:noProof/>
            <w:szCs w:val="22"/>
          </w:rPr>
          <w:t>http://www.ema.</w:t>
        </w:r>
        <w:r w:rsidRPr="005B2844">
          <w:rPr>
            <w:rStyle w:val="Hyperlink"/>
            <w:noProof/>
            <w:szCs w:val="22"/>
          </w:rPr>
          <w:t>e</w:t>
        </w:r>
        <w:r w:rsidRPr="005B2844">
          <w:rPr>
            <w:rStyle w:val="Hyperlink"/>
            <w:noProof/>
            <w:szCs w:val="22"/>
          </w:rPr>
          <w:t>uropa.eu</w:t>
        </w:r>
      </w:hyperlink>
      <w:r w:rsidRPr="005B2844">
        <w:rPr>
          <w:noProof/>
          <w:color w:val="0000FF"/>
          <w:szCs w:val="22"/>
        </w:rPr>
        <w:t>.</w:t>
      </w:r>
    </w:p>
    <w:p w:rsidR="00FC5178" w:rsidRPr="005B2844" w:rsidRDefault="00FC5178" w:rsidP="0072602F">
      <w:pPr>
        <w:rPr>
          <w:szCs w:val="22"/>
        </w:rPr>
      </w:pPr>
    </w:p>
    <w:sectPr w:rsidR="00FC5178" w:rsidRPr="005B2844" w:rsidSect="003E55FB">
      <w:footerReference w:type="default" r:id="rId20"/>
      <w:pgSz w:w="11906" w:h="16838"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A81" w:rsidRDefault="00210A81">
      <w:r>
        <w:separator/>
      </w:r>
    </w:p>
  </w:endnote>
  <w:endnote w:type="continuationSeparator" w:id="0">
    <w:p w:rsidR="00210A81" w:rsidRDefault="0021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G Times 12p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wiss">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99F" w:rsidRPr="00E42D4E" w:rsidRDefault="00F0099F" w:rsidP="00E42D4E">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18018D">
      <w:rPr>
        <w:rStyle w:val="PageNumber"/>
        <w:rFonts w:ascii="Arial" w:hAnsi="Arial" w:cs="Arial"/>
        <w:noProof/>
        <w:sz w:val="16"/>
      </w:rPr>
      <w:t>7</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A81" w:rsidRDefault="00210A81">
      <w:r>
        <w:rPr>
          <w:rFonts w:ascii="Courier" w:hAnsi="Courier"/>
        </w:rPr>
        <w:separator/>
      </w:r>
    </w:p>
  </w:footnote>
  <w:footnote w:type="continuationSeparator" w:id="0">
    <w:p w:rsidR="00210A81" w:rsidRDefault="00210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E696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6646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C65F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B0C6E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648C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5AD0D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6E16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BA77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D7E57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5FB0F72"/>
    <w:multiLevelType w:val="hybridMultilevel"/>
    <w:tmpl w:val="52560B84"/>
    <w:lvl w:ilvl="0" w:tplc="EC8EBE0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227B7F"/>
    <w:multiLevelType w:val="hybridMultilevel"/>
    <w:tmpl w:val="34B6A842"/>
    <w:lvl w:ilvl="0" w:tplc="5CEE879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D8736E"/>
    <w:multiLevelType w:val="hybridMultilevel"/>
    <w:tmpl w:val="3606E442"/>
    <w:lvl w:ilvl="0" w:tplc="EC8EBE0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EC6CB5"/>
    <w:multiLevelType w:val="multilevel"/>
    <w:tmpl w:val="52C83ADE"/>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8802A66"/>
    <w:multiLevelType w:val="singleLevel"/>
    <w:tmpl w:val="2A44F0B6"/>
    <w:lvl w:ilvl="0">
      <w:start w:val="1"/>
      <w:numFmt w:val="bullet"/>
      <w:lvlText w:val=""/>
      <w:lvlJc w:val="left"/>
      <w:pPr>
        <w:tabs>
          <w:tab w:val="num" w:pos="567"/>
        </w:tabs>
        <w:ind w:left="567" w:hanging="567"/>
      </w:pPr>
      <w:rPr>
        <w:rFonts w:ascii="Symbol" w:hAnsi="Symbol" w:hint="default"/>
      </w:rPr>
    </w:lvl>
  </w:abstractNum>
  <w:abstractNum w:abstractNumId="18" w15:restartNumberingAfterBreak="0">
    <w:nsid w:val="191E511F"/>
    <w:multiLevelType w:val="singleLevel"/>
    <w:tmpl w:val="8AC644BA"/>
    <w:lvl w:ilvl="0">
      <w:start w:val="1"/>
      <w:numFmt w:val="decimal"/>
      <w:lvlText w:val="%1."/>
      <w:lvlJc w:val="left"/>
      <w:pPr>
        <w:tabs>
          <w:tab w:val="num" w:pos="570"/>
        </w:tabs>
        <w:ind w:left="570" w:hanging="570"/>
      </w:pPr>
      <w:rPr>
        <w:rFonts w:hint="default"/>
      </w:rPr>
    </w:lvl>
  </w:abstractNum>
  <w:abstractNum w:abstractNumId="19" w15:restartNumberingAfterBreak="0">
    <w:nsid w:val="1BC63346"/>
    <w:multiLevelType w:val="hybridMultilevel"/>
    <w:tmpl w:val="CFDA7498"/>
    <w:lvl w:ilvl="0" w:tplc="C2FCB1C8">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9C513A"/>
    <w:multiLevelType w:val="multilevel"/>
    <w:tmpl w:val="D7AA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576CC0"/>
    <w:multiLevelType w:val="multilevel"/>
    <w:tmpl w:val="B79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CF1E0B"/>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E90298"/>
    <w:multiLevelType w:val="singleLevel"/>
    <w:tmpl w:val="8AC644BA"/>
    <w:lvl w:ilvl="0">
      <w:start w:val="1"/>
      <w:numFmt w:val="decimal"/>
      <w:lvlText w:val="%1."/>
      <w:lvlJc w:val="left"/>
      <w:pPr>
        <w:tabs>
          <w:tab w:val="num" w:pos="570"/>
        </w:tabs>
        <w:ind w:left="570" w:hanging="570"/>
      </w:pPr>
      <w:rPr>
        <w:rFonts w:hint="default"/>
      </w:rPr>
    </w:lvl>
  </w:abstractNum>
  <w:abstractNum w:abstractNumId="24" w15:restartNumberingAfterBreak="0">
    <w:nsid w:val="2DF6779B"/>
    <w:multiLevelType w:val="multilevel"/>
    <w:tmpl w:val="89F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7E616A"/>
    <w:multiLevelType w:val="hybridMultilevel"/>
    <w:tmpl w:val="5F5CE9CE"/>
    <w:lvl w:ilvl="0" w:tplc="0410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7" w15:restartNumberingAfterBreak="0">
    <w:nsid w:val="43CF1D70"/>
    <w:multiLevelType w:val="singleLevel"/>
    <w:tmpl w:val="925A3094"/>
    <w:lvl w:ilvl="0">
      <w:start w:val="1"/>
      <w:numFmt w:val="bullet"/>
      <w:lvlText w:val=""/>
      <w:lvlJc w:val="left"/>
      <w:pPr>
        <w:tabs>
          <w:tab w:val="num" w:pos="1588"/>
        </w:tabs>
        <w:ind w:left="1588" w:hanging="1588"/>
      </w:pPr>
      <w:rPr>
        <w:rFonts w:ascii="Symbol" w:hAnsi="Symbol" w:hint="default"/>
      </w:rPr>
    </w:lvl>
  </w:abstractNum>
  <w:abstractNum w:abstractNumId="28" w15:restartNumberingAfterBreak="0">
    <w:nsid w:val="50226FBA"/>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677716"/>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5463572"/>
    <w:multiLevelType w:val="hybridMultilevel"/>
    <w:tmpl w:val="2F122D30"/>
    <w:lvl w:ilvl="0" w:tplc="EC8EBE0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1E6765"/>
    <w:multiLevelType w:val="multilevel"/>
    <w:tmpl w:val="D1D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B605F"/>
    <w:multiLevelType w:val="singleLevel"/>
    <w:tmpl w:val="F38859E8"/>
    <w:lvl w:ilvl="0">
      <w:start w:val="1"/>
      <w:numFmt w:val="upperLetter"/>
      <w:pStyle w:val="Heading8"/>
      <w:lvlText w:val="%1."/>
      <w:lvlJc w:val="left"/>
      <w:pPr>
        <w:tabs>
          <w:tab w:val="num" w:pos="360"/>
        </w:tabs>
        <w:ind w:left="360" w:hanging="360"/>
      </w:pPr>
      <w:rPr>
        <w:rFonts w:hint="default"/>
      </w:rPr>
    </w:lvl>
  </w:abstractNum>
  <w:abstractNum w:abstractNumId="33" w15:restartNumberingAfterBreak="0">
    <w:nsid w:val="7978358F"/>
    <w:multiLevelType w:val="multilevel"/>
    <w:tmpl w:val="E73C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5" w15:restartNumberingAfterBreak="0">
    <w:nsid w:val="7C4816C4"/>
    <w:multiLevelType w:val="hybridMultilevel"/>
    <w:tmpl w:val="5E1CB0B8"/>
    <w:lvl w:ilvl="0" w:tplc="FE0A79D4">
      <w:start w:val="1"/>
      <w:numFmt w:val="lowerLetter"/>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7" w15:restartNumberingAfterBreak="0">
    <w:nsid w:val="7CBC7FF8"/>
    <w:multiLevelType w:val="multilevel"/>
    <w:tmpl w:val="1F5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715829"/>
    <w:multiLevelType w:val="multilevel"/>
    <w:tmpl w:val="DFA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7"/>
  </w:num>
  <w:num w:numId="3">
    <w:abstractNumId w:val="32"/>
  </w:num>
  <w:num w:numId="4">
    <w:abstractNumId w:val="17"/>
  </w:num>
  <w:num w:numId="5">
    <w:abstractNumId w:val="28"/>
  </w:num>
  <w:num w:numId="6">
    <w:abstractNumId w:val="18"/>
  </w:num>
  <w:num w:numId="7">
    <w:abstractNumId w:val="23"/>
  </w:num>
  <w:num w:numId="8">
    <w:abstractNumId w:val="22"/>
  </w:num>
  <w:num w:numId="9">
    <w:abstractNumId w:val="29"/>
  </w:num>
  <w:num w:numId="10">
    <w:abstractNumId w:val="11"/>
  </w:num>
  <w:num w:numId="11">
    <w:abstractNumId w:val="10"/>
    <w:lvlOverride w:ilvl="0">
      <w:lvl w:ilvl="0">
        <w:start w:val="1"/>
        <w:numFmt w:val="bullet"/>
        <w:lvlText w:val=""/>
        <w:lvlJc w:val="left"/>
        <w:pPr>
          <w:ind w:left="360" w:hanging="360"/>
        </w:pPr>
        <w:rPr>
          <w:rFonts w:ascii="Symbol" w:hAnsi="Symbol" w:hint="default"/>
        </w:rPr>
      </w:lvl>
    </w:lvlOverride>
  </w:num>
  <w:num w:numId="12">
    <w:abstractNumId w:val="19"/>
  </w:num>
  <w:num w:numId="13">
    <w:abstractNumId w:val="25"/>
  </w:num>
  <w:num w:numId="14">
    <w:abstractNumId w:val="13"/>
  </w:num>
  <w:num w:numId="15">
    <w:abstractNumId w:val="35"/>
  </w:num>
  <w:num w:numId="16">
    <w:abstractNumId w:val="16"/>
  </w:num>
  <w:num w:numId="17">
    <w:abstractNumId w:val="12"/>
  </w:num>
  <w:num w:numId="18">
    <w:abstractNumId w:val="14"/>
  </w:num>
  <w:num w:numId="19">
    <w:abstractNumId w:val="30"/>
  </w:num>
  <w:num w:numId="20">
    <w:abstractNumId w:val="15"/>
  </w:num>
  <w:num w:numId="21">
    <w:abstractNumId w:val="26"/>
  </w:num>
  <w:num w:numId="22">
    <w:abstractNumId w:val="39"/>
  </w:num>
  <w:num w:numId="23">
    <w:abstractNumId w:val="36"/>
  </w:num>
  <w:num w:numId="24">
    <w:abstractNumId w:val="33"/>
  </w:num>
  <w:num w:numId="25">
    <w:abstractNumId w:val="31"/>
  </w:num>
  <w:num w:numId="26">
    <w:abstractNumId w:val="37"/>
  </w:num>
  <w:num w:numId="27">
    <w:abstractNumId w:val="21"/>
  </w:num>
  <w:num w:numId="28">
    <w:abstractNumId w:val="38"/>
  </w:num>
  <w:num w:numId="29">
    <w:abstractNumId w:val="24"/>
  </w:num>
  <w:num w:numId="30">
    <w:abstractNumId w:val="20"/>
  </w:num>
  <w:num w:numId="31">
    <w:abstractNumId w:val="34"/>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it-IT" w:vendorID="3" w:dllVersion="517" w:checkStyle="1"/>
  <w:activeWritingStyle w:appName="MSWord" w:lang="nl-NL" w:vendorID="1" w:dllVersion="512" w:checkStyle="1"/>
  <w:activeWritingStyle w:appName="MSWord" w:lang="sv-SE" w:vendorID="22" w:dllVersion="513" w:checkStyle="1"/>
  <w:activeWritingStyle w:appName="MSWord" w:lang="pt-PT" w:vendorID="13" w:dllVersion="513" w:checkStyle="1"/>
  <w:activeWritingStyle w:appName="MSWord" w:lang="nb-NO" w:vendorID="22" w:dllVersion="513" w:checkStyle="1"/>
  <w:activeWritingStyle w:appName="MSWord" w:lang="da-DK" w:vendorID="22" w:dllVersion="513" w:checkStyle="1"/>
  <w:activeWritingStyle w:appName="MSWord" w:lang="pl-PL" w:vendorID="12"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urolookLanguage" w:val="1040"/>
    <w:docVar w:name="Registered" w:val="-1"/>
    <w:docVar w:name="Stamp" w:val="\\PLUTON\DOSSIERS\03\03-1999-05579\03-1999-05579-00-00-IT-TRA-00.DOC"/>
    <w:docVar w:name="Version" w:val="0"/>
  </w:docVars>
  <w:rsids>
    <w:rsidRoot w:val="00A70FCB"/>
    <w:rsid w:val="000020FA"/>
    <w:rsid w:val="000033AE"/>
    <w:rsid w:val="000037DC"/>
    <w:rsid w:val="000044A9"/>
    <w:rsid w:val="00005748"/>
    <w:rsid w:val="0000594A"/>
    <w:rsid w:val="00005F4E"/>
    <w:rsid w:val="000066D8"/>
    <w:rsid w:val="0000752B"/>
    <w:rsid w:val="000076BA"/>
    <w:rsid w:val="00010958"/>
    <w:rsid w:val="00012C81"/>
    <w:rsid w:val="00013B35"/>
    <w:rsid w:val="00013CEE"/>
    <w:rsid w:val="00013DE8"/>
    <w:rsid w:val="0001419F"/>
    <w:rsid w:val="0001447D"/>
    <w:rsid w:val="00014B59"/>
    <w:rsid w:val="00014C88"/>
    <w:rsid w:val="00014CFB"/>
    <w:rsid w:val="00015047"/>
    <w:rsid w:val="0001659A"/>
    <w:rsid w:val="000178ED"/>
    <w:rsid w:val="000216D5"/>
    <w:rsid w:val="00022F8B"/>
    <w:rsid w:val="00024346"/>
    <w:rsid w:val="000256D7"/>
    <w:rsid w:val="0002663D"/>
    <w:rsid w:val="00030536"/>
    <w:rsid w:val="00030736"/>
    <w:rsid w:val="000320A9"/>
    <w:rsid w:val="00036097"/>
    <w:rsid w:val="00040974"/>
    <w:rsid w:val="00042902"/>
    <w:rsid w:val="00042997"/>
    <w:rsid w:val="00043A6B"/>
    <w:rsid w:val="00043CDE"/>
    <w:rsid w:val="0004439A"/>
    <w:rsid w:val="00044E93"/>
    <w:rsid w:val="00045727"/>
    <w:rsid w:val="00047DA0"/>
    <w:rsid w:val="00047F69"/>
    <w:rsid w:val="00050CD7"/>
    <w:rsid w:val="00051FF4"/>
    <w:rsid w:val="0005320D"/>
    <w:rsid w:val="00061BF3"/>
    <w:rsid w:val="0006344F"/>
    <w:rsid w:val="00070600"/>
    <w:rsid w:val="000709BC"/>
    <w:rsid w:val="00073F5A"/>
    <w:rsid w:val="00074281"/>
    <w:rsid w:val="00074474"/>
    <w:rsid w:val="00075882"/>
    <w:rsid w:val="00077597"/>
    <w:rsid w:val="0007783E"/>
    <w:rsid w:val="00077893"/>
    <w:rsid w:val="00080319"/>
    <w:rsid w:val="00080DAF"/>
    <w:rsid w:val="0008101E"/>
    <w:rsid w:val="00081079"/>
    <w:rsid w:val="00082DDF"/>
    <w:rsid w:val="000833D9"/>
    <w:rsid w:val="000835D9"/>
    <w:rsid w:val="00084604"/>
    <w:rsid w:val="0008548D"/>
    <w:rsid w:val="000858A3"/>
    <w:rsid w:val="00086A3A"/>
    <w:rsid w:val="00086FD5"/>
    <w:rsid w:val="000872FC"/>
    <w:rsid w:val="000900CD"/>
    <w:rsid w:val="0009078D"/>
    <w:rsid w:val="00090CBF"/>
    <w:rsid w:val="00091B7B"/>
    <w:rsid w:val="00093979"/>
    <w:rsid w:val="00093C85"/>
    <w:rsid w:val="00094289"/>
    <w:rsid w:val="00096E7E"/>
    <w:rsid w:val="00097394"/>
    <w:rsid w:val="000975B8"/>
    <w:rsid w:val="00097FFC"/>
    <w:rsid w:val="000A0653"/>
    <w:rsid w:val="000A1FDA"/>
    <w:rsid w:val="000A2F23"/>
    <w:rsid w:val="000A494C"/>
    <w:rsid w:val="000A5666"/>
    <w:rsid w:val="000A56BF"/>
    <w:rsid w:val="000A66C7"/>
    <w:rsid w:val="000A6E3B"/>
    <w:rsid w:val="000A7569"/>
    <w:rsid w:val="000B27DB"/>
    <w:rsid w:val="000B2A04"/>
    <w:rsid w:val="000B4759"/>
    <w:rsid w:val="000B5AC5"/>
    <w:rsid w:val="000B5EC3"/>
    <w:rsid w:val="000B7626"/>
    <w:rsid w:val="000B7B05"/>
    <w:rsid w:val="000C0E44"/>
    <w:rsid w:val="000C1706"/>
    <w:rsid w:val="000C3E14"/>
    <w:rsid w:val="000C4596"/>
    <w:rsid w:val="000C6CBB"/>
    <w:rsid w:val="000C709B"/>
    <w:rsid w:val="000C7611"/>
    <w:rsid w:val="000D0BB7"/>
    <w:rsid w:val="000D2DE7"/>
    <w:rsid w:val="000D42AF"/>
    <w:rsid w:val="000D44AF"/>
    <w:rsid w:val="000D4540"/>
    <w:rsid w:val="000D4F75"/>
    <w:rsid w:val="000D6F65"/>
    <w:rsid w:val="000E010F"/>
    <w:rsid w:val="000E049D"/>
    <w:rsid w:val="000E2BF3"/>
    <w:rsid w:val="000E420F"/>
    <w:rsid w:val="000E543C"/>
    <w:rsid w:val="000E5D8C"/>
    <w:rsid w:val="000E7978"/>
    <w:rsid w:val="000F000E"/>
    <w:rsid w:val="000F0F19"/>
    <w:rsid w:val="000F1BAA"/>
    <w:rsid w:val="000F41D2"/>
    <w:rsid w:val="000F57F8"/>
    <w:rsid w:val="000F605C"/>
    <w:rsid w:val="000F6189"/>
    <w:rsid w:val="00100039"/>
    <w:rsid w:val="00101D92"/>
    <w:rsid w:val="00102235"/>
    <w:rsid w:val="00102575"/>
    <w:rsid w:val="001031F2"/>
    <w:rsid w:val="00104F13"/>
    <w:rsid w:val="001054AD"/>
    <w:rsid w:val="001063FE"/>
    <w:rsid w:val="00107AB2"/>
    <w:rsid w:val="0011060D"/>
    <w:rsid w:val="00110F69"/>
    <w:rsid w:val="001111C5"/>
    <w:rsid w:val="00111A24"/>
    <w:rsid w:val="00111E67"/>
    <w:rsid w:val="00112B2C"/>
    <w:rsid w:val="001131E0"/>
    <w:rsid w:val="00113A3E"/>
    <w:rsid w:val="00113DEE"/>
    <w:rsid w:val="001140D9"/>
    <w:rsid w:val="001148A4"/>
    <w:rsid w:val="00114C72"/>
    <w:rsid w:val="00114C79"/>
    <w:rsid w:val="00115A66"/>
    <w:rsid w:val="001161B5"/>
    <w:rsid w:val="0011676C"/>
    <w:rsid w:val="00116C98"/>
    <w:rsid w:val="00117178"/>
    <w:rsid w:val="001177B5"/>
    <w:rsid w:val="00117BE0"/>
    <w:rsid w:val="00120FC0"/>
    <w:rsid w:val="00123B15"/>
    <w:rsid w:val="00124D7C"/>
    <w:rsid w:val="001261AE"/>
    <w:rsid w:val="00126264"/>
    <w:rsid w:val="001277F7"/>
    <w:rsid w:val="00127F63"/>
    <w:rsid w:val="00130FA1"/>
    <w:rsid w:val="00133426"/>
    <w:rsid w:val="00133C7E"/>
    <w:rsid w:val="00133ED7"/>
    <w:rsid w:val="00135A60"/>
    <w:rsid w:val="00136892"/>
    <w:rsid w:val="001426B8"/>
    <w:rsid w:val="0014395C"/>
    <w:rsid w:val="00145491"/>
    <w:rsid w:val="00146340"/>
    <w:rsid w:val="00147433"/>
    <w:rsid w:val="00147DAA"/>
    <w:rsid w:val="0015042C"/>
    <w:rsid w:val="00150B5C"/>
    <w:rsid w:val="001535D3"/>
    <w:rsid w:val="0015386A"/>
    <w:rsid w:val="00153D57"/>
    <w:rsid w:val="0015459D"/>
    <w:rsid w:val="00154BC5"/>
    <w:rsid w:val="001554B5"/>
    <w:rsid w:val="00156FAB"/>
    <w:rsid w:val="0015710D"/>
    <w:rsid w:val="0015721B"/>
    <w:rsid w:val="001574CF"/>
    <w:rsid w:val="0016222F"/>
    <w:rsid w:val="00165190"/>
    <w:rsid w:val="00165D3E"/>
    <w:rsid w:val="001660B7"/>
    <w:rsid w:val="00166247"/>
    <w:rsid w:val="00166718"/>
    <w:rsid w:val="0016704A"/>
    <w:rsid w:val="00170904"/>
    <w:rsid w:val="00173319"/>
    <w:rsid w:val="00173A5C"/>
    <w:rsid w:val="00174E25"/>
    <w:rsid w:val="00176E2F"/>
    <w:rsid w:val="0017780D"/>
    <w:rsid w:val="00177ED5"/>
    <w:rsid w:val="0018018D"/>
    <w:rsid w:val="0018097F"/>
    <w:rsid w:val="00180EA4"/>
    <w:rsid w:val="00181C64"/>
    <w:rsid w:val="00182391"/>
    <w:rsid w:val="001823F5"/>
    <w:rsid w:val="001831E1"/>
    <w:rsid w:val="00183E72"/>
    <w:rsid w:val="00184539"/>
    <w:rsid w:val="001848C0"/>
    <w:rsid w:val="00184941"/>
    <w:rsid w:val="00184B2B"/>
    <w:rsid w:val="00184FD6"/>
    <w:rsid w:val="00185C02"/>
    <w:rsid w:val="00185D20"/>
    <w:rsid w:val="00186E02"/>
    <w:rsid w:val="0018764A"/>
    <w:rsid w:val="00187A8E"/>
    <w:rsid w:val="00191ED8"/>
    <w:rsid w:val="0019200C"/>
    <w:rsid w:val="001927D5"/>
    <w:rsid w:val="00192FA6"/>
    <w:rsid w:val="001930C9"/>
    <w:rsid w:val="00195C89"/>
    <w:rsid w:val="001A00BB"/>
    <w:rsid w:val="001A10D0"/>
    <w:rsid w:val="001A1FEF"/>
    <w:rsid w:val="001A46C5"/>
    <w:rsid w:val="001A49EA"/>
    <w:rsid w:val="001A5860"/>
    <w:rsid w:val="001B2022"/>
    <w:rsid w:val="001B3B66"/>
    <w:rsid w:val="001B3E4B"/>
    <w:rsid w:val="001B568B"/>
    <w:rsid w:val="001B710C"/>
    <w:rsid w:val="001C007A"/>
    <w:rsid w:val="001C1757"/>
    <w:rsid w:val="001C49A5"/>
    <w:rsid w:val="001C4B6B"/>
    <w:rsid w:val="001C50F0"/>
    <w:rsid w:val="001C7EFD"/>
    <w:rsid w:val="001D4319"/>
    <w:rsid w:val="001D44A2"/>
    <w:rsid w:val="001D5AD6"/>
    <w:rsid w:val="001D6366"/>
    <w:rsid w:val="001D7E39"/>
    <w:rsid w:val="001E06B0"/>
    <w:rsid w:val="001E191E"/>
    <w:rsid w:val="001E213F"/>
    <w:rsid w:val="001E2AE4"/>
    <w:rsid w:val="001E3224"/>
    <w:rsid w:val="001E3322"/>
    <w:rsid w:val="001E3B6C"/>
    <w:rsid w:val="001E4D62"/>
    <w:rsid w:val="001E6F90"/>
    <w:rsid w:val="001F2A7D"/>
    <w:rsid w:val="001F4092"/>
    <w:rsid w:val="001F550E"/>
    <w:rsid w:val="001F556D"/>
    <w:rsid w:val="001F5DC4"/>
    <w:rsid w:val="001F618B"/>
    <w:rsid w:val="001F61F1"/>
    <w:rsid w:val="001F6C29"/>
    <w:rsid w:val="00200D25"/>
    <w:rsid w:val="00200F4E"/>
    <w:rsid w:val="00201750"/>
    <w:rsid w:val="0020329D"/>
    <w:rsid w:val="002034A2"/>
    <w:rsid w:val="0020480F"/>
    <w:rsid w:val="00204A58"/>
    <w:rsid w:val="00205812"/>
    <w:rsid w:val="00205B39"/>
    <w:rsid w:val="00206D4A"/>
    <w:rsid w:val="002106D6"/>
    <w:rsid w:val="00210A81"/>
    <w:rsid w:val="00211290"/>
    <w:rsid w:val="002112E3"/>
    <w:rsid w:val="00212079"/>
    <w:rsid w:val="002123EA"/>
    <w:rsid w:val="00212913"/>
    <w:rsid w:val="00214298"/>
    <w:rsid w:val="0021459B"/>
    <w:rsid w:val="002146A1"/>
    <w:rsid w:val="00215A0F"/>
    <w:rsid w:val="00216067"/>
    <w:rsid w:val="00216886"/>
    <w:rsid w:val="002229F2"/>
    <w:rsid w:val="00224944"/>
    <w:rsid w:val="00225E0D"/>
    <w:rsid w:val="00226B30"/>
    <w:rsid w:val="00227CF9"/>
    <w:rsid w:val="00232B85"/>
    <w:rsid w:val="00233356"/>
    <w:rsid w:val="00233618"/>
    <w:rsid w:val="002336F9"/>
    <w:rsid w:val="002350AC"/>
    <w:rsid w:val="00235DEB"/>
    <w:rsid w:val="00236F8B"/>
    <w:rsid w:val="00241A71"/>
    <w:rsid w:val="002422F0"/>
    <w:rsid w:val="00242F23"/>
    <w:rsid w:val="002433C6"/>
    <w:rsid w:val="0024377D"/>
    <w:rsid w:val="00243FB2"/>
    <w:rsid w:val="00244055"/>
    <w:rsid w:val="0024480A"/>
    <w:rsid w:val="00245DF8"/>
    <w:rsid w:val="00247B55"/>
    <w:rsid w:val="00251542"/>
    <w:rsid w:val="00251614"/>
    <w:rsid w:val="00252A29"/>
    <w:rsid w:val="00252B19"/>
    <w:rsid w:val="002530A6"/>
    <w:rsid w:val="0025397F"/>
    <w:rsid w:val="002539E8"/>
    <w:rsid w:val="00253C66"/>
    <w:rsid w:val="0025512A"/>
    <w:rsid w:val="0025541A"/>
    <w:rsid w:val="00257BAF"/>
    <w:rsid w:val="00261CD2"/>
    <w:rsid w:val="00261D8D"/>
    <w:rsid w:val="00263778"/>
    <w:rsid w:val="00263CA9"/>
    <w:rsid w:val="00264962"/>
    <w:rsid w:val="002656AA"/>
    <w:rsid w:val="00266C96"/>
    <w:rsid w:val="0027006E"/>
    <w:rsid w:val="002707A1"/>
    <w:rsid w:val="0027254B"/>
    <w:rsid w:val="002740CF"/>
    <w:rsid w:val="002752DE"/>
    <w:rsid w:val="00276E42"/>
    <w:rsid w:val="0027737E"/>
    <w:rsid w:val="00277E04"/>
    <w:rsid w:val="00284B52"/>
    <w:rsid w:val="0028538E"/>
    <w:rsid w:val="00290EE6"/>
    <w:rsid w:val="00293033"/>
    <w:rsid w:val="00294284"/>
    <w:rsid w:val="002964F2"/>
    <w:rsid w:val="0029675A"/>
    <w:rsid w:val="00297D8C"/>
    <w:rsid w:val="00297EEC"/>
    <w:rsid w:val="002A0C43"/>
    <w:rsid w:val="002A162A"/>
    <w:rsid w:val="002A1BE2"/>
    <w:rsid w:val="002A215B"/>
    <w:rsid w:val="002A2D7A"/>
    <w:rsid w:val="002A2F7F"/>
    <w:rsid w:val="002A3CA5"/>
    <w:rsid w:val="002A42A0"/>
    <w:rsid w:val="002A4606"/>
    <w:rsid w:val="002A5422"/>
    <w:rsid w:val="002A665F"/>
    <w:rsid w:val="002A6767"/>
    <w:rsid w:val="002A6781"/>
    <w:rsid w:val="002A7574"/>
    <w:rsid w:val="002A79FC"/>
    <w:rsid w:val="002B0764"/>
    <w:rsid w:val="002B10F6"/>
    <w:rsid w:val="002B345E"/>
    <w:rsid w:val="002B6093"/>
    <w:rsid w:val="002B611D"/>
    <w:rsid w:val="002B6A37"/>
    <w:rsid w:val="002C074E"/>
    <w:rsid w:val="002C0C75"/>
    <w:rsid w:val="002C2FF2"/>
    <w:rsid w:val="002C3225"/>
    <w:rsid w:val="002C3622"/>
    <w:rsid w:val="002C3ABE"/>
    <w:rsid w:val="002C3D31"/>
    <w:rsid w:val="002C3DA1"/>
    <w:rsid w:val="002C4339"/>
    <w:rsid w:val="002C4BE9"/>
    <w:rsid w:val="002C530B"/>
    <w:rsid w:val="002C691F"/>
    <w:rsid w:val="002D0004"/>
    <w:rsid w:val="002D02AB"/>
    <w:rsid w:val="002D1C47"/>
    <w:rsid w:val="002D22EB"/>
    <w:rsid w:val="002D300D"/>
    <w:rsid w:val="002D343B"/>
    <w:rsid w:val="002D396A"/>
    <w:rsid w:val="002D3EFF"/>
    <w:rsid w:val="002D526B"/>
    <w:rsid w:val="002D5525"/>
    <w:rsid w:val="002E0804"/>
    <w:rsid w:val="002E1105"/>
    <w:rsid w:val="002E27ED"/>
    <w:rsid w:val="002E4FFF"/>
    <w:rsid w:val="002E5F53"/>
    <w:rsid w:val="002E6693"/>
    <w:rsid w:val="002F07D7"/>
    <w:rsid w:val="002F10C1"/>
    <w:rsid w:val="002F195A"/>
    <w:rsid w:val="002F2101"/>
    <w:rsid w:val="002F26C0"/>
    <w:rsid w:val="002F35B8"/>
    <w:rsid w:val="002F39D9"/>
    <w:rsid w:val="002F49F2"/>
    <w:rsid w:val="002F56B0"/>
    <w:rsid w:val="002F5807"/>
    <w:rsid w:val="002F5A98"/>
    <w:rsid w:val="002F6756"/>
    <w:rsid w:val="002F6A69"/>
    <w:rsid w:val="002F6EEB"/>
    <w:rsid w:val="002F7829"/>
    <w:rsid w:val="002F79D9"/>
    <w:rsid w:val="002F7DB8"/>
    <w:rsid w:val="00301E20"/>
    <w:rsid w:val="00305591"/>
    <w:rsid w:val="00305DDD"/>
    <w:rsid w:val="003067A6"/>
    <w:rsid w:val="00306806"/>
    <w:rsid w:val="00306D16"/>
    <w:rsid w:val="00306FA4"/>
    <w:rsid w:val="00311810"/>
    <w:rsid w:val="003155E1"/>
    <w:rsid w:val="0031590E"/>
    <w:rsid w:val="003162E2"/>
    <w:rsid w:val="00316C3A"/>
    <w:rsid w:val="0032239B"/>
    <w:rsid w:val="0032306C"/>
    <w:rsid w:val="003241D0"/>
    <w:rsid w:val="00324EBD"/>
    <w:rsid w:val="00325482"/>
    <w:rsid w:val="0032601A"/>
    <w:rsid w:val="00326FF7"/>
    <w:rsid w:val="0032713C"/>
    <w:rsid w:val="00327ED5"/>
    <w:rsid w:val="00330B90"/>
    <w:rsid w:val="00332360"/>
    <w:rsid w:val="0033239D"/>
    <w:rsid w:val="00333769"/>
    <w:rsid w:val="00333BE9"/>
    <w:rsid w:val="00334718"/>
    <w:rsid w:val="00335470"/>
    <w:rsid w:val="00336D0F"/>
    <w:rsid w:val="00337D19"/>
    <w:rsid w:val="003410CE"/>
    <w:rsid w:val="00341486"/>
    <w:rsid w:val="00342AF7"/>
    <w:rsid w:val="00343573"/>
    <w:rsid w:val="00343769"/>
    <w:rsid w:val="00345ABD"/>
    <w:rsid w:val="00345DCF"/>
    <w:rsid w:val="00350283"/>
    <w:rsid w:val="003514F7"/>
    <w:rsid w:val="00351B05"/>
    <w:rsid w:val="00351D9F"/>
    <w:rsid w:val="00354998"/>
    <w:rsid w:val="00354F9C"/>
    <w:rsid w:val="00355B3A"/>
    <w:rsid w:val="00356F16"/>
    <w:rsid w:val="00357360"/>
    <w:rsid w:val="003603D7"/>
    <w:rsid w:val="0036049F"/>
    <w:rsid w:val="00361E16"/>
    <w:rsid w:val="00362BBC"/>
    <w:rsid w:val="00363381"/>
    <w:rsid w:val="00363C28"/>
    <w:rsid w:val="00364416"/>
    <w:rsid w:val="003648EA"/>
    <w:rsid w:val="00365FF6"/>
    <w:rsid w:val="003661C8"/>
    <w:rsid w:val="00367936"/>
    <w:rsid w:val="00370DDC"/>
    <w:rsid w:val="003718A1"/>
    <w:rsid w:val="00371E6E"/>
    <w:rsid w:val="00373844"/>
    <w:rsid w:val="003740DC"/>
    <w:rsid w:val="00374406"/>
    <w:rsid w:val="00374487"/>
    <w:rsid w:val="0037542C"/>
    <w:rsid w:val="00375B0F"/>
    <w:rsid w:val="00376F9C"/>
    <w:rsid w:val="00377B0A"/>
    <w:rsid w:val="00382454"/>
    <w:rsid w:val="003849ED"/>
    <w:rsid w:val="003853A5"/>
    <w:rsid w:val="00385DE0"/>
    <w:rsid w:val="003865A1"/>
    <w:rsid w:val="00387458"/>
    <w:rsid w:val="00387559"/>
    <w:rsid w:val="00387E70"/>
    <w:rsid w:val="00390146"/>
    <w:rsid w:val="0039082C"/>
    <w:rsid w:val="00392791"/>
    <w:rsid w:val="00392A9B"/>
    <w:rsid w:val="0039364E"/>
    <w:rsid w:val="003941C4"/>
    <w:rsid w:val="00395CE3"/>
    <w:rsid w:val="00396865"/>
    <w:rsid w:val="00397671"/>
    <w:rsid w:val="003A0EE4"/>
    <w:rsid w:val="003A452D"/>
    <w:rsid w:val="003A48BA"/>
    <w:rsid w:val="003A4A93"/>
    <w:rsid w:val="003A7342"/>
    <w:rsid w:val="003B0268"/>
    <w:rsid w:val="003B1581"/>
    <w:rsid w:val="003B1A44"/>
    <w:rsid w:val="003B27E2"/>
    <w:rsid w:val="003B369E"/>
    <w:rsid w:val="003B39BD"/>
    <w:rsid w:val="003B4354"/>
    <w:rsid w:val="003B465C"/>
    <w:rsid w:val="003B4980"/>
    <w:rsid w:val="003B5864"/>
    <w:rsid w:val="003B5990"/>
    <w:rsid w:val="003B7783"/>
    <w:rsid w:val="003B7BF8"/>
    <w:rsid w:val="003B7E41"/>
    <w:rsid w:val="003C08CF"/>
    <w:rsid w:val="003C142F"/>
    <w:rsid w:val="003C1DA8"/>
    <w:rsid w:val="003C3106"/>
    <w:rsid w:val="003C50A0"/>
    <w:rsid w:val="003C51F4"/>
    <w:rsid w:val="003C6592"/>
    <w:rsid w:val="003C73F4"/>
    <w:rsid w:val="003D00E6"/>
    <w:rsid w:val="003D0DE3"/>
    <w:rsid w:val="003D0FFF"/>
    <w:rsid w:val="003D2A43"/>
    <w:rsid w:val="003D2FCD"/>
    <w:rsid w:val="003D3113"/>
    <w:rsid w:val="003D4723"/>
    <w:rsid w:val="003D4811"/>
    <w:rsid w:val="003D49E4"/>
    <w:rsid w:val="003D4FA8"/>
    <w:rsid w:val="003D58CE"/>
    <w:rsid w:val="003E0136"/>
    <w:rsid w:val="003E4D8F"/>
    <w:rsid w:val="003E53B9"/>
    <w:rsid w:val="003E53E5"/>
    <w:rsid w:val="003E5521"/>
    <w:rsid w:val="003E55FB"/>
    <w:rsid w:val="003E57B8"/>
    <w:rsid w:val="003F1517"/>
    <w:rsid w:val="003F18F1"/>
    <w:rsid w:val="003F516F"/>
    <w:rsid w:val="003F66EF"/>
    <w:rsid w:val="003F6D23"/>
    <w:rsid w:val="003F7257"/>
    <w:rsid w:val="0040046C"/>
    <w:rsid w:val="004014C1"/>
    <w:rsid w:val="00401FC3"/>
    <w:rsid w:val="004025E5"/>
    <w:rsid w:val="00405132"/>
    <w:rsid w:val="00405599"/>
    <w:rsid w:val="00407F92"/>
    <w:rsid w:val="00411C1C"/>
    <w:rsid w:val="00414363"/>
    <w:rsid w:val="004155C3"/>
    <w:rsid w:val="00415B78"/>
    <w:rsid w:val="00415ED7"/>
    <w:rsid w:val="00416670"/>
    <w:rsid w:val="00420473"/>
    <w:rsid w:val="00421064"/>
    <w:rsid w:val="00421F1E"/>
    <w:rsid w:val="00424DE3"/>
    <w:rsid w:val="00426A6A"/>
    <w:rsid w:val="00426D3D"/>
    <w:rsid w:val="00426E23"/>
    <w:rsid w:val="004276CB"/>
    <w:rsid w:val="00430415"/>
    <w:rsid w:val="00430C3A"/>
    <w:rsid w:val="00430D2F"/>
    <w:rsid w:val="004310C7"/>
    <w:rsid w:val="0043362B"/>
    <w:rsid w:val="00433F3A"/>
    <w:rsid w:val="0043412E"/>
    <w:rsid w:val="0043456D"/>
    <w:rsid w:val="00434924"/>
    <w:rsid w:val="004406A5"/>
    <w:rsid w:val="0044081A"/>
    <w:rsid w:val="00443E96"/>
    <w:rsid w:val="00444B2F"/>
    <w:rsid w:val="00444FE4"/>
    <w:rsid w:val="00445EA1"/>
    <w:rsid w:val="0044604F"/>
    <w:rsid w:val="0044658A"/>
    <w:rsid w:val="004468FF"/>
    <w:rsid w:val="00447CDE"/>
    <w:rsid w:val="0045116F"/>
    <w:rsid w:val="00452C5C"/>
    <w:rsid w:val="00452E35"/>
    <w:rsid w:val="00453785"/>
    <w:rsid w:val="00453B7B"/>
    <w:rsid w:val="00453D3F"/>
    <w:rsid w:val="00455096"/>
    <w:rsid w:val="004631EB"/>
    <w:rsid w:val="00463694"/>
    <w:rsid w:val="004659CE"/>
    <w:rsid w:val="00466C6B"/>
    <w:rsid w:val="00467E96"/>
    <w:rsid w:val="00467EDD"/>
    <w:rsid w:val="00470472"/>
    <w:rsid w:val="00470BC7"/>
    <w:rsid w:val="00472113"/>
    <w:rsid w:val="0047398B"/>
    <w:rsid w:val="00473C62"/>
    <w:rsid w:val="00473EE9"/>
    <w:rsid w:val="00475A28"/>
    <w:rsid w:val="00477B0F"/>
    <w:rsid w:val="00477B64"/>
    <w:rsid w:val="0048173C"/>
    <w:rsid w:val="004825D5"/>
    <w:rsid w:val="00482F2C"/>
    <w:rsid w:val="004840B5"/>
    <w:rsid w:val="00484749"/>
    <w:rsid w:val="0048486E"/>
    <w:rsid w:val="00490364"/>
    <w:rsid w:val="004908EE"/>
    <w:rsid w:val="00492A3C"/>
    <w:rsid w:val="00494C26"/>
    <w:rsid w:val="00495AB2"/>
    <w:rsid w:val="004A013D"/>
    <w:rsid w:val="004A1CC2"/>
    <w:rsid w:val="004A2428"/>
    <w:rsid w:val="004A3265"/>
    <w:rsid w:val="004A3E41"/>
    <w:rsid w:val="004A40A3"/>
    <w:rsid w:val="004A58C6"/>
    <w:rsid w:val="004A700A"/>
    <w:rsid w:val="004B0418"/>
    <w:rsid w:val="004B0C75"/>
    <w:rsid w:val="004B2128"/>
    <w:rsid w:val="004B5150"/>
    <w:rsid w:val="004B56C8"/>
    <w:rsid w:val="004B6B91"/>
    <w:rsid w:val="004C0B52"/>
    <w:rsid w:val="004C1E1A"/>
    <w:rsid w:val="004C1E31"/>
    <w:rsid w:val="004C355D"/>
    <w:rsid w:val="004C366D"/>
    <w:rsid w:val="004C3F28"/>
    <w:rsid w:val="004C700F"/>
    <w:rsid w:val="004C7DCD"/>
    <w:rsid w:val="004D04BA"/>
    <w:rsid w:val="004D0F06"/>
    <w:rsid w:val="004D1091"/>
    <w:rsid w:val="004D2273"/>
    <w:rsid w:val="004D28FC"/>
    <w:rsid w:val="004D2DFC"/>
    <w:rsid w:val="004E5387"/>
    <w:rsid w:val="004E742C"/>
    <w:rsid w:val="004F237E"/>
    <w:rsid w:val="004F5515"/>
    <w:rsid w:val="004F6770"/>
    <w:rsid w:val="004F6783"/>
    <w:rsid w:val="004F6E5B"/>
    <w:rsid w:val="004F74A3"/>
    <w:rsid w:val="00500AF7"/>
    <w:rsid w:val="0050242E"/>
    <w:rsid w:val="005035EA"/>
    <w:rsid w:val="00503D51"/>
    <w:rsid w:val="00505E7D"/>
    <w:rsid w:val="00507E76"/>
    <w:rsid w:val="005102C4"/>
    <w:rsid w:val="00512BFF"/>
    <w:rsid w:val="00513130"/>
    <w:rsid w:val="00513901"/>
    <w:rsid w:val="00513DDD"/>
    <w:rsid w:val="00513F80"/>
    <w:rsid w:val="00515E2E"/>
    <w:rsid w:val="005160E0"/>
    <w:rsid w:val="005216AD"/>
    <w:rsid w:val="00522A81"/>
    <w:rsid w:val="00523B7D"/>
    <w:rsid w:val="00524E13"/>
    <w:rsid w:val="00525248"/>
    <w:rsid w:val="0052691C"/>
    <w:rsid w:val="0053011B"/>
    <w:rsid w:val="0053052A"/>
    <w:rsid w:val="00531208"/>
    <w:rsid w:val="0053164B"/>
    <w:rsid w:val="00532263"/>
    <w:rsid w:val="005356A9"/>
    <w:rsid w:val="00535EFE"/>
    <w:rsid w:val="0053614D"/>
    <w:rsid w:val="0053671F"/>
    <w:rsid w:val="00536EF9"/>
    <w:rsid w:val="00540CFF"/>
    <w:rsid w:val="00540F0A"/>
    <w:rsid w:val="00540FDA"/>
    <w:rsid w:val="00541934"/>
    <w:rsid w:val="00541E4D"/>
    <w:rsid w:val="00542CDD"/>
    <w:rsid w:val="00543DD0"/>
    <w:rsid w:val="00544544"/>
    <w:rsid w:val="00544BC7"/>
    <w:rsid w:val="00546D97"/>
    <w:rsid w:val="00550147"/>
    <w:rsid w:val="00551770"/>
    <w:rsid w:val="0055311B"/>
    <w:rsid w:val="00553DEE"/>
    <w:rsid w:val="0055476B"/>
    <w:rsid w:val="00555A51"/>
    <w:rsid w:val="005561FA"/>
    <w:rsid w:val="00556861"/>
    <w:rsid w:val="00557F76"/>
    <w:rsid w:val="005601FD"/>
    <w:rsid w:val="00560A96"/>
    <w:rsid w:val="00562860"/>
    <w:rsid w:val="005631D7"/>
    <w:rsid w:val="00563AA9"/>
    <w:rsid w:val="00565629"/>
    <w:rsid w:val="0056708D"/>
    <w:rsid w:val="005672AE"/>
    <w:rsid w:val="005673DA"/>
    <w:rsid w:val="00567BCB"/>
    <w:rsid w:val="00570010"/>
    <w:rsid w:val="00571973"/>
    <w:rsid w:val="005728D1"/>
    <w:rsid w:val="00573A31"/>
    <w:rsid w:val="0057500F"/>
    <w:rsid w:val="005756FE"/>
    <w:rsid w:val="00575BED"/>
    <w:rsid w:val="005765D4"/>
    <w:rsid w:val="00577526"/>
    <w:rsid w:val="0059070C"/>
    <w:rsid w:val="00590784"/>
    <w:rsid w:val="00590BE8"/>
    <w:rsid w:val="00592D8C"/>
    <w:rsid w:val="00592D9D"/>
    <w:rsid w:val="005931B1"/>
    <w:rsid w:val="0059403F"/>
    <w:rsid w:val="005961A1"/>
    <w:rsid w:val="00597174"/>
    <w:rsid w:val="00597B9E"/>
    <w:rsid w:val="005A00BE"/>
    <w:rsid w:val="005A1653"/>
    <w:rsid w:val="005A37B7"/>
    <w:rsid w:val="005A3DF9"/>
    <w:rsid w:val="005A48B3"/>
    <w:rsid w:val="005A5BCA"/>
    <w:rsid w:val="005A64F7"/>
    <w:rsid w:val="005A68EB"/>
    <w:rsid w:val="005A6A8C"/>
    <w:rsid w:val="005A7504"/>
    <w:rsid w:val="005B1C0C"/>
    <w:rsid w:val="005B2456"/>
    <w:rsid w:val="005B2844"/>
    <w:rsid w:val="005B28AC"/>
    <w:rsid w:val="005B2A07"/>
    <w:rsid w:val="005B5EF9"/>
    <w:rsid w:val="005B6119"/>
    <w:rsid w:val="005B67D5"/>
    <w:rsid w:val="005B717D"/>
    <w:rsid w:val="005B7503"/>
    <w:rsid w:val="005C09F6"/>
    <w:rsid w:val="005C10A1"/>
    <w:rsid w:val="005C1E12"/>
    <w:rsid w:val="005C22F4"/>
    <w:rsid w:val="005C3419"/>
    <w:rsid w:val="005C4AA2"/>
    <w:rsid w:val="005C6B47"/>
    <w:rsid w:val="005D0165"/>
    <w:rsid w:val="005D049B"/>
    <w:rsid w:val="005D2E30"/>
    <w:rsid w:val="005D44B5"/>
    <w:rsid w:val="005D4E97"/>
    <w:rsid w:val="005D68E6"/>
    <w:rsid w:val="005D6A0D"/>
    <w:rsid w:val="005E0327"/>
    <w:rsid w:val="005E1F89"/>
    <w:rsid w:val="005E25DF"/>
    <w:rsid w:val="005E4296"/>
    <w:rsid w:val="005E442B"/>
    <w:rsid w:val="005E4DB2"/>
    <w:rsid w:val="005E527A"/>
    <w:rsid w:val="005E6118"/>
    <w:rsid w:val="005E749A"/>
    <w:rsid w:val="005E7511"/>
    <w:rsid w:val="005F1490"/>
    <w:rsid w:val="005F1A54"/>
    <w:rsid w:val="005F2380"/>
    <w:rsid w:val="005F3696"/>
    <w:rsid w:val="005F50DD"/>
    <w:rsid w:val="005F5740"/>
    <w:rsid w:val="005F5A02"/>
    <w:rsid w:val="005F5D66"/>
    <w:rsid w:val="005F6785"/>
    <w:rsid w:val="005F796E"/>
    <w:rsid w:val="005F7A07"/>
    <w:rsid w:val="00601296"/>
    <w:rsid w:val="00602094"/>
    <w:rsid w:val="00602782"/>
    <w:rsid w:val="006038AD"/>
    <w:rsid w:val="00603BCB"/>
    <w:rsid w:val="00604D68"/>
    <w:rsid w:val="00606CDE"/>
    <w:rsid w:val="00606E31"/>
    <w:rsid w:val="006122F7"/>
    <w:rsid w:val="0061387A"/>
    <w:rsid w:val="0061413A"/>
    <w:rsid w:val="00615CE7"/>
    <w:rsid w:val="00615F7D"/>
    <w:rsid w:val="00616BF1"/>
    <w:rsid w:val="00616FFA"/>
    <w:rsid w:val="00620CD9"/>
    <w:rsid w:val="006218A3"/>
    <w:rsid w:val="006219B5"/>
    <w:rsid w:val="00623439"/>
    <w:rsid w:val="00625FA8"/>
    <w:rsid w:val="00630A63"/>
    <w:rsid w:val="00630B30"/>
    <w:rsid w:val="00633B02"/>
    <w:rsid w:val="006348A8"/>
    <w:rsid w:val="00637023"/>
    <w:rsid w:val="006374C3"/>
    <w:rsid w:val="0064006F"/>
    <w:rsid w:val="00640255"/>
    <w:rsid w:val="006402F1"/>
    <w:rsid w:val="0064125C"/>
    <w:rsid w:val="0064170F"/>
    <w:rsid w:val="00641D91"/>
    <w:rsid w:val="00641F4B"/>
    <w:rsid w:val="0064303D"/>
    <w:rsid w:val="00643FA1"/>
    <w:rsid w:val="00644B13"/>
    <w:rsid w:val="006451F1"/>
    <w:rsid w:val="00645BD5"/>
    <w:rsid w:val="00645F24"/>
    <w:rsid w:val="00646A6E"/>
    <w:rsid w:val="0064785B"/>
    <w:rsid w:val="00650E8C"/>
    <w:rsid w:val="006516D4"/>
    <w:rsid w:val="00651E87"/>
    <w:rsid w:val="00653301"/>
    <w:rsid w:val="00654A8C"/>
    <w:rsid w:val="006554C6"/>
    <w:rsid w:val="00655638"/>
    <w:rsid w:val="0065679C"/>
    <w:rsid w:val="00656F9B"/>
    <w:rsid w:val="00657CE8"/>
    <w:rsid w:val="00657DE1"/>
    <w:rsid w:val="006609DE"/>
    <w:rsid w:val="00661368"/>
    <w:rsid w:val="00661A2F"/>
    <w:rsid w:val="0066312C"/>
    <w:rsid w:val="00674374"/>
    <w:rsid w:val="00674681"/>
    <w:rsid w:val="00674D27"/>
    <w:rsid w:val="00674E18"/>
    <w:rsid w:val="006805AC"/>
    <w:rsid w:val="006809D3"/>
    <w:rsid w:val="0068149B"/>
    <w:rsid w:val="00681CC3"/>
    <w:rsid w:val="00682C7E"/>
    <w:rsid w:val="0068303B"/>
    <w:rsid w:val="00683B25"/>
    <w:rsid w:val="006879B7"/>
    <w:rsid w:val="0069009E"/>
    <w:rsid w:val="006901E8"/>
    <w:rsid w:val="0069081E"/>
    <w:rsid w:val="00690AD0"/>
    <w:rsid w:val="00691EFE"/>
    <w:rsid w:val="00692A54"/>
    <w:rsid w:val="00693399"/>
    <w:rsid w:val="00694799"/>
    <w:rsid w:val="006953A5"/>
    <w:rsid w:val="006954C3"/>
    <w:rsid w:val="00695FF8"/>
    <w:rsid w:val="0069650D"/>
    <w:rsid w:val="00697A0D"/>
    <w:rsid w:val="006A1447"/>
    <w:rsid w:val="006A3682"/>
    <w:rsid w:val="006A38C1"/>
    <w:rsid w:val="006A4055"/>
    <w:rsid w:val="006A61B2"/>
    <w:rsid w:val="006A6659"/>
    <w:rsid w:val="006A693D"/>
    <w:rsid w:val="006B1260"/>
    <w:rsid w:val="006B587A"/>
    <w:rsid w:val="006B7ABC"/>
    <w:rsid w:val="006C1B1D"/>
    <w:rsid w:val="006C5794"/>
    <w:rsid w:val="006C6068"/>
    <w:rsid w:val="006C74F7"/>
    <w:rsid w:val="006C7B73"/>
    <w:rsid w:val="006D21F0"/>
    <w:rsid w:val="006D3BF8"/>
    <w:rsid w:val="006D4B1A"/>
    <w:rsid w:val="006D4EA7"/>
    <w:rsid w:val="006D581C"/>
    <w:rsid w:val="006D60B0"/>
    <w:rsid w:val="006D6CA4"/>
    <w:rsid w:val="006E03D0"/>
    <w:rsid w:val="006E0752"/>
    <w:rsid w:val="006E4552"/>
    <w:rsid w:val="006E4990"/>
    <w:rsid w:val="006E4B97"/>
    <w:rsid w:val="006E4BFF"/>
    <w:rsid w:val="006E5B87"/>
    <w:rsid w:val="006E66E5"/>
    <w:rsid w:val="006E7840"/>
    <w:rsid w:val="006F0635"/>
    <w:rsid w:val="006F127A"/>
    <w:rsid w:val="006F2693"/>
    <w:rsid w:val="006F4554"/>
    <w:rsid w:val="006F476C"/>
    <w:rsid w:val="006F7672"/>
    <w:rsid w:val="007007B4"/>
    <w:rsid w:val="00700C3A"/>
    <w:rsid w:val="0070231D"/>
    <w:rsid w:val="00702325"/>
    <w:rsid w:val="00702E1C"/>
    <w:rsid w:val="00703015"/>
    <w:rsid w:val="00705791"/>
    <w:rsid w:val="00705A40"/>
    <w:rsid w:val="007065E9"/>
    <w:rsid w:val="00706A2C"/>
    <w:rsid w:val="00706C44"/>
    <w:rsid w:val="007103B9"/>
    <w:rsid w:val="00711E77"/>
    <w:rsid w:val="00713E25"/>
    <w:rsid w:val="00713E84"/>
    <w:rsid w:val="007163BC"/>
    <w:rsid w:val="00717F34"/>
    <w:rsid w:val="00717F41"/>
    <w:rsid w:val="0072055D"/>
    <w:rsid w:val="0072076D"/>
    <w:rsid w:val="00720835"/>
    <w:rsid w:val="007213CE"/>
    <w:rsid w:val="007218DD"/>
    <w:rsid w:val="0072342B"/>
    <w:rsid w:val="0072540C"/>
    <w:rsid w:val="0072602F"/>
    <w:rsid w:val="00726273"/>
    <w:rsid w:val="00726A4D"/>
    <w:rsid w:val="007276BB"/>
    <w:rsid w:val="00727737"/>
    <w:rsid w:val="007300CC"/>
    <w:rsid w:val="007302E6"/>
    <w:rsid w:val="00730A5E"/>
    <w:rsid w:val="00730E88"/>
    <w:rsid w:val="007313AE"/>
    <w:rsid w:val="00731E32"/>
    <w:rsid w:val="007323B5"/>
    <w:rsid w:val="0073435A"/>
    <w:rsid w:val="00735A7B"/>
    <w:rsid w:val="00736986"/>
    <w:rsid w:val="00736E39"/>
    <w:rsid w:val="00737FB7"/>
    <w:rsid w:val="0074079F"/>
    <w:rsid w:val="00740962"/>
    <w:rsid w:val="007432CD"/>
    <w:rsid w:val="007446EA"/>
    <w:rsid w:val="0074518E"/>
    <w:rsid w:val="00746393"/>
    <w:rsid w:val="00746CE2"/>
    <w:rsid w:val="007473C8"/>
    <w:rsid w:val="00747436"/>
    <w:rsid w:val="00747AF7"/>
    <w:rsid w:val="00750E88"/>
    <w:rsid w:val="00750E89"/>
    <w:rsid w:val="0075172A"/>
    <w:rsid w:val="007517E5"/>
    <w:rsid w:val="007554DF"/>
    <w:rsid w:val="00757546"/>
    <w:rsid w:val="00761067"/>
    <w:rsid w:val="00762786"/>
    <w:rsid w:val="00762A1B"/>
    <w:rsid w:val="00763FE8"/>
    <w:rsid w:val="00765235"/>
    <w:rsid w:val="00765500"/>
    <w:rsid w:val="007661B2"/>
    <w:rsid w:val="0076648B"/>
    <w:rsid w:val="00767E98"/>
    <w:rsid w:val="00767EA1"/>
    <w:rsid w:val="00771017"/>
    <w:rsid w:val="007717A3"/>
    <w:rsid w:val="00771B65"/>
    <w:rsid w:val="007801EC"/>
    <w:rsid w:val="00780CD7"/>
    <w:rsid w:val="00783EA1"/>
    <w:rsid w:val="007853C2"/>
    <w:rsid w:val="007873FD"/>
    <w:rsid w:val="00790FFD"/>
    <w:rsid w:val="00792AD8"/>
    <w:rsid w:val="00795803"/>
    <w:rsid w:val="00797A0E"/>
    <w:rsid w:val="00797E94"/>
    <w:rsid w:val="007A08D9"/>
    <w:rsid w:val="007A0C60"/>
    <w:rsid w:val="007A16C0"/>
    <w:rsid w:val="007A1AD4"/>
    <w:rsid w:val="007A1B5A"/>
    <w:rsid w:val="007A3313"/>
    <w:rsid w:val="007A4BA0"/>
    <w:rsid w:val="007A4C10"/>
    <w:rsid w:val="007A4EC3"/>
    <w:rsid w:val="007A5805"/>
    <w:rsid w:val="007A5C81"/>
    <w:rsid w:val="007A76F0"/>
    <w:rsid w:val="007A7891"/>
    <w:rsid w:val="007A7FD4"/>
    <w:rsid w:val="007B20FD"/>
    <w:rsid w:val="007B2DCE"/>
    <w:rsid w:val="007B3BC3"/>
    <w:rsid w:val="007B44DD"/>
    <w:rsid w:val="007B4813"/>
    <w:rsid w:val="007B5500"/>
    <w:rsid w:val="007B5695"/>
    <w:rsid w:val="007C0058"/>
    <w:rsid w:val="007C11DF"/>
    <w:rsid w:val="007C22E3"/>
    <w:rsid w:val="007C28BB"/>
    <w:rsid w:val="007C5403"/>
    <w:rsid w:val="007D1078"/>
    <w:rsid w:val="007D1914"/>
    <w:rsid w:val="007D1AE8"/>
    <w:rsid w:val="007D32E5"/>
    <w:rsid w:val="007D33BE"/>
    <w:rsid w:val="007D456B"/>
    <w:rsid w:val="007D4D14"/>
    <w:rsid w:val="007D5791"/>
    <w:rsid w:val="007D58B6"/>
    <w:rsid w:val="007D6956"/>
    <w:rsid w:val="007D7692"/>
    <w:rsid w:val="007D77C2"/>
    <w:rsid w:val="007D7DB7"/>
    <w:rsid w:val="007E0005"/>
    <w:rsid w:val="007E1B3A"/>
    <w:rsid w:val="007E3AD9"/>
    <w:rsid w:val="007E3FFC"/>
    <w:rsid w:val="007E5AEC"/>
    <w:rsid w:val="007F009C"/>
    <w:rsid w:val="007F04B7"/>
    <w:rsid w:val="007F05E0"/>
    <w:rsid w:val="007F26E2"/>
    <w:rsid w:val="007F4340"/>
    <w:rsid w:val="007F5A8B"/>
    <w:rsid w:val="007F6041"/>
    <w:rsid w:val="007F7C6B"/>
    <w:rsid w:val="00800C69"/>
    <w:rsid w:val="00801244"/>
    <w:rsid w:val="0080254B"/>
    <w:rsid w:val="00802A06"/>
    <w:rsid w:val="0080648D"/>
    <w:rsid w:val="00806A64"/>
    <w:rsid w:val="00806AF7"/>
    <w:rsid w:val="00807936"/>
    <w:rsid w:val="00807966"/>
    <w:rsid w:val="00810C1C"/>
    <w:rsid w:val="00810DCE"/>
    <w:rsid w:val="0081192C"/>
    <w:rsid w:val="00811E18"/>
    <w:rsid w:val="008139C7"/>
    <w:rsid w:val="008151C9"/>
    <w:rsid w:val="008169FA"/>
    <w:rsid w:val="008173FA"/>
    <w:rsid w:val="00817E8A"/>
    <w:rsid w:val="0082071F"/>
    <w:rsid w:val="008210B8"/>
    <w:rsid w:val="008212CB"/>
    <w:rsid w:val="008213C5"/>
    <w:rsid w:val="008213FE"/>
    <w:rsid w:val="00821685"/>
    <w:rsid w:val="00821CDD"/>
    <w:rsid w:val="0082371D"/>
    <w:rsid w:val="00823D6F"/>
    <w:rsid w:val="00823E0D"/>
    <w:rsid w:val="00824196"/>
    <w:rsid w:val="008243AD"/>
    <w:rsid w:val="00824A9C"/>
    <w:rsid w:val="00825513"/>
    <w:rsid w:val="00825932"/>
    <w:rsid w:val="0082625B"/>
    <w:rsid w:val="00826308"/>
    <w:rsid w:val="00826A49"/>
    <w:rsid w:val="00827233"/>
    <w:rsid w:val="0083054D"/>
    <w:rsid w:val="00830CD2"/>
    <w:rsid w:val="00831268"/>
    <w:rsid w:val="00832BA4"/>
    <w:rsid w:val="008337A5"/>
    <w:rsid w:val="00834343"/>
    <w:rsid w:val="00834787"/>
    <w:rsid w:val="0083483B"/>
    <w:rsid w:val="0083551D"/>
    <w:rsid w:val="00836028"/>
    <w:rsid w:val="00836350"/>
    <w:rsid w:val="008365C5"/>
    <w:rsid w:val="008374CE"/>
    <w:rsid w:val="00837FBA"/>
    <w:rsid w:val="00840E10"/>
    <w:rsid w:val="00840F13"/>
    <w:rsid w:val="00843B2F"/>
    <w:rsid w:val="00844C41"/>
    <w:rsid w:val="00847C51"/>
    <w:rsid w:val="00847CD9"/>
    <w:rsid w:val="008501D3"/>
    <w:rsid w:val="00850FB2"/>
    <w:rsid w:val="00851366"/>
    <w:rsid w:val="008533F2"/>
    <w:rsid w:val="00854CEA"/>
    <w:rsid w:val="00856482"/>
    <w:rsid w:val="008575BA"/>
    <w:rsid w:val="008576F0"/>
    <w:rsid w:val="008608E6"/>
    <w:rsid w:val="00863537"/>
    <w:rsid w:val="00863677"/>
    <w:rsid w:val="00864875"/>
    <w:rsid w:val="008651E8"/>
    <w:rsid w:val="00865BAB"/>
    <w:rsid w:val="00866FF7"/>
    <w:rsid w:val="008671AB"/>
    <w:rsid w:val="00867CEC"/>
    <w:rsid w:val="00871716"/>
    <w:rsid w:val="00871BF6"/>
    <w:rsid w:val="00871D61"/>
    <w:rsid w:val="00872284"/>
    <w:rsid w:val="0087276B"/>
    <w:rsid w:val="00872AB4"/>
    <w:rsid w:val="00873DC1"/>
    <w:rsid w:val="008747FC"/>
    <w:rsid w:val="008767CD"/>
    <w:rsid w:val="00876AB8"/>
    <w:rsid w:val="0088084C"/>
    <w:rsid w:val="00880FE1"/>
    <w:rsid w:val="00882661"/>
    <w:rsid w:val="00883546"/>
    <w:rsid w:val="00883CE4"/>
    <w:rsid w:val="008844CE"/>
    <w:rsid w:val="008844FB"/>
    <w:rsid w:val="008858FA"/>
    <w:rsid w:val="00887612"/>
    <w:rsid w:val="00890362"/>
    <w:rsid w:val="00890F0C"/>
    <w:rsid w:val="00890F68"/>
    <w:rsid w:val="0089131A"/>
    <w:rsid w:val="008948E1"/>
    <w:rsid w:val="00894FE0"/>
    <w:rsid w:val="00895D2C"/>
    <w:rsid w:val="00897B0A"/>
    <w:rsid w:val="008A1016"/>
    <w:rsid w:val="008A15AD"/>
    <w:rsid w:val="008A1D97"/>
    <w:rsid w:val="008A1E96"/>
    <w:rsid w:val="008A2C19"/>
    <w:rsid w:val="008A3242"/>
    <w:rsid w:val="008A3780"/>
    <w:rsid w:val="008A391F"/>
    <w:rsid w:val="008A50D4"/>
    <w:rsid w:val="008A679D"/>
    <w:rsid w:val="008A6DD1"/>
    <w:rsid w:val="008A7EA4"/>
    <w:rsid w:val="008A7F78"/>
    <w:rsid w:val="008B08F9"/>
    <w:rsid w:val="008B2348"/>
    <w:rsid w:val="008B26C2"/>
    <w:rsid w:val="008B443C"/>
    <w:rsid w:val="008B450E"/>
    <w:rsid w:val="008B4837"/>
    <w:rsid w:val="008B6D53"/>
    <w:rsid w:val="008B70C9"/>
    <w:rsid w:val="008B737E"/>
    <w:rsid w:val="008B7C88"/>
    <w:rsid w:val="008C0B71"/>
    <w:rsid w:val="008C1553"/>
    <w:rsid w:val="008C16BE"/>
    <w:rsid w:val="008C1E48"/>
    <w:rsid w:val="008C20ED"/>
    <w:rsid w:val="008C23E7"/>
    <w:rsid w:val="008C2AD7"/>
    <w:rsid w:val="008C3205"/>
    <w:rsid w:val="008C4DC2"/>
    <w:rsid w:val="008C6651"/>
    <w:rsid w:val="008C69A7"/>
    <w:rsid w:val="008C76DA"/>
    <w:rsid w:val="008D055B"/>
    <w:rsid w:val="008D176F"/>
    <w:rsid w:val="008D21CC"/>
    <w:rsid w:val="008D2957"/>
    <w:rsid w:val="008D33F2"/>
    <w:rsid w:val="008D372F"/>
    <w:rsid w:val="008D4289"/>
    <w:rsid w:val="008D48DD"/>
    <w:rsid w:val="008D6186"/>
    <w:rsid w:val="008D74A7"/>
    <w:rsid w:val="008D758F"/>
    <w:rsid w:val="008E37AB"/>
    <w:rsid w:val="008E51EC"/>
    <w:rsid w:val="008E535D"/>
    <w:rsid w:val="008E59C4"/>
    <w:rsid w:val="008F031E"/>
    <w:rsid w:val="008F14D0"/>
    <w:rsid w:val="008F24FE"/>
    <w:rsid w:val="008F2DCC"/>
    <w:rsid w:val="008F3842"/>
    <w:rsid w:val="008F4002"/>
    <w:rsid w:val="008F76EC"/>
    <w:rsid w:val="0090010B"/>
    <w:rsid w:val="0090070C"/>
    <w:rsid w:val="00901A9A"/>
    <w:rsid w:val="00902ADF"/>
    <w:rsid w:val="00903045"/>
    <w:rsid w:val="009058A5"/>
    <w:rsid w:val="00905BE6"/>
    <w:rsid w:val="0091057D"/>
    <w:rsid w:val="00914526"/>
    <w:rsid w:val="00914FC9"/>
    <w:rsid w:val="00915015"/>
    <w:rsid w:val="00916753"/>
    <w:rsid w:val="0092275E"/>
    <w:rsid w:val="00922B56"/>
    <w:rsid w:val="0092359F"/>
    <w:rsid w:val="00923FB1"/>
    <w:rsid w:val="00924181"/>
    <w:rsid w:val="009241D0"/>
    <w:rsid w:val="0092461D"/>
    <w:rsid w:val="00925AE6"/>
    <w:rsid w:val="009260C1"/>
    <w:rsid w:val="009276D0"/>
    <w:rsid w:val="00927CB9"/>
    <w:rsid w:val="00930497"/>
    <w:rsid w:val="00932C8A"/>
    <w:rsid w:val="00933E60"/>
    <w:rsid w:val="009355EE"/>
    <w:rsid w:val="009362C6"/>
    <w:rsid w:val="00936C05"/>
    <w:rsid w:val="009426BE"/>
    <w:rsid w:val="00942B3B"/>
    <w:rsid w:val="00942B7D"/>
    <w:rsid w:val="0094331D"/>
    <w:rsid w:val="009434D4"/>
    <w:rsid w:val="00945B54"/>
    <w:rsid w:val="009471AD"/>
    <w:rsid w:val="00950211"/>
    <w:rsid w:val="00950551"/>
    <w:rsid w:val="00950711"/>
    <w:rsid w:val="00953593"/>
    <w:rsid w:val="009536AB"/>
    <w:rsid w:val="00953E5E"/>
    <w:rsid w:val="00954943"/>
    <w:rsid w:val="00955313"/>
    <w:rsid w:val="0095787E"/>
    <w:rsid w:val="0096213C"/>
    <w:rsid w:val="009625F3"/>
    <w:rsid w:val="00962BA2"/>
    <w:rsid w:val="00964BDC"/>
    <w:rsid w:val="00965AE0"/>
    <w:rsid w:val="009663D6"/>
    <w:rsid w:val="00966CEE"/>
    <w:rsid w:val="0096705E"/>
    <w:rsid w:val="0096747D"/>
    <w:rsid w:val="0096752F"/>
    <w:rsid w:val="00967DC6"/>
    <w:rsid w:val="00967FFB"/>
    <w:rsid w:val="00970A51"/>
    <w:rsid w:val="00971359"/>
    <w:rsid w:val="00971E74"/>
    <w:rsid w:val="00973373"/>
    <w:rsid w:val="009744F1"/>
    <w:rsid w:val="0097615C"/>
    <w:rsid w:val="0097799C"/>
    <w:rsid w:val="009840B4"/>
    <w:rsid w:val="00984BE8"/>
    <w:rsid w:val="00985E0B"/>
    <w:rsid w:val="00986427"/>
    <w:rsid w:val="0098713E"/>
    <w:rsid w:val="00990146"/>
    <w:rsid w:val="009904EA"/>
    <w:rsid w:val="00990D13"/>
    <w:rsid w:val="009916F9"/>
    <w:rsid w:val="0099187B"/>
    <w:rsid w:val="00992015"/>
    <w:rsid w:val="00993225"/>
    <w:rsid w:val="00993D08"/>
    <w:rsid w:val="00993E77"/>
    <w:rsid w:val="00996C9E"/>
    <w:rsid w:val="009A1690"/>
    <w:rsid w:val="009A1B2E"/>
    <w:rsid w:val="009A1E31"/>
    <w:rsid w:val="009A2DAF"/>
    <w:rsid w:val="009A33F4"/>
    <w:rsid w:val="009A4D81"/>
    <w:rsid w:val="009A52F5"/>
    <w:rsid w:val="009A6216"/>
    <w:rsid w:val="009A662A"/>
    <w:rsid w:val="009B0982"/>
    <w:rsid w:val="009B117C"/>
    <w:rsid w:val="009B257C"/>
    <w:rsid w:val="009B2A62"/>
    <w:rsid w:val="009B38DE"/>
    <w:rsid w:val="009B39F6"/>
    <w:rsid w:val="009B7D0E"/>
    <w:rsid w:val="009B7D12"/>
    <w:rsid w:val="009C060D"/>
    <w:rsid w:val="009C0D91"/>
    <w:rsid w:val="009C5572"/>
    <w:rsid w:val="009C5B50"/>
    <w:rsid w:val="009C7027"/>
    <w:rsid w:val="009C77AE"/>
    <w:rsid w:val="009C7D28"/>
    <w:rsid w:val="009C7EDD"/>
    <w:rsid w:val="009D021F"/>
    <w:rsid w:val="009D0739"/>
    <w:rsid w:val="009D25D4"/>
    <w:rsid w:val="009D4C23"/>
    <w:rsid w:val="009D5113"/>
    <w:rsid w:val="009D57F2"/>
    <w:rsid w:val="009D6DE6"/>
    <w:rsid w:val="009D6ED0"/>
    <w:rsid w:val="009D7574"/>
    <w:rsid w:val="009D7808"/>
    <w:rsid w:val="009E07AF"/>
    <w:rsid w:val="009E2AA7"/>
    <w:rsid w:val="009E4C90"/>
    <w:rsid w:val="009E715D"/>
    <w:rsid w:val="009F5C8C"/>
    <w:rsid w:val="009F6A05"/>
    <w:rsid w:val="009F719D"/>
    <w:rsid w:val="009F766E"/>
    <w:rsid w:val="009F7ADE"/>
    <w:rsid w:val="00A000D8"/>
    <w:rsid w:val="00A00888"/>
    <w:rsid w:val="00A03BDA"/>
    <w:rsid w:val="00A0488A"/>
    <w:rsid w:val="00A048CF"/>
    <w:rsid w:val="00A063E8"/>
    <w:rsid w:val="00A0668B"/>
    <w:rsid w:val="00A067AA"/>
    <w:rsid w:val="00A06DB6"/>
    <w:rsid w:val="00A0733D"/>
    <w:rsid w:val="00A07898"/>
    <w:rsid w:val="00A10B10"/>
    <w:rsid w:val="00A1215A"/>
    <w:rsid w:val="00A12E8B"/>
    <w:rsid w:val="00A133EA"/>
    <w:rsid w:val="00A1378C"/>
    <w:rsid w:val="00A16272"/>
    <w:rsid w:val="00A20DEA"/>
    <w:rsid w:val="00A21883"/>
    <w:rsid w:val="00A21B91"/>
    <w:rsid w:val="00A225B5"/>
    <w:rsid w:val="00A2294F"/>
    <w:rsid w:val="00A254E4"/>
    <w:rsid w:val="00A25CBD"/>
    <w:rsid w:val="00A31DE8"/>
    <w:rsid w:val="00A32B22"/>
    <w:rsid w:val="00A33454"/>
    <w:rsid w:val="00A36021"/>
    <w:rsid w:val="00A37BC1"/>
    <w:rsid w:val="00A40B2A"/>
    <w:rsid w:val="00A44B51"/>
    <w:rsid w:val="00A44EBB"/>
    <w:rsid w:val="00A459CD"/>
    <w:rsid w:val="00A468CD"/>
    <w:rsid w:val="00A47208"/>
    <w:rsid w:val="00A47BE1"/>
    <w:rsid w:val="00A50259"/>
    <w:rsid w:val="00A520F1"/>
    <w:rsid w:val="00A5223E"/>
    <w:rsid w:val="00A52EDE"/>
    <w:rsid w:val="00A53CBC"/>
    <w:rsid w:val="00A60181"/>
    <w:rsid w:val="00A61730"/>
    <w:rsid w:val="00A61A92"/>
    <w:rsid w:val="00A61BEB"/>
    <w:rsid w:val="00A62615"/>
    <w:rsid w:val="00A64D3A"/>
    <w:rsid w:val="00A67BD1"/>
    <w:rsid w:val="00A67D35"/>
    <w:rsid w:val="00A70A8E"/>
    <w:rsid w:val="00A70FCB"/>
    <w:rsid w:val="00A736A2"/>
    <w:rsid w:val="00A74016"/>
    <w:rsid w:val="00A744B4"/>
    <w:rsid w:val="00A75457"/>
    <w:rsid w:val="00A80B4F"/>
    <w:rsid w:val="00A83415"/>
    <w:rsid w:val="00A83FE2"/>
    <w:rsid w:val="00A844AE"/>
    <w:rsid w:val="00A84976"/>
    <w:rsid w:val="00A85031"/>
    <w:rsid w:val="00A86331"/>
    <w:rsid w:val="00A867E2"/>
    <w:rsid w:val="00A869A3"/>
    <w:rsid w:val="00A86B39"/>
    <w:rsid w:val="00A8746C"/>
    <w:rsid w:val="00A87F02"/>
    <w:rsid w:val="00A918D0"/>
    <w:rsid w:val="00A93337"/>
    <w:rsid w:val="00A945D0"/>
    <w:rsid w:val="00A9507B"/>
    <w:rsid w:val="00A95A74"/>
    <w:rsid w:val="00A97F3E"/>
    <w:rsid w:val="00AA0919"/>
    <w:rsid w:val="00AA16C3"/>
    <w:rsid w:val="00AA1D30"/>
    <w:rsid w:val="00AA216C"/>
    <w:rsid w:val="00AA2744"/>
    <w:rsid w:val="00AA565B"/>
    <w:rsid w:val="00AA778D"/>
    <w:rsid w:val="00AB1C28"/>
    <w:rsid w:val="00AB1DEC"/>
    <w:rsid w:val="00AB2D22"/>
    <w:rsid w:val="00AB2EE2"/>
    <w:rsid w:val="00AB476D"/>
    <w:rsid w:val="00AB5608"/>
    <w:rsid w:val="00AB5B92"/>
    <w:rsid w:val="00AB5D2F"/>
    <w:rsid w:val="00AB65D2"/>
    <w:rsid w:val="00AB6A7A"/>
    <w:rsid w:val="00AB6F0C"/>
    <w:rsid w:val="00AB77DD"/>
    <w:rsid w:val="00AB783B"/>
    <w:rsid w:val="00AB7A7C"/>
    <w:rsid w:val="00AC0260"/>
    <w:rsid w:val="00AC0603"/>
    <w:rsid w:val="00AC07DD"/>
    <w:rsid w:val="00AC11A5"/>
    <w:rsid w:val="00AC1318"/>
    <w:rsid w:val="00AC407C"/>
    <w:rsid w:val="00AC57B4"/>
    <w:rsid w:val="00AC785F"/>
    <w:rsid w:val="00AD01D4"/>
    <w:rsid w:val="00AD0ED0"/>
    <w:rsid w:val="00AD1025"/>
    <w:rsid w:val="00AD2A6D"/>
    <w:rsid w:val="00AD4AF3"/>
    <w:rsid w:val="00AD635C"/>
    <w:rsid w:val="00AD746E"/>
    <w:rsid w:val="00AD75EC"/>
    <w:rsid w:val="00AD7C55"/>
    <w:rsid w:val="00AE01A4"/>
    <w:rsid w:val="00AE4075"/>
    <w:rsid w:val="00AE4C88"/>
    <w:rsid w:val="00AE6AF6"/>
    <w:rsid w:val="00AE746A"/>
    <w:rsid w:val="00AF02E9"/>
    <w:rsid w:val="00AF0661"/>
    <w:rsid w:val="00AF1112"/>
    <w:rsid w:val="00AF2445"/>
    <w:rsid w:val="00AF34CC"/>
    <w:rsid w:val="00AF4675"/>
    <w:rsid w:val="00AF47F4"/>
    <w:rsid w:val="00AF490E"/>
    <w:rsid w:val="00AF5586"/>
    <w:rsid w:val="00AF6633"/>
    <w:rsid w:val="00AF73C1"/>
    <w:rsid w:val="00B0035D"/>
    <w:rsid w:val="00B004A1"/>
    <w:rsid w:val="00B0303D"/>
    <w:rsid w:val="00B04B80"/>
    <w:rsid w:val="00B058FF"/>
    <w:rsid w:val="00B0721F"/>
    <w:rsid w:val="00B07421"/>
    <w:rsid w:val="00B103D0"/>
    <w:rsid w:val="00B10666"/>
    <w:rsid w:val="00B11211"/>
    <w:rsid w:val="00B11673"/>
    <w:rsid w:val="00B13A57"/>
    <w:rsid w:val="00B13E4C"/>
    <w:rsid w:val="00B16C0C"/>
    <w:rsid w:val="00B20546"/>
    <w:rsid w:val="00B20D0C"/>
    <w:rsid w:val="00B23A72"/>
    <w:rsid w:val="00B256A1"/>
    <w:rsid w:val="00B2588C"/>
    <w:rsid w:val="00B32F16"/>
    <w:rsid w:val="00B331C9"/>
    <w:rsid w:val="00B335E3"/>
    <w:rsid w:val="00B33E98"/>
    <w:rsid w:val="00B34E42"/>
    <w:rsid w:val="00B351E9"/>
    <w:rsid w:val="00B354A9"/>
    <w:rsid w:val="00B35B8A"/>
    <w:rsid w:val="00B36048"/>
    <w:rsid w:val="00B36354"/>
    <w:rsid w:val="00B369DB"/>
    <w:rsid w:val="00B411A4"/>
    <w:rsid w:val="00B43E6F"/>
    <w:rsid w:val="00B45790"/>
    <w:rsid w:val="00B4582E"/>
    <w:rsid w:val="00B46C6B"/>
    <w:rsid w:val="00B47AD1"/>
    <w:rsid w:val="00B50947"/>
    <w:rsid w:val="00B50AA0"/>
    <w:rsid w:val="00B52636"/>
    <w:rsid w:val="00B540DC"/>
    <w:rsid w:val="00B56D7D"/>
    <w:rsid w:val="00B57012"/>
    <w:rsid w:val="00B57315"/>
    <w:rsid w:val="00B57E2A"/>
    <w:rsid w:val="00B57F30"/>
    <w:rsid w:val="00B57FE0"/>
    <w:rsid w:val="00B603E7"/>
    <w:rsid w:val="00B60E38"/>
    <w:rsid w:val="00B62FB1"/>
    <w:rsid w:val="00B637FA"/>
    <w:rsid w:val="00B64369"/>
    <w:rsid w:val="00B65532"/>
    <w:rsid w:val="00B658A7"/>
    <w:rsid w:val="00B702EE"/>
    <w:rsid w:val="00B706A2"/>
    <w:rsid w:val="00B7078C"/>
    <w:rsid w:val="00B71CCA"/>
    <w:rsid w:val="00B7304F"/>
    <w:rsid w:val="00B73381"/>
    <w:rsid w:val="00B737D2"/>
    <w:rsid w:val="00B7709A"/>
    <w:rsid w:val="00B805A3"/>
    <w:rsid w:val="00B8327C"/>
    <w:rsid w:val="00B85C04"/>
    <w:rsid w:val="00B85E6B"/>
    <w:rsid w:val="00B86F37"/>
    <w:rsid w:val="00B8759F"/>
    <w:rsid w:val="00B923AB"/>
    <w:rsid w:val="00B9281A"/>
    <w:rsid w:val="00B947C3"/>
    <w:rsid w:val="00B9508C"/>
    <w:rsid w:val="00B972B9"/>
    <w:rsid w:val="00B97A0E"/>
    <w:rsid w:val="00BA0829"/>
    <w:rsid w:val="00BA2650"/>
    <w:rsid w:val="00BA2717"/>
    <w:rsid w:val="00BA4F1C"/>
    <w:rsid w:val="00BA5EEE"/>
    <w:rsid w:val="00BB0622"/>
    <w:rsid w:val="00BB0D04"/>
    <w:rsid w:val="00BB1BDD"/>
    <w:rsid w:val="00BB2155"/>
    <w:rsid w:val="00BB2446"/>
    <w:rsid w:val="00BB2E67"/>
    <w:rsid w:val="00BB2E8C"/>
    <w:rsid w:val="00BB45A4"/>
    <w:rsid w:val="00BB5D69"/>
    <w:rsid w:val="00BB7890"/>
    <w:rsid w:val="00BB7C64"/>
    <w:rsid w:val="00BC075C"/>
    <w:rsid w:val="00BC2BB6"/>
    <w:rsid w:val="00BC4657"/>
    <w:rsid w:val="00BC4D08"/>
    <w:rsid w:val="00BC6211"/>
    <w:rsid w:val="00BC7010"/>
    <w:rsid w:val="00BC73BB"/>
    <w:rsid w:val="00BD14CA"/>
    <w:rsid w:val="00BD3A27"/>
    <w:rsid w:val="00BD4027"/>
    <w:rsid w:val="00BD43A7"/>
    <w:rsid w:val="00BD5A8E"/>
    <w:rsid w:val="00BD7A07"/>
    <w:rsid w:val="00BE13CB"/>
    <w:rsid w:val="00BE2987"/>
    <w:rsid w:val="00BE2E0C"/>
    <w:rsid w:val="00BE5D13"/>
    <w:rsid w:val="00BE5D77"/>
    <w:rsid w:val="00BE5E64"/>
    <w:rsid w:val="00BE6F9A"/>
    <w:rsid w:val="00BF4EB0"/>
    <w:rsid w:val="00BF5982"/>
    <w:rsid w:val="00BF778E"/>
    <w:rsid w:val="00BF7F94"/>
    <w:rsid w:val="00C01BAE"/>
    <w:rsid w:val="00C01C3F"/>
    <w:rsid w:val="00C0257B"/>
    <w:rsid w:val="00C0301A"/>
    <w:rsid w:val="00C05561"/>
    <w:rsid w:val="00C056DF"/>
    <w:rsid w:val="00C07051"/>
    <w:rsid w:val="00C0771D"/>
    <w:rsid w:val="00C10D56"/>
    <w:rsid w:val="00C10DED"/>
    <w:rsid w:val="00C10FA9"/>
    <w:rsid w:val="00C11064"/>
    <w:rsid w:val="00C11A6F"/>
    <w:rsid w:val="00C1271A"/>
    <w:rsid w:val="00C127FB"/>
    <w:rsid w:val="00C131F9"/>
    <w:rsid w:val="00C13391"/>
    <w:rsid w:val="00C13ACB"/>
    <w:rsid w:val="00C1575A"/>
    <w:rsid w:val="00C1581D"/>
    <w:rsid w:val="00C15E22"/>
    <w:rsid w:val="00C15FAE"/>
    <w:rsid w:val="00C16774"/>
    <w:rsid w:val="00C17BFE"/>
    <w:rsid w:val="00C20D55"/>
    <w:rsid w:val="00C20FAF"/>
    <w:rsid w:val="00C23DD0"/>
    <w:rsid w:val="00C24A06"/>
    <w:rsid w:val="00C25202"/>
    <w:rsid w:val="00C257D6"/>
    <w:rsid w:val="00C27209"/>
    <w:rsid w:val="00C27785"/>
    <w:rsid w:val="00C314F2"/>
    <w:rsid w:val="00C3315B"/>
    <w:rsid w:val="00C3436F"/>
    <w:rsid w:val="00C35C0A"/>
    <w:rsid w:val="00C35E03"/>
    <w:rsid w:val="00C4094D"/>
    <w:rsid w:val="00C42451"/>
    <w:rsid w:val="00C44157"/>
    <w:rsid w:val="00C44186"/>
    <w:rsid w:val="00C443C0"/>
    <w:rsid w:val="00C453BE"/>
    <w:rsid w:val="00C457E3"/>
    <w:rsid w:val="00C45810"/>
    <w:rsid w:val="00C46BD4"/>
    <w:rsid w:val="00C50051"/>
    <w:rsid w:val="00C501CC"/>
    <w:rsid w:val="00C50BCC"/>
    <w:rsid w:val="00C50FB1"/>
    <w:rsid w:val="00C519ED"/>
    <w:rsid w:val="00C520B2"/>
    <w:rsid w:val="00C5376B"/>
    <w:rsid w:val="00C53DBE"/>
    <w:rsid w:val="00C55979"/>
    <w:rsid w:val="00C569DB"/>
    <w:rsid w:val="00C576B0"/>
    <w:rsid w:val="00C57F31"/>
    <w:rsid w:val="00C60D65"/>
    <w:rsid w:val="00C62018"/>
    <w:rsid w:val="00C634DE"/>
    <w:rsid w:val="00C63877"/>
    <w:rsid w:val="00C638FB"/>
    <w:rsid w:val="00C643C5"/>
    <w:rsid w:val="00C66E24"/>
    <w:rsid w:val="00C66EBF"/>
    <w:rsid w:val="00C700B5"/>
    <w:rsid w:val="00C70C1D"/>
    <w:rsid w:val="00C721D9"/>
    <w:rsid w:val="00C735E9"/>
    <w:rsid w:val="00C7361A"/>
    <w:rsid w:val="00C7607B"/>
    <w:rsid w:val="00C76DD4"/>
    <w:rsid w:val="00C77CFB"/>
    <w:rsid w:val="00C80A54"/>
    <w:rsid w:val="00C80C66"/>
    <w:rsid w:val="00C8123C"/>
    <w:rsid w:val="00C82024"/>
    <w:rsid w:val="00C823BF"/>
    <w:rsid w:val="00C836CE"/>
    <w:rsid w:val="00C84875"/>
    <w:rsid w:val="00C850EF"/>
    <w:rsid w:val="00C86ABC"/>
    <w:rsid w:val="00C87196"/>
    <w:rsid w:val="00C87AB8"/>
    <w:rsid w:val="00C90BD9"/>
    <w:rsid w:val="00C9116B"/>
    <w:rsid w:val="00C93416"/>
    <w:rsid w:val="00C9411A"/>
    <w:rsid w:val="00C94C4C"/>
    <w:rsid w:val="00C9585A"/>
    <w:rsid w:val="00CA06DA"/>
    <w:rsid w:val="00CA1013"/>
    <w:rsid w:val="00CA1DF4"/>
    <w:rsid w:val="00CA34E4"/>
    <w:rsid w:val="00CA583B"/>
    <w:rsid w:val="00CA68C0"/>
    <w:rsid w:val="00CA7E93"/>
    <w:rsid w:val="00CB0315"/>
    <w:rsid w:val="00CB0927"/>
    <w:rsid w:val="00CB17D7"/>
    <w:rsid w:val="00CB1AE9"/>
    <w:rsid w:val="00CB1F9C"/>
    <w:rsid w:val="00CB26FF"/>
    <w:rsid w:val="00CB2A85"/>
    <w:rsid w:val="00CB3F46"/>
    <w:rsid w:val="00CB6D5C"/>
    <w:rsid w:val="00CB798C"/>
    <w:rsid w:val="00CC1969"/>
    <w:rsid w:val="00CC21AD"/>
    <w:rsid w:val="00CC390E"/>
    <w:rsid w:val="00CC4843"/>
    <w:rsid w:val="00CC58EB"/>
    <w:rsid w:val="00CC5B19"/>
    <w:rsid w:val="00CD0505"/>
    <w:rsid w:val="00CD0C31"/>
    <w:rsid w:val="00CD16D9"/>
    <w:rsid w:val="00CD18BD"/>
    <w:rsid w:val="00CD2F8B"/>
    <w:rsid w:val="00CD33A5"/>
    <w:rsid w:val="00CD3B01"/>
    <w:rsid w:val="00CD44BD"/>
    <w:rsid w:val="00CD7B30"/>
    <w:rsid w:val="00CE031B"/>
    <w:rsid w:val="00CE1089"/>
    <w:rsid w:val="00CE1224"/>
    <w:rsid w:val="00CE4AF8"/>
    <w:rsid w:val="00CE63A3"/>
    <w:rsid w:val="00CE73E8"/>
    <w:rsid w:val="00CF0003"/>
    <w:rsid w:val="00CF0FDF"/>
    <w:rsid w:val="00CF129C"/>
    <w:rsid w:val="00CF1F8F"/>
    <w:rsid w:val="00CF2B86"/>
    <w:rsid w:val="00CF2CA5"/>
    <w:rsid w:val="00CF2D5E"/>
    <w:rsid w:val="00CF4B40"/>
    <w:rsid w:val="00CF650F"/>
    <w:rsid w:val="00CF6562"/>
    <w:rsid w:val="00CF78A2"/>
    <w:rsid w:val="00D00DA1"/>
    <w:rsid w:val="00D018CB"/>
    <w:rsid w:val="00D01EC3"/>
    <w:rsid w:val="00D02A76"/>
    <w:rsid w:val="00D03574"/>
    <w:rsid w:val="00D04F36"/>
    <w:rsid w:val="00D06C9B"/>
    <w:rsid w:val="00D07CF0"/>
    <w:rsid w:val="00D1012C"/>
    <w:rsid w:val="00D1059C"/>
    <w:rsid w:val="00D10D59"/>
    <w:rsid w:val="00D124A4"/>
    <w:rsid w:val="00D12D68"/>
    <w:rsid w:val="00D13600"/>
    <w:rsid w:val="00D140EB"/>
    <w:rsid w:val="00D15076"/>
    <w:rsid w:val="00D153F0"/>
    <w:rsid w:val="00D222E2"/>
    <w:rsid w:val="00D22A43"/>
    <w:rsid w:val="00D23621"/>
    <w:rsid w:val="00D252CC"/>
    <w:rsid w:val="00D2647B"/>
    <w:rsid w:val="00D273BC"/>
    <w:rsid w:val="00D274A7"/>
    <w:rsid w:val="00D2765E"/>
    <w:rsid w:val="00D307F8"/>
    <w:rsid w:val="00D3302E"/>
    <w:rsid w:val="00D3328A"/>
    <w:rsid w:val="00D35FDA"/>
    <w:rsid w:val="00D43206"/>
    <w:rsid w:val="00D43CDA"/>
    <w:rsid w:val="00D44A89"/>
    <w:rsid w:val="00D45421"/>
    <w:rsid w:val="00D45577"/>
    <w:rsid w:val="00D45615"/>
    <w:rsid w:val="00D458E8"/>
    <w:rsid w:val="00D45C87"/>
    <w:rsid w:val="00D47F9B"/>
    <w:rsid w:val="00D52AFD"/>
    <w:rsid w:val="00D54738"/>
    <w:rsid w:val="00D54CEC"/>
    <w:rsid w:val="00D552FB"/>
    <w:rsid w:val="00D560CA"/>
    <w:rsid w:val="00D576E4"/>
    <w:rsid w:val="00D57979"/>
    <w:rsid w:val="00D61230"/>
    <w:rsid w:val="00D62918"/>
    <w:rsid w:val="00D62955"/>
    <w:rsid w:val="00D63EF1"/>
    <w:rsid w:val="00D64383"/>
    <w:rsid w:val="00D67611"/>
    <w:rsid w:val="00D67C49"/>
    <w:rsid w:val="00D709D7"/>
    <w:rsid w:val="00D7125B"/>
    <w:rsid w:val="00D74677"/>
    <w:rsid w:val="00D74CE5"/>
    <w:rsid w:val="00D76C1C"/>
    <w:rsid w:val="00D775CF"/>
    <w:rsid w:val="00D8066C"/>
    <w:rsid w:val="00D8066E"/>
    <w:rsid w:val="00D80828"/>
    <w:rsid w:val="00D938DB"/>
    <w:rsid w:val="00D94002"/>
    <w:rsid w:val="00D946DC"/>
    <w:rsid w:val="00D94D58"/>
    <w:rsid w:val="00DA0007"/>
    <w:rsid w:val="00DA1521"/>
    <w:rsid w:val="00DA1533"/>
    <w:rsid w:val="00DA3267"/>
    <w:rsid w:val="00DA5E66"/>
    <w:rsid w:val="00DA7AD3"/>
    <w:rsid w:val="00DA7CB9"/>
    <w:rsid w:val="00DA7EE4"/>
    <w:rsid w:val="00DB044A"/>
    <w:rsid w:val="00DB0799"/>
    <w:rsid w:val="00DB1915"/>
    <w:rsid w:val="00DB2243"/>
    <w:rsid w:val="00DB280B"/>
    <w:rsid w:val="00DB2BF9"/>
    <w:rsid w:val="00DB30B4"/>
    <w:rsid w:val="00DB38A5"/>
    <w:rsid w:val="00DB4813"/>
    <w:rsid w:val="00DB6377"/>
    <w:rsid w:val="00DB70A5"/>
    <w:rsid w:val="00DB7B91"/>
    <w:rsid w:val="00DB7D2E"/>
    <w:rsid w:val="00DC13A5"/>
    <w:rsid w:val="00DC181F"/>
    <w:rsid w:val="00DC33B2"/>
    <w:rsid w:val="00DC4193"/>
    <w:rsid w:val="00DC52AA"/>
    <w:rsid w:val="00DD23DF"/>
    <w:rsid w:val="00DD2B0D"/>
    <w:rsid w:val="00DD412F"/>
    <w:rsid w:val="00DD5207"/>
    <w:rsid w:val="00DD5456"/>
    <w:rsid w:val="00DD65C6"/>
    <w:rsid w:val="00DD6652"/>
    <w:rsid w:val="00DD69F3"/>
    <w:rsid w:val="00DD6D3F"/>
    <w:rsid w:val="00DD6D86"/>
    <w:rsid w:val="00DD7AAB"/>
    <w:rsid w:val="00DD7B39"/>
    <w:rsid w:val="00DE07CD"/>
    <w:rsid w:val="00DE1B48"/>
    <w:rsid w:val="00DE1F84"/>
    <w:rsid w:val="00DE2B15"/>
    <w:rsid w:val="00DE4C3C"/>
    <w:rsid w:val="00DE527C"/>
    <w:rsid w:val="00DE53BA"/>
    <w:rsid w:val="00DE5FAF"/>
    <w:rsid w:val="00DE6180"/>
    <w:rsid w:val="00DE696D"/>
    <w:rsid w:val="00DE7A10"/>
    <w:rsid w:val="00DF3077"/>
    <w:rsid w:val="00DF36A0"/>
    <w:rsid w:val="00DF410C"/>
    <w:rsid w:val="00DF4689"/>
    <w:rsid w:val="00DF4856"/>
    <w:rsid w:val="00DF5358"/>
    <w:rsid w:val="00DF5AAD"/>
    <w:rsid w:val="00DF66C0"/>
    <w:rsid w:val="00DF6AED"/>
    <w:rsid w:val="00E00718"/>
    <w:rsid w:val="00E009AC"/>
    <w:rsid w:val="00E03414"/>
    <w:rsid w:val="00E066A2"/>
    <w:rsid w:val="00E077E0"/>
    <w:rsid w:val="00E0780B"/>
    <w:rsid w:val="00E07EAE"/>
    <w:rsid w:val="00E10AC8"/>
    <w:rsid w:val="00E11653"/>
    <w:rsid w:val="00E13094"/>
    <w:rsid w:val="00E13117"/>
    <w:rsid w:val="00E14012"/>
    <w:rsid w:val="00E172F5"/>
    <w:rsid w:val="00E17B1E"/>
    <w:rsid w:val="00E17FCD"/>
    <w:rsid w:val="00E20EA2"/>
    <w:rsid w:val="00E22C71"/>
    <w:rsid w:val="00E22F84"/>
    <w:rsid w:val="00E23509"/>
    <w:rsid w:val="00E23927"/>
    <w:rsid w:val="00E24245"/>
    <w:rsid w:val="00E24981"/>
    <w:rsid w:val="00E24F4B"/>
    <w:rsid w:val="00E25481"/>
    <w:rsid w:val="00E25FED"/>
    <w:rsid w:val="00E275EE"/>
    <w:rsid w:val="00E3080B"/>
    <w:rsid w:val="00E32211"/>
    <w:rsid w:val="00E328B0"/>
    <w:rsid w:val="00E331E7"/>
    <w:rsid w:val="00E3337F"/>
    <w:rsid w:val="00E334F6"/>
    <w:rsid w:val="00E33903"/>
    <w:rsid w:val="00E339F0"/>
    <w:rsid w:val="00E35CD8"/>
    <w:rsid w:val="00E374C2"/>
    <w:rsid w:val="00E40134"/>
    <w:rsid w:val="00E40C41"/>
    <w:rsid w:val="00E4281F"/>
    <w:rsid w:val="00E42D4E"/>
    <w:rsid w:val="00E42DB5"/>
    <w:rsid w:val="00E43091"/>
    <w:rsid w:val="00E43105"/>
    <w:rsid w:val="00E44361"/>
    <w:rsid w:val="00E451BB"/>
    <w:rsid w:val="00E4583E"/>
    <w:rsid w:val="00E45BD8"/>
    <w:rsid w:val="00E46263"/>
    <w:rsid w:val="00E467D1"/>
    <w:rsid w:val="00E46A3E"/>
    <w:rsid w:val="00E4710C"/>
    <w:rsid w:val="00E47781"/>
    <w:rsid w:val="00E55228"/>
    <w:rsid w:val="00E56193"/>
    <w:rsid w:val="00E56AC1"/>
    <w:rsid w:val="00E60EBD"/>
    <w:rsid w:val="00E61F07"/>
    <w:rsid w:val="00E62921"/>
    <w:rsid w:val="00E62E56"/>
    <w:rsid w:val="00E63717"/>
    <w:rsid w:val="00E63B60"/>
    <w:rsid w:val="00E646BD"/>
    <w:rsid w:val="00E6514F"/>
    <w:rsid w:val="00E65BD2"/>
    <w:rsid w:val="00E662CA"/>
    <w:rsid w:val="00E664AB"/>
    <w:rsid w:val="00E667E4"/>
    <w:rsid w:val="00E66BB3"/>
    <w:rsid w:val="00E66DD0"/>
    <w:rsid w:val="00E701DA"/>
    <w:rsid w:val="00E704B7"/>
    <w:rsid w:val="00E70B46"/>
    <w:rsid w:val="00E7134D"/>
    <w:rsid w:val="00E721CB"/>
    <w:rsid w:val="00E72769"/>
    <w:rsid w:val="00E72773"/>
    <w:rsid w:val="00E729AF"/>
    <w:rsid w:val="00E7325F"/>
    <w:rsid w:val="00E73978"/>
    <w:rsid w:val="00E76106"/>
    <w:rsid w:val="00E76387"/>
    <w:rsid w:val="00E7657F"/>
    <w:rsid w:val="00E803A5"/>
    <w:rsid w:val="00E81952"/>
    <w:rsid w:val="00E81C87"/>
    <w:rsid w:val="00E8357F"/>
    <w:rsid w:val="00E84209"/>
    <w:rsid w:val="00E847EE"/>
    <w:rsid w:val="00E866DD"/>
    <w:rsid w:val="00E86D24"/>
    <w:rsid w:val="00E910FF"/>
    <w:rsid w:val="00E914FA"/>
    <w:rsid w:val="00E9151C"/>
    <w:rsid w:val="00E92BEC"/>
    <w:rsid w:val="00E93372"/>
    <w:rsid w:val="00E93F19"/>
    <w:rsid w:val="00E946C4"/>
    <w:rsid w:val="00E958FA"/>
    <w:rsid w:val="00E95954"/>
    <w:rsid w:val="00E9721A"/>
    <w:rsid w:val="00E97A0B"/>
    <w:rsid w:val="00E97B2C"/>
    <w:rsid w:val="00EA1783"/>
    <w:rsid w:val="00EA23A3"/>
    <w:rsid w:val="00EA284C"/>
    <w:rsid w:val="00EA30CF"/>
    <w:rsid w:val="00EA3B29"/>
    <w:rsid w:val="00EA3F55"/>
    <w:rsid w:val="00EA4072"/>
    <w:rsid w:val="00EA4B6A"/>
    <w:rsid w:val="00EA5700"/>
    <w:rsid w:val="00EA7410"/>
    <w:rsid w:val="00EA7D33"/>
    <w:rsid w:val="00EB08FB"/>
    <w:rsid w:val="00EB2C69"/>
    <w:rsid w:val="00EB48B2"/>
    <w:rsid w:val="00EB5349"/>
    <w:rsid w:val="00EB6206"/>
    <w:rsid w:val="00EC3157"/>
    <w:rsid w:val="00EC3529"/>
    <w:rsid w:val="00EC3F83"/>
    <w:rsid w:val="00EC4145"/>
    <w:rsid w:val="00EC498B"/>
    <w:rsid w:val="00EC4B74"/>
    <w:rsid w:val="00EC5E09"/>
    <w:rsid w:val="00EC6061"/>
    <w:rsid w:val="00ED13F9"/>
    <w:rsid w:val="00ED19FF"/>
    <w:rsid w:val="00ED1F3F"/>
    <w:rsid w:val="00ED46AE"/>
    <w:rsid w:val="00ED4B33"/>
    <w:rsid w:val="00ED63FD"/>
    <w:rsid w:val="00ED684B"/>
    <w:rsid w:val="00ED6F7A"/>
    <w:rsid w:val="00ED7B96"/>
    <w:rsid w:val="00ED7CA1"/>
    <w:rsid w:val="00EE13EE"/>
    <w:rsid w:val="00EE1CDA"/>
    <w:rsid w:val="00EE5478"/>
    <w:rsid w:val="00EE7157"/>
    <w:rsid w:val="00EE7825"/>
    <w:rsid w:val="00EE7F01"/>
    <w:rsid w:val="00EF0261"/>
    <w:rsid w:val="00EF2A57"/>
    <w:rsid w:val="00EF5117"/>
    <w:rsid w:val="00EF5D35"/>
    <w:rsid w:val="00EF695F"/>
    <w:rsid w:val="00EF71B7"/>
    <w:rsid w:val="00EF7B60"/>
    <w:rsid w:val="00F0099F"/>
    <w:rsid w:val="00F03EDC"/>
    <w:rsid w:val="00F04D0C"/>
    <w:rsid w:val="00F04E25"/>
    <w:rsid w:val="00F04E56"/>
    <w:rsid w:val="00F05080"/>
    <w:rsid w:val="00F06B83"/>
    <w:rsid w:val="00F07EC6"/>
    <w:rsid w:val="00F07F15"/>
    <w:rsid w:val="00F13094"/>
    <w:rsid w:val="00F1472C"/>
    <w:rsid w:val="00F15336"/>
    <w:rsid w:val="00F15D83"/>
    <w:rsid w:val="00F16354"/>
    <w:rsid w:val="00F166FF"/>
    <w:rsid w:val="00F17082"/>
    <w:rsid w:val="00F21CFC"/>
    <w:rsid w:val="00F21FFC"/>
    <w:rsid w:val="00F22849"/>
    <w:rsid w:val="00F23488"/>
    <w:rsid w:val="00F235F1"/>
    <w:rsid w:val="00F23BF2"/>
    <w:rsid w:val="00F25500"/>
    <w:rsid w:val="00F257B8"/>
    <w:rsid w:val="00F25A0B"/>
    <w:rsid w:val="00F26DE0"/>
    <w:rsid w:val="00F27F09"/>
    <w:rsid w:val="00F30355"/>
    <w:rsid w:val="00F30875"/>
    <w:rsid w:val="00F33D2B"/>
    <w:rsid w:val="00F36560"/>
    <w:rsid w:val="00F36DFF"/>
    <w:rsid w:val="00F36E9F"/>
    <w:rsid w:val="00F3756E"/>
    <w:rsid w:val="00F40AAF"/>
    <w:rsid w:val="00F41701"/>
    <w:rsid w:val="00F443D4"/>
    <w:rsid w:val="00F4464B"/>
    <w:rsid w:val="00F4470C"/>
    <w:rsid w:val="00F457D9"/>
    <w:rsid w:val="00F4631C"/>
    <w:rsid w:val="00F4766C"/>
    <w:rsid w:val="00F477AF"/>
    <w:rsid w:val="00F5007D"/>
    <w:rsid w:val="00F51FF7"/>
    <w:rsid w:val="00F54043"/>
    <w:rsid w:val="00F541E7"/>
    <w:rsid w:val="00F56503"/>
    <w:rsid w:val="00F56E12"/>
    <w:rsid w:val="00F602A3"/>
    <w:rsid w:val="00F60BE7"/>
    <w:rsid w:val="00F60D03"/>
    <w:rsid w:val="00F61D41"/>
    <w:rsid w:val="00F62E30"/>
    <w:rsid w:val="00F63124"/>
    <w:rsid w:val="00F63152"/>
    <w:rsid w:val="00F64E67"/>
    <w:rsid w:val="00F6671B"/>
    <w:rsid w:val="00F667E7"/>
    <w:rsid w:val="00F679D7"/>
    <w:rsid w:val="00F7175C"/>
    <w:rsid w:val="00F72775"/>
    <w:rsid w:val="00F72BE7"/>
    <w:rsid w:val="00F72DE3"/>
    <w:rsid w:val="00F730B9"/>
    <w:rsid w:val="00F73ABC"/>
    <w:rsid w:val="00F73CE8"/>
    <w:rsid w:val="00F763C4"/>
    <w:rsid w:val="00F76568"/>
    <w:rsid w:val="00F773AF"/>
    <w:rsid w:val="00F80A8B"/>
    <w:rsid w:val="00F80C1C"/>
    <w:rsid w:val="00F82465"/>
    <w:rsid w:val="00F82DC1"/>
    <w:rsid w:val="00F83252"/>
    <w:rsid w:val="00F84023"/>
    <w:rsid w:val="00F8422C"/>
    <w:rsid w:val="00F847B4"/>
    <w:rsid w:val="00F84D49"/>
    <w:rsid w:val="00F84D87"/>
    <w:rsid w:val="00F863FF"/>
    <w:rsid w:val="00F86415"/>
    <w:rsid w:val="00F87E86"/>
    <w:rsid w:val="00F904E9"/>
    <w:rsid w:val="00F90C99"/>
    <w:rsid w:val="00F913CC"/>
    <w:rsid w:val="00F9190B"/>
    <w:rsid w:val="00F91BF9"/>
    <w:rsid w:val="00F9319E"/>
    <w:rsid w:val="00F93893"/>
    <w:rsid w:val="00F94DB8"/>
    <w:rsid w:val="00F94F7D"/>
    <w:rsid w:val="00F96287"/>
    <w:rsid w:val="00F968B6"/>
    <w:rsid w:val="00F97A71"/>
    <w:rsid w:val="00FA0F47"/>
    <w:rsid w:val="00FA34A9"/>
    <w:rsid w:val="00FA6677"/>
    <w:rsid w:val="00FA7AFB"/>
    <w:rsid w:val="00FB128A"/>
    <w:rsid w:val="00FB3A1E"/>
    <w:rsid w:val="00FB505E"/>
    <w:rsid w:val="00FB7C31"/>
    <w:rsid w:val="00FC00ED"/>
    <w:rsid w:val="00FC113F"/>
    <w:rsid w:val="00FC31DF"/>
    <w:rsid w:val="00FC3252"/>
    <w:rsid w:val="00FC361D"/>
    <w:rsid w:val="00FC5178"/>
    <w:rsid w:val="00FC589B"/>
    <w:rsid w:val="00FC5B8C"/>
    <w:rsid w:val="00FC633C"/>
    <w:rsid w:val="00FC66A6"/>
    <w:rsid w:val="00FC6850"/>
    <w:rsid w:val="00FC6BF4"/>
    <w:rsid w:val="00FC7D43"/>
    <w:rsid w:val="00FC7ED6"/>
    <w:rsid w:val="00FD006E"/>
    <w:rsid w:val="00FD02C5"/>
    <w:rsid w:val="00FD084D"/>
    <w:rsid w:val="00FD2F1E"/>
    <w:rsid w:val="00FD3B7D"/>
    <w:rsid w:val="00FD40BA"/>
    <w:rsid w:val="00FD549D"/>
    <w:rsid w:val="00FD5DA9"/>
    <w:rsid w:val="00FD6612"/>
    <w:rsid w:val="00FD7FE2"/>
    <w:rsid w:val="00FE0B76"/>
    <w:rsid w:val="00FE0C8E"/>
    <w:rsid w:val="00FE1512"/>
    <w:rsid w:val="00FE2E0A"/>
    <w:rsid w:val="00FE30E8"/>
    <w:rsid w:val="00FE38BC"/>
    <w:rsid w:val="00FE5CCC"/>
    <w:rsid w:val="00FF05B5"/>
    <w:rsid w:val="00FF163B"/>
    <w:rsid w:val="00FF1952"/>
    <w:rsid w:val="00FF1A31"/>
    <w:rsid w:val="00FF287E"/>
    <w:rsid w:val="00FF2D9F"/>
    <w:rsid w:val="00FF4AC4"/>
    <w:rsid w:val="00FF7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FB107B0C-FA4A-4402-93D2-BFA47C60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AB"/>
    <w:rPr>
      <w:sz w:val="22"/>
      <w:lang w:val="it-IT" w:eastAsia="it-IT"/>
    </w:rPr>
  </w:style>
  <w:style w:type="paragraph" w:styleId="Heading1">
    <w:name w:val="heading 1"/>
    <w:basedOn w:val="Normal"/>
    <w:next w:val="Normal"/>
    <w:qFormat/>
    <w:pPr>
      <w:keepNext/>
      <w:tabs>
        <w:tab w:val="left" w:pos="567"/>
      </w:tabs>
      <w:spacing w:line="240" w:lineRule="atLeast"/>
      <w:jc w:val="both"/>
      <w:outlineLvl w:val="0"/>
    </w:pPr>
    <w:rPr>
      <w:i/>
    </w:rPr>
  </w:style>
  <w:style w:type="paragraph" w:styleId="Heading2">
    <w:name w:val="heading 2"/>
    <w:basedOn w:val="Normal"/>
    <w:next w:val="Normal"/>
    <w:qFormat/>
    <w:pPr>
      <w:keepNext/>
      <w:tabs>
        <w:tab w:val="left" w:pos="567"/>
      </w:tabs>
      <w:spacing w:line="240" w:lineRule="atLeast"/>
      <w:jc w:val="both"/>
      <w:outlineLvl w:val="1"/>
    </w:pPr>
    <w:rPr>
      <w:b/>
    </w:rPr>
  </w:style>
  <w:style w:type="paragraph" w:styleId="Heading3">
    <w:name w:val="heading 3"/>
    <w:basedOn w:val="Normal"/>
    <w:next w:val="Normal"/>
    <w:qFormat/>
    <w:pPr>
      <w:keepNext/>
      <w:outlineLvl w:val="2"/>
    </w:pPr>
    <w:rPr>
      <w:sz w:val="28"/>
      <w:u w:val="single"/>
    </w:rPr>
  </w:style>
  <w:style w:type="paragraph" w:styleId="Heading4">
    <w:name w:val="heading 4"/>
    <w:basedOn w:val="Normal"/>
    <w:next w:val="Normal"/>
    <w:qFormat/>
    <w:pPr>
      <w:keepNext/>
      <w:tabs>
        <w:tab w:val="left" w:pos="567"/>
      </w:tabs>
      <w:spacing w:line="240" w:lineRule="atLeast"/>
      <w:jc w:val="both"/>
      <w:outlineLvl w:val="3"/>
    </w:pPr>
    <w:rPr>
      <w:u w:val="single"/>
    </w:rPr>
  </w:style>
  <w:style w:type="paragraph" w:styleId="Heading5">
    <w:name w:val="heading 5"/>
    <w:basedOn w:val="Normal"/>
    <w:next w:val="Normal"/>
    <w:qFormat/>
    <w:pPr>
      <w:keepNext/>
      <w:tabs>
        <w:tab w:val="left" w:pos="567"/>
      </w:tabs>
      <w:spacing w:line="240" w:lineRule="atLeast"/>
      <w:jc w:val="both"/>
      <w:outlineLvl w:val="4"/>
    </w:pPr>
    <w:rPr>
      <w:b/>
      <w:u w:val="single"/>
    </w:rPr>
  </w:style>
  <w:style w:type="paragraph" w:styleId="Heading6">
    <w:name w:val="heading 6"/>
    <w:basedOn w:val="Normal"/>
    <w:next w:val="Normal"/>
    <w:qFormat/>
    <w:pPr>
      <w:keepNext/>
      <w:outlineLvl w:val="5"/>
    </w:pPr>
    <w:rPr>
      <w:u w:val="single"/>
      <w:lang w:val="de-DE"/>
    </w:rPr>
  </w:style>
  <w:style w:type="paragraph" w:styleId="Heading7">
    <w:name w:val="heading 7"/>
    <w:basedOn w:val="Normal"/>
    <w:next w:val="Normal"/>
    <w:qFormat/>
    <w:pPr>
      <w:keepNext/>
      <w:jc w:val="center"/>
      <w:outlineLvl w:val="6"/>
    </w:pPr>
    <w:rPr>
      <w:b/>
      <w:caps/>
      <w:noProof/>
      <w:u w:val="single"/>
    </w:rPr>
  </w:style>
  <w:style w:type="paragraph" w:styleId="Heading8">
    <w:name w:val="heading 8"/>
    <w:basedOn w:val="Normal"/>
    <w:next w:val="Normal"/>
    <w:qFormat/>
    <w:pPr>
      <w:keepNext/>
      <w:numPr>
        <w:numId w:val="3"/>
      </w:numPr>
      <w:jc w:val="center"/>
      <w:outlineLvl w:val="7"/>
    </w:pPr>
    <w:rPr>
      <w:b/>
      <w:lang w:val="de-DE"/>
    </w:rPr>
  </w:style>
  <w:style w:type="paragraph" w:styleId="Heading9">
    <w:name w:val="heading 9"/>
    <w:basedOn w:val="Normal"/>
    <w:next w:val="Normal"/>
    <w:qFormat/>
    <w:pPr>
      <w:keepNext/>
      <w:outlineLvl w:val="8"/>
    </w:pPr>
    <w:rPr>
      <w:b/>
      <w:u w:val="single"/>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er">
    <w:name w:val="footer"/>
    <w:basedOn w:val="Normal"/>
    <w:pPr>
      <w:tabs>
        <w:tab w:val="center" w:pos="4819"/>
        <w:tab w:val="right" w:pos="9071"/>
      </w:tabs>
    </w:pPr>
  </w:style>
  <w:style w:type="paragraph" w:styleId="FootnoteText">
    <w:name w:val="footnote text"/>
    <w:basedOn w:val="Normal"/>
    <w:link w:val="FootnoteTextChar"/>
    <w:rPr>
      <w:rFonts w:ascii="CG Times 12pt" w:hAnsi="CG Times 12pt"/>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customStyle="1" w:styleId="ZCom">
    <w:name w:val="Z_Com"/>
    <w:basedOn w:val="Normal"/>
    <w:next w:val="ZDGName"/>
    <w:pPr>
      <w:ind w:right="85"/>
      <w:jc w:val="both"/>
    </w:pPr>
    <w:rPr>
      <w:rFonts w:ascii="Arial" w:hAnsi="Arial"/>
      <w:lang w:val="da-DK"/>
    </w:rPr>
  </w:style>
  <w:style w:type="paragraph" w:customStyle="1" w:styleId="ZDGName">
    <w:name w:val="Z_DGName"/>
    <w:basedOn w:val="Normal"/>
    <w:pPr>
      <w:ind w:right="85"/>
      <w:jc w:val="both"/>
    </w:pPr>
    <w:rPr>
      <w:rFonts w:ascii="Arial" w:hAnsi="Arial"/>
      <w:sz w:val="16"/>
      <w:lang w:val="da-DK"/>
    </w:rPr>
  </w:style>
  <w:style w:type="paragraph" w:styleId="PlainText">
    <w:name w:val="Plain Text"/>
    <w:basedOn w:val="Normal"/>
    <w:rPr>
      <w:rFonts w:ascii="Courier New" w:hAnsi="Courier New"/>
      <w:sz w:val="20"/>
      <w:lang w:val="fr-FR"/>
    </w:rPr>
  </w:style>
  <w:style w:type="paragraph" w:customStyle="1" w:styleId="PCText2">
    <w:name w:val="PC Text 2"/>
    <w:basedOn w:val="Normal"/>
    <w:pPr>
      <w:tabs>
        <w:tab w:val="left" w:pos="720"/>
      </w:tabs>
      <w:jc w:val="center"/>
    </w:pPr>
    <w:rPr>
      <w:rFonts w:ascii="Swiss" w:hAnsi="Swiss"/>
      <w:b/>
      <w:lang w:val="en-GB"/>
    </w:rPr>
  </w:style>
  <w:style w:type="paragraph" w:styleId="BodyText3">
    <w:name w:val="Body Text 3"/>
    <w:basedOn w:val="Normal"/>
    <w:pPr>
      <w:jc w:val="both"/>
    </w:pPr>
    <w:rPr>
      <w:lang w:val="en-GB"/>
    </w:rPr>
  </w:style>
  <w:style w:type="paragraph" w:styleId="BodyTextIndent2">
    <w:name w:val="Body Text Indent 2"/>
    <w:basedOn w:val="Normal"/>
    <w:pPr>
      <w:tabs>
        <w:tab w:val="left" w:pos="567"/>
      </w:tabs>
      <w:spacing w:line="240" w:lineRule="atLeast"/>
      <w:ind w:left="567" w:hanging="567"/>
      <w:jc w:val="both"/>
    </w:pPr>
  </w:style>
  <w:style w:type="paragraph" w:styleId="BodyText2">
    <w:name w:val="Body Text 2"/>
    <w:basedOn w:val="Normal"/>
    <w:pPr>
      <w:tabs>
        <w:tab w:val="left" w:pos="567"/>
      </w:tabs>
      <w:ind w:left="567" w:hanging="567"/>
    </w:pPr>
  </w:style>
  <w:style w:type="paragraph" w:styleId="BodyText30">
    <w:name w:val="Body Text 3"/>
    <w:basedOn w:val="Normal"/>
    <w:pPr>
      <w:widowControl w:val="0"/>
    </w:pPr>
    <w:rPr>
      <w:lang w:val="de-DE"/>
    </w:rPr>
  </w:style>
  <w:style w:type="paragraph" w:styleId="BodyText20">
    <w:name w:val="Body Text 2"/>
    <w:basedOn w:val="Normal"/>
    <w:link w:val="BodyText2Char"/>
    <w:pPr>
      <w:tabs>
        <w:tab w:val="left" w:pos="567"/>
      </w:tabs>
      <w:spacing w:line="240" w:lineRule="atLeast"/>
      <w:jc w:val="both"/>
    </w:pPr>
  </w:style>
  <w:style w:type="paragraph" w:styleId="BodyText">
    <w:name w:val="Body Text"/>
    <w:basedOn w:val="Normal"/>
    <w:link w:val="BodyTextChar"/>
    <w:pPr>
      <w:pBdr>
        <w:top w:val="single" w:sz="4" w:space="1" w:color="auto"/>
        <w:left w:val="single" w:sz="4" w:space="4" w:color="auto"/>
        <w:bottom w:val="single" w:sz="4" w:space="1" w:color="auto"/>
        <w:right w:val="single" w:sz="4" w:space="4" w:color="auto"/>
      </w:pBdr>
    </w:pPr>
    <w:rPr>
      <w:lang w:val="de-DE"/>
    </w:rPr>
  </w:style>
  <w:style w:type="paragraph" w:styleId="BodyTextIndent20">
    <w:name w:val="Body Text Indent 2"/>
    <w:basedOn w:val="Normal"/>
    <w:pPr>
      <w:tabs>
        <w:tab w:val="left" w:pos="567"/>
      </w:tabs>
      <w:spacing w:line="240" w:lineRule="atLeast"/>
      <w:ind w:left="567" w:hanging="567"/>
      <w:jc w:val="both"/>
    </w:pPr>
  </w:style>
  <w:style w:type="paragraph" w:styleId="BodyTextIndent">
    <w:name w:val="Body Text Indent"/>
    <w:basedOn w:val="Normal"/>
    <w:link w:val="BodyTextIndentChar"/>
    <w:pPr>
      <w:tabs>
        <w:tab w:val="left" w:pos="567"/>
      </w:tabs>
      <w:ind w:left="567" w:hanging="567"/>
    </w:pPr>
  </w:style>
  <w:style w:type="paragraph" w:styleId="BodyTextIndent3">
    <w:name w:val="Body Text Indent 3"/>
    <w:basedOn w:val="Normal"/>
    <w:pPr>
      <w:tabs>
        <w:tab w:val="left" w:pos="567"/>
      </w:tabs>
      <w:ind w:left="567" w:hanging="567"/>
    </w:pPr>
    <w:rPr>
      <w:b/>
      <w:lang w:val="fr-FR"/>
    </w:rPr>
  </w:style>
  <w:style w:type="paragraph" w:customStyle="1" w:styleId="MemoHeaderStyle">
    <w:name w:val="MemoHeaderStyle"/>
    <w:basedOn w:val="Normal"/>
    <w:next w:val="Normal"/>
    <w:pPr>
      <w:spacing w:line="120" w:lineRule="atLeast"/>
      <w:ind w:left="1418"/>
      <w:jc w:val="both"/>
    </w:pPr>
    <w:rPr>
      <w:rFonts w:ascii="Arial" w:hAnsi="Arial"/>
      <w:b/>
      <w:smallCaps/>
      <w:snapToGrid w:val="0"/>
      <w:lang w:val="en-GB" w:eastAsia="en-US"/>
    </w:rPr>
  </w:style>
  <w:style w:type="paragraph" w:styleId="EndnoteText">
    <w:name w:val="endnote text"/>
    <w:basedOn w:val="Normal"/>
    <w:semiHidden/>
    <w:pPr>
      <w:widowControl w:val="0"/>
      <w:tabs>
        <w:tab w:val="left" w:pos="567"/>
      </w:tabs>
    </w:pPr>
    <w:rPr>
      <w:rFonts w:ascii="Times" w:hAnsi="Times"/>
      <w:lang w:eastAsia="en-US"/>
    </w:rPr>
  </w:style>
  <w:style w:type="paragraph" w:styleId="BalloonText">
    <w:name w:val="Balloon Text"/>
    <w:basedOn w:val="Normal"/>
    <w:semiHidden/>
    <w:rsid w:val="007B3BC3"/>
    <w:rPr>
      <w:rFonts w:ascii="Tahoma" w:hAnsi="Tahoma" w:cs="Tahoma"/>
      <w:sz w:val="16"/>
      <w:szCs w:val="16"/>
    </w:rPr>
  </w:style>
  <w:style w:type="table" w:styleId="TableGrid">
    <w:name w:val="Table Grid"/>
    <w:basedOn w:val="TableNormal"/>
    <w:rsid w:val="007B3BC3"/>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648EA"/>
    <w:rPr>
      <w:color w:val="0000FF"/>
      <w:u w:val="single"/>
    </w:rPr>
  </w:style>
  <w:style w:type="character" w:styleId="CommentReference">
    <w:name w:val="annotation reference"/>
    <w:semiHidden/>
    <w:rsid w:val="001535D3"/>
    <w:rPr>
      <w:sz w:val="16"/>
      <w:szCs w:val="16"/>
    </w:rPr>
  </w:style>
  <w:style w:type="paragraph" w:styleId="CommentText">
    <w:name w:val="annotation text"/>
    <w:basedOn w:val="Normal"/>
    <w:link w:val="CommentTextChar"/>
    <w:semiHidden/>
    <w:rsid w:val="001535D3"/>
    <w:pPr>
      <w:tabs>
        <w:tab w:val="left" w:pos="567"/>
      </w:tabs>
      <w:spacing w:line="260" w:lineRule="exact"/>
    </w:pPr>
    <w:rPr>
      <w:sz w:val="20"/>
      <w:lang w:val="en-GB" w:eastAsia="en-US"/>
    </w:rPr>
  </w:style>
  <w:style w:type="paragraph" w:styleId="DocumentMap">
    <w:name w:val="Document Map"/>
    <w:basedOn w:val="Normal"/>
    <w:semiHidden/>
    <w:rsid w:val="00637023"/>
    <w:pPr>
      <w:shd w:val="clear" w:color="auto" w:fill="000080"/>
    </w:pPr>
    <w:rPr>
      <w:rFonts w:ascii="Tahoma" w:hAnsi="Tahoma" w:cs="Tahoma"/>
    </w:rPr>
  </w:style>
  <w:style w:type="character" w:customStyle="1" w:styleId="BodyText2Char">
    <w:name w:val="Body Text 2 Char"/>
    <w:link w:val="BodyText20"/>
    <w:rsid w:val="00080319"/>
    <w:rPr>
      <w:sz w:val="22"/>
      <w:lang w:val="it-IT" w:eastAsia="it-IT" w:bidi="ar-SA"/>
    </w:rPr>
  </w:style>
  <w:style w:type="paragraph" w:styleId="BlockText">
    <w:name w:val="Block Text"/>
    <w:basedOn w:val="Normal"/>
    <w:rsid w:val="00CC390E"/>
    <w:pPr>
      <w:tabs>
        <w:tab w:val="left" w:pos="2657"/>
      </w:tabs>
      <w:spacing w:before="120"/>
      <w:ind w:left="-37" w:right="-28"/>
    </w:pPr>
    <w:rPr>
      <w:lang w:val="en-GB" w:eastAsia="en-US"/>
    </w:rPr>
  </w:style>
  <w:style w:type="paragraph" w:styleId="Caption">
    <w:name w:val="caption"/>
    <w:basedOn w:val="Normal"/>
    <w:next w:val="Normal"/>
    <w:qFormat/>
    <w:rsid w:val="00C57F31"/>
    <w:pPr>
      <w:spacing w:before="120" w:after="120"/>
    </w:pPr>
    <w:rPr>
      <w:b/>
      <w:sz w:val="24"/>
      <w:lang w:val="en-GB" w:eastAsia="en-US"/>
    </w:rPr>
  </w:style>
  <w:style w:type="paragraph" w:customStyle="1" w:styleId="ListParagraph1">
    <w:name w:val="List Paragraph1"/>
    <w:basedOn w:val="Normal"/>
    <w:uiPriority w:val="34"/>
    <w:qFormat/>
    <w:rsid w:val="00BF778E"/>
    <w:pPr>
      <w:ind w:left="708"/>
    </w:pPr>
  </w:style>
  <w:style w:type="paragraph" w:customStyle="1" w:styleId="EMEABodyText">
    <w:name w:val="EMEA Body Text"/>
    <w:basedOn w:val="Normal"/>
    <w:rsid w:val="00D06C9B"/>
    <w:rPr>
      <w:rFonts w:eastAsia="SimSun"/>
      <w:snapToGrid w:val="0"/>
      <w:lang w:val="en-GB" w:eastAsia="zh-CN"/>
    </w:rPr>
  </w:style>
  <w:style w:type="paragraph" w:customStyle="1" w:styleId="HeadNoNum1">
    <w:name w:val="HeadNoNum1"/>
    <w:next w:val="Normal"/>
    <w:rsid w:val="008E37AB"/>
    <w:pPr>
      <w:suppressAutoHyphens/>
      <w:ind w:left="567" w:hanging="567"/>
    </w:pPr>
    <w:rPr>
      <w:b/>
      <w:noProof/>
      <w:sz w:val="22"/>
      <w:lang w:eastAsia="en-US"/>
    </w:rPr>
  </w:style>
  <w:style w:type="paragraph" w:customStyle="1" w:styleId="QRD1">
    <w:name w:val="QRD1"/>
    <w:basedOn w:val="Normal"/>
    <w:link w:val="QRD1Zchn"/>
    <w:qFormat/>
    <w:rsid w:val="009C7EDD"/>
    <w:pPr>
      <w:jc w:val="center"/>
      <w:outlineLvl w:val="0"/>
    </w:pPr>
    <w:rPr>
      <w:b/>
      <w:szCs w:val="22"/>
    </w:rPr>
  </w:style>
  <w:style w:type="paragraph" w:customStyle="1" w:styleId="QRD2">
    <w:name w:val="QRD2"/>
    <w:basedOn w:val="Normal"/>
    <w:link w:val="QRD2Zchn"/>
    <w:qFormat/>
    <w:rsid w:val="009C7EDD"/>
    <w:pPr>
      <w:ind w:left="567" w:hanging="567"/>
      <w:outlineLvl w:val="0"/>
    </w:pPr>
    <w:rPr>
      <w:b/>
      <w:color w:val="000000"/>
      <w:szCs w:val="22"/>
    </w:rPr>
  </w:style>
  <w:style w:type="character" w:customStyle="1" w:styleId="QRD1Zchn">
    <w:name w:val="QRD1 Zchn"/>
    <w:link w:val="QRD1"/>
    <w:rsid w:val="009C7EDD"/>
    <w:rPr>
      <w:b/>
      <w:sz w:val="22"/>
      <w:szCs w:val="22"/>
      <w:lang w:val="it-IT" w:eastAsia="it-IT" w:bidi="ar-SA"/>
    </w:rPr>
  </w:style>
  <w:style w:type="paragraph" w:customStyle="1" w:styleId="BodytextAgency">
    <w:name w:val="Body text (Agency)"/>
    <w:basedOn w:val="Normal"/>
    <w:link w:val="BodytextAgencyChar"/>
    <w:rsid w:val="0027006E"/>
    <w:pPr>
      <w:spacing w:after="140" w:line="280" w:lineRule="atLeast"/>
    </w:pPr>
    <w:rPr>
      <w:rFonts w:ascii="Verdana" w:hAnsi="Verdana"/>
      <w:sz w:val="18"/>
      <w:lang w:val="x-none" w:eastAsia="fr-LU"/>
    </w:rPr>
  </w:style>
  <w:style w:type="character" w:customStyle="1" w:styleId="QRD2Zchn">
    <w:name w:val="QRD2 Zchn"/>
    <w:link w:val="QRD2"/>
    <w:rsid w:val="009C7EDD"/>
    <w:rPr>
      <w:b/>
      <w:color w:val="000000"/>
      <w:sz w:val="22"/>
      <w:szCs w:val="22"/>
      <w:lang w:val="it-IT" w:eastAsia="it-IT" w:bidi="ar-SA"/>
    </w:rPr>
  </w:style>
  <w:style w:type="paragraph" w:customStyle="1" w:styleId="No-numheading1Agency">
    <w:name w:val="No-num heading 1 (Agency)"/>
    <w:basedOn w:val="Normal"/>
    <w:next w:val="BodytextAgency"/>
    <w:rsid w:val="0027006E"/>
    <w:pPr>
      <w:keepNext/>
      <w:spacing w:before="280" w:after="220"/>
      <w:outlineLvl w:val="0"/>
    </w:pPr>
    <w:rPr>
      <w:rFonts w:ascii="Verdana" w:hAnsi="Verdana"/>
      <w:b/>
      <w:kern w:val="32"/>
      <w:sz w:val="27"/>
      <w:lang w:val="en-GB" w:eastAsia="fr-LU"/>
    </w:rPr>
  </w:style>
  <w:style w:type="paragraph" w:customStyle="1" w:styleId="No-numheading2Agency">
    <w:name w:val="No-num heading 2 (Agency)"/>
    <w:basedOn w:val="Normal"/>
    <w:next w:val="BodytextAgency"/>
    <w:rsid w:val="0027006E"/>
    <w:pPr>
      <w:keepNext/>
      <w:spacing w:before="280" w:after="220"/>
      <w:outlineLvl w:val="1"/>
    </w:pPr>
    <w:rPr>
      <w:rFonts w:ascii="Verdana" w:hAnsi="Verdana"/>
      <w:b/>
      <w:i/>
      <w:kern w:val="32"/>
      <w:lang w:val="en-GB" w:eastAsia="fr-LU"/>
    </w:rPr>
  </w:style>
  <w:style w:type="paragraph" w:customStyle="1" w:styleId="NormalAgency">
    <w:name w:val="Normal (Agency)"/>
    <w:link w:val="NormalAgencyChar"/>
    <w:rsid w:val="0027006E"/>
    <w:rPr>
      <w:rFonts w:ascii="Verdana" w:hAnsi="Verdana"/>
      <w:sz w:val="18"/>
      <w:lang w:val="it-IT" w:eastAsia="fr-LU"/>
    </w:rPr>
  </w:style>
  <w:style w:type="character" w:customStyle="1" w:styleId="NormalAgencyChar">
    <w:name w:val="Normal (Agency) Char"/>
    <w:link w:val="NormalAgency"/>
    <w:rsid w:val="0027006E"/>
    <w:rPr>
      <w:rFonts w:ascii="Verdana" w:hAnsi="Verdana"/>
      <w:sz w:val="18"/>
      <w:lang w:eastAsia="fr-LU" w:bidi="ar-SA"/>
    </w:rPr>
  </w:style>
  <w:style w:type="character" w:customStyle="1" w:styleId="BodytextAgencyChar">
    <w:name w:val="Body text (Agency) Char"/>
    <w:link w:val="BodytextAgency"/>
    <w:rsid w:val="0027006E"/>
    <w:rPr>
      <w:rFonts w:ascii="Verdana" w:hAnsi="Verdana"/>
      <w:sz w:val="18"/>
      <w:lang w:eastAsia="fr-LU"/>
    </w:rPr>
  </w:style>
  <w:style w:type="character" w:customStyle="1" w:styleId="FootnoteTextChar">
    <w:name w:val="Footnote Text Char"/>
    <w:link w:val="FootnoteText"/>
    <w:rsid w:val="0027006E"/>
    <w:rPr>
      <w:rFonts w:ascii="CG Times 12pt" w:hAnsi="CG Times 12pt"/>
      <w:sz w:val="22"/>
      <w:lang w:val="it-IT" w:eastAsia="it-IT"/>
    </w:rPr>
  </w:style>
  <w:style w:type="paragraph" w:customStyle="1" w:styleId="news-date">
    <w:name w:val="news-date"/>
    <w:basedOn w:val="Normal"/>
    <w:rsid w:val="0027006E"/>
    <w:pPr>
      <w:spacing w:before="100" w:beforeAutospacing="1" w:after="100" w:afterAutospacing="1"/>
    </w:pPr>
    <w:rPr>
      <w:sz w:val="24"/>
      <w:lang w:val="en-GB" w:eastAsia="fr-LU"/>
    </w:rPr>
  </w:style>
  <w:style w:type="paragraph" w:styleId="NormalWeb">
    <w:name w:val="Normal (Web)"/>
    <w:basedOn w:val="Normal"/>
    <w:uiPriority w:val="99"/>
    <w:unhideWhenUsed/>
    <w:rsid w:val="009B7D0E"/>
    <w:pPr>
      <w:spacing w:before="100" w:beforeAutospacing="1" w:after="100" w:afterAutospacing="1"/>
    </w:pPr>
    <w:rPr>
      <w:sz w:val="24"/>
      <w:szCs w:val="24"/>
      <w:lang w:eastAsia="zh-CN" w:bidi="th-TH"/>
    </w:rPr>
  </w:style>
  <w:style w:type="paragraph" w:styleId="Revision">
    <w:name w:val="Revision"/>
    <w:hidden/>
    <w:uiPriority w:val="99"/>
    <w:semiHidden/>
    <w:rsid w:val="00513F80"/>
    <w:rPr>
      <w:sz w:val="22"/>
      <w:lang w:val="it-IT" w:eastAsia="it-IT"/>
    </w:rPr>
  </w:style>
  <w:style w:type="paragraph" w:styleId="CommentSubject">
    <w:name w:val="annotation subject"/>
    <w:basedOn w:val="CommentText"/>
    <w:next w:val="CommentText"/>
    <w:link w:val="CommentSubjectChar"/>
    <w:uiPriority w:val="99"/>
    <w:semiHidden/>
    <w:unhideWhenUsed/>
    <w:rsid w:val="00B335E3"/>
    <w:pPr>
      <w:tabs>
        <w:tab w:val="clear" w:pos="567"/>
      </w:tabs>
      <w:spacing w:line="240" w:lineRule="auto"/>
    </w:pPr>
    <w:rPr>
      <w:b/>
      <w:bCs/>
      <w:lang w:val="it-IT" w:eastAsia="it-IT"/>
    </w:rPr>
  </w:style>
  <w:style w:type="character" w:customStyle="1" w:styleId="CommentTextChar">
    <w:name w:val="Comment Text Char"/>
    <w:link w:val="CommentText"/>
    <w:semiHidden/>
    <w:rsid w:val="00B335E3"/>
    <w:rPr>
      <w:lang w:val="en-GB" w:eastAsia="en-US"/>
    </w:rPr>
  </w:style>
  <w:style w:type="character" w:customStyle="1" w:styleId="CommentSubjectChar">
    <w:name w:val="Comment Subject Char"/>
    <w:link w:val="CommentSubject"/>
    <w:uiPriority w:val="99"/>
    <w:semiHidden/>
    <w:rsid w:val="00B335E3"/>
    <w:rPr>
      <w:b/>
      <w:bCs/>
      <w:lang w:val="it-IT" w:eastAsia="it-IT"/>
    </w:rPr>
  </w:style>
  <w:style w:type="character" w:styleId="FollowedHyperlink">
    <w:name w:val="FollowedHyperlink"/>
    <w:uiPriority w:val="99"/>
    <w:semiHidden/>
    <w:unhideWhenUsed/>
    <w:rsid w:val="005F5740"/>
    <w:rPr>
      <w:color w:val="800080"/>
      <w:u w:val="single"/>
    </w:rPr>
  </w:style>
  <w:style w:type="paragraph" w:customStyle="1" w:styleId="Default">
    <w:name w:val="Default"/>
    <w:rsid w:val="00F82465"/>
    <w:pPr>
      <w:autoSpaceDE w:val="0"/>
      <w:autoSpaceDN w:val="0"/>
      <w:adjustRightInd w:val="0"/>
    </w:pPr>
    <w:rPr>
      <w:rFonts w:ascii="Verdana" w:hAnsi="Verdana" w:cs="Verdana"/>
      <w:color w:val="000000"/>
      <w:sz w:val="24"/>
      <w:szCs w:val="24"/>
      <w:lang w:val="it-IT" w:eastAsia="it-IT"/>
    </w:rPr>
  </w:style>
  <w:style w:type="paragraph" w:styleId="TableofFigures">
    <w:name w:val="table of figures"/>
    <w:basedOn w:val="Normal"/>
    <w:next w:val="Normal"/>
    <w:uiPriority w:val="99"/>
    <w:semiHidden/>
    <w:unhideWhenUsed/>
    <w:rsid w:val="002A215B"/>
  </w:style>
  <w:style w:type="paragraph" w:styleId="Salutation">
    <w:name w:val="Salutation"/>
    <w:basedOn w:val="Normal"/>
    <w:next w:val="Normal"/>
    <w:link w:val="SalutationChar"/>
    <w:uiPriority w:val="99"/>
    <w:semiHidden/>
    <w:unhideWhenUsed/>
    <w:rsid w:val="002A215B"/>
  </w:style>
  <w:style w:type="character" w:customStyle="1" w:styleId="SalutationChar">
    <w:name w:val="Salutation Char"/>
    <w:link w:val="Salutation"/>
    <w:uiPriority w:val="99"/>
    <w:semiHidden/>
    <w:rsid w:val="002A215B"/>
    <w:rPr>
      <w:sz w:val="22"/>
      <w:lang w:val="it-IT" w:eastAsia="it-IT"/>
    </w:rPr>
  </w:style>
  <w:style w:type="paragraph" w:styleId="ListBullet">
    <w:name w:val="List Bullet"/>
    <w:basedOn w:val="Normal"/>
    <w:uiPriority w:val="99"/>
    <w:semiHidden/>
    <w:unhideWhenUsed/>
    <w:rsid w:val="002A215B"/>
    <w:pPr>
      <w:numPr>
        <w:numId w:val="32"/>
      </w:numPr>
      <w:contextualSpacing/>
    </w:pPr>
  </w:style>
  <w:style w:type="paragraph" w:styleId="ListBullet2">
    <w:name w:val="List Bullet 2"/>
    <w:basedOn w:val="Normal"/>
    <w:uiPriority w:val="99"/>
    <w:semiHidden/>
    <w:unhideWhenUsed/>
    <w:rsid w:val="002A215B"/>
    <w:pPr>
      <w:numPr>
        <w:numId w:val="33"/>
      </w:numPr>
      <w:contextualSpacing/>
    </w:pPr>
  </w:style>
  <w:style w:type="paragraph" w:styleId="ListBullet3">
    <w:name w:val="List Bullet 3"/>
    <w:basedOn w:val="Normal"/>
    <w:uiPriority w:val="99"/>
    <w:semiHidden/>
    <w:unhideWhenUsed/>
    <w:rsid w:val="002A215B"/>
    <w:pPr>
      <w:numPr>
        <w:numId w:val="34"/>
      </w:numPr>
      <w:contextualSpacing/>
    </w:pPr>
  </w:style>
  <w:style w:type="paragraph" w:styleId="ListBullet4">
    <w:name w:val="List Bullet 4"/>
    <w:basedOn w:val="Normal"/>
    <w:uiPriority w:val="99"/>
    <w:semiHidden/>
    <w:unhideWhenUsed/>
    <w:rsid w:val="002A215B"/>
    <w:pPr>
      <w:numPr>
        <w:numId w:val="35"/>
      </w:numPr>
      <w:contextualSpacing/>
    </w:pPr>
  </w:style>
  <w:style w:type="paragraph" w:styleId="ListBullet5">
    <w:name w:val="List Bullet 5"/>
    <w:basedOn w:val="Normal"/>
    <w:uiPriority w:val="99"/>
    <w:semiHidden/>
    <w:unhideWhenUsed/>
    <w:rsid w:val="002A215B"/>
    <w:pPr>
      <w:numPr>
        <w:numId w:val="36"/>
      </w:numPr>
      <w:contextualSpacing/>
    </w:pPr>
  </w:style>
  <w:style w:type="paragraph" w:styleId="Date">
    <w:name w:val="Date"/>
    <w:basedOn w:val="Normal"/>
    <w:next w:val="Normal"/>
    <w:link w:val="DateChar"/>
    <w:uiPriority w:val="99"/>
    <w:semiHidden/>
    <w:unhideWhenUsed/>
    <w:rsid w:val="002A215B"/>
  </w:style>
  <w:style w:type="character" w:customStyle="1" w:styleId="DateChar">
    <w:name w:val="Date Char"/>
    <w:link w:val="Date"/>
    <w:uiPriority w:val="99"/>
    <w:semiHidden/>
    <w:rsid w:val="002A215B"/>
    <w:rPr>
      <w:sz w:val="22"/>
      <w:lang w:val="it-IT" w:eastAsia="it-IT"/>
    </w:rPr>
  </w:style>
  <w:style w:type="paragraph" w:styleId="E-mailSignature">
    <w:name w:val="E-mail Signature"/>
    <w:basedOn w:val="Normal"/>
    <w:link w:val="E-mailSignatureChar"/>
    <w:uiPriority w:val="99"/>
    <w:semiHidden/>
    <w:unhideWhenUsed/>
    <w:rsid w:val="002A215B"/>
  </w:style>
  <w:style w:type="character" w:customStyle="1" w:styleId="E-mailSignatureChar">
    <w:name w:val="E-mail Signature Char"/>
    <w:link w:val="E-mailSignature"/>
    <w:uiPriority w:val="99"/>
    <w:semiHidden/>
    <w:rsid w:val="002A215B"/>
    <w:rPr>
      <w:sz w:val="22"/>
      <w:lang w:val="it-IT" w:eastAsia="it-IT"/>
    </w:rPr>
  </w:style>
  <w:style w:type="paragraph" w:styleId="NoteHeading">
    <w:name w:val="Note Heading"/>
    <w:basedOn w:val="Normal"/>
    <w:next w:val="Normal"/>
    <w:link w:val="NoteHeadingChar"/>
    <w:uiPriority w:val="99"/>
    <w:semiHidden/>
    <w:unhideWhenUsed/>
    <w:rsid w:val="002A215B"/>
  </w:style>
  <w:style w:type="character" w:customStyle="1" w:styleId="NoteHeadingChar">
    <w:name w:val="Note Heading Char"/>
    <w:link w:val="NoteHeading"/>
    <w:uiPriority w:val="99"/>
    <w:semiHidden/>
    <w:rsid w:val="002A215B"/>
    <w:rPr>
      <w:sz w:val="22"/>
      <w:lang w:val="it-IT" w:eastAsia="it-IT"/>
    </w:rPr>
  </w:style>
  <w:style w:type="paragraph" w:styleId="Closing">
    <w:name w:val="Closing"/>
    <w:basedOn w:val="Normal"/>
    <w:link w:val="ClosingChar"/>
    <w:uiPriority w:val="99"/>
    <w:semiHidden/>
    <w:unhideWhenUsed/>
    <w:rsid w:val="002A215B"/>
    <w:pPr>
      <w:ind w:left="4252"/>
    </w:pPr>
  </w:style>
  <w:style w:type="character" w:customStyle="1" w:styleId="ClosingChar">
    <w:name w:val="Closing Char"/>
    <w:link w:val="Closing"/>
    <w:uiPriority w:val="99"/>
    <w:semiHidden/>
    <w:rsid w:val="002A215B"/>
    <w:rPr>
      <w:sz w:val="22"/>
      <w:lang w:val="it-IT" w:eastAsia="it-IT"/>
    </w:rPr>
  </w:style>
  <w:style w:type="paragraph" w:styleId="HTMLAddress">
    <w:name w:val="HTML Address"/>
    <w:basedOn w:val="Normal"/>
    <w:link w:val="HTMLAddressChar"/>
    <w:uiPriority w:val="99"/>
    <w:semiHidden/>
    <w:unhideWhenUsed/>
    <w:rsid w:val="002A215B"/>
    <w:rPr>
      <w:i/>
      <w:iCs/>
    </w:rPr>
  </w:style>
  <w:style w:type="character" w:customStyle="1" w:styleId="HTMLAddressChar">
    <w:name w:val="HTML Address Char"/>
    <w:link w:val="HTMLAddress"/>
    <w:uiPriority w:val="99"/>
    <w:semiHidden/>
    <w:rsid w:val="002A215B"/>
    <w:rPr>
      <w:i/>
      <w:iCs/>
      <w:sz w:val="22"/>
      <w:lang w:val="it-IT" w:eastAsia="it-IT"/>
    </w:rPr>
  </w:style>
  <w:style w:type="paragraph" w:styleId="HTMLPreformatted">
    <w:name w:val="HTML Preformatted"/>
    <w:basedOn w:val="Normal"/>
    <w:link w:val="HTMLPreformattedChar"/>
    <w:uiPriority w:val="99"/>
    <w:semiHidden/>
    <w:unhideWhenUsed/>
    <w:rsid w:val="002A215B"/>
    <w:rPr>
      <w:rFonts w:ascii="Courier New" w:hAnsi="Courier New" w:cs="Courier New"/>
      <w:sz w:val="20"/>
    </w:rPr>
  </w:style>
  <w:style w:type="character" w:customStyle="1" w:styleId="HTMLPreformattedChar">
    <w:name w:val="HTML Preformatted Char"/>
    <w:link w:val="HTMLPreformatted"/>
    <w:uiPriority w:val="99"/>
    <w:semiHidden/>
    <w:rsid w:val="002A215B"/>
    <w:rPr>
      <w:rFonts w:ascii="Courier New" w:hAnsi="Courier New" w:cs="Courier New"/>
      <w:lang w:val="it-IT" w:eastAsia="it-IT"/>
    </w:rPr>
  </w:style>
  <w:style w:type="paragraph" w:styleId="Index1">
    <w:name w:val="index 1"/>
    <w:basedOn w:val="Normal"/>
    <w:next w:val="Normal"/>
    <w:autoRedefine/>
    <w:uiPriority w:val="99"/>
    <w:semiHidden/>
    <w:unhideWhenUsed/>
    <w:rsid w:val="002A215B"/>
    <w:pPr>
      <w:ind w:left="220" w:hanging="220"/>
    </w:pPr>
  </w:style>
  <w:style w:type="paragraph" w:styleId="Index2">
    <w:name w:val="index 2"/>
    <w:basedOn w:val="Normal"/>
    <w:next w:val="Normal"/>
    <w:autoRedefine/>
    <w:uiPriority w:val="99"/>
    <w:semiHidden/>
    <w:unhideWhenUsed/>
    <w:rsid w:val="002A215B"/>
    <w:pPr>
      <w:ind w:left="440" w:hanging="220"/>
    </w:pPr>
  </w:style>
  <w:style w:type="paragraph" w:styleId="Index3">
    <w:name w:val="index 3"/>
    <w:basedOn w:val="Normal"/>
    <w:next w:val="Normal"/>
    <w:autoRedefine/>
    <w:uiPriority w:val="99"/>
    <w:semiHidden/>
    <w:unhideWhenUsed/>
    <w:rsid w:val="002A215B"/>
    <w:pPr>
      <w:ind w:left="660" w:hanging="220"/>
    </w:pPr>
  </w:style>
  <w:style w:type="paragraph" w:styleId="Index4">
    <w:name w:val="index 4"/>
    <w:basedOn w:val="Normal"/>
    <w:next w:val="Normal"/>
    <w:autoRedefine/>
    <w:uiPriority w:val="99"/>
    <w:semiHidden/>
    <w:unhideWhenUsed/>
    <w:rsid w:val="002A215B"/>
    <w:pPr>
      <w:ind w:left="880" w:hanging="220"/>
    </w:pPr>
  </w:style>
  <w:style w:type="paragraph" w:styleId="Index5">
    <w:name w:val="index 5"/>
    <w:basedOn w:val="Normal"/>
    <w:next w:val="Normal"/>
    <w:autoRedefine/>
    <w:uiPriority w:val="99"/>
    <w:semiHidden/>
    <w:unhideWhenUsed/>
    <w:rsid w:val="002A215B"/>
    <w:pPr>
      <w:ind w:left="1100" w:hanging="220"/>
    </w:pPr>
  </w:style>
  <w:style w:type="paragraph" w:styleId="Index6">
    <w:name w:val="index 6"/>
    <w:basedOn w:val="Normal"/>
    <w:next w:val="Normal"/>
    <w:autoRedefine/>
    <w:uiPriority w:val="99"/>
    <w:semiHidden/>
    <w:unhideWhenUsed/>
    <w:rsid w:val="002A215B"/>
    <w:pPr>
      <w:ind w:left="1320" w:hanging="220"/>
    </w:pPr>
  </w:style>
  <w:style w:type="paragraph" w:styleId="Index7">
    <w:name w:val="index 7"/>
    <w:basedOn w:val="Normal"/>
    <w:next w:val="Normal"/>
    <w:autoRedefine/>
    <w:uiPriority w:val="99"/>
    <w:semiHidden/>
    <w:unhideWhenUsed/>
    <w:rsid w:val="002A215B"/>
    <w:pPr>
      <w:ind w:left="1540" w:hanging="220"/>
    </w:pPr>
  </w:style>
  <w:style w:type="paragraph" w:styleId="Index8">
    <w:name w:val="index 8"/>
    <w:basedOn w:val="Normal"/>
    <w:next w:val="Normal"/>
    <w:autoRedefine/>
    <w:uiPriority w:val="99"/>
    <w:semiHidden/>
    <w:unhideWhenUsed/>
    <w:rsid w:val="002A215B"/>
    <w:pPr>
      <w:ind w:left="1760" w:hanging="220"/>
    </w:pPr>
  </w:style>
  <w:style w:type="paragraph" w:styleId="Index9">
    <w:name w:val="index 9"/>
    <w:basedOn w:val="Normal"/>
    <w:next w:val="Normal"/>
    <w:autoRedefine/>
    <w:uiPriority w:val="99"/>
    <w:semiHidden/>
    <w:unhideWhenUsed/>
    <w:rsid w:val="002A215B"/>
    <w:pPr>
      <w:ind w:left="1980" w:hanging="220"/>
    </w:pPr>
  </w:style>
  <w:style w:type="paragraph" w:styleId="IndexHeading">
    <w:name w:val="index heading"/>
    <w:basedOn w:val="Normal"/>
    <w:next w:val="Index1"/>
    <w:uiPriority w:val="99"/>
    <w:semiHidden/>
    <w:unhideWhenUsed/>
    <w:rsid w:val="002A215B"/>
    <w:rPr>
      <w:rFonts w:ascii="Cambria" w:eastAsia="SimSun" w:hAnsi="Cambria"/>
      <w:b/>
      <w:bCs/>
    </w:rPr>
  </w:style>
  <w:style w:type="paragraph" w:styleId="TOCHeading">
    <w:name w:val="TOC Heading"/>
    <w:basedOn w:val="Heading1"/>
    <w:next w:val="Normal"/>
    <w:uiPriority w:val="39"/>
    <w:semiHidden/>
    <w:unhideWhenUsed/>
    <w:qFormat/>
    <w:rsid w:val="002A215B"/>
    <w:pPr>
      <w:tabs>
        <w:tab w:val="clear" w:pos="567"/>
      </w:tabs>
      <w:spacing w:before="240" w:after="60" w:line="240" w:lineRule="auto"/>
      <w:jc w:val="left"/>
      <w:outlineLvl w:val="9"/>
    </w:pPr>
    <w:rPr>
      <w:rFonts w:ascii="Cambria" w:eastAsia="SimSun" w:hAnsi="Cambria"/>
      <w:b/>
      <w:bCs/>
      <w:i w:val="0"/>
      <w:kern w:val="32"/>
      <w:sz w:val="32"/>
      <w:szCs w:val="32"/>
    </w:rPr>
  </w:style>
  <w:style w:type="paragraph" w:styleId="IntenseQuote">
    <w:name w:val="Intense Quote"/>
    <w:basedOn w:val="Normal"/>
    <w:next w:val="Normal"/>
    <w:link w:val="IntenseQuoteChar"/>
    <w:uiPriority w:val="30"/>
    <w:qFormat/>
    <w:rsid w:val="002A21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215B"/>
    <w:rPr>
      <w:b/>
      <w:bCs/>
      <w:i/>
      <w:iCs/>
      <w:color w:val="4F81BD"/>
      <w:sz w:val="22"/>
      <w:lang w:val="it-IT" w:eastAsia="it-IT"/>
    </w:rPr>
  </w:style>
  <w:style w:type="paragraph" w:styleId="NoSpacing">
    <w:name w:val="No Spacing"/>
    <w:uiPriority w:val="1"/>
    <w:qFormat/>
    <w:rsid w:val="002A215B"/>
    <w:rPr>
      <w:sz w:val="22"/>
      <w:lang w:val="it-IT" w:eastAsia="it-IT"/>
    </w:rPr>
  </w:style>
  <w:style w:type="paragraph" w:styleId="List">
    <w:name w:val="List"/>
    <w:basedOn w:val="Normal"/>
    <w:uiPriority w:val="99"/>
    <w:semiHidden/>
    <w:unhideWhenUsed/>
    <w:rsid w:val="002A215B"/>
    <w:pPr>
      <w:ind w:left="283" w:hanging="283"/>
      <w:contextualSpacing/>
    </w:pPr>
  </w:style>
  <w:style w:type="paragraph" w:styleId="List2">
    <w:name w:val="List 2"/>
    <w:basedOn w:val="Normal"/>
    <w:uiPriority w:val="99"/>
    <w:semiHidden/>
    <w:unhideWhenUsed/>
    <w:rsid w:val="002A215B"/>
    <w:pPr>
      <w:ind w:left="566" w:hanging="283"/>
      <w:contextualSpacing/>
    </w:pPr>
  </w:style>
  <w:style w:type="paragraph" w:styleId="List3">
    <w:name w:val="List 3"/>
    <w:basedOn w:val="Normal"/>
    <w:uiPriority w:val="99"/>
    <w:semiHidden/>
    <w:unhideWhenUsed/>
    <w:rsid w:val="002A215B"/>
    <w:pPr>
      <w:ind w:left="849" w:hanging="283"/>
      <w:contextualSpacing/>
    </w:pPr>
  </w:style>
  <w:style w:type="paragraph" w:styleId="List4">
    <w:name w:val="List 4"/>
    <w:basedOn w:val="Normal"/>
    <w:uiPriority w:val="99"/>
    <w:semiHidden/>
    <w:unhideWhenUsed/>
    <w:rsid w:val="002A215B"/>
    <w:pPr>
      <w:ind w:left="1132" w:hanging="283"/>
      <w:contextualSpacing/>
    </w:pPr>
  </w:style>
  <w:style w:type="paragraph" w:styleId="List5">
    <w:name w:val="List 5"/>
    <w:basedOn w:val="Normal"/>
    <w:uiPriority w:val="99"/>
    <w:semiHidden/>
    <w:unhideWhenUsed/>
    <w:rsid w:val="002A215B"/>
    <w:pPr>
      <w:ind w:left="1415" w:hanging="283"/>
      <w:contextualSpacing/>
    </w:pPr>
  </w:style>
  <w:style w:type="paragraph" w:styleId="ListParagraph">
    <w:name w:val="List Paragraph"/>
    <w:basedOn w:val="Normal"/>
    <w:uiPriority w:val="34"/>
    <w:qFormat/>
    <w:rsid w:val="002A215B"/>
    <w:pPr>
      <w:ind w:left="708"/>
    </w:pPr>
  </w:style>
  <w:style w:type="paragraph" w:styleId="ListContinue">
    <w:name w:val="List Continue"/>
    <w:basedOn w:val="Normal"/>
    <w:uiPriority w:val="99"/>
    <w:semiHidden/>
    <w:unhideWhenUsed/>
    <w:rsid w:val="002A215B"/>
    <w:pPr>
      <w:spacing w:after="120"/>
      <w:ind w:left="283"/>
      <w:contextualSpacing/>
    </w:pPr>
  </w:style>
  <w:style w:type="paragraph" w:styleId="ListContinue2">
    <w:name w:val="List Continue 2"/>
    <w:basedOn w:val="Normal"/>
    <w:uiPriority w:val="99"/>
    <w:semiHidden/>
    <w:unhideWhenUsed/>
    <w:rsid w:val="002A215B"/>
    <w:pPr>
      <w:spacing w:after="120"/>
      <w:ind w:left="566"/>
      <w:contextualSpacing/>
    </w:pPr>
  </w:style>
  <w:style w:type="paragraph" w:styleId="ListContinue3">
    <w:name w:val="List Continue 3"/>
    <w:basedOn w:val="Normal"/>
    <w:uiPriority w:val="99"/>
    <w:semiHidden/>
    <w:unhideWhenUsed/>
    <w:rsid w:val="002A215B"/>
    <w:pPr>
      <w:spacing w:after="120"/>
      <w:ind w:left="849"/>
      <w:contextualSpacing/>
    </w:pPr>
  </w:style>
  <w:style w:type="paragraph" w:styleId="ListContinue4">
    <w:name w:val="List Continue 4"/>
    <w:basedOn w:val="Normal"/>
    <w:uiPriority w:val="99"/>
    <w:semiHidden/>
    <w:unhideWhenUsed/>
    <w:rsid w:val="002A215B"/>
    <w:pPr>
      <w:spacing w:after="120"/>
      <w:ind w:left="1132"/>
      <w:contextualSpacing/>
    </w:pPr>
  </w:style>
  <w:style w:type="paragraph" w:styleId="ListContinue5">
    <w:name w:val="List Continue 5"/>
    <w:basedOn w:val="Normal"/>
    <w:uiPriority w:val="99"/>
    <w:semiHidden/>
    <w:unhideWhenUsed/>
    <w:rsid w:val="002A215B"/>
    <w:pPr>
      <w:spacing w:after="120"/>
      <w:ind w:left="1415"/>
      <w:contextualSpacing/>
    </w:pPr>
  </w:style>
  <w:style w:type="paragraph" w:styleId="ListNumber">
    <w:name w:val="List Number"/>
    <w:basedOn w:val="Normal"/>
    <w:uiPriority w:val="99"/>
    <w:semiHidden/>
    <w:unhideWhenUsed/>
    <w:rsid w:val="002A215B"/>
    <w:pPr>
      <w:numPr>
        <w:numId w:val="37"/>
      </w:numPr>
      <w:contextualSpacing/>
    </w:pPr>
  </w:style>
  <w:style w:type="paragraph" w:styleId="ListNumber2">
    <w:name w:val="List Number 2"/>
    <w:basedOn w:val="Normal"/>
    <w:uiPriority w:val="99"/>
    <w:semiHidden/>
    <w:unhideWhenUsed/>
    <w:rsid w:val="002A215B"/>
    <w:pPr>
      <w:numPr>
        <w:numId w:val="38"/>
      </w:numPr>
      <w:contextualSpacing/>
    </w:pPr>
  </w:style>
  <w:style w:type="paragraph" w:styleId="ListNumber3">
    <w:name w:val="List Number 3"/>
    <w:basedOn w:val="Normal"/>
    <w:uiPriority w:val="99"/>
    <w:semiHidden/>
    <w:unhideWhenUsed/>
    <w:rsid w:val="002A215B"/>
    <w:pPr>
      <w:numPr>
        <w:numId w:val="39"/>
      </w:numPr>
      <w:contextualSpacing/>
    </w:pPr>
  </w:style>
  <w:style w:type="paragraph" w:styleId="ListNumber4">
    <w:name w:val="List Number 4"/>
    <w:basedOn w:val="Normal"/>
    <w:uiPriority w:val="99"/>
    <w:semiHidden/>
    <w:unhideWhenUsed/>
    <w:rsid w:val="002A215B"/>
    <w:pPr>
      <w:numPr>
        <w:numId w:val="40"/>
      </w:numPr>
      <w:contextualSpacing/>
    </w:pPr>
  </w:style>
  <w:style w:type="paragraph" w:styleId="ListNumber5">
    <w:name w:val="List Number 5"/>
    <w:basedOn w:val="Normal"/>
    <w:uiPriority w:val="99"/>
    <w:semiHidden/>
    <w:unhideWhenUsed/>
    <w:rsid w:val="002A215B"/>
    <w:pPr>
      <w:numPr>
        <w:numId w:val="41"/>
      </w:numPr>
      <w:contextualSpacing/>
    </w:pPr>
  </w:style>
  <w:style w:type="paragraph" w:styleId="Bibliography">
    <w:name w:val="Bibliography"/>
    <w:basedOn w:val="Normal"/>
    <w:next w:val="Normal"/>
    <w:uiPriority w:val="37"/>
    <w:semiHidden/>
    <w:unhideWhenUsed/>
    <w:rsid w:val="002A215B"/>
  </w:style>
  <w:style w:type="paragraph" w:styleId="MacroText">
    <w:name w:val="macro"/>
    <w:link w:val="MacroTextChar"/>
    <w:uiPriority w:val="99"/>
    <w:semiHidden/>
    <w:unhideWhenUsed/>
    <w:rsid w:val="002A21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it-IT" w:eastAsia="it-IT"/>
    </w:rPr>
  </w:style>
  <w:style w:type="character" w:customStyle="1" w:styleId="MacroTextChar">
    <w:name w:val="Macro Text Char"/>
    <w:link w:val="MacroText"/>
    <w:uiPriority w:val="99"/>
    <w:semiHidden/>
    <w:rsid w:val="002A215B"/>
    <w:rPr>
      <w:rFonts w:ascii="Courier New" w:hAnsi="Courier New" w:cs="Courier New"/>
      <w:lang w:val="it-IT" w:eastAsia="it-IT"/>
    </w:rPr>
  </w:style>
  <w:style w:type="paragraph" w:styleId="MessageHeader">
    <w:name w:val="Message Header"/>
    <w:basedOn w:val="Normal"/>
    <w:link w:val="MessageHeaderChar"/>
    <w:uiPriority w:val="99"/>
    <w:semiHidden/>
    <w:unhideWhenUsed/>
    <w:rsid w:val="002A215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MessageHeaderChar">
    <w:name w:val="Message Header Char"/>
    <w:link w:val="MessageHeader"/>
    <w:uiPriority w:val="99"/>
    <w:semiHidden/>
    <w:rsid w:val="002A215B"/>
    <w:rPr>
      <w:rFonts w:ascii="Cambria" w:eastAsia="SimSun" w:hAnsi="Cambria" w:cs="Times New Roman"/>
      <w:sz w:val="24"/>
      <w:szCs w:val="24"/>
      <w:shd w:val="pct20" w:color="auto" w:fill="auto"/>
      <w:lang w:val="it-IT" w:eastAsia="it-IT"/>
    </w:rPr>
  </w:style>
  <w:style w:type="paragraph" w:styleId="TableofAuthorities">
    <w:name w:val="table of authorities"/>
    <w:basedOn w:val="Normal"/>
    <w:next w:val="Normal"/>
    <w:uiPriority w:val="99"/>
    <w:semiHidden/>
    <w:unhideWhenUsed/>
    <w:rsid w:val="002A215B"/>
    <w:pPr>
      <w:ind w:left="220" w:hanging="220"/>
    </w:pPr>
  </w:style>
  <w:style w:type="paragraph" w:styleId="TOAHeading">
    <w:name w:val="toa heading"/>
    <w:basedOn w:val="Normal"/>
    <w:next w:val="Normal"/>
    <w:uiPriority w:val="99"/>
    <w:semiHidden/>
    <w:unhideWhenUsed/>
    <w:rsid w:val="002A215B"/>
    <w:pPr>
      <w:spacing w:before="120"/>
    </w:pPr>
    <w:rPr>
      <w:rFonts w:ascii="Cambria" w:eastAsia="SimSun" w:hAnsi="Cambria"/>
      <w:b/>
      <w:bCs/>
      <w:sz w:val="24"/>
      <w:szCs w:val="24"/>
    </w:rPr>
  </w:style>
  <w:style w:type="paragraph" w:styleId="NormalIndent">
    <w:name w:val="Normal Indent"/>
    <w:basedOn w:val="Normal"/>
    <w:uiPriority w:val="99"/>
    <w:semiHidden/>
    <w:unhideWhenUsed/>
    <w:rsid w:val="002A215B"/>
    <w:pPr>
      <w:ind w:left="708"/>
    </w:pPr>
  </w:style>
  <w:style w:type="paragraph" w:styleId="BodyTextFirstIndent">
    <w:name w:val="Body Text First Indent"/>
    <w:basedOn w:val="BodyText"/>
    <w:link w:val="BodyTextFirstIndentChar"/>
    <w:uiPriority w:val="99"/>
    <w:semiHidden/>
    <w:unhideWhenUsed/>
    <w:rsid w:val="002A215B"/>
    <w:pPr>
      <w:pBdr>
        <w:top w:val="none" w:sz="0" w:space="0" w:color="auto"/>
        <w:left w:val="none" w:sz="0" w:space="0" w:color="auto"/>
        <w:bottom w:val="none" w:sz="0" w:space="0" w:color="auto"/>
        <w:right w:val="none" w:sz="0" w:space="0" w:color="auto"/>
      </w:pBdr>
      <w:spacing w:after="120"/>
      <w:ind w:firstLine="210"/>
    </w:pPr>
    <w:rPr>
      <w:lang w:val="it-IT"/>
    </w:rPr>
  </w:style>
  <w:style w:type="character" w:customStyle="1" w:styleId="BodyTextChar">
    <w:name w:val="Body Text Char"/>
    <w:link w:val="BodyText"/>
    <w:rsid w:val="002A215B"/>
    <w:rPr>
      <w:sz w:val="22"/>
      <w:lang w:eastAsia="it-IT"/>
    </w:rPr>
  </w:style>
  <w:style w:type="character" w:customStyle="1" w:styleId="BodyTextFirstIndentChar">
    <w:name w:val="Body Text First Indent Char"/>
    <w:link w:val="BodyTextFirstIndent"/>
    <w:uiPriority w:val="99"/>
    <w:semiHidden/>
    <w:rsid w:val="002A215B"/>
    <w:rPr>
      <w:sz w:val="22"/>
      <w:lang w:val="it-IT" w:eastAsia="it-IT"/>
    </w:rPr>
  </w:style>
  <w:style w:type="paragraph" w:styleId="BodyTextFirstIndent2">
    <w:name w:val="Body Text First Indent 2"/>
    <w:basedOn w:val="BodyTextIndent"/>
    <w:link w:val="BodyTextFirstIndent2Char"/>
    <w:uiPriority w:val="99"/>
    <w:semiHidden/>
    <w:unhideWhenUsed/>
    <w:rsid w:val="002A215B"/>
    <w:pPr>
      <w:tabs>
        <w:tab w:val="clear" w:pos="567"/>
      </w:tabs>
      <w:spacing w:after="120"/>
      <w:ind w:left="283" w:firstLine="210"/>
    </w:pPr>
  </w:style>
  <w:style w:type="character" w:customStyle="1" w:styleId="BodyTextIndentChar">
    <w:name w:val="Body Text Indent Char"/>
    <w:link w:val="BodyTextIndent"/>
    <w:rsid w:val="002A215B"/>
    <w:rPr>
      <w:sz w:val="22"/>
      <w:lang w:val="it-IT" w:eastAsia="it-IT"/>
    </w:rPr>
  </w:style>
  <w:style w:type="character" w:customStyle="1" w:styleId="BodyTextFirstIndent2Char">
    <w:name w:val="Body Text First Indent 2 Char"/>
    <w:basedOn w:val="BodyTextIndentChar"/>
    <w:link w:val="BodyTextFirstIndent2"/>
    <w:uiPriority w:val="99"/>
    <w:semiHidden/>
    <w:rsid w:val="002A215B"/>
    <w:rPr>
      <w:sz w:val="22"/>
      <w:lang w:val="it-IT" w:eastAsia="it-IT"/>
    </w:rPr>
  </w:style>
  <w:style w:type="paragraph" w:styleId="Title">
    <w:name w:val="Title"/>
    <w:basedOn w:val="Normal"/>
    <w:next w:val="Normal"/>
    <w:link w:val="TitleChar"/>
    <w:uiPriority w:val="10"/>
    <w:qFormat/>
    <w:rsid w:val="002A215B"/>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rsid w:val="002A215B"/>
    <w:rPr>
      <w:rFonts w:ascii="Cambria" w:eastAsia="SimSun" w:hAnsi="Cambria" w:cs="Times New Roman"/>
      <w:b/>
      <w:bCs/>
      <w:kern w:val="28"/>
      <w:sz w:val="32"/>
      <w:szCs w:val="32"/>
      <w:lang w:val="it-IT" w:eastAsia="it-IT"/>
    </w:rPr>
  </w:style>
  <w:style w:type="paragraph" w:styleId="EnvelopeReturn">
    <w:name w:val="envelope return"/>
    <w:basedOn w:val="Normal"/>
    <w:uiPriority w:val="99"/>
    <w:semiHidden/>
    <w:unhideWhenUsed/>
    <w:rsid w:val="002A215B"/>
    <w:rPr>
      <w:rFonts w:ascii="Cambria" w:eastAsia="SimSun" w:hAnsi="Cambria"/>
      <w:sz w:val="20"/>
    </w:rPr>
  </w:style>
  <w:style w:type="paragraph" w:styleId="EnvelopeAddress">
    <w:name w:val="envelope address"/>
    <w:basedOn w:val="Normal"/>
    <w:uiPriority w:val="99"/>
    <w:semiHidden/>
    <w:unhideWhenUsed/>
    <w:rsid w:val="002A215B"/>
    <w:pPr>
      <w:framePr w:w="4320" w:h="2160" w:hRule="exact" w:hSpace="141" w:wrap="auto" w:hAnchor="page" w:xAlign="center" w:yAlign="bottom"/>
      <w:ind w:left="1"/>
    </w:pPr>
    <w:rPr>
      <w:rFonts w:ascii="Cambria" w:eastAsia="SimSun" w:hAnsi="Cambria"/>
      <w:sz w:val="24"/>
      <w:szCs w:val="24"/>
    </w:rPr>
  </w:style>
  <w:style w:type="paragraph" w:styleId="Signature">
    <w:name w:val="Signature"/>
    <w:basedOn w:val="Normal"/>
    <w:link w:val="SignatureChar"/>
    <w:uiPriority w:val="99"/>
    <w:semiHidden/>
    <w:unhideWhenUsed/>
    <w:rsid w:val="002A215B"/>
    <w:pPr>
      <w:ind w:left="4252"/>
    </w:pPr>
  </w:style>
  <w:style w:type="character" w:customStyle="1" w:styleId="SignatureChar">
    <w:name w:val="Signature Char"/>
    <w:link w:val="Signature"/>
    <w:uiPriority w:val="99"/>
    <w:semiHidden/>
    <w:rsid w:val="002A215B"/>
    <w:rPr>
      <w:sz w:val="22"/>
      <w:lang w:val="it-IT" w:eastAsia="it-IT"/>
    </w:rPr>
  </w:style>
  <w:style w:type="paragraph" w:styleId="Subtitle">
    <w:name w:val="Subtitle"/>
    <w:basedOn w:val="Normal"/>
    <w:next w:val="Normal"/>
    <w:link w:val="SubtitleChar"/>
    <w:uiPriority w:val="11"/>
    <w:qFormat/>
    <w:rsid w:val="002A215B"/>
    <w:pPr>
      <w:spacing w:after="60"/>
      <w:jc w:val="center"/>
      <w:outlineLvl w:val="1"/>
    </w:pPr>
    <w:rPr>
      <w:rFonts w:ascii="Cambria" w:eastAsia="SimSun" w:hAnsi="Cambria"/>
      <w:sz w:val="24"/>
      <w:szCs w:val="24"/>
    </w:rPr>
  </w:style>
  <w:style w:type="character" w:customStyle="1" w:styleId="SubtitleChar">
    <w:name w:val="Subtitle Char"/>
    <w:link w:val="Subtitle"/>
    <w:uiPriority w:val="11"/>
    <w:rsid w:val="002A215B"/>
    <w:rPr>
      <w:rFonts w:ascii="Cambria" w:eastAsia="SimSun" w:hAnsi="Cambria" w:cs="Times New Roman"/>
      <w:sz w:val="24"/>
      <w:szCs w:val="24"/>
      <w:lang w:val="it-IT" w:eastAsia="it-IT"/>
    </w:rPr>
  </w:style>
  <w:style w:type="paragraph" w:styleId="TOC1">
    <w:name w:val="toc 1"/>
    <w:basedOn w:val="Normal"/>
    <w:next w:val="Normal"/>
    <w:autoRedefine/>
    <w:uiPriority w:val="39"/>
    <w:semiHidden/>
    <w:unhideWhenUsed/>
    <w:rsid w:val="002A215B"/>
  </w:style>
  <w:style w:type="paragraph" w:styleId="TOC2">
    <w:name w:val="toc 2"/>
    <w:basedOn w:val="Normal"/>
    <w:next w:val="Normal"/>
    <w:autoRedefine/>
    <w:uiPriority w:val="39"/>
    <w:semiHidden/>
    <w:unhideWhenUsed/>
    <w:rsid w:val="002A215B"/>
    <w:pPr>
      <w:ind w:left="220"/>
    </w:pPr>
  </w:style>
  <w:style w:type="paragraph" w:styleId="TOC3">
    <w:name w:val="toc 3"/>
    <w:basedOn w:val="Normal"/>
    <w:next w:val="Normal"/>
    <w:autoRedefine/>
    <w:uiPriority w:val="39"/>
    <w:semiHidden/>
    <w:unhideWhenUsed/>
    <w:rsid w:val="002A215B"/>
    <w:pPr>
      <w:ind w:left="440"/>
    </w:pPr>
  </w:style>
  <w:style w:type="paragraph" w:styleId="TOC4">
    <w:name w:val="toc 4"/>
    <w:basedOn w:val="Normal"/>
    <w:next w:val="Normal"/>
    <w:autoRedefine/>
    <w:uiPriority w:val="39"/>
    <w:semiHidden/>
    <w:unhideWhenUsed/>
    <w:rsid w:val="002A215B"/>
    <w:pPr>
      <w:ind w:left="660"/>
    </w:pPr>
  </w:style>
  <w:style w:type="paragraph" w:styleId="TOC5">
    <w:name w:val="toc 5"/>
    <w:basedOn w:val="Normal"/>
    <w:next w:val="Normal"/>
    <w:autoRedefine/>
    <w:uiPriority w:val="39"/>
    <w:semiHidden/>
    <w:unhideWhenUsed/>
    <w:rsid w:val="002A215B"/>
    <w:pPr>
      <w:ind w:left="880"/>
    </w:pPr>
  </w:style>
  <w:style w:type="paragraph" w:styleId="TOC6">
    <w:name w:val="toc 6"/>
    <w:basedOn w:val="Normal"/>
    <w:next w:val="Normal"/>
    <w:autoRedefine/>
    <w:uiPriority w:val="39"/>
    <w:semiHidden/>
    <w:unhideWhenUsed/>
    <w:rsid w:val="002A215B"/>
    <w:pPr>
      <w:ind w:left="1100"/>
    </w:pPr>
  </w:style>
  <w:style w:type="paragraph" w:styleId="TOC7">
    <w:name w:val="toc 7"/>
    <w:basedOn w:val="Normal"/>
    <w:next w:val="Normal"/>
    <w:autoRedefine/>
    <w:uiPriority w:val="39"/>
    <w:semiHidden/>
    <w:unhideWhenUsed/>
    <w:rsid w:val="002A215B"/>
    <w:pPr>
      <w:ind w:left="1320"/>
    </w:pPr>
  </w:style>
  <w:style w:type="paragraph" w:styleId="TOC8">
    <w:name w:val="toc 8"/>
    <w:basedOn w:val="Normal"/>
    <w:next w:val="Normal"/>
    <w:autoRedefine/>
    <w:uiPriority w:val="39"/>
    <w:semiHidden/>
    <w:unhideWhenUsed/>
    <w:rsid w:val="002A215B"/>
    <w:pPr>
      <w:ind w:left="1540"/>
    </w:pPr>
  </w:style>
  <w:style w:type="paragraph" w:styleId="TOC9">
    <w:name w:val="toc 9"/>
    <w:basedOn w:val="Normal"/>
    <w:next w:val="Normal"/>
    <w:autoRedefine/>
    <w:uiPriority w:val="39"/>
    <w:semiHidden/>
    <w:unhideWhenUsed/>
    <w:rsid w:val="002A215B"/>
    <w:pPr>
      <w:ind w:left="1760"/>
    </w:pPr>
  </w:style>
  <w:style w:type="paragraph" w:styleId="Quote">
    <w:name w:val="Quote"/>
    <w:basedOn w:val="Normal"/>
    <w:next w:val="Normal"/>
    <w:link w:val="QuoteChar"/>
    <w:uiPriority w:val="29"/>
    <w:qFormat/>
    <w:rsid w:val="002A215B"/>
    <w:rPr>
      <w:i/>
      <w:iCs/>
      <w:color w:val="000000"/>
    </w:rPr>
  </w:style>
  <w:style w:type="character" w:customStyle="1" w:styleId="QuoteChar">
    <w:name w:val="Quote Char"/>
    <w:link w:val="Quote"/>
    <w:uiPriority w:val="29"/>
    <w:rsid w:val="002A215B"/>
    <w:rPr>
      <w:i/>
      <w:iCs/>
      <w:color w:val="000000"/>
      <w:sz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17">
      <w:bodyDiv w:val="1"/>
      <w:marLeft w:val="0"/>
      <w:marRight w:val="0"/>
      <w:marTop w:val="0"/>
      <w:marBottom w:val="0"/>
      <w:divBdr>
        <w:top w:val="none" w:sz="0" w:space="0" w:color="auto"/>
        <w:left w:val="none" w:sz="0" w:space="0" w:color="auto"/>
        <w:bottom w:val="none" w:sz="0" w:space="0" w:color="auto"/>
        <w:right w:val="none" w:sz="0" w:space="0" w:color="auto"/>
      </w:divBdr>
    </w:div>
    <w:div w:id="328288624">
      <w:bodyDiv w:val="1"/>
      <w:marLeft w:val="0"/>
      <w:marRight w:val="0"/>
      <w:marTop w:val="0"/>
      <w:marBottom w:val="0"/>
      <w:divBdr>
        <w:top w:val="none" w:sz="0" w:space="0" w:color="auto"/>
        <w:left w:val="none" w:sz="0" w:space="0" w:color="auto"/>
        <w:bottom w:val="none" w:sz="0" w:space="0" w:color="auto"/>
        <w:right w:val="none" w:sz="0" w:space="0" w:color="auto"/>
      </w:divBdr>
    </w:div>
    <w:div w:id="431240501">
      <w:bodyDiv w:val="1"/>
      <w:marLeft w:val="0"/>
      <w:marRight w:val="0"/>
      <w:marTop w:val="0"/>
      <w:marBottom w:val="0"/>
      <w:divBdr>
        <w:top w:val="none" w:sz="0" w:space="0" w:color="auto"/>
        <w:left w:val="none" w:sz="0" w:space="0" w:color="auto"/>
        <w:bottom w:val="none" w:sz="0" w:space="0" w:color="auto"/>
        <w:right w:val="none" w:sz="0" w:space="0" w:color="auto"/>
      </w:divBdr>
    </w:div>
    <w:div w:id="659777528">
      <w:bodyDiv w:val="1"/>
      <w:marLeft w:val="0"/>
      <w:marRight w:val="0"/>
      <w:marTop w:val="0"/>
      <w:marBottom w:val="0"/>
      <w:divBdr>
        <w:top w:val="none" w:sz="0" w:space="0" w:color="auto"/>
        <w:left w:val="none" w:sz="0" w:space="0" w:color="auto"/>
        <w:bottom w:val="none" w:sz="0" w:space="0" w:color="auto"/>
        <w:right w:val="none" w:sz="0" w:space="0" w:color="auto"/>
      </w:divBdr>
    </w:div>
    <w:div w:id="748842425">
      <w:bodyDiv w:val="1"/>
      <w:marLeft w:val="0"/>
      <w:marRight w:val="0"/>
      <w:marTop w:val="0"/>
      <w:marBottom w:val="0"/>
      <w:divBdr>
        <w:top w:val="none" w:sz="0" w:space="0" w:color="auto"/>
        <w:left w:val="none" w:sz="0" w:space="0" w:color="auto"/>
        <w:bottom w:val="none" w:sz="0" w:space="0" w:color="auto"/>
        <w:right w:val="none" w:sz="0" w:space="0" w:color="auto"/>
      </w:divBdr>
    </w:div>
    <w:div w:id="1011494289">
      <w:bodyDiv w:val="1"/>
      <w:marLeft w:val="0"/>
      <w:marRight w:val="0"/>
      <w:marTop w:val="0"/>
      <w:marBottom w:val="0"/>
      <w:divBdr>
        <w:top w:val="none" w:sz="0" w:space="0" w:color="auto"/>
        <w:left w:val="none" w:sz="0" w:space="0" w:color="auto"/>
        <w:bottom w:val="none" w:sz="0" w:space="0" w:color="auto"/>
        <w:right w:val="none" w:sz="0" w:space="0" w:color="auto"/>
      </w:divBdr>
    </w:div>
    <w:div w:id="1129009060">
      <w:bodyDiv w:val="1"/>
      <w:marLeft w:val="0"/>
      <w:marRight w:val="0"/>
      <w:marTop w:val="0"/>
      <w:marBottom w:val="0"/>
      <w:divBdr>
        <w:top w:val="none" w:sz="0" w:space="0" w:color="auto"/>
        <w:left w:val="none" w:sz="0" w:space="0" w:color="auto"/>
        <w:bottom w:val="none" w:sz="0" w:space="0" w:color="auto"/>
        <w:right w:val="none" w:sz="0" w:space="0" w:color="auto"/>
      </w:divBdr>
    </w:div>
    <w:div w:id="1248417656">
      <w:bodyDiv w:val="1"/>
      <w:marLeft w:val="0"/>
      <w:marRight w:val="0"/>
      <w:marTop w:val="0"/>
      <w:marBottom w:val="0"/>
      <w:divBdr>
        <w:top w:val="none" w:sz="0" w:space="0" w:color="auto"/>
        <w:left w:val="none" w:sz="0" w:space="0" w:color="auto"/>
        <w:bottom w:val="none" w:sz="0" w:space="0" w:color="auto"/>
        <w:right w:val="none" w:sz="0" w:space="0" w:color="auto"/>
      </w:divBdr>
    </w:div>
    <w:div w:id="1534810711">
      <w:bodyDiv w:val="1"/>
      <w:marLeft w:val="0"/>
      <w:marRight w:val="0"/>
      <w:marTop w:val="0"/>
      <w:marBottom w:val="0"/>
      <w:divBdr>
        <w:top w:val="none" w:sz="0" w:space="0" w:color="auto"/>
        <w:left w:val="none" w:sz="0" w:space="0" w:color="auto"/>
        <w:bottom w:val="none" w:sz="0" w:space="0" w:color="auto"/>
        <w:right w:val="none" w:sz="0" w:space="0" w:color="auto"/>
      </w:divBdr>
    </w:div>
    <w:div w:id="1556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877AC-9F95-45C7-B044-D54B7D408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9E8D6-301F-41CC-B7BC-CAE34C9A8B34}">
  <ds:schemaRefs>
    <ds:schemaRef ds:uri="http://schemas.microsoft.com/sharepoint/v3/contenttype/forms"/>
  </ds:schemaRefs>
</ds:datastoreItem>
</file>

<file path=customXml/itemProps3.xml><?xml version="1.0" encoding="utf-8"?>
<ds:datastoreItem xmlns:ds="http://schemas.openxmlformats.org/officeDocument/2006/customXml" ds:itemID="{0E6B1C47-4705-4B0A-8DDE-032976E7F4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31718</Words>
  <Characters>180793</Characters>
  <Application>Microsoft Office Word</Application>
  <DocSecurity>0</DocSecurity>
  <Lines>1506</Lines>
  <Paragraphs>424</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Company>Boehringer Ingelheim</Company>
  <LinksUpToDate>false</LinksUpToDate>
  <CharactersWithSpaces>212087</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2012-09-21T14:07:00Z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EMEA/CPMP/2722/02/it</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it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EPAR-EMEA/127476/2005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127476</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AdHocReviewCycleID">
    <vt:i4>-2088630955</vt:i4>
  </property>
  <property fmtid="{D5CDD505-2E9C-101B-9397-08002B2CF9AE}" pid="56" name="_NewReviewCycle">
    <vt:lpwstr/>
  </property>
  <property fmtid="{D5CDD505-2E9C-101B-9397-08002B2CF9AE}" pid="57" name="_EmailSubject">
    <vt:lpwstr/>
  </property>
  <property fmtid="{D5CDD505-2E9C-101B-9397-08002B2CF9AE}" pid="58" name="_AuthorEmail">
    <vt:lpwstr>corine.umbs@boehringer-ingelheim.com</vt:lpwstr>
  </property>
  <property fmtid="{D5CDD505-2E9C-101B-9397-08002B2CF9AE}" pid="59" name="_AuthorEmailDisplayName">
    <vt:lpwstr>Umbs,Corine (CDepQRPEGRA) BIP-DE-I</vt:lpwstr>
  </property>
  <property fmtid="{D5CDD505-2E9C-101B-9397-08002B2CF9AE}" pid="60" name="_ReviewingToolsShownOnce">
    <vt:lpwstr/>
  </property>
  <property fmtid="{D5CDD505-2E9C-101B-9397-08002B2CF9AE}" pid="61" name="DM_Version">
    <vt:lpwstr>CURRENT,1.0</vt:lpwstr>
  </property>
  <property fmtid="{D5CDD505-2E9C-101B-9397-08002B2CF9AE}" pid="62" name="DM_Name">
    <vt:lpwstr>emea-combined-h413it</vt:lpwstr>
  </property>
  <property fmtid="{D5CDD505-2E9C-101B-9397-08002B2CF9AE}" pid="63" name="DM_Creation_Date">
    <vt:lpwstr>04/07/2014 11:47:43</vt:lpwstr>
  </property>
  <property fmtid="{D5CDD505-2E9C-101B-9397-08002B2CF9AE}" pid="64" name="DM_Modify_Date">
    <vt:lpwstr>04/07/2014 11:47:43</vt:lpwstr>
  </property>
  <property fmtid="{D5CDD505-2E9C-101B-9397-08002B2CF9AE}" pid="65" name="DM_Creator_Name">
    <vt:lpwstr>Zbrzeska Ewa</vt:lpwstr>
  </property>
  <property fmtid="{D5CDD505-2E9C-101B-9397-08002B2CF9AE}" pid="66" name="DM_Modifier_Name">
    <vt:lpwstr>Zbrzeska Ewa</vt:lpwstr>
  </property>
  <property fmtid="{D5CDD505-2E9C-101B-9397-08002B2CF9AE}" pid="67" name="DM_Type">
    <vt:lpwstr>emea_document</vt:lpwstr>
  </property>
  <property fmtid="{D5CDD505-2E9C-101B-9397-08002B2CF9AE}" pid="68" name="DM_DocRefId">
    <vt:lpwstr>EMA/410414/2014</vt:lpwstr>
  </property>
  <property fmtid="{D5CDD505-2E9C-101B-9397-08002B2CF9AE}" pid="69" name="DM_Category">
    <vt:lpwstr>Product Information</vt:lpwstr>
  </property>
  <property fmtid="{D5CDD505-2E9C-101B-9397-08002B2CF9AE}" pid="70" name="DM_Path">
    <vt:lpwstr>/01. Evaluation of Medicines/Referrals/H - Article 31/RAS acting agents - 1370/07 Translations/07 Translations to EC/Boehringer Ingelheim/MicardisPlus/Word version</vt:lpwstr>
  </property>
  <property fmtid="{D5CDD505-2E9C-101B-9397-08002B2CF9AE}" pid="71" name="DM_emea_doc_ref_id">
    <vt:lpwstr>EMA/410414/2014</vt:lpwstr>
  </property>
  <property fmtid="{D5CDD505-2E9C-101B-9397-08002B2CF9AE}" pid="72" name="DM_Modifer_Name">
    <vt:lpwstr>Zbrzeska Ewa</vt:lpwstr>
  </property>
  <property fmtid="{D5CDD505-2E9C-101B-9397-08002B2CF9AE}" pid="73" name="DM_Modified_Date">
    <vt:lpwstr>04/07/2014 11:47:43</vt:lpwstr>
  </property>
  <property fmtid="{D5CDD505-2E9C-101B-9397-08002B2CF9AE}" pid="74" name="MSIP_Label_0eea11ca-d417-4147-80ed-01a58412c458_Enabled">
    <vt:lpwstr>true</vt:lpwstr>
  </property>
  <property fmtid="{D5CDD505-2E9C-101B-9397-08002B2CF9AE}" pid="75" name="MSIP_Label_0eea11ca-d417-4147-80ed-01a58412c458_SetDate">
    <vt:lpwstr>2021-06-03T23:49:05Z</vt:lpwstr>
  </property>
  <property fmtid="{D5CDD505-2E9C-101B-9397-08002B2CF9AE}" pid="76" name="MSIP_Label_0eea11ca-d417-4147-80ed-01a58412c458_Method">
    <vt:lpwstr>Standard</vt:lpwstr>
  </property>
  <property fmtid="{D5CDD505-2E9C-101B-9397-08002B2CF9AE}" pid="77" name="MSIP_Label_0eea11ca-d417-4147-80ed-01a58412c458_Name">
    <vt:lpwstr>0eea11ca-d417-4147-80ed-01a58412c458</vt:lpwstr>
  </property>
  <property fmtid="{D5CDD505-2E9C-101B-9397-08002B2CF9AE}" pid="78" name="MSIP_Label_0eea11ca-d417-4147-80ed-01a58412c458_SiteId">
    <vt:lpwstr>bc9dc15c-61bc-4f03-b60b-e5b6d8922839</vt:lpwstr>
  </property>
  <property fmtid="{D5CDD505-2E9C-101B-9397-08002B2CF9AE}" pid="79" name="MSIP_Label_0eea11ca-d417-4147-80ed-01a58412c458_ActionId">
    <vt:lpwstr>25c7a6a3-6cb8-4cbd-8723-431320d2fea9</vt:lpwstr>
  </property>
  <property fmtid="{D5CDD505-2E9C-101B-9397-08002B2CF9AE}" pid="80" name="MSIP_Label_0eea11ca-d417-4147-80ed-01a58412c458_ContentBits">
    <vt:lpwstr>2</vt:lpwstr>
  </property>
</Properties>
</file>